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28ECDA" w14:textId="77777777" w:rsidR="00F012EA" w:rsidRPr="00D83735" w:rsidRDefault="00DC2F1A" w:rsidP="00DC2F1A">
      <w:pPr>
        <w:pStyle w:val="Title"/>
      </w:pPr>
      <w:bookmarkStart w:id="0" w:name="_GoBack"/>
      <w:bookmarkEnd w:id="0"/>
      <w:r w:rsidRPr="00D83735">
        <w:t>Australia’s Experience With Economic Reform</w:t>
      </w:r>
    </w:p>
    <w:p w14:paraId="3A13332C" w14:textId="77777777" w:rsidR="00F012EA" w:rsidRDefault="00ED7C27" w:rsidP="00F012EA">
      <w:pPr>
        <w:pStyle w:val="AuthorName"/>
        <w:rPr>
          <w:szCs w:val="24"/>
        </w:rPr>
      </w:pPr>
      <w:r>
        <w:rPr>
          <w:szCs w:val="24"/>
        </w:rPr>
        <w:t xml:space="preserve">Laura Berger-Thomson, </w:t>
      </w:r>
      <w:r w:rsidR="00067669">
        <w:rPr>
          <w:szCs w:val="24"/>
        </w:rPr>
        <w:t>John Breusch</w:t>
      </w:r>
      <w:r w:rsidRPr="00ED7C27">
        <w:rPr>
          <w:szCs w:val="24"/>
        </w:rPr>
        <w:t xml:space="preserve"> </w:t>
      </w:r>
      <w:r>
        <w:rPr>
          <w:szCs w:val="24"/>
        </w:rPr>
        <w:t>and Louise Lilley</w:t>
      </w:r>
      <w:r w:rsidR="00F012EA" w:rsidRPr="00AA4801">
        <w:rPr>
          <w:rStyle w:val="FootnoteReference"/>
          <w:szCs w:val="24"/>
        </w:rPr>
        <w:footnoteReference w:id="2"/>
      </w:r>
    </w:p>
    <w:p w14:paraId="0D9EFFDF" w14:textId="77777777" w:rsidR="00880799" w:rsidRPr="00AA4801" w:rsidRDefault="00880799" w:rsidP="00AA4801"/>
    <w:p w14:paraId="27CABC2B" w14:textId="77777777" w:rsidR="00BB33C7" w:rsidRDefault="00BB33C7" w:rsidP="00BB33C7">
      <w:pPr>
        <w:pStyle w:val="Subtitle"/>
        <w:spacing w:after="120"/>
      </w:pPr>
      <w:bookmarkStart w:id="1" w:name="_Toc521493015"/>
      <w:bookmarkStart w:id="2" w:name="_Toc521494755"/>
      <w:bookmarkStart w:id="3" w:name="_Toc521515955"/>
      <w:r>
        <w:t>Treasury Working Paper</w:t>
      </w:r>
    </w:p>
    <w:p w14:paraId="27A19344" w14:textId="77777777" w:rsidR="00BB33C7" w:rsidRPr="00BB33C7" w:rsidRDefault="00BB33C7" w:rsidP="00BB33C7"/>
    <w:p w14:paraId="7C9B62C7" w14:textId="77777777" w:rsidR="00F012EA" w:rsidRPr="00032DF4" w:rsidRDefault="00E65F73" w:rsidP="00032DF4">
      <w:pPr>
        <w:pStyle w:val="Subtitle"/>
      </w:pPr>
      <w:r w:rsidRPr="00032DF4">
        <w:t xml:space="preserve">October </w:t>
      </w:r>
      <w:r w:rsidR="004B517F" w:rsidRPr="00032DF4">
        <w:t>2018</w:t>
      </w:r>
      <w:bookmarkEnd w:id="1"/>
      <w:bookmarkEnd w:id="2"/>
      <w:bookmarkEnd w:id="3"/>
    </w:p>
    <w:p w14:paraId="70296CA4" w14:textId="77777777" w:rsidR="000464B6" w:rsidRDefault="000464B6" w:rsidP="00AA4801"/>
    <w:p w14:paraId="0039D5A1" w14:textId="77777777" w:rsidR="00F22E4A" w:rsidRDefault="00F22E4A" w:rsidP="00AA4801"/>
    <w:p w14:paraId="45C53351" w14:textId="77777777" w:rsidR="00E65F73" w:rsidRPr="00CF3C9C" w:rsidRDefault="00E65F73" w:rsidP="000E010E">
      <w:pPr>
        <w:rPr>
          <w:spacing w:val="-2"/>
        </w:rPr>
      </w:pPr>
      <w:r w:rsidRPr="00CF3C9C">
        <w:rPr>
          <w:spacing w:val="-2"/>
        </w:rPr>
        <w:t xml:space="preserve">This paper </w:t>
      </w:r>
      <w:r w:rsidR="00ED26BC" w:rsidRPr="00CF3C9C">
        <w:rPr>
          <w:spacing w:val="-2"/>
        </w:rPr>
        <w:t xml:space="preserve">has been </w:t>
      </w:r>
      <w:r w:rsidRPr="00CF3C9C">
        <w:rPr>
          <w:spacing w:val="-2"/>
        </w:rPr>
        <w:t xml:space="preserve">prepared to inform an officials level workshop at the IMF and World Bank Annual Meetings in Bali, Indonesia in October 2018. </w:t>
      </w:r>
      <w:r w:rsidR="00ED26BC" w:rsidRPr="00CF3C9C">
        <w:rPr>
          <w:spacing w:val="-2"/>
        </w:rPr>
        <w:t xml:space="preserve">The paper will be discussed by </w:t>
      </w:r>
      <w:r w:rsidR="003A40A8" w:rsidRPr="00CF3C9C">
        <w:rPr>
          <w:spacing w:val="-2"/>
        </w:rPr>
        <w:t>Ms Laura Berger</w:t>
      </w:r>
      <w:r w:rsidR="003A40A8" w:rsidRPr="00CF3C9C">
        <w:rPr>
          <w:spacing w:val="-2"/>
        </w:rPr>
        <w:noBreakHyphen/>
        <w:t>Thomson and</w:t>
      </w:r>
      <w:r w:rsidR="00AA4801" w:rsidRPr="00CF3C9C">
        <w:rPr>
          <w:spacing w:val="-2"/>
        </w:rPr>
        <w:t xml:space="preserve"> </w:t>
      </w:r>
      <w:r w:rsidR="00ED26BC" w:rsidRPr="00CF3C9C">
        <w:rPr>
          <w:spacing w:val="-2"/>
        </w:rPr>
        <w:t>a</w:t>
      </w:r>
      <w:r w:rsidR="00AA4801" w:rsidRPr="00CF3C9C">
        <w:rPr>
          <w:spacing w:val="-2"/>
        </w:rPr>
        <w:t xml:space="preserve"> </w:t>
      </w:r>
      <w:r w:rsidRPr="00CF3C9C">
        <w:rPr>
          <w:spacing w:val="-2"/>
        </w:rPr>
        <w:t>panel includ</w:t>
      </w:r>
      <w:r w:rsidR="00ED26BC" w:rsidRPr="00CF3C9C">
        <w:rPr>
          <w:spacing w:val="-2"/>
        </w:rPr>
        <w:t>ing</w:t>
      </w:r>
      <w:r w:rsidRPr="00CF3C9C">
        <w:rPr>
          <w:spacing w:val="-2"/>
        </w:rPr>
        <w:t xml:space="preserve"> Dr</w:t>
      </w:r>
      <w:r w:rsidR="00AA4801" w:rsidRPr="00CF3C9C">
        <w:rPr>
          <w:spacing w:val="-2"/>
        </w:rPr>
        <w:t xml:space="preserve"> </w:t>
      </w:r>
      <w:proofErr w:type="spellStart"/>
      <w:r w:rsidRPr="00CF3C9C">
        <w:rPr>
          <w:spacing w:val="-2"/>
        </w:rPr>
        <w:t>Changyong</w:t>
      </w:r>
      <w:proofErr w:type="spellEnd"/>
      <w:r w:rsidR="00AA4801" w:rsidRPr="00CF3C9C">
        <w:rPr>
          <w:spacing w:val="-2"/>
        </w:rPr>
        <w:t xml:space="preserve"> </w:t>
      </w:r>
      <w:r w:rsidRPr="00CF3C9C">
        <w:rPr>
          <w:spacing w:val="-2"/>
        </w:rPr>
        <w:t>Rhee, Mr</w:t>
      </w:r>
      <w:r w:rsidR="00AA4801" w:rsidRPr="00CF3C9C">
        <w:rPr>
          <w:spacing w:val="-2"/>
        </w:rPr>
        <w:t xml:space="preserve"> </w:t>
      </w:r>
      <w:r w:rsidRPr="00CF3C9C">
        <w:rPr>
          <w:spacing w:val="-2"/>
        </w:rPr>
        <w:t>Charles</w:t>
      </w:r>
      <w:r w:rsidR="00AA4801" w:rsidRPr="00CF3C9C">
        <w:rPr>
          <w:spacing w:val="-2"/>
        </w:rPr>
        <w:t xml:space="preserve"> </w:t>
      </w:r>
      <w:r w:rsidRPr="00CF3C9C">
        <w:rPr>
          <w:spacing w:val="-2"/>
        </w:rPr>
        <w:t xml:space="preserve">Abel, </w:t>
      </w:r>
      <w:r w:rsidR="007D2E6B" w:rsidRPr="00CF3C9C">
        <w:rPr>
          <w:spacing w:val="-2"/>
        </w:rPr>
        <w:t>Dr</w:t>
      </w:r>
      <w:r w:rsidR="00AA4801" w:rsidRPr="00CF3C9C">
        <w:rPr>
          <w:spacing w:val="-2"/>
        </w:rPr>
        <w:t xml:space="preserve"> </w:t>
      </w:r>
      <w:r w:rsidR="007D2E6B" w:rsidRPr="00CF3C9C">
        <w:rPr>
          <w:spacing w:val="-2"/>
        </w:rPr>
        <w:t>Mo</w:t>
      </w:r>
      <w:r w:rsidRPr="00CF3C9C">
        <w:rPr>
          <w:spacing w:val="-2"/>
        </w:rPr>
        <w:t>hamad</w:t>
      </w:r>
      <w:r w:rsidR="00AA4801" w:rsidRPr="00CF3C9C">
        <w:rPr>
          <w:spacing w:val="-2"/>
        </w:rPr>
        <w:t xml:space="preserve"> </w:t>
      </w:r>
      <w:proofErr w:type="spellStart"/>
      <w:r w:rsidR="007D2E6B" w:rsidRPr="00CF3C9C">
        <w:rPr>
          <w:spacing w:val="-2"/>
        </w:rPr>
        <w:t>Chatib</w:t>
      </w:r>
      <w:proofErr w:type="spellEnd"/>
      <w:r w:rsidR="00AA4801" w:rsidRPr="00CF3C9C">
        <w:rPr>
          <w:spacing w:val="-2"/>
        </w:rPr>
        <w:t xml:space="preserve"> </w:t>
      </w:r>
      <w:proofErr w:type="spellStart"/>
      <w:r w:rsidRPr="00CF3C9C">
        <w:rPr>
          <w:spacing w:val="-2"/>
        </w:rPr>
        <w:t>Basri</w:t>
      </w:r>
      <w:proofErr w:type="spellEnd"/>
      <w:r w:rsidR="007D2E6B" w:rsidRPr="00CF3C9C">
        <w:rPr>
          <w:spacing w:val="-2"/>
        </w:rPr>
        <w:t>, Mr Rodrigo </w:t>
      </w:r>
      <w:r w:rsidR="000B5118" w:rsidRPr="00CF3C9C">
        <w:rPr>
          <w:spacing w:val="-2"/>
        </w:rPr>
        <w:t xml:space="preserve">Valdés </w:t>
      </w:r>
      <w:r w:rsidR="007D2E6B" w:rsidRPr="00CF3C9C">
        <w:rPr>
          <w:spacing w:val="-2"/>
        </w:rPr>
        <w:t>and Mr Nigel Ray.</w:t>
      </w:r>
    </w:p>
    <w:p w14:paraId="394E7C40" w14:textId="77777777" w:rsidR="00E65F73" w:rsidRPr="00032DF4" w:rsidRDefault="00E65F73" w:rsidP="00032DF4">
      <w:r w:rsidRPr="00CF3C9C">
        <w:rPr>
          <w:spacing w:val="-2"/>
        </w:rPr>
        <w:t>This paper discusses the factors and circumstances that influenced the course of the Australian economy over the past 40 years. It will discuss challenges Australia faced and events that motivated reform emphasising aspects unique to Australia as a commodity exporting country, geographically remote with a relatively small population.</w:t>
      </w:r>
    </w:p>
    <w:p w14:paraId="1301729A" w14:textId="77777777" w:rsidR="00032DF4" w:rsidRPr="00032DF4" w:rsidRDefault="00032DF4" w:rsidP="00032DF4">
      <w:pPr>
        <w:sectPr w:rsidR="00032DF4" w:rsidRPr="00032DF4" w:rsidSect="006E0496">
          <w:headerReference w:type="even" r:id="rId14"/>
          <w:headerReference w:type="default" r:id="rId15"/>
          <w:footerReference w:type="even" r:id="rId16"/>
          <w:footerReference w:type="default" r:id="rId17"/>
          <w:headerReference w:type="first" r:id="rId18"/>
          <w:type w:val="continuous"/>
          <w:pgSz w:w="11906" w:h="16838" w:code="9"/>
          <w:pgMar w:top="1418" w:right="1418" w:bottom="1418" w:left="1418" w:header="709" w:footer="709" w:gutter="0"/>
          <w:cols w:space="708"/>
          <w:titlePg/>
          <w:docGrid w:linePitch="360"/>
        </w:sectPr>
      </w:pPr>
    </w:p>
    <w:p w14:paraId="39963F22" w14:textId="77777777" w:rsidR="00BB33C7" w:rsidRPr="00BB33C7" w:rsidRDefault="00BB33C7" w:rsidP="00BB33C7">
      <w:pPr>
        <w:spacing w:line="240" w:lineRule="auto"/>
      </w:pPr>
      <w:bookmarkStart w:id="4" w:name="_Toc526413583"/>
      <w:r w:rsidRPr="00BB33C7">
        <w:lastRenderedPageBreak/>
        <w:t>© Commonwealth of Australia 2018</w:t>
      </w:r>
    </w:p>
    <w:p w14:paraId="5400D63D" w14:textId="77777777" w:rsidR="00BB33C7" w:rsidRPr="00BB33C7" w:rsidRDefault="00BB33C7" w:rsidP="00BB33C7">
      <w:pPr>
        <w:tabs>
          <w:tab w:val="left" w:pos="1650"/>
        </w:tabs>
        <w:spacing w:line="240" w:lineRule="auto"/>
        <w:rPr>
          <w:rFonts w:cs="Swiss 721 BT"/>
          <w:color w:val="000000"/>
          <w:sz w:val="24"/>
          <w:szCs w:val="24"/>
        </w:rPr>
      </w:pPr>
      <w:r w:rsidRPr="00BB33C7">
        <w:t>This publication is available for your use under a</w:t>
      </w:r>
      <w:r w:rsidRPr="00BB33C7">
        <w:rPr>
          <w:rFonts w:cstheme="minorHAnsi"/>
          <w:color w:val="000000"/>
          <w:sz w:val="24"/>
          <w:szCs w:val="24"/>
        </w:rPr>
        <w:t xml:space="preserve"> </w:t>
      </w:r>
      <w:hyperlink r:id="rId19" w:history="1">
        <w:r w:rsidRPr="00BB33C7">
          <w:rPr>
            <w:b/>
            <w:color w:val="003157"/>
          </w:rPr>
          <w:t>Creative Commons BY Attribution 3.0 Australia</w:t>
        </w:r>
      </w:hyperlink>
      <w:r w:rsidRPr="00BB33C7">
        <w:rPr>
          <w:rFonts w:cstheme="minorHAnsi"/>
          <w:color w:val="000000"/>
          <w:sz w:val="24"/>
          <w:szCs w:val="24"/>
        </w:rPr>
        <w:t xml:space="preserve"> </w:t>
      </w:r>
      <w:r w:rsidRPr="00BB33C7">
        <w:t>licence, with the exception of the Commonwealth Coat of Arms, the Treasury logo, photographs, images, signatures and where otherwise stated. The full licence terms are available from</w:t>
      </w:r>
      <w:r w:rsidRPr="00BB33C7">
        <w:rPr>
          <w:rFonts w:cstheme="minorHAnsi"/>
          <w:color w:val="000000"/>
          <w:sz w:val="24"/>
          <w:szCs w:val="24"/>
        </w:rPr>
        <w:t xml:space="preserve"> </w:t>
      </w:r>
      <w:hyperlink r:id="rId20" w:history="1">
        <w:r w:rsidRPr="00BB33C7">
          <w:rPr>
            <w:b/>
            <w:color w:val="003157"/>
          </w:rPr>
          <w:t>http://creativecommons.org/licenses/by/3.0/au/legalcode</w:t>
        </w:r>
      </w:hyperlink>
      <w:r w:rsidRPr="00BB33C7">
        <w:rPr>
          <w:b/>
          <w:color w:val="003157"/>
        </w:rPr>
        <w:t>.</w:t>
      </w:r>
    </w:p>
    <w:p w14:paraId="3F27C8AA" w14:textId="77777777" w:rsidR="00BB33C7" w:rsidRPr="00BB33C7" w:rsidRDefault="00BB33C7" w:rsidP="00BB33C7">
      <w:pPr>
        <w:tabs>
          <w:tab w:val="left" w:pos="1650"/>
        </w:tabs>
        <w:spacing w:after="240" w:line="240" w:lineRule="auto"/>
        <w:rPr>
          <w:rFonts w:cstheme="minorHAnsi"/>
          <w:sz w:val="24"/>
          <w:szCs w:val="24"/>
        </w:rPr>
      </w:pPr>
      <w:r w:rsidRPr="00BB33C7">
        <w:rPr>
          <w:rFonts w:cstheme="minorHAnsi"/>
          <w:noProof/>
          <w:sz w:val="24"/>
          <w:szCs w:val="24"/>
          <w:lang w:eastAsia="en-AU"/>
        </w:rPr>
        <w:drawing>
          <wp:inline distT="0" distB="0" distL="0" distR="0" wp14:anchorId="0B86A552" wp14:editId="4780FD53">
            <wp:extent cx="809625" cy="285750"/>
            <wp:effectExtent l="19050" t="0" r="9525" b="0"/>
            <wp:docPr id="7" name="Picture 1"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21" cstate="print"/>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7449E7D0" w14:textId="77777777" w:rsidR="00BB33C7" w:rsidRPr="00BB33C7" w:rsidRDefault="00BB33C7" w:rsidP="00BB33C7">
      <w:pPr>
        <w:tabs>
          <w:tab w:val="left" w:pos="1650"/>
        </w:tabs>
        <w:spacing w:line="240" w:lineRule="auto"/>
      </w:pPr>
      <w:r w:rsidRPr="00BB33C7">
        <w:t>Use of Treasury material under a</w:t>
      </w:r>
      <w:r w:rsidRPr="00BB33C7">
        <w:rPr>
          <w:rFonts w:cstheme="minorHAnsi"/>
          <w:sz w:val="24"/>
          <w:szCs w:val="24"/>
        </w:rPr>
        <w:t xml:space="preserve"> </w:t>
      </w:r>
      <w:hyperlink r:id="rId22" w:history="1">
        <w:r w:rsidRPr="00BB33C7">
          <w:rPr>
            <w:b/>
            <w:color w:val="003157"/>
          </w:rPr>
          <w:t>Creative Commons BY Attribution 3.0 Australia</w:t>
        </w:r>
      </w:hyperlink>
      <w:r w:rsidRPr="00BB33C7">
        <w:rPr>
          <w:b/>
          <w:color w:val="003157"/>
        </w:rPr>
        <w:t xml:space="preserve"> </w:t>
      </w:r>
      <w:r w:rsidRPr="00BB33C7">
        <w:t>licence requires you to attribute the work (but not in any way that suggests that the Treasury endorses you or your use of the work).</w:t>
      </w:r>
    </w:p>
    <w:p w14:paraId="524F1065" w14:textId="77777777" w:rsidR="00BB33C7" w:rsidRPr="00BB33C7" w:rsidRDefault="00BB33C7" w:rsidP="00BB33C7">
      <w:pPr>
        <w:spacing w:line="240" w:lineRule="auto"/>
        <w:ind w:left="709"/>
        <w:rPr>
          <w:i/>
        </w:rPr>
      </w:pPr>
      <w:r w:rsidRPr="00BB33C7">
        <w:rPr>
          <w:i/>
        </w:rPr>
        <w:t>Treasury material used 'as supplied'</w:t>
      </w:r>
    </w:p>
    <w:p w14:paraId="3E34D9DE" w14:textId="77777777" w:rsidR="00BB33C7" w:rsidRPr="00BB33C7" w:rsidRDefault="00BB33C7" w:rsidP="00BB33C7">
      <w:pPr>
        <w:spacing w:line="240" w:lineRule="auto"/>
      </w:pPr>
      <w:r w:rsidRPr="00BB33C7">
        <w:t>Provided you have not modified or transformed Treasury material in any way including, for example, by changing the Treasury text; calculating percentage changes; graphing or charting data; or deriving new statistics from published Treasury statistics — then Treasury prefers the following attribution:</w:t>
      </w:r>
    </w:p>
    <w:p w14:paraId="0C96F810" w14:textId="77777777" w:rsidR="00BB33C7" w:rsidRPr="00BB33C7" w:rsidRDefault="00BB33C7" w:rsidP="00BB33C7">
      <w:pPr>
        <w:spacing w:line="240" w:lineRule="auto"/>
        <w:ind w:left="709"/>
        <w:rPr>
          <w:i/>
        </w:rPr>
      </w:pPr>
      <w:r w:rsidRPr="00BB33C7">
        <w:rPr>
          <w:i/>
        </w:rPr>
        <w:t>Source: The Australian Government the Treasury</w:t>
      </w:r>
    </w:p>
    <w:p w14:paraId="16B72C32" w14:textId="77777777" w:rsidR="00BB33C7" w:rsidRPr="00BB33C7" w:rsidRDefault="00BB33C7" w:rsidP="00BB33C7">
      <w:pPr>
        <w:spacing w:line="240" w:lineRule="auto"/>
        <w:rPr>
          <w:b/>
        </w:rPr>
      </w:pPr>
      <w:r w:rsidRPr="00BB33C7">
        <w:rPr>
          <w:b/>
        </w:rPr>
        <w:t>Derivative material</w:t>
      </w:r>
    </w:p>
    <w:p w14:paraId="0C273E5A" w14:textId="77777777" w:rsidR="00BB33C7" w:rsidRPr="00BB33C7" w:rsidRDefault="00BB33C7" w:rsidP="00BB33C7">
      <w:pPr>
        <w:spacing w:line="240" w:lineRule="auto"/>
      </w:pPr>
      <w:r w:rsidRPr="00BB33C7">
        <w:t>If you have modified or transformed Treasury material, or derived new material from those of the Treasury in any way, then Treasury prefers the following attribution:</w:t>
      </w:r>
    </w:p>
    <w:p w14:paraId="588FC169" w14:textId="77777777" w:rsidR="00BB33C7" w:rsidRPr="00BB33C7" w:rsidRDefault="00BB33C7" w:rsidP="00BB33C7">
      <w:pPr>
        <w:spacing w:line="240" w:lineRule="auto"/>
        <w:ind w:left="709"/>
        <w:rPr>
          <w:i/>
        </w:rPr>
      </w:pPr>
      <w:r w:rsidRPr="00BB33C7">
        <w:rPr>
          <w:i/>
        </w:rPr>
        <w:t>Based on The Australian Government the Treasury data</w:t>
      </w:r>
    </w:p>
    <w:p w14:paraId="1DFBB442" w14:textId="77777777" w:rsidR="00BB33C7" w:rsidRPr="00BB33C7" w:rsidRDefault="00BB33C7" w:rsidP="00BB33C7">
      <w:pPr>
        <w:spacing w:after="40" w:line="240" w:lineRule="auto"/>
        <w:rPr>
          <w:b/>
        </w:rPr>
      </w:pPr>
      <w:r w:rsidRPr="00BB33C7">
        <w:rPr>
          <w:b/>
        </w:rPr>
        <w:t>Use of the Coat of Arms</w:t>
      </w:r>
    </w:p>
    <w:p w14:paraId="5C3F1D05" w14:textId="77777777" w:rsidR="00BB33C7" w:rsidRPr="00BB33C7" w:rsidRDefault="00BB33C7" w:rsidP="00BB33C7">
      <w:pPr>
        <w:spacing w:line="240" w:lineRule="auto"/>
      </w:pPr>
      <w:r w:rsidRPr="00BB33C7">
        <w:t xml:space="preserve">The terms under which the Coat of Arms can be used are set out on the Department of the Prime Minister and Cabinet website (see </w:t>
      </w:r>
      <w:hyperlink r:id="rId23" w:history="1">
        <w:r w:rsidRPr="00BB33C7">
          <w:rPr>
            <w:b/>
            <w:color w:val="003157"/>
          </w:rPr>
          <w:t>www.pmc.gov.au/government/commonwealth-coat-arms</w:t>
        </w:r>
      </w:hyperlink>
      <w:r w:rsidRPr="00BB33C7">
        <w:t>).</w:t>
      </w:r>
    </w:p>
    <w:p w14:paraId="7C4928DF" w14:textId="77777777" w:rsidR="00BB33C7" w:rsidRPr="00BB33C7" w:rsidRDefault="00BB33C7" w:rsidP="00BB33C7">
      <w:pPr>
        <w:spacing w:after="40" w:line="240" w:lineRule="auto"/>
        <w:rPr>
          <w:b/>
        </w:rPr>
      </w:pPr>
      <w:r w:rsidRPr="00BB33C7">
        <w:rPr>
          <w:b/>
        </w:rPr>
        <w:t>Other uses</w:t>
      </w:r>
    </w:p>
    <w:p w14:paraId="1DB1EDF9" w14:textId="77777777" w:rsidR="00BB33C7" w:rsidRPr="00BB33C7" w:rsidRDefault="00BB33C7" w:rsidP="00BB33C7">
      <w:pPr>
        <w:spacing w:after="120" w:line="240" w:lineRule="auto"/>
      </w:pPr>
      <w:r w:rsidRPr="00BB33C7">
        <w:t>Enquiries regarding this licence and any other use of this document are welcome at:</w:t>
      </w:r>
    </w:p>
    <w:p w14:paraId="4E031FC8" w14:textId="77777777" w:rsidR="00BB33C7" w:rsidRPr="00BB33C7" w:rsidRDefault="00BB33C7" w:rsidP="00BB33C7">
      <w:pPr>
        <w:spacing w:after="0" w:line="240" w:lineRule="auto"/>
        <w:ind w:left="720"/>
      </w:pPr>
      <w:r w:rsidRPr="00BB33C7">
        <w:t>Manager</w:t>
      </w:r>
    </w:p>
    <w:p w14:paraId="68E70994" w14:textId="77777777" w:rsidR="00BB33C7" w:rsidRPr="00BB33C7" w:rsidRDefault="00BB33C7" w:rsidP="00BB33C7">
      <w:pPr>
        <w:spacing w:after="0" w:line="240" w:lineRule="auto"/>
        <w:ind w:left="720"/>
      </w:pPr>
      <w:r w:rsidRPr="00BB33C7">
        <w:t>Media Unit</w:t>
      </w:r>
    </w:p>
    <w:p w14:paraId="02676F60" w14:textId="77777777" w:rsidR="00BB33C7" w:rsidRPr="00BB33C7" w:rsidRDefault="00BB33C7" w:rsidP="00BB33C7">
      <w:pPr>
        <w:spacing w:after="0" w:line="240" w:lineRule="auto"/>
        <w:ind w:left="720"/>
      </w:pPr>
      <w:r w:rsidRPr="00BB33C7">
        <w:t>The Treasury</w:t>
      </w:r>
    </w:p>
    <w:p w14:paraId="55286BF9" w14:textId="77777777" w:rsidR="00BB33C7" w:rsidRPr="00BB33C7" w:rsidRDefault="00BB33C7" w:rsidP="00BB33C7">
      <w:pPr>
        <w:spacing w:after="0" w:line="240" w:lineRule="auto"/>
        <w:ind w:left="720"/>
      </w:pPr>
      <w:r w:rsidRPr="00BB33C7">
        <w:t xml:space="preserve">Langton Crescent </w:t>
      </w:r>
      <w:r w:rsidRPr="00BB33C7">
        <w:br/>
        <w:t>Parkes ACT 2600</w:t>
      </w:r>
    </w:p>
    <w:p w14:paraId="0AC30ED9" w14:textId="77777777" w:rsidR="00BB33C7" w:rsidRPr="00BB33C7" w:rsidRDefault="00BB33C7" w:rsidP="00BB33C7">
      <w:pPr>
        <w:ind w:left="720"/>
      </w:pPr>
      <w:r w:rsidRPr="00BB33C7">
        <w:t xml:space="preserve">Email: </w:t>
      </w:r>
      <w:hyperlink r:id="rId24" w:history="1">
        <w:r w:rsidRPr="00BB33C7">
          <w:rPr>
            <w:b/>
            <w:color w:val="003157"/>
          </w:rPr>
          <w:t>medialiaison@treasury.gov.au</w:t>
        </w:r>
      </w:hyperlink>
    </w:p>
    <w:p w14:paraId="781D47B6" w14:textId="77777777" w:rsidR="00BB33C7" w:rsidRPr="00BB33C7" w:rsidRDefault="00BB33C7" w:rsidP="00BB33C7"/>
    <w:p w14:paraId="165509C1" w14:textId="77777777" w:rsidR="00BB33C7" w:rsidRPr="00BB33C7" w:rsidRDefault="00BB33C7" w:rsidP="00BB33C7">
      <w:pPr>
        <w:sectPr w:rsidR="00BB33C7" w:rsidRPr="00BB33C7" w:rsidSect="005441DE">
          <w:headerReference w:type="even" r:id="rId25"/>
          <w:headerReference w:type="default" r:id="rId26"/>
          <w:footerReference w:type="even" r:id="rId27"/>
          <w:footerReference w:type="default" r:id="rId28"/>
          <w:headerReference w:type="first" r:id="rId29"/>
          <w:footerReference w:type="first" r:id="rId30"/>
          <w:pgSz w:w="11906" w:h="16838" w:code="9"/>
          <w:pgMar w:top="1418" w:right="1418" w:bottom="1418" w:left="1418" w:header="709" w:footer="709" w:gutter="0"/>
          <w:cols w:space="708"/>
          <w:titlePg/>
          <w:docGrid w:linePitch="360"/>
        </w:sectPr>
      </w:pPr>
    </w:p>
    <w:p w14:paraId="5763F586" w14:textId="77777777" w:rsidR="001D699E" w:rsidRDefault="001D699E" w:rsidP="00E22DCB">
      <w:pPr>
        <w:pStyle w:val="Heading1-NoTOC"/>
      </w:pPr>
      <w:r>
        <w:lastRenderedPageBreak/>
        <w:t>Contents</w:t>
      </w:r>
      <w:bookmarkEnd w:id="4"/>
    </w:p>
    <w:p w14:paraId="30CEE94D" w14:textId="77777777" w:rsidR="00BB33C7" w:rsidRDefault="005E1970">
      <w:pPr>
        <w:pStyle w:val="TOC1"/>
        <w:rPr>
          <w:rFonts w:asciiTheme="minorHAnsi" w:eastAsiaTheme="minorEastAsia" w:hAnsiTheme="minorHAnsi"/>
          <w:b w:val="0"/>
          <w:bCs w:val="0"/>
          <w:caps w:val="0"/>
          <w:color w:val="auto"/>
          <w:sz w:val="22"/>
          <w:lang w:eastAsia="en-AU"/>
        </w:rPr>
      </w:pPr>
      <w:r>
        <w:rPr>
          <w:b w:val="0"/>
          <w:bCs w:val="0"/>
          <w:caps w:val="0"/>
        </w:rPr>
        <w:fldChar w:fldCharType="begin"/>
      </w:r>
      <w:r>
        <w:rPr>
          <w:b w:val="0"/>
          <w:bCs w:val="0"/>
          <w:caps w:val="0"/>
        </w:rPr>
        <w:instrText xml:space="preserve"> TOC \o "1-1" \h \z \t "Heading 2,1,Heading 3,2,Heading 2 - Numbered,1,Chart Main Heading - TOC,3" </w:instrText>
      </w:r>
      <w:r>
        <w:rPr>
          <w:b w:val="0"/>
          <w:bCs w:val="0"/>
          <w:caps w:val="0"/>
        </w:rPr>
        <w:fldChar w:fldCharType="separate"/>
      </w:r>
      <w:hyperlink w:anchor="_Toc526935104" w:history="1">
        <w:r w:rsidR="00BB33C7" w:rsidRPr="00FF3ACD">
          <w:rPr>
            <w:rStyle w:val="Hyperlink"/>
          </w:rPr>
          <w:t>Introduction</w:t>
        </w:r>
        <w:r w:rsidR="00BB33C7">
          <w:rPr>
            <w:webHidden/>
          </w:rPr>
          <w:tab/>
        </w:r>
        <w:r w:rsidR="00BB33C7">
          <w:rPr>
            <w:webHidden/>
          </w:rPr>
          <w:fldChar w:fldCharType="begin"/>
        </w:r>
        <w:r w:rsidR="00BB33C7">
          <w:rPr>
            <w:webHidden/>
          </w:rPr>
          <w:instrText xml:space="preserve"> PAGEREF _Toc526935104 \h </w:instrText>
        </w:r>
        <w:r w:rsidR="00BB33C7">
          <w:rPr>
            <w:webHidden/>
          </w:rPr>
        </w:r>
        <w:r w:rsidR="00BB33C7">
          <w:rPr>
            <w:webHidden/>
          </w:rPr>
          <w:fldChar w:fldCharType="separate"/>
        </w:r>
        <w:r w:rsidR="00BB33C7">
          <w:rPr>
            <w:webHidden/>
          </w:rPr>
          <w:t>1</w:t>
        </w:r>
        <w:r w:rsidR="00BB33C7">
          <w:rPr>
            <w:webHidden/>
          </w:rPr>
          <w:fldChar w:fldCharType="end"/>
        </w:r>
      </w:hyperlink>
    </w:p>
    <w:p w14:paraId="0CD8FDBA" w14:textId="77777777" w:rsidR="00BB33C7" w:rsidRDefault="00973D9E">
      <w:pPr>
        <w:pStyle w:val="TOC1"/>
        <w:rPr>
          <w:rFonts w:asciiTheme="minorHAnsi" w:eastAsiaTheme="minorEastAsia" w:hAnsiTheme="minorHAnsi"/>
          <w:b w:val="0"/>
          <w:bCs w:val="0"/>
          <w:caps w:val="0"/>
          <w:color w:val="auto"/>
          <w:sz w:val="22"/>
          <w:lang w:eastAsia="en-AU"/>
        </w:rPr>
      </w:pPr>
      <w:hyperlink w:anchor="_Toc526935105" w:history="1">
        <w:r w:rsidR="00BB33C7" w:rsidRPr="00FF3ACD">
          <w:rPr>
            <w:rStyle w:val="Hyperlink"/>
          </w:rPr>
          <w:t>1.</w:t>
        </w:r>
        <w:r w:rsidR="00BB33C7">
          <w:rPr>
            <w:rFonts w:asciiTheme="minorHAnsi" w:eastAsiaTheme="minorEastAsia" w:hAnsiTheme="minorHAnsi"/>
            <w:b w:val="0"/>
            <w:bCs w:val="0"/>
            <w:caps w:val="0"/>
            <w:color w:val="auto"/>
            <w:sz w:val="22"/>
            <w:lang w:eastAsia="en-AU"/>
          </w:rPr>
          <w:tab/>
        </w:r>
        <w:r w:rsidR="00BB33C7" w:rsidRPr="00FF3ACD">
          <w:rPr>
            <w:rStyle w:val="Hyperlink"/>
          </w:rPr>
          <w:t>Australia’s Economic reforms and their effects</w:t>
        </w:r>
        <w:r w:rsidR="00BB33C7">
          <w:rPr>
            <w:webHidden/>
          </w:rPr>
          <w:tab/>
        </w:r>
        <w:r w:rsidR="00BB33C7">
          <w:rPr>
            <w:webHidden/>
          </w:rPr>
          <w:fldChar w:fldCharType="begin"/>
        </w:r>
        <w:r w:rsidR="00BB33C7">
          <w:rPr>
            <w:webHidden/>
          </w:rPr>
          <w:instrText xml:space="preserve"> PAGEREF _Toc526935105 \h </w:instrText>
        </w:r>
        <w:r w:rsidR="00BB33C7">
          <w:rPr>
            <w:webHidden/>
          </w:rPr>
        </w:r>
        <w:r w:rsidR="00BB33C7">
          <w:rPr>
            <w:webHidden/>
          </w:rPr>
          <w:fldChar w:fldCharType="separate"/>
        </w:r>
        <w:r w:rsidR="00BB33C7">
          <w:rPr>
            <w:webHidden/>
          </w:rPr>
          <w:t>2</w:t>
        </w:r>
        <w:r w:rsidR="00BB33C7">
          <w:rPr>
            <w:webHidden/>
          </w:rPr>
          <w:fldChar w:fldCharType="end"/>
        </w:r>
      </w:hyperlink>
    </w:p>
    <w:p w14:paraId="7B8A785F" w14:textId="77777777" w:rsidR="00BB33C7" w:rsidRDefault="00973D9E">
      <w:pPr>
        <w:pStyle w:val="TOC2"/>
        <w:rPr>
          <w:rFonts w:asciiTheme="minorHAnsi" w:eastAsiaTheme="minorEastAsia" w:hAnsiTheme="minorHAnsi"/>
          <w:noProof/>
          <w:color w:val="auto"/>
          <w:sz w:val="22"/>
          <w:lang w:eastAsia="en-AU"/>
        </w:rPr>
      </w:pPr>
      <w:hyperlink w:anchor="_Toc526935106" w:history="1">
        <w:r w:rsidR="00BB33C7" w:rsidRPr="00FF3ACD">
          <w:rPr>
            <w:rStyle w:val="Hyperlink"/>
            <w:noProof/>
          </w:rPr>
          <w:t>First wave of reforms</w:t>
        </w:r>
        <w:r w:rsidR="00BB33C7">
          <w:rPr>
            <w:noProof/>
            <w:webHidden/>
          </w:rPr>
          <w:tab/>
        </w:r>
        <w:r w:rsidR="00BB33C7">
          <w:rPr>
            <w:noProof/>
            <w:webHidden/>
          </w:rPr>
          <w:fldChar w:fldCharType="begin"/>
        </w:r>
        <w:r w:rsidR="00BB33C7">
          <w:rPr>
            <w:noProof/>
            <w:webHidden/>
          </w:rPr>
          <w:instrText xml:space="preserve"> PAGEREF _Toc526935106 \h </w:instrText>
        </w:r>
        <w:r w:rsidR="00BB33C7">
          <w:rPr>
            <w:noProof/>
            <w:webHidden/>
          </w:rPr>
        </w:r>
        <w:r w:rsidR="00BB33C7">
          <w:rPr>
            <w:noProof/>
            <w:webHidden/>
          </w:rPr>
          <w:fldChar w:fldCharType="separate"/>
        </w:r>
        <w:r w:rsidR="00BB33C7">
          <w:rPr>
            <w:noProof/>
            <w:webHidden/>
          </w:rPr>
          <w:t>2</w:t>
        </w:r>
        <w:r w:rsidR="00BB33C7">
          <w:rPr>
            <w:noProof/>
            <w:webHidden/>
          </w:rPr>
          <w:fldChar w:fldCharType="end"/>
        </w:r>
      </w:hyperlink>
    </w:p>
    <w:p w14:paraId="0A38D05F" w14:textId="77777777" w:rsidR="00BB33C7" w:rsidRDefault="00973D9E">
      <w:pPr>
        <w:pStyle w:val="TOC2"/>
        <w:rPr>
          <w:rFonts w:asciiTheme="minorHAnsi" w:eastAsiaTheme="minorEastAsia" w:hAnsiTheme="minorHAnsi"/>
          <w:noProof/>
          <w:color w:val="auto"/>
          <w:sz w:val="22"/>
          <w:lang w:eastAsia="en-AU"/>
        </w:rPr>
      </w:pPr>
      <w:hyperlink w:anchor="_Toc526935107" w:history="1">
        <w:r w:rsidR="00BB33C7" w:rsidRPr="00FF3ACD">
          <w:rPr>
            <w:rStyle w:val="Hyperlink"/>
            <w:noProof/>
          </w:rPr>
          <w:t>Second wave of reforms</w:t>
        </w:r>
        <w:r w:rsidR="00BB33C7">
          <w:rPr>
            <w:noProof/>
            <w:webHidden/>
          </w:rPr>
          <w:tab/>
        </w:r>
        <w:r w:rsidR="00BB33C7">
          <w:rPr>
            <w:noProof/>
            <w:webHidden/>
          </w:rPr>
          <w:fldChar w:fldCharType="begin"/>
        </w:r>
        <w:r w:rsidR="00BB33C7">
          <w:rPr>
            <w:noProof/>
            <w:webHidden/>
          </w:rPr>
          <w:instrText xml:space="preserve"> PAGEREF _Toc526935107 \h </w:instrText>
        </w:r>
        <w:r w:rsidR="00BB33C7">
          <w:rPr>
            <w:noProof/>
            <w:webHidden/>
          </w:rPr>
        </w:r>
        <w:r w:rsidR="00BB33C7">
          <w:rPr>
            <w:noProof/>
            <w:webHidden/>
          </w:rPr>
          <w:fldChar w:fldCharType="separate"/>
        </w:r>
        <w:r w:rsidR="00BB33C7">
          <w:rPr>
            <w:noProof/>
            <w:webHidden/>
          </w:rPr>
          <w:t>4</w:t>
        </w:r>
        <w:r w:rsidR="00BB33C7">
          <w:rPr>
            <w:noProof/>
            <w:webHidden/>
          </w:rPr>
          <w:fldChar w:fldCharType="end"/>
        </w:r>
      </w:hyperlink>
    </w:p>
    <w:p w14:paraId="409E89BA" w14:textId="77777777" w:rsidR="00BB33C7" w:rsidRDefault="00973D9E">
      <w:pPr>
        <w:pStyle w:val="TOC2"/>
        <w:rPr>
          <w:rFonts w:asciiTheme="minorHAnsi" w:eastAsiaTheme="minorEastAsia" w:hAnsiTheme="minorHAnsi"/>
          <w:noProof/>
          <w:color w:val="auto"/>
          <w:sz w:val="22"/>
          <w:lang w:eastAsia="en-AU"/>
        </w:rPr>
      </w:pPr>
      <w:hyperlink w:anchor="_Toc526935108" w:history="1">
        <w:r w:rsidR="00BB33C7" w:rsidRPr="00FF3ACD">
          <w:rPr>
            <w:rStyle w:val="Hyperlink"/>
            <w:noProof/>
          </w:rPr>
          <w:t>Third wave of reforms</w:t>
        </w:r>
        <w:r w:rsidR="00BB33C7">
          <w:rPr>
            <w:noProof/>
            <w:webHidden/>
          </w:rPr>
          <w:tab/>
        </w:r>
        <w:r w:rsidR="00BB33C7">
          <w:rPr>
            <w:noProof/>
            <w:webHidden/>
          </w:rPr>
          <w:fldChar w:fldCharType="begin"/>
        </w:r>
        <w:r w:rsidR="00BB33C7">
          <w:rPr>
            <w:noProof/>
            <w:webHidden/>
          </w:rPr>
          <w:instrText xml:space="preserve"> PAGEREF _Toc526935108 \h </w:instrText>
        </w:r>
        <w:r w:rsidR="00BB33C7">
          <w:rPr>
            <w:noProof/>
            <w:webHidden/>
          </w:rPr>
        </w:r>
        <w:r w:rsidR="00BB33C7">
          <w:rPr>
            <w:noProof/>
            <w:webHidden/>
          </w:rPr>
          <w:fldChar w:fldCharType="separate"/>
        </w:r>
        <w:r w:rsidR="00BB33C7">
          <w:rPr>
            <w:noProof/>
            <w:webHidden/>
          </w:rPr>
          <w:t>7</w:t>
        </w:r>
        <w:r w:rsidR="00BB33C7">
          <w:rPr>
            <w:noProof/>
            <w:webHidden/>
          </w:rPr>
          <w:fldChar w:fldCharType="end"/>
        </w:r>
      </w:hyperlink>
    </w:p>
    <w:p w14:paraId="1D168DC6" w14:textId="77777777" w:rsidR="00BB33C7" w:rsidRDefault="00973D9E">
      <w:pPr>
        <w:pStyle w:val="TOC1"/>
        <w:rPr>
          <w:rFonts w:asciiTheme="minorHAnsi" w:eastAsiaTheme="minorEastAsia" w:hAnsiTheme="minorHAnsi"/>
          <w:b w:val="0"/>
          <w:bCs w:val="0"/>
          <w:caps w:val="0"/>
          <w:color w:val="auto"/>
          <w:sz w:val="22"/>
          <w:lang w:eastAsia="en-AU"/>
        </w:rPr>
      </w:pPr>
      <w:hyperlink w:anchor="_Toc526935109" w:history="1">
        <w:r w:rsidR="00BB33C7" w:rsidRPr="00FF3ACD">
          <w:rPr>
            <w:rStyle w:val="Hyperlink"/>
          </w:rPr>
          <w:t>2.</w:t>
        </w:r>
        <w:r w:rsidR="00BB33C7">
          <w:rPr>
            <w:rFonts w:asciiTheme="minorHAnsi" w:eastAsiaTheme="minorEastAsia" w:hAnsiTheme="minorHAnsi"/>
            <w:b w:val="0"/>
            <w:bCs w:val="0"/>
            <w:caps w:val="0"/>
            <w:color w:val="auto"/>
            <w:sz w:val="22"/>
            <w:lang w:eastAsia="en-AU"/>
          </w:rPr>
          <w:tab/>
        </w:r>
        <w:r w:rsidR="00BB33C7" w:rsidRPr="00FF3ACD">
          <w:rPr>
            <w:rStyle w:val="Hyperlink"/>
          </w:rPr>
          <w:t>Reflections on Australia’s experience with reform</w:t>
        </w:r>
        <w:r w:rsidR="00BB33C7">
          <w:rPr>
            <w:webHidden/>
          </w:rPr>
          <w:tab/>
        </w:r>
        <w:r w:rsidR="00BB33C7">
          <w:rPr>
            <w:webHidden/>
          </w:rPr>
          <w:fldChar w:fldCharType="begin"/>
        </w:r>
        <w:r w:rsidR="00BB33C7">
          <w:rPr>
            <w:webHidden/>
          </w:rPr>
          <w:instrText xml:space="preserve"> PAGEREF _Toc526935109 \h </w:instrText>
        </w:r>
        <w:r w:rsidR="00BB33C7">
          <w:rPr>
            <w:webHidden/>
          </w:rPr>
        </w:r>
        <w:r w:rsidR="00BB33C7">
          <w:rPr>
            <w:webHidden/>
          </w:rPr>
          <w:fldChar w:fldCharType="separate"/>
        </w:r>
        <w:r w:rsidR="00BB33C7">
          <w:rPr>
            <w:webHidden/>
          </w:rPr>
          <w:t>8</w:t>
        </w:r>
        <w:r w:rsidR="00BB33C7">
          <w:rPr>
            <w:webHidden/>
          </w:rPr>
          <w:fldChar w:fldCharType="end"/>
        </w:r>
      </w:hyperlink>
    </w:p>
    <w:p w14:paraId="0549994F" w14:textId="77777777" w:rsidR="00BB33C7" w:rsidRDefault="00973D9E">
      <w:pPr>
        <w:pStyle w:val="TOC2"/>
        <w:rPr>
          <w:rFonts w:asciiTheme="minorHAnsi" w:eastAsiaTheme="minorEastAsia" w:hAnsiTheme="minorHAnsi"/>
          <w:noProof/>
          <w:color w:val="auto"/>
          <w:sz w:val="22"/>
          <w:lang w:eastAsia="en-AU"/>
        </w:rPr>
      </w:pPr>
      <w:hyperlink w:anchor="_Toc526935110" w:history="1">
        <w:r w:rsidR="00BB33C7" w:rsidRPr="00FF3ACD">
          <w:rPr>
            <w:rStyle w:val="Hyperlink"/>
            <w:noProof/>
          </w:rPr>
          <w:t>What did the reforms achieve?</w:t>
        </w:r>
        <w:r w:rsidR="00BB33C7">
          <w:rPr>
            <w:noProof/>
            <w:webHidden/>
          </w:rPr>
          <w:tab/>
        </w:r>
        <w:r w:rsidR="00BB33C7">
          <w:rPr>
            <w:noProof/>
            <w:webHidden/>
          </w:rPr>
          <w:fldChar w:fldCharType="begin"/>
        </w:r>
        <w:r w:rsidR="00BB33C7">
          <w:rPr>
            <w:noProof/>
            <w:webHidden/>
          </w:rPr>
          <w:instrText xml:space="preserve"> PAGEREF _Toc526935110 \h </w:instrText>
        </w:r>
        <w:r w:rsidR="00BB33C7">
          <w:rPr>
            <w:noProof/>
            <w:webHidden/>
          </w:rPr>
        </w:r>
        <w:r w:rsidR="00BB33C7">
          <w:rPr>
            <w:noProof/>
            <w:webHidden/>
          </w:rPr>
          <w:fldChar w:fldCharType="separate"/>
        </w:r>
        <w:r w:rsidR="00BB33C7">
          <w:rPr>
            <w:noProof/>
            <w:webHidden/>
          </w:rPr>
          <w:t>8</w:t>
        </w:r>
        <w:r w:rsidR="00BB33C7">
          <w:rPr>
            <w:noProof/>
            <w:webHidden/>
          </w:rPr>
          <w:fldChar w:fldCharType="end"/>
        </w:r>
      </w:hyperlink>
    </w:p>
    <w:p w14:paraId="738B1DE6" w14:textId="77777777" w:rsidR="00BB33C7" w:rsidRDefault="00973D9E">
      <w:pPr>
        <w:pStyle w:val="TOC2"/>
        <w:rPr>
          <w:rFonts w:asciiTheme="minorHAnsi" w:eastAsiaTheme="minorEastAsia" w:hAnsiTheme="minorHAnsi"/>
          <w:noProof/>
          <w:color w:val="auto"/>
          <w:sz w:val="22"/>
          <w:lang w:eastAsia="en-AU"/>
        </w:rPr>
      </w:pPr>
      <w:hyperlink w:anchor="_Toc526935111" w:history="1">
        <w:r w:rsidR="00BB33C7" w:rsidRPr="00FF3ACD">
          <w:rPr>
            <w:rStyle w:val="Hyperlink"/>
            <w:noProof/>
          </w:rPr>
          <w:t>Insights from Australia’s experience with reform</w:t>
        </w:r>
        <w:r w:rsidR="00BB33C7">
          <w:rPr>
            <w:noProof/>
            <w:webHidden/>
          </w:rPr>
          <w:tab/>
        </w:r>
        <w:r w:rsidR="00BB33C7">
          <w:rPr>
            <w:noProof/>
            <w:webHidden/>
          </w:rPr>
          <w:fldChar w:fldCharType="begin"/>
        </w:r>
        <w:r w:rsidR="00BB33C7">
          <w:rPr>
            <w:noProof/>
            <w:webHidden/>
          </w:rPr>
          <w:instrText xml:space="preserve"> PAGEREF _Toc526935111 \h </w:instrText>
        </w:r>
        <w:r w:rsidR="00BB33C7">
          <w:rPr>
            <w:noProof/>
            <w:webHidden/>
          </w:rPr>
        </w:r>
        <w:r w:rsidR="00BB33C7">
          <w:rPr>
            <w:noProof/>
            <w:webHidden/>
          </w:rPr>
          <w:fldChar w:fldCharType="separate"/>
        </w:r>
        <w:r w:rsidR="00BB33C7">
          <w:rPr>
            <w:noProof/>
            <w:webHidden/>
          </w:rPr>
          <w:t>13</w:t>
        </w:r>
        <w:r w:rsidR="00BB33C7">
          <w:rPr>
            <w:noProof/>
            <w:webHidden/>
          </w:rPr>
          <w:fldChar w:fldCharType="end"/>
        </w:r>
      </w:hyperlink>
    </w:p>
    <w:p w14:paraId="3B06F538" w14:textId="77777777" w:rsidR="00BB33C7" w:rsidRDefault="00973D9E">
      <w:pPr>
        <w:pStyle w:val="TOC1"/>
        <w:rPr>
          <w:rFonts w:asciiTheme="minorHAnsi" w:eastAsiaTheme="minorEastAsia" w:hAnsiTheme="minorHAnsi"/>
          <w:b w:val="0"/>
          <w:bCs w:val="0"/>
          <w:caps w:val="0"/>
          <w:color w:val="auto"/>
          <w:sz w:val="22"/>
          <w:lang w:eastAsia="en-AU"/>
        </w:rPr>
      </w:pPr>
      <w:hyperlink w:anchor="_Toc526935112" w:history="1">
        <w:r w:rsidR="00BB33C7" w:rsidRPr="00FF3ACD">
          <w:rPr>
            <w:rStyle w:val="Hyperlink"/>
          </w:rPr>
          <w:t>Appendix: Waves of Economic Reform</w:t>
        </w:r>
        <w:r w:rsidR="00BB33C7">
          <w:rPr>
            <w:webHidden/>
          </w:rPr>
          <w:tab/>
        </w:r>
        <w:r w:rsidR="00BB33C7">
          <w:rPr>
            <w:webHidden/>
          </w:rPr>
          <w:fldChar w:fldCharType="begin"/>
        </w:r>
        <w:r w:rsidR="00BB33C7">
          <w:rPr>
            <w:webHidden/>
          </w:rPr>
          <w:instrText xml:space="preserve"> PAGEREF _Toc526935112 \h </w:instrText>
        </w:r>
        <w:r w:rsidR="00BB33C7">
          <w:rPr>
            <w:webHidden/>
          </w:rPr>
        </w:r>
        <w:r w:rsidR="00BB33C7">
          <w:rPr>
            <w:webHidden/>
          </w:rPr>
          <w:fldChar w:fldCharType="separate"/>
        </w:r>
        <w:r w:rsidR="00BB33C7">
          <w:rPr>
            <w:webHidden/>
          </w:rPr>
          <w:t>22</w:t>
        </w:r>
        <w:r w:rsidR="00BB33C7">
          <w:rPr>
            <w:webHidden/>
          </w:rPr>
          <w:fldChar w:fldCharType="end"/>
        </w:r>
      </w:hyperlink>
    </w:p>
    <w:p w14:paraId="14FA3824" w14:textId="77777777" w:rsidR="00BB33C7" w:rsidRDefault="00973D9E">
      <w:pPr>
        <w:pStyle w:val="TOC1"/>
        <w:rPr>
          <w:rFonts w:asciiTheme="minorHAnsi" w:eastAsiaTheme="minorEastAsia" w:hAnsiTheme="minorHAnsi"/>
          <w:b w:val="0"/>
          <w:bCs w:val="0"/>
          <w:caps w:val="0"/>
          <w:color w:val="auto"/>
          <w:sz w:val="22"/>
          <w:lang w:eastAsia="en-AU"/>
        </w:rPr>
      </w:pPr>
      <w:hyperlink w:anchor="_Toc526935113" w:history="1">
        <w:r w:rsidR="00BB33C7" w:rsidRPr="00FF3ACD">
          <w:rPr>
            <w:rStyle w:val="Hyperlink"/>
          </w:rPr>
          <w:t>3.</w:t>
        </w:r>
        <w:r w:rsidR="00BB33C7">
          <w:rPr>
            <w:rFonts w:asciiTheme="minorHAnsi" w:eastAsiaTheme="minorEastAsia" w:hAnsiTheme="minorHAnsi"/>
            <w:b w:val="0"/>
            <w:bCs w:val="0"/>
            <w:caps w:val="0"/>
            <w:color w:val="auto"/>
            <w:sz w:val="22"/>
            <w:lang w:eastAsia="en-AU"/>
          </w:rPr>
          <w:tab/>
        </w:r>
        <w:r w:rsidR="00BB33C7" w:rsidRPr="00FF3ACD">
          <w:rPr>
            <w:rStyle w:val="Hyperlink"/>
          </w:rPr>
          <w:t>First wave: Macroeconomic stability</w:t>
        </w:r>
        <w:r w:rsidR="00BB33C7">
          <w:rPr>
            <w:webHidden/>
          </w:rPr>
          <w:tab/>
        </w:r>
        <w:r w:rsidR="00BB33C7">
          <w:rPr>
            <w:webHidden/>
          </w:rPr>
          <w:fldChar w:fldCharType="begin"/>
        </w:r>
        <w:r w:rsidR="00BB33C7">
          <w:rPr>
            <w:webHidden/>
          </w:rPr>
          <w:instrText xml:space="preserve"> PAGEREF _Toc526935113 \h </w:instrText>
        </w:r>
        <w:r w:rsidR="00BB33C7">
          <w:rPr>
            <w:webHidden/>
          </w:rPr>
        </w:r>
        <w:r w:rsidR="00BB33C7">
          <w:rPr>
            <w:webHidden/>
          </w:rPr>
          <w:fldChar w:fldCharType="separate"/>
        </w:r>
        <w:r w:rsidR="00BB33C7">
          <w:rPr>
            <w:webHidden/>
          </w:rPr>
          <w:t>22</w:t>
        </w:r>
        <w:r w:rsidR="00BB33C7">
          <w:rPr>
            <w:webHidden/>
          </w:rPr>
          <w:fldChar w:fldCharType="end"/>
        </w:r>
      </w:hyperlink>
    </w:p>
    <w:p w14:paraId="5E488BE7" w14:textId="77777777" w:rsidR="00BB33C7" w:rsidRDefault="00973D9E">
      <w:pPr>
        <w:pStyle w:val="TOC2"/>
        <w:rPr>
          <w:rFonts w:asciiTheme="minorHAnsi" w:eastAsiaTheme="minorEastAsia" w:hAnsiTheme="minorHAnsi"/>
          <w:noProof/>
          <w:color w:val="auto"/>
          <w:sz w:val="22"/>
          <w:lang w:eastAsia="en-AU"/>
        </w:rPr>
      </w:pPr>
      <w:hyperlink w:anchor="_Toc526935114" w:history="1">
        <w:r w:rsidR="00BB33C7" w:rsidRPr="00FF3ACD">
          <w:rPr>
            <w:rStyle w:val="Hyperlink"/>
            <w:noProof/>
          </w:rPr>
          <w:t>Financial Sector</w:t>
        </w:r>
        <w:r w:rsidR="00BB33C7">
          <w:rPr>
            <w:noProof/>
            <w:webHidden/>
          </w:rPr>
          <w:tab/>
        </w:r>
        <w:r w:rsidR="00BB33C7">
          <w:rPr>
            <w:noProof/>
            <w:webHidden/>
          </w:rPr>
          <w:fldChar w:fldCharType="begin"/>
        </w:r>
        <w:r w:rsidR="00BB33C7">
          <w:rPr>
            <w:noProof/>
            <w:webHidden/>
          </w:rPr>
          <w:instrText xml:space="preserve"> PAGEREF _Toc526935114 \h </w:instrText>
        </w:r>
        <w:r w:rsidR="00BB33C7">
          <w:rPr>
            <w:noProof/>
            <w:webHidden/>
          </w:rPr>
        </w:r>
        <w:r w:rsidR="00BB33C7">
          <w:rPr>
            <w:noProof/>
            <w:webHidden/>
          </w:rPr>
          <w:fldChar w:fldCharType="separate"/>
        </w:r>
        <w:r w:rsidR="00BB33C7">
          <w:rPr>
            <w:noProof/>
            <w:webHidden/>
          </w:rPr>
          <w:t>22</w:t>
        </w:r>
        <w:r w:rsidR="00BB33C7">
          <w:rPr>
            <w:noProof/>
            <w:webHidden/>
          </w:rPr>
          <w:fldChar w:fldCharType="end"/>
        </w:r>
      </w:hyperlink>
    </w:p>
    <w:p w14:paraId="202BFA0E" w14:textId="77777777" w:rsidR="00BB33C7" w:rsidRDefault="00973D9E">
      <w:pPr>
        <w:pStyle w:val="TOC2"/>
        <w:rPr>
          <w:rFonts w:asciiTheme="minorHAnsi" w:eastAsiaTheme="minorEastAsia" w:hAnsiTheme="minorHAnsi"/>
          <w:noProof/>
          <w:color w:val="auto"/>
          <w:sz w:val="22"/>
          <w:lang w:eastAsia="en-AU"/>
        </w:rPr>
      </w:pPr>
      <w:hyperlink w:anchor="_Toc526935115" w:history="1">
        <w:r w:rsidR="00BB33C7" w:rsidRPr="00FF3ACD">
          <w:rPr>
            <w:rStyle w:val="Hyperlink"/>
            <w:noProof/>
          </w:rPr>
          <w:t>The Accord</w:t>
        </w:r>
        <w:r w:rsidR="00BB33C7">
          <w:rPr>
            <w:noProof/>
            <w:webHidden/>
          </w:rPr>
          <w:tab/>
        </w:r>
        <w:r w:rsidR="00BB33C7">
          <w:rPr>
            <w:noProof/>
            <w:webHidden/>
          </w:rPr>
          <w:fldChar w:fldCharType="begin"/>
        </w:r>
        <w:r w:rsidR="00BB33C7">
          <w:rPr>
            <w:noProof/>
            <w:webHidden/>
          </w:rPr>
          <w:instrText xml:space="preserve"> PAGEREF _Toc526935115 \h </w:instrText>
        </w:r>
        <w:r w:rsidR="00BB33C7">
          <w:rPr>
            <w:noProof/>
            <w:webHidden/>
          </w:rPr>
        </w:r>
        <w:r w:rsidR="00BB33C7">
          <w:rPr>
            <w:noProof/>
            <w:webHidden/>
          </w:rPr>
          <w:fldChar w:fldCharType="separate"/>
        </w:r>
        <w:r w:rsidR="00BB33C7">
          <w:rPr>
            <w:noProof/>
            <w:webHidden/>
          </w:rPr>
          <w:t>26</w:t>
        </w:r>
        <w:r w:rsidR="00BB33C7">
          <w:rPr>
            <w:noProof/>
            <w:webHidden/>
          </w:rPr>
          <w:fldChar w:fldCharType="end"/>
        </w:r>
      </w:hyperlink>
    </w:p>
    <w:p w14:paraId="5224BC75" w14:textId="77777777" w:rsidR="00BB33C7" w:rsidRDefault="00973D9E">
      <w:pPr>
        <w:pStyle w:val="TOC1"/>
        <w:rPr>
          <w:rFonts w:asciiTheme="minorHAnsi" w:eastAsiaTheme="minorEastAsia" w:hAnsiTheme="minorHAnsi"/>
          <w:b w:val="0"/>
          <w:bCs w:val="0"/>
          <w:caps w:val="0"/>
          <w:color w:val="auto"/>
          <w:sz w:val="22"/>
          <w:lang w:eastAsia="en-AU"/>
        </w:rPr>
      </w:pPr>
      <w:hyperlink w:anchor="_Toc526935116" w:history="1">
        <w:r w:rsidR="00BB33C7" w:rsidRPr="00FF3ACD">
          <w:rPr>
            <w:rStyle w:val="Hyperlink"/>
          </w:rPr>
          <w:t>4.</w:t>
        </w:r>
        <w:r w:rsidR="00BB33C7">
          <w:rPr>
            <w:rFonts w:asciiTheme="minorHAnsi" w:eastAsiaTheme="minorEastAsia" w:hAnsiTheme="minorHAnsi"/>
            <w:b w:val="0"/>
            <w:bCs w:val="0"/>
            <w:caps w:val="0"/>
            <w:color w:val="auto"/>
            <w:sz w:val="22"/>
            <w:lang w:eastAsia="en-AU"/>
          </w:rPr>
          <w:tab/>
        </w:r>
        <w:r w:rsidR="00BB33C7" w:rsidRPr="00FF3ACD">
          <w:rPr>
            <w:rStyle w:val="Hyperlink"/>
          </w:rPr>
          <w:t>Second wave: Microeconomic reform and productivity</w:t>
        </w:r>
        <w:r w:rsidR="00BB33C7">
          <w:rPr>
            <w:webHidden/>
          </w:rPr>
          <w:tab/>
        </w:r>
        <w:r w:rsidR="00BB33C7">
          <w:rPr>
            <w:webHidden/>
          </w:rPr>
          <w:fldChar w:fldCharType="begin"/>
        </w:r>
        <w:r w:rsidR="00BB33C7">
          <w:rPr>
            <w:webHidden/>
          </w:rPr>
          <w:instrText xml:space="preserve"> PAGEREF _Toc526935116 \h </w:instrText>
        </w:r>
        <w:r w:rsidR="00BB33C7">
          <w:rPr>
            <w:webHidden/>
          </w:rPr>
        </w:r>
        <w:r w:rsidR="00BB33C7">
          <w:rPr>
            <w:webHidden/>
          </w:rPr>
          <w:fldChar w:fldCharType="separate"/>
        </w:r>
        <w:r w:rsidR="00BB33C7">
          <w:rPr>
            <w:webHidden/>
          </w:rPr>
          <w:t>27</w:t>
        </w:r>
        <w:r w:rsidR="00BB33C7">
          <w:rPr>
            <w:webHidden/>
          </w:rPr>
          <w:fldChar w:fldCharType="end"/>
        </w:r>
      </w:hyperlink>
    </w:p>
    <w:p w14:paraId="665EB862" w14:textId="77777777" w:rsidR="00BB33C7" w:rsidRDefault="00973D9E">
      <w:pPr>
        <w:pStyle w:val="TOC2"/>
        <w:rPr>
          <w:rFonts w:asciiTheme="minorHAnsi" w:eastAsiaTheme="minorEastAsia" w:hAnsiTheme="minorHAnsi"/>
          <w:noProof/>
          <w:color w:val="auto"/>
          <w:sz w:val="22"/>
          <w:lang w:eastAsia="en-AU"/>
        </w:rPr>
      </w:pPr>
      <w:hyperlink w:anchor="_Toc526935117" w:history="1">
        <w:r w:rsidR="00BB33C7" w:rsidRPr="00FF3ACD">
          <w:rPr>
            <w:rStyle w:val="Hyperlink"/>
            <w:iCs/>
            <w:noProof/>
          </w:rPr>
          <w:t>Phased tariff cuts</w:t>
        </w:r>
        <w:r w:rsidR="00BB33C7">
          <w:rPr>
            <w:noProof/>
            <w:webHidden/>
          </w:rPr>
          <w:tab/>
        </w:r>
        <w:r w:rsidR="00BB33C7">
          <w:rPr>
            <w:noProof/>
            <w:webHidden/>
          </w:rPr>
          <w:fldChar w:fldCharType="begin"/>
        </w:r>
        <w:r w:rsidR="00BB33C7">
          <w:rPr>
            <w:noProof/>
            <w:webHidden/>
          </w:rPr>
          <w:instrText xml:space="preserve"> PAGEREF _Toc526935117 \h </w:instrText>
        </w:r>
        <w:r w:rsidR="00BB33C7">
          <w:rPr>
            <w:noProof/>
            <w:webHidden/>
          </w:rPr>
        </w:r>
        <w:r w:rsidR="00BB33C7">
          <w:rPr>
            <w:noProof/>
            <w:webHidden/>
          </w:rPr>
          <w:fldChar w:fldCharType="separate"/>
        </w:r>
        <w:r w:rsidR="00BB33C7">
          <w:rPr>
            <w:noProof/>
            <w:webHidden/>
          </w:rPr>
          <w:t>28</w:t>
        </w:r>
        <w:r w:rsidR="00BB33C7">
          <w:rPr>
            <w:noProof/>
            <w:webHidden/>
          </w:rPr>
          <w:fldChar w:fldCharType="end"/>
        </w:r>
      </w:hyperlink>
    </w:p>
    <w:p w14:paraId="5AD4664F" w14:textId="77777777" w:rsidR="00BB33C7" w:rsidRDefault="00973D9E">
      <w:pPr>
        <w:pStyle w:val="TOC2"/>
        <w:rPr>
          <w:rFonts w:asciiTheme="minorHAnsi" w:eastAsiaTheme="minorEastAsia" w:hAnsiTheme="minorHAnsi"/>
          <w:noProof/>
          <w:color w:val="auto"/>
          <w:sz w:val="22"/>
          <w:lang w:eastAsia="en-AU"/>
        </w:rPr>
      </w:pPr>
      <w:hyperlink w:anchor="_Toc526935118" w:history="1">
        <w:r w:rsidR="00BB33C7" w:rsidRPr="00FF3ACD">
          <w:rPr>
            <w:rStyle w:val="Hyperlink"/>
            <w:noProof/>
          </w:rPr>
          <w:t>Microeconomic reform in the markets for goods and services</w:t>
        </w:r>
        <w:r w:rsidR="00BB33C7">
          <w:rPr>
            <w:noProof/>
            <w:webHidden/>
          </w:rPr>
          <w:tab/>
        </w:r>
        <w:r w:rsidR="00BB33C7">
          <w:rPr>
            <w:noProof/>
            <w:webHidden/>
          </w:rPr>
          <w:fldChar w:fldCharType="begin"/>
        </w:r>
        <w:r w:rsidR="00BB33C7">
          <w:rPr>
            <w:noProof/>
            <w:webHidden/>
          </w:rPr>
          <w:instrText xml:space="preserve"> PAGEREF _Toc526935118 \h </w:instrText>
        </w:r>
        <w:r w:rsidR="00BB33C7">
          <w:rPr>
            <w:noProof/>
            <w:webHidden/>
          </w:rPr>
        </w:r>
        <w:r w:rsidR="00BB33C7">
          <w:rPr>
            <w:noProof/>
            <w:webHidden/>
          </w:rPr>
          <w:fldChar w:fldCharType="separate"/>
        </w:r>
        <w:r w:rsidR="00BB33C7">
          <w:rPr>
            <w:noProof/>
            <w:webHidden/>
          </w:rPr>
          <w:t>30</w:t>
        </w:r>
        <w:r w:rsidR="00BB33C7">
          <w:rPr>
            <w:noProof/>
            <w:webHidden/>
          </w:rPr>
          <w:fldChar w:fldCharType="end"/>
        </w:r>
      </w:hyperlink>
    </w:p>
    <w:p w14:paraId="2165D552" w14:textId="77777777" w:rsidR="00BB33C7" w:rsidRDefault="00973D9E">
      <w:pPr>
        <w:pStyle w:val="TOC2"/>
        <w:rPr>
          <w:rFonts w:asciiTheme="minorHAnsi" w:eastAsiaTheme="minorEastAsia" w:hAnsiTheme="minorHAnsi"/>
          <w:noProof/>
          <w:color w:val="auto"/>
          <w:sz w:val="22"/>
          <w:lang w:eastAsia="en-AU"/>
        </w:rPr>
      </w:pPr>
      <w:hyperlink w:anchor="_Toc526935119" w:history="1">
        <w:r w:rsidR="00BB33C7" w:rsidRPr="00FF3ACD">
          <w:rPr>
            <w:rStyle w:val="Hyperlink"/>
            <w:noProof/>
          </w:rPr>
          <w:t>Decentralised industrial relations system</w:t>
        </w:r>
        <w:r w:rsidR="00BB33C7">
          <w:rPr>
            <w:noProof/>
            <w:webHidden/>
          </w:rPr>
          <w:tab/>
        </w:r>
        <w:r w:rsidR="00BB33C7">
          <w:rPr>
            <w:noProof/>
            <w:webHidden/>
          </w:rPr>
          <w:fldChar w:fldCharType="begin"/>
        </w:r>
        <w:r w:rsidR="00BB33C7">
          <w:rPr>
            <w:noProof/>
            <w:webHidden/>
          </w:rPr>
          <w:instrText xml:space="preserve"> PAGEREF _Toc526935119 \h </w:instrText>
        </w:r>
        <w:r w:rsidR="00BB33C7">
          <w:rPr>
            <w:noProof/>
            <w:webHidden/>
          </w:rPr>
        </w:r>
        <w:r w:rsidR="00BB33C7">
          <w:rPr>
            <w:noProof/>
            <w:webHidden/>
          </w:rPr>
          <w:fldChar w:fldCharType="separate"/>
        </w:r>
        <w:r w:rsidR="00BB33C7">
          <w:rPr>
            <w:noProof/>
            <w:webHidden/>
          </w:rPr>
          <w:t>33</w:t>
        </w:r>
        <w:r w:rsidR="00BB33C7">
          <w:rPr>
            <w:noProof/>
            <w:webHidden/>
          </w:rPr>
          <w:fldChar w:fldCharType="end"/>
        </w:r>
      </w:hyperlink>
    </w:p>
    <w:p w14:paraId="5AB55E7D" w14:textId="77777777" w:rsidR="00BB33C7" w:rsidRDefault="00973D9E">
      <w:pPr>
        <w:pStyle w:val="TOC1"/>
        <w:rPr>
          <w:rFonts w:asciiTheme="minorHAnsi" w:eastAsiaTheme="minorEastAsia" w:hAnsiTheme="minorHAnsi"/>
          <w:b w:val="0"/>
          <w:bCs w:val="0"/>
          <w:caps w:val="0"/>
          <w:color w:val="auto"/>
          <w:sz w:val="22"/>
          <w:lang w:eastAsia="en-AU"/>
        </w:rPr>
      </w:pPr>
      <w:hyperlink w:anchor="_Toc526935120" w:history="1">
        <w:r w:rsidR="00BB33C7" w:rsidRPr="00FF3ACD">
          <w:rPr>
            <w:rStyle w:val="Hyperlink"/>
          </w:rPr>
          <w:t>5.</w:t>
        </w:r>
        <w:r w:rsidR="00BB33C7">
          <w:rPr>
            <w:rFonts w:asciiTheme="minorHAnsi" w:eastAsiaTheme="minorEastAsia" w:hAnsiTheme="minorHAnsi"/>
            <w:b w:val="0"/>
            <w:bCs w:val="0"/>
            <w:caps w:val="0"/>
            <w:color w:val="auto"/>
            <w:sz w:val="22"/>
            <w:lang w:eastAsia="en-AU"/>
          </w:rPr>
          <w:tab/>
        </w:r>
        <w:r w:rsidR="00BB33C7" w:rsidRPr="00FF3ACD">
          <w:rPr>
            <w:rStyle w:val="Hyperlink"/>
          </w:rPr>
          <w:t>Third wave: Macroeconomic management and fiscal reforms</w:t>
        </w:r>
        <w:r w:rsidR="00BB33C7">
          <w:rPr>
            <w:webHidden/>
          </w:rPr>
          <w:tab/>
        </w:r>
        <w:r w:rsidR="00BB33C7">
          <w:rPr>
            <w:webHidden/>
          </w:rPr>
          <w:fldChar w:fldCharType="begin"/>
        </w:r>
        <w:r w:rsidR="00BB33C7">
          <w:rPr>
            <w:webHidden/>
          </w:rPr>
          <w:instrText xml:space="preserve"> PAGEREF _Toc526935120 \h </w:instrText>
        </w:r>
        <w:r w:rsidR="00BB33C7">
          <w:rPr>
            <w:webHidden/>
          </w:rPr>
        </w:r>
        <w:r w:rsidR="00BB33C7">
          <w:rPr>
            <w:webHidden/>
          </w:rPr>
          <w:fldChar w:fldCharType="separate"/>
        </w:r>
        <w:r w:rsidR="00BB33C7">
          <w:rPr>
            <w:webHidden/>
          </w:rPr>
          <w:t>34</w:t>
        </w:r>
        <w:r w:rsidR="00BB33C7">
          <w:rPr>
            <w:webHidden/>
          </w:rPr>
          <w:fldChar w:fldCharType="end"/>
        </w:r>
      </w:hyperlink>
    </w:p>
    <w:p w14:paraId="7AF6C7FC" w14:textId="77777777" w:rsidR="00BB33C7" w:rsidRDefault="00973D9E">
      <w:pPr>
        <w:pStyle w:val="TOC2"/>
        <w:rPr>
          <w:rFonts w:asciiTheme="minorHAnsi" w:eastAsiaTheme="minorEastAsia" w:hAnsiTheme="minorHAnsi"/>
          <w:noProof/>
          <w:color w:val="auto"/>
          <w:sz w:val="22"/>
          <w:lang w:eastAsia="en-AU"/>
        </w:rPr>
      </w:pPr>
      <w:hyperlink w:anchor="_Toc526935121" w:history="1">
        <w:r w:rsidR="00BB33C7" w:rsidRPr="00FF3ACD">
          <w:rPr>
            <w:rStyle w:val="Hyperlink"/>
            <w:noProof/>
          </w:rPr>
          <w:t>Monetary Policy</w:t>
        </w:r>
        <w:r w:rsidR="00BB33C7">
          <w:rPr>
            <w:noProof/>
            <w:webHidden/>
          </w:rPr>
          <w:tab/>
        </w:r>
        <w:r w:rsidR="00BB33C7">
          <w:rPr>
            <w:noProof/>
            <w:webHidden/>
          </w:rPr>
          <w:fldChar w:fldCharType="begin"/>
        </w:r>
        <w:r w:rsidR="00BB33C7">
          <w:rPr>
            <w:noProof/>
            <w:webHidden/>
          </w:rPr>
          <w:instrText xml:space="preserve"> PAGEREF _Toc526935121 \h </w:instrText>
        </w:r>
        <w:r w:rsidR="00BB33C7">
          <w:rPr>
            <w:noProof/>
            <w:webHidden/>
          </w:rPr>
        </w:r>
        <w:r w:rsidR="00BB33C7">
          <w:rPr>
            <w:noProof/>
            <w:webHidden/>
          </w:rPr>
          <w:fldChar w:fldCharType="separate"/>
        </w:r>
        <w:r w:rsidR="00BB33C7">
          <w:rPr>
            <w:noProof/>
            <w:webHidden/>
          </w:rPr>
          <w:t>35</w:t>
        </w:r>
        <w:r w:rsidR="00BB33C7">
          <w:rPr>
            <w:noProof/>
            <w:webHidden/>
          </w:rPr>
          <w:fldChar w:fldCharType="end"/>
        </w:r>
      </w:hyperlink>
    </w:p>
    <w:p w14:paraId="686301EF" w14:textId="77777777" w:rsidR="00BB33C7" w:rsidRDefault="00973D9E">
      <w:pPr>
        <w:pStyle w:val="TOC2"/>
        <w:rPr>
          <w:rFonts w:asciiTheme="minorHAnsi" w:eastAsiaTheme="minorEastAsia" w:hAnsiTheme="minorHAnsi"/>
          <w:noProof/>
          <w:color w:val="auto"/>
          <w:sz w:val="22"/>
          <w:lang w:eastAsia="en-AU"/>
        </w:rPr>
      </w:pPr>
      <w:hyperlink w:anchor="_Toc526935122" w:history="1">
        <w:r w:rsidR="00BB33C7" w:rsidRPr="00FF3ACD">
          <w:rPr>
            <w:rStyle w:val="Hyperlink"/>
            <w:noProof/>
          </w:rPr>
          <w:t>Fiscal Policy</w:t>
        </w:r>
        <w:r w:rsidR="00BB33C7">
          <w:rPr>
            <w:noProof/>
            <w:webHidden/>
          </w:rPr>
          <w:tab/>
        </w:r>
        <w:r w:rsidR="00BB33C7">
          <w:rPr>
            <w:noProof/>
            <w:webHidden/>
          </w:rPr>
          <w:fldChar w:fldCharType="begin"/>
        </w:r>
        <w:r w:rsidR="00BB33C7">
          <w:rPr>
            <w:noProof/>
            <w:webHidden/>
          </w:rPr>
          <w:instrText xml:space="preserve"> PAGEREF _Toc526935122 \h </w:instrText>
        </w:r>
        <w:r w:rsidR="00BB33C7">
          <w:rPr>
            <w:noProof/>
            <w:webHidden/>
          </w:rPr>
        </w:r>
        <w:r w:rsidR="00BB33C7">
          <w:rPr>
            <w:noProof/>
            <w:webHidden/>
          </w:rPr>
          <w:fldChar w:fldCharType="separate"/>
        </w:r>
        <w:r w:rsidR="00BB33C7">
          <w:rPr>
            <w:noProof/>
            <w:webHidden/>
          </w:rPr>
          <w:t>36</w:t>
        </w:r>
        <w:r w:rsidR="00BB33C7">
          <w:rPr>
            <w:noProof/>
            <w:webHidden/>
          </w:rPr>
          <w:fldChar w:fldCharType="end"/>
        </w:r>
      </w:hyperlink>
    </w:p>
    <w:p w14:paraId="394E238A" w14:textId="77777777" w:rsidR="00BB33C7" w:rsidRDefault="00973D9E" w:rsidP="00BB33C7">
      <w:pPr>
        <w:pStyle w:val="TOC1"/>
        <w:rPr>
          <w:rFonts w:asciiTheme="minorHAnsi" w:eastAsiaTheme="minorEastAsia" w:hAnsiTheme="minorHAnsi"/>
          <w:i/>
          <w:color w:val="auto"/>
          <w:sz w:val="22"/>
          <w:lang w:eastAsia="en-AU"/>
        </w:rPr>
      </w:pPr>
      <w:hyperlink w:anchor="_Toc526935123" w:history="1">
        <w:r w:rsidR="00BB33C7" w:rsidRPr="00FF3ACD">
          <w:rPr>
            <w:rStyle w:val="Hyperlink"/>
          </w:rPr>
          <w:t>Reform Roadmap</w:t>
        </w:r>
        <w:r w:rsidR="00BB33C7">
          <w:rPr>
            <w:webHidden/>
          </w:rPr>
          <w:tab/>
        </w:r>
        <w:r w:rsidR="00BB33C7">
          <w:rPr>
            <w:webHidden/>
          </w:rPr>
          <w:fldChar w:fldCharType="begin"/>
        </w:r>
        <w:r w:rsidR="00BB33C7">
          <w:rPr>
            <w:webHidden/>
          </w:rPr>
          <w:instrText xml:space="preserve"> PAGEREF _Toc526935123 \h </w:instrText>
        </w:r>
        <w:r w:rsidR="00BB33C7">
          <w:rPr>
            <w:webHidden/>
          </w:rPr>
        </w:r>
        <w:r w:rsidR="00BB33C7">
          <w:rPr>
            <w:webHidden/>
          </w:rPr>
          <w:fldChar w:fldCharType="separate"/>
        </w:r>
        <w:r w:rsidR="00BB33C7">
          <w:rPr>
            <w:webHidden/>
          </w:rPr>
          <w:t>40</w:t>
        </w:r>
        <w:r w:rsidR="00BB33C7">
          <w:rPr>
            <w:webHidden/>
          </w:rPr>
          <w:fldChar w:fldCharType="end"/>
        </w:r>
      </w:hyperlink>
    </w:p>
    <w:p w14:paraId="05B62653" w14:textId="77777777" w:rsidR="00BB33C7" w:rsidRDefault="00973D9E">
      <w:pPr>
        <w:pStyle w:val="TOC1"/>
        <w:rPr>
          <w:rFonts w:asciiTheme="minorHAnsi" w:eastAsiaTheme="minorEastAsia" w:hAnsiTheme="minorHAnsi"/>
          <w:b w:val="0"/>
          <w:bCs w:val="0"/>
          <w:caps w:val="0"/>
          <w:color w:val="auto"/>
          <w:sz w:val="22"/>
          <w:lang w:eastAsia="en-AU"/>
        </w:rPr>
      </w:pPr>
      <w:hyperlink w:anchor="_Toc526935124" w:history="1">
        <w:r w:rsidR="00BB33C7" w:rsidRPr="00FF3ACD">
          <w:rPr>
            <w:rStyle w:val="Hyperlink"/>
          </w:rPr>
          <w:t>References</w:t>
        </w:r>
        <w:r w:rsidR="00BB33C7">
          <w:rPr>
            <w:webHidden/>
          </w:rPr>
          <w:tab/>
        </w:r>
        <w:r w:rsidR="00BB33C7">
          <w:rPr>
            <w:webHidden/>
          </w:rPr>
          <w:fldChar w:fldCharType="begin"/>
        </w:r>
        <w:r w:rsidR="00BB33C7">
          <w:rPr>
            <w:webHidden/>
          </w:rPr>
          <w:instrText xml:space="preserve"> PAGEREF _Toc526935124 \h </w:instrText>
        </w:r>
        <w:r w:rsidR="00BB33C7">
          <w:rPr>
            <w:webHidden/>
          </w:rPr>
        </w:r>
        <w:r w:rsidR="00BB33C7">
          <w:rPr>
            <w:webHidden/>
          </w:rPr>
          <w:fldChar w:fldCharType="separate"/>
        </w:r>
        <w:r w:rsidR="00BB33C7">
          <w:rPr>
            <w:webHidden/>
          </w:rPr>
          <w:t>41</w:t>
        </w:r>
        <w:r w:rsidR="00BB33C7">
          <w:rPr>
            <w:webHidden/>
          </w:rPr>
          <w:fldChar w:fldCharType="end"/>
        </w:r>
      </w:hyperlink>
    </w:p>
    <w:p w14:paraId="37E8F2AE" w14:textId="77777777" w:rsidR="00C40BFE" w:rsidRDefault="005E1970" w:rsidP="005E1970">
      <w:pPr>
        <w:pStyle w:val="TOC1"/>
      </w:pPr>
      <w:r>
        <w:rPr>
          <w:b w:val="0"/>
          <w:bCs w:val="0"/>
          <w:caps w:val="0"/>
        </w:rPr>
        <w:fldChar w:fldCharType="end"/>
      </w:r>
    </w:p>
    <w:p w14:paraId="7EB2BD59" w14:textId="77777777" w:rsidR="00C40BFE" w:rsidRDefault="00C40BFE" w:rsidP="00067669"/>
    <w:p w14:paraId="2A16EBC1" w14:textId="77777777" w:rsidR="00AA4801" w:rsidRDefault="00AA4801" w:rsidP="00067669">
      <w:pPr>
        <w:sectPr w:rsidR="00AA4801" w:rsidSect="00BB33C7">
          <w:type w:val="oddPage"/>
          <w:pgSz w:w="11906" w:h="16838" w:code="9"/>
          <w:pgMar w:top="1418" w:right="1418" w:bottom="1418" w:left="1418" w:header="709" w:footer="709" w:gutter="0"/>
          <w:cols w:space="708"/>
          <w:titlePg/>
          <w:docGrid w:linePitch="360"/>
        </w:sectPr>
      </w:pPr>
    </w:p>
    <w:p w14:paraId="4C5F1EA8" w14:textId="77777777" w:rsidR="00067669" w:rsidRPr="00E22DCB" w:rsidRDefault="00067669" w:rsidP="00E22DCB">
      <w:pPr>
        <w:pStyle w:val="Heading1"/>
      </w:pPr>
      <w:bookmarkStart w:id="5" w:name="_Toc516753467"/>
      <w:bookmarkStart w:id="6" w:name="_Toc516833766"/>
      <w:bookmarkStart w:id="7" w:name="_Toc516836148"/>
      <w:bookmarkStart w:id="8" w:name="_Toc516838450"/>
      <w:bookmarkStart w:id="9" w:name="_Toc517097810"/>
      <w:bookmarkStart w:id="10" w:name="_Toc517098716"/>
      <w:bookmarkStart w:id="11" w:name="_Toc517099861"/>
      <w:bookmarkStart w:id="12" w:name="_Toc517184558"/>
      <w:bookmarkStart w:id="13" w:name="_Toc517192063"/>
      <w:bookmarkStart w:id="14" w:name="_Toc518903587"/>
      <w:bookmarkStart w:id="15" w:name="_Toc518922769"/>
      <w:bookmarkStart w:id="16" w:name="_Toc520472188"/>
      <w:bookmarkStart w:id="17" w:name="_Toc520472724"/>
      <w:bookmarkStart w:id="18" w:name="_Toc520812373"/>
      <w:bookmarkStart w:id="19" w:name="_Toc520819467"/>
      <w:bookmarkStart w:id="20" w:name="_Toc525736235"/>
      <w:bookmarkStart w:id="21" w:name="_Toc525743534"/>
      <w:bookmarkStart w:id="22" w:name="_Toc525912214"/>
      <w:bookmarkStart w:id="23" w:name="_Toc525915335"/>
      <w:bookmarkStart w:id="24" w:name="_Toc526355324"/>
      <w:bookmarkStart w:id="25" w:name="_Toc526413584"/>
      <w:bookmarkStart w:id="26" w:name="_Toc526935104"/>
      <w:bookmarkStart w:id="27" w:name="_Toc516147534"/>
      <w:bookmarkStart w:id="28" w:name="_Toc516664491"/>
      <w:bookmarkStart w:id="29" w:name="_Toc516753471"/>
      <w:bookmarkStart w:id="30" w:name="_Toc516833770"/>
      <w:bookmarkStart w:id="31" w:name="_Toc516836152"/>
      <w:bookmarkStart w:id="32" w:name="_Toc516838454"/>
      <w:bookmarkStart w:id="33" w:name="_Toc517097814"/>
      <w:bookmarkStart w:id="34" w:name="_Toc517098720"/>
      <w:bookmarkStart w:id="35" w:name="_Toc517099865"/>
      <w:bookmarkStart w:id="36" w:name="_Toc517184562"/>
      <w:bookmarkStart w:id="37" w:name="_Toc517192067"/>
      <w:r w:rsidRPr="00E22DCB">
        <w:lastRenderedPageBreak/>
        <w:t>Introduction</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7828012C" w14:textId="77777777" w:rsidR="00067669" w:rsidRDefault="00067669" w:rsidP="0098411F">
      <w:r>
        <w:t xml:space="preserve">The Australian economy has been remarkably resilient over the past 30 years or so. </w:t>
      </w:r>
      <w:r w:rsidR="003D0D1B">
        <w:t xml:space="preserve">Since the </w:t>
      </w:r>
      <w:r w:rsidR="003A40A8">
        <w:t xml:space="preserve">early </w:t>
      </w:r>
      <w:r w:rsidR="003D0D1B">
        <w:t>1990s recession, t</w:t>
      </w:r>
      <w:r>
        <w:t>he economy has weathered a number of significant shocks well, including the Asian financial crisis in 1997-98</w:t>
      </w:r>
      <w:r w:rsidR="004C131E">
        <w:t>,</w:t>
      </w:r>
      <w:r>
        <w:t xml:space="preserve"> the global financial crisis of 2008-09</w:t>
      </w:r>
      <w:r w:rsidR="004C131E">
        <w:t xml:space="preserve"> and</w:t>
      </w:r>
      <w:r>
        <w:t xml:space="preserve"> one of the largest terms of trade cycles in the country’s history</w:t>
      </w:r>
      <w:r w:rsidR="00381AF1">
        <w:t xml:space="preserve"> from the mid-2000s to the mid-2010s</w:t>
      </w:r>
      <w:r>
        <w:t xml:space="preserve">. This resilience largely reflects the flexibility in the Australian economy, which is a product of a series of macroeconomic and microeconomic reforms by successive </w:t>
      </w:r>
      <w:r w:rsidR="00A756AC">
        <w:t>s</w:t>
      </w:r>
      <w:r>
        <w:t xml:space="preserve">tate and federal governments that </w:t>
      </w:r>
      <w:proofErr w:type="spellStart"/>
      <w:r w:rsidR="008C18E7">
        <w:t>occured</w:t>
      </w:r>
      <w:proofErr w:type="spellEnd"/>
      <w:r w:rsidR="008C18E7">
        <w:t xml:space="preserve"> over the past 40</w:t>
      </w:r>
      <w:r w:rsidR="002A2ADE">
        <w:t> </w:t>
      </w:r>
      <w:r w:rsidR="008C18E7">
        <w:t>years or so.</w:t>
      </w:r>
    </w:p>
    <w:p w14:paraId="31C1F5A3" w14:textId="4815F7C1" w:rsidR="003F5854" w:rsidRDefault="007C5466" w:rsidP="0098411F">
      <w:r>
        <w:t xml:space="preserve">This paper examines Australia’s period of economic reform in a way that intends to be useful both for </w:t>
      </w:r>
      <w:r w:rsidR="00E50F49">
        <w:t xml:space="preserve">Australian </w:t>
      </w:r>
      <w:r>
        <w:t xml:space="preserve">policymakers thinking about future reform, and for other countries considering their own </w:t>
      </w:r>
      <w:r w:rsidR="00E40D4C">
        <w:t xml:space="preserve">reform </w:t>
      </w:r>
      <w:r>
        <w:t>program</w:t>
      </w:r>
      <w:r w:rsidR="00E40D4C">
        <w:t>s</w:t>
      </w:r>
      <w:r>
        <w:t xml:space="preserve">, acknowledging their circumstances may be quite different to </w:t>
      </w:r>
      <w:r w:rsidR="00FB3C40">
        <w:t xml:space="preserve">those in </w:t>
      </w:r>
      <w:r>
        <w:t>Australia</w:t>
      </w:r>
      <w:r w:rsidR="003A40A8">
        <w:t>.</w:t>
      </w:r>
      <w:r>
        <w:t xml:space="preserve"> </w:t>
      </w:r>
      <w:r w:rsidR="00067669">
        <w:t>Like in many other countries, the economic reforms undertaken in Australia</w:t>
      </w:r>
      <w:r w:rsidR="00C67A9A">
        <w:t xml:space="preserve"> have largely focus</w:t>
      </w:r>
      <w:r w:rsidR="00067669">
        <w:t xml:space="preserve">ed on opening markets to increased competition, including in the traded, financial and government sectors. </w:t>
      </w:r>
      <w:r w:rsidR="003F5854">
        <w:t>These</w:t>
      </w:r>
      <w:r w:rsidR="00067669">
        <w:t xml:space="preserve"> reforms have </w:t>
      </w:r>
      <w:r>
        <w:t>led t</w:t>
      </w:r>
      <w:r w:rsidR="003F5854">
        <w:t>o significant structural change. T</w:t>
      </w:r>
      <w:r>
        <w:t xml:space="preserve">hey have </w:t>
      </w:r>
      <w:r w:rsidR="00067669">
        <w:t>transformed a relatively closed</w:t>
      </w:r>
      <w:r w:rsidR="00E50F49">
        <w:t xml:space="preserve"> and</w:t>
      </w:r>
      <w:r w:rsidR="00067669">
        <w:t xml:space="preserve"> regulated economy into one that is more efficient, flexible and open</w:t>
      </w:r>
      <w:r w:rsidR="00E50F49">
        <w:t>,</w:t>
      </w:r>
      <w:r w:rsidR="003F5854">
        <w:t xml:space="preserve"> and in the process have reduced the size of industries</w:t>
      </w:r>
      <w:r w:rsidR="003D0D1B">
        <w:t xml:space="preserve"> supported by large ongoing subsidies and high tariffs</w:t>
      </w:r>
      <w:r w:rsidR="003F5854">
        <w:t xml:space="preserve">, notably </w:t>
      </w:r>
      <w:r w:rsidR="003D0D1B">
        <w:t xml:space="preserve">in </w:t>
      </w:r>
      <w:r w:rsidR="003F5854">
        <w:t>manufacturing</w:t>
      </w:r>
      <w:r w:rsidR="00067669">
        <w:t xml:space="preserve">. </w:t>
      </w:r>
      <w:r w:rsidR="003F5854">
        <w:t>Despite this, there is good evidence to suggest the reforms have led to a</w:t>
      </w:r>
      <w:r w:rsidR="00E50F49">
        <w:t>n</w:t>
      </w:r>
      <w:r w:rsidR="003F5854">
        <w:t xml:space="preserve"> </w:t>
      </w:r>
      <w:r w:rsidR="00E50F49">
        <w:t xml:space="preserve">overall </w:t>
      </w:r>
      <w:r w:rsidR="003F5854">
        <w:t>rise in living standards, both through raising productivity via supply-side reforms and impro</w:t>
      </w:r>
      <w:r w:rsidR="00032DF4">
        <w:t>ving demand management.</w:t>
      </w:r>
    </w:p>
    <w:p w14:paraId="78F94368" w14:textId="77777777" w:rsidR="00067669" w:rsidRDefault="007C5466" w:rsidP="0098411F">
      <w:r>
        <w:t>The paper</w:t>
      </w:r>
      <w:r w:rsidR="00067669">
        <w:t xml:space="preserve"> begins with a broad overview of the main reforms before examining what they achieved for Australia in terms of economic performance and stability. It then reflects on what insights can be drawn from the way Australia went about implementing these changes, and the</w:t>
      </w:r>
      <w:r w:rsidR="00067669" w:rsidRPr="00116F8C">
        <w:t xml:space="preserve"> </w:t>
      </w:r>
      <w:r w:rsidR="00067669">
        <w:t>factors that contributed to their development and success</w:t>
      </w:r>
      <w:r w:rsidR="00067669" w:rsidDel="00116F8C">
        <w:t>.</w:t>
      </w:r>
      <w:r w:rsidR="00067669">
        <w:t xml:space="preserve"> In the Appendix, the paper describes Australia’s reform period in greater detail through three </w:t>
      </w:r>
      <w:r w:rsidR="009A0AD2">
        <w:t>broad reform</w:t>
      </w:r>
      <w:r w:rsidR="00067669">
        <w:t xml:space="preserve"> </w:t>
      </w:r>
      <w:r w:rsidR="009A0AD2">
        <w:t>waves</w:t>
      </w:r>
      <w:r w:rsidR="00067669">
        <w:t>: macroeconomic stability; microeconomic reform; and monetary and fiscal policy</w:t>
      </w:r>
      <w:r w:rsidR="003A40A8">
        <w:t xml:space="preserve"> developments</w:t>
      </w:r>
      <w:r w:rsidR="00067669">
        <w:t>.</w:t>
      </w:r>
    </w:p>
    <w:p w14:paraId="0D9BDAC8" w14:textId="77777777" w:rsidR="0098411F" w:rsidRPr="0098411F" w:rsidRDefault="0098411F" w:rsidP="0098411F"/>
    <w:p w14:paraId="2F24D0A5" w14:textId="77777777" w:rsidR="0098411F" w:rsidRPr="0098411F" w:rsidRDefault="0098411F" w:rsidP="0098411F">
      <w:bookmarkStart w:id="38" w:name="_Toc520472189"/>
      <w:bookmarkStart w:id="39" w:name="_Toc520472725"/>
      <w:bookmarkStart w:id="40" w:name="_Toc520812374"/>
      <w:bookmarkStart w:id="41" w:name="_Toc520819468"/>
      <w:bookmarkStart w:id="42" w:name="_Toc525736236"/>
      <w:bookmarkStart w:id="43" w:name="_Toc525743535"/>
      <w:bookmarkStart w:id="44" w:name="_Toc525912215"/>
      <w:bookmarkStart w:id="45" w:name="_Toc525915336"/>
      <w:bookmarkStart w:id="46" w:name="_Toc526355325"/>
      <w:bookmarkStart w:id="47" w:name="_Toc526413585"/>
      <w:r w:rsidRPr="0098411F">
        <w:br w:type="page"/>
      </w:r>
    </w:p>
    <w:p w14:paraId="3265274E" w14:textId="77777777" w:rsidR="00067669" w:rsidRPr="00E22DCB" w:rsidRDefault="00067669" w:rsidP="0098411F">
      <w:pPr>
        <w:pStyle w:val="Heading2-Numbered"/>
        <w:spacing w:after="240"/>
      </w:pPr>
      <w:bookmarkStart w:id="48" w:name="_Toc526935105"/>
      <w:r w:rsidRPr="00E22DCB">
        <w:t>Australia’s Economic reforms and their effects</w:t>
      </w:r>
      <w:bookmarkEnd w:id="38"/>
      <w:bookmarkEnd w:id="39"/>
      <w:bookmarkEnd w:id="40"/>
      <w:bookmarkEnd w:id="41"/>
      <w:bookmarkEnd w:id="42"/>
      <w:bookmarkEnd w:id="43"/>
      <w:bookmarkEnd w:id="44"/>
      <w:bookmarkEnd w:id="45"/>
      <w:bookmarkEnd w:id="46"/>
      <w:bookmarkEnd w:id="47"/>
      <w:bookmarkEnd w:id="48"/>
    </w:p>
    <w:p w14:paraId="6DA19B3F" w14:textId="77777777" w:rsidR="00067669" w:rsidRDefault="00067669" w:rsidP="0098411F">
      <w:pPr>
        <w:spacing w:after="200"/>
      </w:pPr>
      <w:r>
        <w:t>For much of the 20th c</w:t>
      </w:r>
      <w:r w:rsidRPr="00D55097">
        <w:t>entury</w:t>
      </w:r>
      <w:r>
        <w:t>,</w:t>
      </w:r>
      <w:r w:rsidRPr="00D55097">
        <w:t xml:space="preserve"> Austr</w:t>
      </w:r>
      <w:r w:rsidRPr="0075429E">
        <w:t>alia</w:t>
      </w:r>
      <w:r w:rsidR="00534626">
        <w:t>’s economy</w:t>
      </w:r>
      <w:r w:rsidRPr="0075429E">
        <w:t xml:space="preserve"> was </w:t>
      </w:r>
      <w:r w:rsidR="00534626">
        <w:t>more</w:t>
      </w:r>
      <w:r w:rsidRPr="0075429E">
        <w:t xml:space="preserve"> protected</w:t>
      </w:r>
      <w:r w:rsidR="00534626">
        <w:t xml:space="preserve"> and</w:t>
      </w:r>
      <w:r w:rsidRPr="0075429E">
        <w:t xml:space="preserve"> inward</w:t>
      </w:r>
      <w:r>
        <w:t>-</w:t>
      </w:r>
      <w:r w:rsidRPr="0075429E">
        <w:t xml:space="preserve">looking </w:t>
      </w:r>
      <w:r w:rsidR="00534626">
        <w:t>than it is today</w:t>
      </w:r>
      <w:r w:rsidRPr="0075429E">
        <w:t xml:space="preserve">. </w:t>
      </w:r>
      <w:r>
        <w:t xml:space="preserve">Domestic </w:t>
      </w:r>
      <w:r w:rsidRPr="0075429E">
        <w:t xml:space="preserve">industry was protected from international competition by high tariffs. </w:t>
      </w:r>
      <w:r w:rsidR="005A287F">
        <w:t xml:space="preserve">Iron ore exports were banned until the 1960s. </w:t>
      </w:r>
      <w:r w:rsidR="003D0D1B">
        <w:t>Almost all w</w:t>
      </w:r>
      <w:r w:rsidRPr="0075429E">
        <w:t>ages were set by a centralise</w:t>
      </w:r>
      <w:r>
        <w:t>d</w:t>
      </w:r>
      <w:r w:rsidRPr="00D55097">
        <w:t xml:space="preserve"> authority. The Australian dollar was pegged to the British pound and capital flows in and</w:t>
      </w:r>
      <w:r w:rsidRPr="0075429E">
        <w:t xml:space="preserve"> out of the country were tightly controlled. </w:t>
      </w:r>
      <w:r>
        <w:t>I</w:t>
      </w:r>
      <w:r w:rsidRPr="00B71748">
        <w:t xml:space="preserve">n markets ranging from transport to </w:t>
      </w:r>
      <w:r>
        <w:t>retail</w:t>
      </w:r>
      <w:r w:rsidRPr="00BA526E">
        <w:t xml:space="preserve"> </w:t>
      </w:r>
      <w:r w:rsidRPr="00B71748">
        <w:t xml:space="preserve">to </w:t>
      </w:r>
      <w:r>
        <w:t>dairy</w:t>
      </w:r>
      <w:r w:rsidRPr="00B71748">
        <w:t xml:space="preserve">, the government </w:t>
      </w:r>
      <w:r>
        <w:t>dictated</w:t>
      </w:r>
      <w:r w:rsidRPr="00B71748">
        <w:t xml:space="preserve"> business </w:t>
      </w:r>
      <w:r>
        <w:t>operations such as pricing, opening hours or output.</w:t>
      </w:r>
      <w:r w:rsidRPr="00BA526E">
        <w:t xml:space="preserve"> </w:t>
      </w:r>
      <w:r>
        <w:t xml:space="preserve">The country’s biggest bank was government owned, as were a raft of </w:t>
      </w:r>
      <w:r w:rsidR="003406F2">
        <w:t>s</w:t>
      </w:r>
      <w:r>
        <w:t xml:space="preserve">tate-based banks, the monopoly telecommunications provider, the biggest airline, and power, water and gas utilities. In the financial sector, foreign banks were barred from operating in Australia and domestic banks were limited by government regulation on how much they could </w:t>
      </w:r>
      <w:r w:rsidR="00A237F9">
        <w:t>lend and at what interest rate.</w:t>
      </w:r>
    </w:p>
    <w:p w14:paraId="6BCDBDC4" w14:textId="77777777" w:rsidR="00DE366D" w:rsidRDefault="00067669" w:rsidP="0098411F">
      <w:pPr>
        <w:spacing w:after="200"/>
      </w:pPr>
      <w:r>
        <w:t xml:space="preserve">The Australian economy of 2018 looks very different. Tariffs are among the lowest in the world. Most workers’ wages are determined at the enterprise level. Australia has a floating exchange rate and an open capital account. Public ownership of trading companies or utilities is </w:t>
      </w:r>
      <w:r w:rsidR="00B453C6">
        <w:t>uncommon</w:t>
      </w:r>
      <w:r>
        <w:t>, and only in a few markets is the government involved in setting prices. Commercial banks decide how to allocate credit and face competition from foreign institutions. And, though it plays a less managerial role in the private economy, government continues to provide core public services such as universal school education and health care.</w:t>
      </w:r>
      <w:r w:rsidR="00B453C6">
        <w:rPr>
          <w:rStyle w:val="FootnoteReference"/>
        </w:rPr>
        <w:footnoteReference w:id="3"/>
      </w:r>
    </w:p>
    <w:p w14:paraId="4EF5E809" w14:textId="77777777" w:rsidR="00067669" w:rsidRPr="006E0496" w:rsidRDefault="00067669" w:rsidP="0098411F">
      <w:pPr>
        <w:spacing w:after="200"/>
      </w:pPr>
      <w:r w:rsidRPr="006E0496">
        <w:t>This transformation of the Australian economy occurred through a range of reform</w:t>
      </w:r>
      <w:r w:rsidR="009E2877" w:rsidRPr="006E0496">
        <w:t>s</w:t>
      </w:r>
      <w:r w:rsidRPr="006E0496">
        <w:t xml:space="preserve"> </w:t>
      </w:r>
      <w:r w:rsidR="00E10420" w:rsidRPr="006E0496">
        <w:t>implemented</w:t>
      </w:r>
      <w:r w:rsidRPr="006E0496">
        <w:t xml:space="preserve"> through three </w:t>
      </w:r>
      <w:r w:rsidR="009A0AD2" w:rsidRPr="006E0496">
        <w:t>waves</w:t>
      </w:r>
      <w:r w:rsidR="00534626" w:rsidRPr="006E0496">
        <w:t xml:space="preserve"> </w:t>
      </w:r>
      <w:r w:rsidR="00D2317B" w:rsidRPr="006E0496">
        <w:t>—</w:t>
      </w:r>
      <w:r w:rsidR="00534626" w:rsidRPr="006E0496">
        <w:t xml:space="preserve"> </w:t>
      </w:r>
      <w:r w:rsidR="00DA0B2E" w:rsidRPr="006E0496">
        <w:t xml:space="preserve">best understood in thematic </w:t>
      </w:r>
      <w:r w:rsidR="00534626" w:rsidRPr="006E0496">
        <w:t xml:space="preserve">rather than chronological </w:t>
      </w:r>
      <w:r w:rsidR="00DA0B2E" w:rsidRPr="006E0496">
        <w:t xml:space="preserve">terms. </w:t>
      </w:r>
      <w:r w:rsidRPr="006E0496">
        <w:t xml:space="preserve">The first </w:t>
      </w:r>
      <w:r w:rsidR="00534626" w:rsidRPr="006E0496">
        <w:t xml:space="preserve">wave </w:t>
      </w:r>
      <w:r w:rsidRPr="006E0496">
        <w:t>largely comprised reactive reforms aimed at improving macroeconomic stability</w:t>
      </w:r>
      <w:r w:rsidR="008A6581" w:rsidRPr="006E0496">
        <w:t>. These changes</w:t>
      </w:r>
      <w:r w:rsidR="00534626" w:rsidRPr="006E0496">
        <w:t xml:space="preserve"> were concentrated </w:t>
      </w:r>
      <w:r w:rsidR="00D2317B" w:rsidRPr="006E0496">
        <w:t>in the 1970s and early 1980s, although financial reform continues through to today</w:t>
      </w:r>
      <w:r w:rsidRPr="006E0496">
        <w:t xml:space="preserve">. Reforms in the second </w:t>
      </w:r>
      <w:r w:rsidR="009A0AD2" w:rsidRPr="006E0496">
        <w:t xml:space="preserve">wave </w:t>
      </w:r>
      <w:r w:rsidRPr="006E0496">
        <w:t xml:space="preserve">were conducted in a more premeditated fashion and were largely aimed at raising the efficiency of the </w:t>
      </w:r>
      <w:r w:rsidR="00B453C6" w:rsidRPr="006E0496">
        <w:t>domestic market</w:t>
      </w:r>
      <w:r w:rsidRPr="006E0496">
        <w:t xml:space="preserve">. </w:t>
      </w:r>
      <w:r w:rsidR="003A40A8" w:rsidRPr="006E0496">
        <w:t>This effort</w:t>
      </w:r>
      <w:r w:rsidR="00D2317B" w:rsidRPr="006E0496">
        <w:t xml:space="preserve"> began in earnest in the late 1980s and </w:t>
      </w:r>
      <w:r w:rsidR="003A40A8" w:rsidRPr="006E0496">
        <w:t>was</w:t>
      </w:r>
      <w:r w:rsidR="00D2317B" w:rsidRPr="006E0496">
        <w:t xml:space="preserve"> particularly intensive during the 1990s. </w:t>
      </w:r>
      <w:r w:rsidRPr="006E0496">
        <w:t xml:space="preserve">The third </w:t>
      </w:r>
      <w:r w:rsidR="009A0AD2" w:rsidRPr="006E0496">
        <w:t xml:space="preserve">wave </w:t>
      </w:r>
      <w:r w:rsidR="00DA0B2E" w:rsidRPr="006E0496">
        <w:t xml:space="preserve">focused on </w:t>
      </w:r>
      <w:r w:rsidR="008A6460" w:rsidRPr="006E0496">
        <w:t xml:space="preserve">the government sector, particularly through measures to </w:t>
      </w:r>
      <w:r w:rsidR="003D0D1B" w:rsidRPr="006E0496">
        <w:t>improv</w:t>
      </w:r>
      <w:r w:rsidR="008A6460" w:rsidRPr="006E0496">
        <w:t xml:space="preserve">e </w:t>
      </w:r>
      <w:r w:rsidRPr="006E0496">
        <w:t xml:space="preserve">fiscal sustainability and </w:t>
      </w:r>
      <w:r w:rsidR="008A6460" w:rsidRPr="006E0496">
        <w:t>revise tax and spending policies</w:t>
      </w:r>
      <w:r w:rsidRPr="006E0496">
        <w:t xml:space="preserve">. </w:t>
      </w:r>
      <w:r w:rsidR="009A06E2" w:rsidRPr="006E0496">
        <w:t>Though</w:t>
      </w:r>
      <w:r w:rsidR="00840B1A" w:rsidRPr="006E0496">
        <w:t xml:space="preserve"> more prominent since the 2000s, </w:t>
      </w:r>
      <w:r w:rsidR="009A06E2" w:rsidRPr="006E0496">
        <w:t>changes</w:t>
      </w:r>
      <w:r w:rsidR="00840B1A" w:rsidRPr="006E0496">
        <w:t xml:space="preserve"> of this type have </w:t>
      </w:r>
      <w:r w:rsidR="005E7225" w:rsidRPr="006E0496">
        <w:t>occurred throughout the reform period</w:t>
      </w:r>
      <w:r w:rsidR="00840B1A" w:rsidRPr="006E0496">
        <w:t xml:space="preserve">. </w:t>
      </w:r>
      <w:r w:rsidRPr="006E0496">
        <w:t xml:space="preserve">The Reform Roadmap </w:t>
      </w:r>
      <w:r w:rsidR="00552AC6" w:rsidRPr="006E0496">
        <w:t>in the Appendix</w:t>
      </w:r>
      <w:r w:rsidRPr="006E0496">
        <w:t xml:space="preserve"> presents a snapshot of the Australian reforms between 1970 and 20</w:t>
      </w:r>
      <w:r w:rsidR="00552AC6" w:rsidRPr="006E0496">
        <w:t>18</w:t>
      </w:r>
      <w:r w:rsidR="00AA4801" w:rsidRPr="006E0496">
        <w:t>.</w:t>
      </w:r>
    </w:p>
    <w:p w14:paraId="4AD38765" w14:textId="77777777" w:rsidR="00067669" w:rsidRDefault="00067669" w:rsidP="00447E63">
      <w:pPr>
        <w:pStyle w:val="Heading3"/>
      </w:pPr>
      <w:bookmarkStart w:id="49" w:name="_Toc525736237"/>
      <w:bookmarkStart w:id="50" w:name="_Toc525743536"/>
      <w:bookmarkStart w:id="51" w:name="_Toc525912216"/>
      <w:bookmarkStart w:id="52" w:name="_Toc525915337"/>
      <w:bookmarkStart w:id="53" w:name="_Toc526355326"/>
      <w:bookmarkStart w:id="54" w:name="_Toc526413586"/>
      <w:bookmarkStart w:id="55" w:name="_Toc526935106"/>
      <w:r>
        <w:t xml:space="preserve">First </w:t>
      </w:r>
      <w:r w:rsidR="009A0AD2">
        <w:t xml:space="preserve">wave </w:t>
      </w:r>
      <w:r>
        <w:t>of reforms</w:t>
      </w:r>
      <w:bookmarkEnd w:id="49"/>
      <w:bookmarkEnd w:id="50"/>
      <w:bookmarkEnd w:id="51"/>
      <w:bookmarkEnd w:id="52"/>
      <w:bookmarkEnd w:id="53"/>
      <w:bookmarkEnd w:id="54"/>
      <w:bookmarkEnd w:id="55"/>
    </w:p>
    <w:p w14:paraId="2FFE1DA3" w14:textId="77777777" w:rsidR="00174D0E" w:rsidRDefault="00067669" w:rsidP="00BC77BF">
      <w:r w:rsidRPr="009D43A0">
        <w:t xml:space="preserve">Australia’s first </w:t>
      </w:r>
      <w:r w:rsidR="009A0AD2">
        <w:t>wave</w:t>
      </w:r>
      <w:r w:rsidRPr="009D43A0">
        <w:t xml:space="preserve"> of reform </w:t>
      </w:r>
      <w:r>
        <w:t>began</w:t>
      </w:r>
      <w:r w:rsidRPr="009D43A0">
        <w:t xml:space="preserve"> with the deregulation of the financial sector</w:t>
      </w:r>
      <w:r>
        <w:t xml:space="preserve"> from the 1970s and included the floating of the exchange rate</w:t>
      </w:r>
      <w:r w:rsidRPr="009D43A0">
        <w:t xml:space="preserve">. </w:t>
      </w:r>
      <w:r>
        <w:t>In the face of rising</w:t>
      </w:r>
      <w:r w:rsidRPr="0081380B">
        <w:t xml:space="preserve"> capital inflows and </w:t>
      </w:r>
      <w:r>
        <w:t>the growth of</w:t>
      </w:r>
      <w:r w:rsidR="00506486">
        <w:br/>
      </w:r>
      <w:r>
        <w:t xml:space="preserve">non-bank lending, authorities battled to manage a fixed exchange rate, </w:t>
      </w:r>
      <w:r w:rsidR="00B453C6">
        <w:t xml:space="preserve">a controlled </w:t>
      </w:r>
      <w:r>
        <w:t>capital account and domestic monetary settings. The initial response was to unwind some banking controls and partially free up the exchange rate by introducing a crawling peg. But following</w:t>
      </w:r>
      <w:r w:rsidRPr="0081380B">
        <w:t xml:space="preserve"> a</w:t>
      </w:r>
      <w:r w:rsidR="0070257D">
        <w:t xml:space="preserve"> government</w:t>
      </w:r>
      <w:r w:rsidR="0070257D">
        <w:noBreakHyphen/>
        <w:t>commissioned</w:t>
      </w:r>
      <w:r w:rsidRPr="0081380B">
        <w:t xml:space="preserve"> independent review of the sector </w:t>
      </w:r>
      <w:r>
        <w:t>at the end of the decade, a decisive shift occurred in 1983 with the decision to float the Australian dollar and remove capital controls. Soon after, foreign banks were permitted to enter the Australian market. Financial sector reform has provided a range of benefits. The floating exchange rate has been critical to Australia’s economic resilience over recent decades (Chart 1). And after some missteps – notably a credit bubble during the late 1980s – financial deregulation eventually delivered gains including reduced borrowing costs (Chart 2).</w:t>
      </w:r>
      <w:r w:rsidR="00E72F01">
        <w:t xml:space="preserve"> But financial reform has not stayed still. Subsequent reviews of the sector have led to further fine tuning of policy settings, including the adoption of a “twin peaks” financial regulation model in 1997.</w:t>
      </w:r>
    </w:p>
    <w:tbl>
      <w:tblPr>
        <w:tblStyle w:val="TableGrid"/>
        <w:tblW w:w="9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4637"/>
      </w:tblGrid>
      <w:tr w:rsidR="00506486" w:rsidRPr="00506486" w14:paraId="1E0E0D13" w14:textId="77777777" w:rsidTr="006E0496">
        <w:trPr>
          <w:trHeight w:val="136"/>
        </w:trPr>
        <w:tc>
          <w:tcPr>
            <w:tcW w:w="4637" w:type="dxa"/>
          </w:tcPr>
          <w:p w14:paraId="42C3B7ED" w14:textId="77777777" w:rsidR="00506486" w:rsidRPr="00506486" w:rsidRDefault="00506486" w:rsidP="00506486">
            <w:pPr>
              <w:pStyle w:val="ChartMainHeading"/>
            </w:pPr>
            <w:r w:rsidRPr="00506486">
              <w:t>Chart 1: Trade-weighted index</w:t>
            </w:r>
          </w:p>
        </w:tc>
        <w:tc>
          <w:tcPr>
            <w:tcW w:w="4637" w:type="dxa"/>
          </w:tcPr>
          <w:p w14:paraId="6973E466" w14:textId="77777777" w:rsidR="00506486" w:rsidRPr="00506486" w:rsidRDefault="00506486" w:rsidP="00506486">
            <w:pPr>
              <w:pStyle w:val="ChartMainHeading"/>
            </w:pPr>
            <w:r w:rsidRPr="00506486">
              <w:t>Chart 2: Net interest margins</w:t>
            </w:r>
          </w:p>
        </w:tc>
      </w:tr>
      <w:tr w:rsidR="00067669" w14:paraId="6051B217" w14:textId="77777777" w:rsidTr="006E0496">
        <w:trPr>
          <w:trHeight w:val="2813"/>
        </w:trPr>
        <w:tc>
          <w:tcPr>
            <w:tcW w:w="4637" w:type="dxa"/>
          </w:tcPr>
          <w:p w14:paraId="1C185A96" w14:textId="77777777" w:rsidR="00067669" w:rsidRPr="001056D7" w:rsidRDefault="00BB33C7" w:rsidP="006232E8">
            <w:pPr>
              <w:pStyle w:val="ChartGraphic"/>
              <w:spacing w:after="60"/>
            </w:pPr>
            <w:r>
              <w:object w:dxaOrig="4530" w:dyaOrig="4530" w14:anchorId="3A833E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45pt;height:217.45pt" o:ole="">
                  <v:imagedata r:id="rId31" o:title=""/>
                </v:shape>
                <o:OLEObject Type="Link" ProgID="Excel.Sheet.12" ShapeID="_x0000_i1025" DrawAspect="Content" r:id="rId32" UpdateMode="Always">
                  <o:LinkType>EnhancedMetaFile</o:LinkType>
                  <o:LockedField/>
                </o:OLEObject>
              </w:object>
            </w:r>
          </w:p>
        </w:tc>
        <w:tc>
          <w:tcPr>
            <w:tcW w:w="4637" w:type="dxa"/>
          </w:tcPr>
          <w:p w14:paraId="6D57E74F" w14:textId="77777777" w:rsidR="00067669" w:rsidRDefault="006F5959" w:rsidP="0098411F">
            <w:pPr>
              <w:pStyle w:val="ChartGraphic"/>
              <w:spacing w:after="40"/>
            </w:pPr>
            <w:r>
              <w:fldChar w:fldCharType="begin"/>
            </w:r>
            <w:r>
              <w:instrText xml:space="preserve"> LINK Excel.Sheet.12 "" "" \a \p </w:instrText>
            </w:r>
            <w:r>
              <w:fldChar w:fldCharType="separate"/>
            </w:r>
            <w:r>
              <w:rPr>
                <w:noProof/>
              </w:rPr>
              <w:drawing>
                <wp:inline distT="0" distB="0" distL="0" distR="0" wp14:anchorId="57FCF849" wp14:editId="1ECDFBB0">
                  <wp:extent cx="2671284" cy="27710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1"/>
                          <pic:cNvPicPr>
                            <a:picLocks noChangeAspect="1" noChangeArrowheads="1"/>
                          </pic:cNvPicPr>
                        </pic:nvPicPr>
                        <pic:blipFill rotWithShape="1">
                          <a:blip r:embed="rId33">
                            <a:extLst>
                              <a:ext uri="{28A0092B-C50C-407E-A947-70E740481C1C}">
                                <a14:useLocalDpi xmlns:a14="http://schemas.microsoft.com/office/drawing/2010/main" val="0"/>
                              </a:ext>
                            </a:extLst>
                          </a:blip>
                          <a:srcRect l="2729" t="1170" r="1949"/>
                          <a:stretch/>
                        </pic:blipFill>
                        <pic:spPr bwMode="auto">
                          <a:xfrm>
                            <a:off x="0" y="0"/>
                            <a:ext cx="2671216" cy="277094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506486" w:rsidRPr="00174D0E" w14:paraId="04C16255" w14:textId="77777777" w:rsidTr="006E0496">
        <w:trPr>
          <w:trHeight w:val="314"/>
        </w:trPr>
        <w:tc>
          <w:tcPr>
            <w:tcW w:w="4637" w:type="dxa"/>
          </w:tcPr>
          <w:p w14:paraId="392A07E1" w14:textId="77777777" w:rsidR="00506486" w:rsidRPr="00174D0E" w:rsidRDefault="00506486" w:rsidP="00F526CB">
            <w:pPr>
              <w:pStyle w:val="ChartorTableNote"/>
              <w:spacing w:after="0"/>
            </w:pPr>
            <w:r w:rsidRPr="00174D0E">
              <w:t>Source: RBA.</w:t>
            </w:r>
          </w:p>
        </w:tc>
        <w:tc>
          <w:tcPr>
            <w:tcW w:w="4637" w:type="dxa"/>
          </w:tcPr>
          <w:p w14:paraId="1C7D0F51" w14:textId="77777777" w:rsidR="00506486" w:rsidRPr="00174D0E" w:rsidRDefault="00506486" w:rsidP="0098411F">
            <w:pPr>
              <w:pStyle w:val="ChartorTableNote"/>
              <w:spacing w:after="0"/>
              <w:ind w:left="57" w:right="57"/>
            </w:pPr>
            <w:r w:rsidRPr="00174D0E">
              <w:t>Note: From 2006 data are an IFRS basis; prior years are on AGAAP basis; excludes St George Bank/Bankwest prior to first half of 2009. Source: Banks' Financial Reports; RBA.</w:t>
            </w:r>
          </w:p>
        </w:tc>
      </w:tr>
    </w:tbl>
    <w:p w14:paraId="09E60A6F" w14:textId="77777777" w:rsidR="00506486" w:rsidRPr="0063311E" w:rsidRDefault="00506486" w:rsidP="0063311E">
      <w:pPr>
        <w:pStyle w:val="SingleParagraph"/>
        <w:spacing w:line="240" w:lineRule="auto"/>
        <w:rPr>
          <w:sz w:val="20"/>
        </w:rPr>
      </w:pPr>
    </w:p>
    <w:p w14:paraId="592AF69A" w14:textId="346A4B9F" w:rsidR="008A4186" w:rsidRDefault="0011191F" w:rsidP="00BC77BF">
      <w:r w:rsidRPr="00967C58">
        <w:t xml:space="preserve">The other major macroeconomic stability reform of this period was the </w:t>
      </w:r>
      <w:r>
        <w:t xml:space="preserve">1983 </w:t>
      </w:r>
      <w:r w:rsidRPr="00967C58">
        <w:t>Prices and Incomes</w:t>
      </w:r>
      <w:r w:rsidR="002406D8">
        <w:t xml:space="preserve"> Accord</w:t>
      </w:r>
      <w:r w:rsidRPr="00967C58">
        <w:t xml:space="preserve">, </w:t>
      </w:r>
      <w:r>
        <w:t xml:space="preserve">the first in a series of such </w:t>
      </w:r>
      <w:r w:rsidRPr="00967C58">
        <w:t>agreements between unions and the g</w:t>
      </w:r>
      <w:r>
        <w:t>overnment</w:t>
      </w:r>
      <w:r w:rsidRPr="00967C58">
        <w:t xml:space="preserve">. In the Accord’s initial iteration, unions agreed to contain wage demands to help curb inflation. In return, the government agreed to support workers through a ‘social wage’ </w:t>
      </w:r>
      <w:r>
        <w:t>which</w:t>
      </w:r>
      <w:r w:rsidRPr="00967C58">
        <w:t xml:space="preserve"> included increased spending on health and education, tax reform and</w:t>
      </w:r>
      <w:r w:rsidR="007C3D13">
        <w:t>, later,</w:t>
      </w:r>
      <w:r w:rsidRPr="00967C58">
        <w:t xml:space="preserve"> the introduction of compulsory retirement savings. The broad intention was to raise productivity and ensure the resultant economic gains were </w:t>
      </w:r>
      <w:r w:rsidR="002406D8">
        <w:t>shared with workers. The Accord</w:t>
      </w:r>
      <w:r w:rsidRPr="00967C58">
        <w:t xml:space="preserve"> </w:t>
      </w:r>
      <w:r w:rsidR="002406D8">
        <w:t>was</w:t>
      </w:r>
      <w:r w:rsidRPr="00967C58">
        <w:t xml:space="preserve"> a response to the economic turmoil of the 1970s, when union wage demands resulted in a surge in real wages despite slow productivity growth – a development reflected in a jump in the labour share of income (Chart 3). As a solution to exc</w:t>
      </w:r>
      <w:r>
        <w:t>essive wage demand</w:t>
      </w:r>
      <w:r w:rsidR="002406D8">
        <w:t>s, the Accord</w:t>
      </w:r>
      <w:r w:rsidRPr="00967C58">
        <w:t xml:space="preserve"> </w:t>
      </w:r>
      <w:r w:rsidR="002406D8">
        <w:t>was</w:t>
      </w:r>
      <w:r w:rsidRPr="00967C58">
        <w:t xml:space="preserve"> unusual, because </w:t>
      </w:r>
      <w:r w:rsidR="002406D8">
        <w:t>it</w:t>
      </w:r>
      <w:r w:rsidRPr="00967C58">
        <w:t xml:space="preserve"> increased the role of the unions in the industrial relations system. But </w:t>
      </w:r>
      <w:r w:rsidR="00286A98">
        <w:t>it was</w:t>
      </w:r>
      <w:r w:rsidRPr="00967C58">
        <w:t xml:space="preserve"> also effective. Real wages declined over the 12 years</w:t>
      </w:r>
      <w:r w:rsidR="002406D8">
        <w:t xml:space="preserve"> </w:t>
      </w:r>
      <w:r w:rsidR="000D0623">
        <w:t>successive</w:t>
      </w:r>
      <w:r w:rsidR="002406D8">
        <w:t xml:space="preserve"> </w:t>
      </w:r>
      <w:r w:rsidRPr="00967C58">
        <w:t xml:space="preserve">Accords </w:t>
      </w:r>
      <w:r w:rsidR="002406D8">
        <w:t xml:space="preserve">remained in force, </w:t>
      </w:r>
      <w:r w:rsidRPr="00967C58">
        <w:t xml:space="preserve">which, combined with other reforms, helped ease inflation. </w:t>
      </w:r>
      <w:r w:rsidR="004C7D88">
        <w:t xml:space="preserve">In addition, the Accord was one of a number of developments </w:t>
      </w:r>
      <w:r w:rsidR="002406D8">
        <w:t>that</w:t>
      </w:r>
      <w:r w:rsidR="004C7D88">
        <w:t xml:space="preserve"> contributed to a sharp fall in days lost to industrial action</w:t>
      </w:r>
      <w:r w:rsidRPr="00967C58">
        <w:t xml:space="preserve"> (Chart 4).</w:t>
      </w:r>
    </w:p>
    <w:tbl>
      <w:tblPr>
        <w:tblStyle w:val="TableGrid"/>
        <w:tblW w:w="9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4637"/>
      </w:tblGrid>
      <w:tr w:rsidR="0064008E" w14:paraId="4ACE375C" w14:textId="77777777" w:rsidTr="006E0496">
        <w:tc>
          <w:tcPr>
            <w:tcW w:w="4637" w:type="dxa"/>
          </w:tcPr>
          <w:p w14:paraId="60434736" w14:textId="77777777" w:rsidR="0064008E" w:rsidRDefault="0064008E" w:rsidP="00EE6011">
            <w:pPr>
              <w:pStyle w:val="ChartMainHeading"/>
            </w:pPr>
            <w:r>
              <w:t xml:space="preserve">Chart 3: </w:t>
            </w:r>
            <w:r w:rsidRPr="00950B38">
              <w:t>Labour share of income</w:t>
            </w:r>
          </w:p>
        </w:tc>
        <w:tc>
          <w:tcPr>
            <w:tcW w:w="4637" w:type="dxa"/>
          </w:tcPr>
          <w:p w14:paraId="100FD795" w14:textId="77777777" w:rsidR="0064008E" w:rsidRDefault="0064008E" w:rsidP="00EE6011">
            <w:pPr>
              <w:pStyle w:val="ChartMainHeading"/>
            </w:pPr>
            <w:r>
              <w:t xml:space="preserve">Chart 4: </w:t>
            </w:r>
            <w:r w:rsidRPr="00950B38">
              <w:t>Days lost to strikes</w:t>
            </w:r>
          </w:p>
        </w:tc>
      </w:tr>
      <w:tr w:rsidR="00067669" w14:paraId="3290C8CC" w14:textId="77777777" w:rsidTr="006E0496">
        <w:tc>
          <w:tcPr>
            <w:tcW w:w="4637" w:type="dxa"/>
          </w:tcPr>
          <w:p w14:paraId="642EA228" w14:textId="77777777" w:rsidR="00067669" w:rsidRPr="006E0496" w:rsidRDefault="00313A65" w:rsidP="00E3016F">
            <w:pPr>
              <w:pStyle w:val="ChartGraphic"/>
              <w:spacing w:after="40"/>
            </w:pPr>
            <w:r w:rsidRPr="006E0496">
              <w:rPr>
                <w:noProof/>
              </w:rPr>
              <w:drawing>
                <wp:inline distT="0" distB="0" distL="0" distR="0" wp14:anchorId="5F3D4961" wp14:editId="4D350227">
                  <wp:extent cx="2653824" cy="25936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4">
                            <a:extLst>
                              <a:ext uri="{28A0092B-C50C-407E-A947-70E740481C1C}">
                                <a14:useLocalDpi xmlns:a14="http://schemas.microsoft.com/office/drawing/2010/main" val="0"/>
                              </a:ext>
                            </a:extLst>
                          </a:blip>
                          <a:srcRect l="1869" t="1236" r="1869" b="1236"/>
                          <a:stretch/>
                        </pic:blipFill>
                        <pic:spPr bwMode="auto">
                          <a:xfrm>
                            <a:off x="0" y="0"/>
                            <a:ext cx="2656592" cy="25963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37" w:type="dxa"/>
          </w:tcPr>
          <w:p w14:paraId="6C0FBB49" w14:textId="77777777" w:rsidR="00067669" w:rsidRPr="006E0496" w:rsidRDefault="0063311E" w:rsidP="00E3016F">
            <w:pPr>
              <w:pStyle w:val="ChartGraphic"/>
              <w:spacing w:after="40"/>
            </w:pPr>
            <w:r>
              <w:object w:dxaOrig="4530" w:dyaOrig="4530" w14:anchorId="05A06BF0">
                <v:shape id="_x0000_i1026" type="#_x0000_t75" style="width:207.95pt;height:204.55pt" o:ole="">
                  <v:imagedata r:id="rId35" o:title=""/>
                </v:shape>
                <o:OLEObject Type="Link" ProgID="Excel.Sheet.12" ShapeID="_x0000_i1026" DrawAspect="Content" r:id="rId36" UpdateMode="Always">
                  <o:LinkType>EnhancedMetaFile</o:LinkType>
                  <o:LockedField/>
                </o:OLEObject>
              </w:object>
            </w:r>
          </w:p>
        </w:tc>
      </w:tr>
      <w:tr w:rsidR="0064008E" w14:paraId="75494505" w14:textId="77777777" w:rsidTr="006E0496">
        <w:tc>
          <w:tcPr>
            <w:tcW w:w="4637" w:type="dxa"/>
          </w:tcPr>
          <w:p w14:paraId="7773F586" w14:textId="77777777" w:rsidR="0064008E" w:rsidRDefault="0064008E" w:rsidP="00F526CB">
            <w:pPr>
              <w:pStyle w:val="ChartorTableNote"/>
              <w:spacing w:after="0"/>
              <w:rPr>
                <w:b/>
              </w:rPr>
            </w:pPr>
            <w:r w:rsidRPr="002E2562">
              <w:t>Source: ABS cat. no. 5206.0.</w:t>
            </w:r>
          </w:p>
        </w:tc>
        <w:tc>
          <w:tcPr>
            <w:tcW w:w="4637" w:type="dxa"/>
          </w:tcPr>
          <w:p w14:paraId="369F1775" w14:textId="77777777" w:rsidR="00F86A83" w:rsidRDefault="00F86A83" w:rsidP="00F86A83">
            <w:pPr>
              <w:pStyle w:val="ChartorTableNote"/>
              <w:spacing w:after="0"/>
            </w:pPr>
            <w:r>
              <w:t>Note: Data shown is days lost in year ended terms.</w:t>
            </w:r>
          </w:p>
          <w:p w14:paraId="1053AE10" w14:textId="77777777" w:rsidR="0064008E" w:rsidRDefault="00F86A83" w:rsidP="00F86A83">
            <w:pPr>
              <w:pStyle w:val="ChartorTableNote"/>
              <w:spacing w:after="0"/>
              <w:rPr>
                <w:b/>
              </w:rPr>
            </w:pPr>
            <w:r>
              <w:t>Source: ABS cat. no. 6321.0.55.001.</w:t>
            </w:r>
          </w:p>
        </w:tc>
      </w:tr>
    </w:tbl>
    <w:p w14:paraId="16E9CD46" w14:textId="77777777" w:rsidR="00067669" w:rsidRDefault="00067669" w:rsidP="00447E63">
      <w:pPr>
        <w:pStyle w:val="Heading3"/>
      </w:pPr>
      <w:bookmarkStart w:id="56" w:name="_Toc525736238"/>
      <w:bookmarkStart w:id="57" w:name="_Toc525743537"/>
      <w:bookmarkStart w:id="58" w:name="_Toc525912217"/>
      <w:bookmarkStart w:id="59" w:name="_Toc525915338"/>
      <w:bookmarkStart w:id="60" w:name="_Toc526355327"/>
      <w:bookmarkStart w:id="61" w:name="_Toc526413587"/>
      <w:bookmarkStart w:id="62" w:name="_Toc526935107"/>
      <w:r>
        <w:t xml:space="preserve">Second </w:t>
      </w:r>
      <w:r w:rsidR="009A0AD2">
        <w:t xml:space="preserve">wave </w:t>
      </w:r>
      <w:r>
        <w:t>of reforms</w:t>
      </w:r>
      <w:bookmarkEnd w:id="56"/>
      <w:bookmarkEnd w:id="57"/>
      <w:bookmarkEnd w:id="58"/>
      <w:bookmarkEnd w:id="59"/>
      <w:bookmarkEnd w:id="60"/>
      <w:bookmarkEnd w:id="61"/>
      <w:bookmarkEnd w:id="62"/>
    </w:p>
    <w:p w14:paraId="2274C508" w14:textId="77777777" w:rsidR="00067669" w:rsidRDefault="00067669" w:rsidP="00CE4D9B">
      <w:r>
        <w:t xml:space="preserve">The opening up of the external sector in the first </w:t>
      </w:r>
      <w:r w:rsidR="009A0AD2">
        <w:t xml:space="preserve">wave </w:t>
      </w:r>
      <w:r>
        <w:t xml:space="preserve">of reforms </w:t>
      </w:r>
      <w:r w:rsidR="00B953C8">
        <w:t xml:space="preserve">emphasised concerns </w:t>
      </w:r>
      <w:r w:rsidR="006045AC">
        <w:t xml:space="preserve">about </w:t>
      </w:r>
      <w:r>
        <w:t xml:space="preserve">the poor productivity performance of domestic industry. </w:t>
      </w:r>
      <w:r w:rsidR="006045AC">
        <w:t>These concerns were not new. Although Australia was prosperous in the post-war decades, it was recognised that living standards were starting to slip relative to its peers. This realisation sparked a growing discussion among policymakers during the 1960s and 1970s that the existing protectionist economic model was no longer viable. But not until the mid</w:t>
      </w:r>
      <w:r w:rsidR="00242199">
        <w:t>-</w:t>
      </w:r>
      <w:r w:rsidR="006045AC">
        <w:t>1980s, as the terms of trade deteriorated and the current account deficit widened, did these concerns spark a concerted policy response</w:t>
      </w:r>
      <w:r>
        <w:t xml:space="preserve">. The </w:t>
      </w:r>
      <w:r w:rsidR="00F5317B">
        <w:t>g</w:t>
      </w:r>
      <w:r>
        <w:t>overnment saw the solution as a</w:t>
      </w:r>
      <w:r w:rsidR="00E01CB1">
        <w:br/>
      </w:r>
      <w:r>
        <w:t>wide-ranging program of reforms aimed at improving the efficiency of the economy. These included tariff</w:t>
      </w:r>
      <w:r w:rsidDel="00DA106D">
        <w:t xml:space="preserve"> cuts</w:t>
      </w:r>
      <w:r>
        <w:t xml:space="preserve">, </w:t>
      </w:r>
      <w:r w:rsidR="00B453C6">
        <w:t xml:space="preserve">partial </w:t>
      </w:r>
      <w:r>
        <w:t>decentralisation of wage setting, privatisation of government assets and</w:t>
      </w:r>
      <w:r w:rsidR="00A237F9">
        <w:t xml:space="preserve"> broader microeconomic reforms.</w:t>
      </w:r>
    </w:p>
    <w:p w14:paraId="74B78C22" w14:textId="77777777" w:rsidR="0096534B" w:rsidRDefault="00067669" w:rsidP="00CE4D9B">
      <w:r>
        <w:t xml:space="preserve">These reforms differed significantly from those undertaken in the first </w:t>
      </w:r>
      <w:r w:rsidR="009A0AD2">
        <w:t xml:space="preserve">wave </w:t>
      </w:r>
      <w:r>
        <w:t>in that they were, by and large, planned and premeditated. Tariff reforms, beginning in the late 1980s, were among the first</w:t>
      </w:r>
      <w:r w:rsidR="00CF3C9C">
        <w:t> </w:t>
      </w:r>
      <w:r>
        <w:t xml:space="preserve">policies introduced during this second </w:t>
      </w:r>
      <w:r w:rsidR="009A0AD2">
        <w:t>wave</w:t>
      </w:r>
      <w:r>
        <w:t>. Government policy was to regularly and systematically reduce tariffs across the board, with differential rates of reduction depending on pre</w:t>
      </w:r>
      <w:r w:rsidR="00286A98">
        <w:noBreakHyphen/>
      </w:r>
      <w:r>
        <w:t xml:space="preserve">existing tariff </w:t>
      </w:r>
      <w:r w:rsidR="00541B33">
        <w:t>levels</w:t>
      </w:r>
      <w:r>
        <w:t xml:space="preserve">. </w:t>
      </w:r>
      <w:r w:rsidR="00B208D4">
        <w:t>E</w:t>
      </w:r>
      <w:r>
        <w:t xml:space="preserve">ffective tariff rates </w:t>
      </w:r>
      <w:r w:rsidR="00B208D4">
        <w:t xml:space="preserve">have steadily declined </w:t>
      </w:r>
      <w:r>
        <w:t xml:space="preserve">from around </w:t>
      </w:r>
      <w:r w:rsidRPr="00A37C68">
        <w:t>10</w:t>
      </w:r>
      <w:r>
        <w:t xml:space="preserve"> per cent </w:t>
      </w:r>
      <w:r w:rsidR="00B208D4">
        <w:t xml:space="preserve">in the late 1980s </w:t>
      </w:r>
      <w:r>
        <w:t xml:space="preserve">to around </w:t>
      </w:r>
      <w:r w:rsidR="00B208D4">
        <w:t>2</w:t>
      </w:r>
      <w:r w:rsidR="00EE6011">
        <w:t> </w:t>
      </w:r>
      <w:r>
        <w:t xml:space="preserve">per cent </w:t>
      </w:r>
      <w:r w:rsidR="00A67F6B">
        <w:t xml:space="preserve">today </w:t>
      </w:r>
      <w:r>
        <w:t>(Chart 5)</w:t>
      </w:r>
      <w:r w:rsidR="00A67F6B">
        <w:t>. E</w:t>
      </w:r>
      <w:r w:rsidR="002D45AB">
        <w:t>ven a severe recession in the early 1990s did not slow progress</w:t>
      </w:r>
      <w:r>
        <w:t>. Some industries received support to help with the costs of transitioning to the new environment</w:t>
      </w:r>
      <w:r w:rsidR="00511FEE">
        <w:t>, especially when the cuts were first announced</w:t>
      </w:r>
      <w:r w:rsidR="00381AF1">
        <w:t>. While most</w:t>
      </w:r>
      <w:r>
        <w:t xml:space="preserve"> </w:t>
      </w:r>
      <w:r w:rsidR="00A67F6B">
        <w:t>assistance</w:t>
      </w:r>
      <w:r>
        <w:t xml:space="preserve"> packages were small and lasted only a few years</w:t>
      </w:r>
      <w:r w:rsidR="006860CB">
        <w:t>, some industries – notably passenger motor vehicles</w:t>
      </w:r>
      <w:r w:rsidR="002F3D3A">
        <w:t xml:space="preserve"> (PMV)</w:t>
      </w:r>
      <w:r w:rsidR="006860CB">
        <w:t xml:space="preserve"> and </w:t>
      </w:r>
      <w:r>
        <w:t xml:space="preserve">textiles, clothing and footwear </w:t>
      </w:r>
      <w:r w:rsidR="00DE4E87">
        <w:t>(TCF)</w:t>
      </w:r>
      <w:r w:rsidR="00286A98">
        <w:t>, both of which had very high effective tariff rates</w:t>
      </w:r>
      <w:r w:rsidR="00DE4E87">
        <w:t xml:space="preserve"> </w:t>
      </w:r>
      <w:r w:rsidR="006860CB">
        <w:t>–</w:t>
      </w:r>
      <w:r>
        <w:t xml:space="preserve"> </w:t>
      </w:r>
      <w:r w:rsidR="00DE4E87">
        <w:t>receive</w:t>
      </w:r>
      <w:r w:rsidR="006860CB">
        <w:t>d</w:t>
      </w:r>
      <w:r w:rsidR="00DE4E87">
        <w:t xml:space="preserve"> government support</w:t>
      </w:r>
      <w:r w:rsidR="009D7283">
        <w:t xml:space="preserve"> </w:t>
      </w:r>
      <w:r w:rsidR="00DE4E87">
        <w:t>for a lengthy period</w:t>
      </w:r>
      <w:r w:rsidR="006860CB">
        <w:t xml:space="preserve">. Indeed, </w:t>
      </w:r>
      <w:r w:rsidR="00DE4E87">
        <w:t xml:space="preserve">TCF </w:t>
      </w:r>
      <w:r w:rsidR="006860CB">
        <w:t>retains some</w:t>
      </w:r>
      <w:r w:rsidR="00DE4E87">
        <w:t xml:space="preserve"> tariff protection</w:t>
      </w:r>
      <w:r w:rsidR="006860CB">
        <w:t xml:space="preserve"> to this day</w:t>
      </w:r>
      <w:r w:rsidR="00DE4E87">
        <w:t>.</w:t>
      </w:r>
    </w:p>
    <w:p w14:paraId="4087F873" w14:textId="18ADF6A9" w:rsidR="00067669" w:rsidRDefault="00533CE1" w:rsidP="00CE4D9B">
      <w:r>
        <w:t>The tariff reductions meant the Australian economy was better placed to exploit its comparative advantage, which is</w:t>
      </w:r>
      <w:r w:rsidR="0055047B">
        <w:t xml:space="preserve"> in sectors </w:t>
      </w:r>
      <w:r w:rsidR="00286A98">
        <w:t>such as</w:t>
      </w:r>
      <w:r w:rsidR="0055047B">
        <w:t xml:space="preserve"> mining and agri</w:t>
      </w:r>
      <w:r>
        <w:t>cul</w:t>
      </w:r>
      <w:r w:rsidR="0055047B">
        <w:t>t</w:t>
      </w:r>
      <w:r>
        <w:t xml:space="preserve">ure rather than </w:t>
      </w:r>
      <w:r w:rsidR="0055047B">
        <w:t>i</w:t>
      </w:r>
      <w:r w:rsidR="00A20993">
        <w:t xml:space="preserve">n </w:t>
      </w:r>
      <w:r>
        <w:t>manufacturing</w:t>
      </w:r>
      <w:r w:rsidR="004B0E0A">
        <w:t>.</w:t>
      </w:r>
      <w:r w:rsidR="00036AA9">
        <w:rPr>
          <w:rStyle w:val="FootnoteReference"/>
        </w:rPr>
        <w:footnoteReference w:id="4"/>
      </w:r>
      <w:r w:rsidR="00087EF4">
        <w:t xml:space="preserve"> </w:t>
      </w:r>
      <w:r w:rsidR="00C011E9">
        <w:t>The reduction in protection</w:t>
      </w:r>
      <w:r w:rsidR="00087EF4">
        <w:t xml:space="preserve"> </w:t>
      </w:r>
      <w:r w:rsidR="00067669">
        <w:t>contributed to the decline in manufacturing’s share of output from around 13</w:t>
      </w:r>
      <w:r w:rsidR="00BC77BF">
        <w:t> </w:t>
      </w:r>
      <w:r w:rsidR="00067669">
        <w:t>per cent of GDP in the late 1980s to around 6 per cent more recently (Chart</w:t>
      </w:r>
      <w:r w:rsidR="00457271">
        <w:t> </w:t>
      </w:r>
      <w:r w:rsidR="00067669">
        <w:t>6)</w:t>
      </w:r>
      <w:r w:rsidR="009647F3">
        <w:t xml:space="preserve">. </w:t>
      </w:r>
      <w:r w:rsidR="001D6F68">
        <w:t>But while</w:t>
      </w:r>
      <w:r w:rsidR="009647F3">
        <w:t xml:space="preserve"> manufacturing employment declined through this period, </w:t>
      </w:r>
      <w:r w:rsidR="00076D73">
        <w:t xml:space="preserve">real output </w:t>
      </w:r>
      <w:r w:rsidR="009647F3">
        <w:t xml:space="preserve">in the sector steadily </w:t>
      </w:r>
      <w:r w:rsidR="00076D73">
        <w:t xml:space="preserve">increased </w:t>
      </w:r>
      <w:r w:rsidR="009647F3">
        <w:t>before peaking in</w:t>
      </w:r>
      <w:r w:rsidR="00076D73">
        <w:t xml:space="preserve"> the late 2000s</w:t>
      </w:r>
      <w:r w:rsidR="00067669">
        <w:t>.</w:t>
      </w:r>
      <w:r w:rsidR="0046756B">
        <w:t xml:space="preserve"> </w:t>
      </w:r>
      <w:r w:rsidR="001D6F68">
        <w:t xml:space="preserve">Yet </w:t>
      </w:r>
      <w:r w:rsidR="0046756B">
        <w:t xml:space="preserve">as the government argued at the time, tariff cuts would </w:t>
      </w:r>
      <w:r w:rsidR="001B1863">
        <w:t>eventually</w:t>
      </w:r>
      <w:r w:rsidR="006860CB">
        <w:t xml:space="preserve"> </w:t>
      </w:r>
      <w:r w:rsidR="0046756B">
        <w:t xml:space="preserve">deliver net </w:t>
      </w:r>
      <w:r w:rsidR="006860CB">
        <w:t>gains</w:t>
      </w:r>
      <w:r w:rsidR="00FC3D90">
        <w:t xml:space="preserve"> </w:t>
      </w:r>
      <w:r w:rsidR="006860CB">
        <w:t>to the economy</w:t>
      </w:r>
      <w:r w:rsidR="00036AA9">
        <w:t>. J</w:t>
      </w:r>
      <w:r w:rsidR="00FC3D90">
        <w:t xml:space="preserve">ob losses in declining industries would be more than offset by </w:t>
      </w:r>
      <w:r w:rsidR="00036AA9">
        <w:t xml:space="preserve">gains elsewhere, including </w:t>
      </w:r>
      <w:r w:rsidR="00AC4E1D">
        <w:t xml:space="preserve">in </w:t>
      </w:r>
      <w:r w:rsidR="00036AA9">
        <w:t>trade</w:t>
      </w:r>
      <w:r w:rsidR="00286A98">
        <w:noBreakHyphen/>
      </w:r>
      <w:r w:rsidR="00036AA9">
        <w:t xml:space="preserve">exposed industries </w:t>
      </w:r>
      <w:r w:rsidR="006860CB">
        <w:t>benefit</w:t>
      </w:r>
      <w:r w:rsidR="00036AA9">
        <w:t>ing from</w:t>
      </w:r>
      <w:r w:rsidR="006860CB">
        <w:t xml:space="preserve"> cheaper input costs </w:t>
      </w:r>
      <w:r w:rsidR="003A7130">
        <w:t xml:space="preserve">and </w:t>
      </w:r>
      <w:r w:rsidR="003A7130" w:rsidDel="00036AA9">
        <w:t>through wider</w:t>
      </w:r>
      <w:r w:rsidR="003A7130">
        <w:t xml:space="preserve"> job</w:t>
      </w:r>
      <w:r w:rsidR="003D0D1B">
        <w:t xml:space="preserve"> opportunities</w:t>
      </w:r>
      <w:r w:rsidR="003D0D1B" w:rsidDel="00036AA9">
        <w:t xml:space="preserve"> that stronger economic growth would provide</w:t>
      </w:r>
      <w:r w:rsidR="003833C5">
        <w:t>.</w:t>
      </w:r>
      <w:r w:rsidR="00FC3D90">
        <w:rPr>
          <w:rStyle w:val="FootnoteReference"/>
        </w:rPr>
        <w:footnoteReference w:id="5"/>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37"/>
        <w:gridCol w:w="4637"/>
      </w:tblGrid>
      <w:tr w:rsidR="0029127A" w14:paraId="22B4A6CF" w14:textId="77777777" w:rsidTr="006E0496">
        <w:tc>
          <w:tcPr>
            <w:tcW w:w="4637" w:type="dxa"/>
          </w:tcPr>
          <w:p w14:paraId="3B53369C" w14:textId="77777777" w:rsidR="0029127A" w:rsidRDefault="0029127A" w:rsidP="006232E8">
            <w:pPr>
              <w:pStyle w:val="ChartMainHeading"/>
            </w:pPr>
            <w:r>
              <w:t xml:space="preserve">Chart 5: </w:t>
            </w:r>
            <w:r w:rsidRPr="00950B38">
              <w:t>Effective tariffs</w:t>
            </w:r>
          </w:p>
        </w:tc>
        <w:tc>
          <w:tcPr>
            <w:tcW w:w="4637" w:type="dxa"/>
          </w:tcPr>
          <w:p w14:paraId="0262C88E" w14:textId="77777777" w:rsidR="0029127A" w:rsidRDefault="0029127A" w:rsidP="006232E8">
            <w:pPr>
              <w:pStyle w:val="ChartMainHeading"/>
            </w:pPr>
            <w:r>
              <w:t xml:space="preserve">Chart 6: </w:t>
            </w:r>
            <w:r w:rsidRPr="00950B38">
              <w:t>Manufacturing share</w:t>
            </w:r>
          </w:p>
        </w:tc>
      </w:tr>
      <w:tr w:rsidR="00067669" w14:paraId="71A30D58" w14:textId="77777777" w:rsidTr="006E0496">
        <w:tc>
          <w:tcPr>
            <w:tcW w:w="4637" w:type="dxa"/>
          </w:tcPr>
          <w:p w14:paraId="07702806" w14:textId="77777777" w:rsidR="00067669" w:rsidRPr="006E0496" w:rsidRDefault="00F526CB" w:rsidP="006E0496">
            <w:pPr>
              <w:pStyle w:val="ChartGraphic"/>
            </w:pPr>
            <w:r w:rsidRPr="006E0496">
              <w:rPr>
                <w:noProof/>
              </w:rPr>
              <w:drawing>
                <wp:inline distT="0" distB="0" distL="0" distR="0" wp14:anchorId="76597A86" wp14:editId="61BE6A8D">
                  <wp:extent cx="2700000" cy="2858161"/>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7">
                            <a:extLst>
                              <a:ext uri="{28A0092B-C50C-407E-A947-70E740481C1C}">
                                <a14:useLocalDpi xmlns:a14="http://schemas.microsoft.com/office/drawing/2010/main" val="0"/>
                              </a:ext>
                            </a:extLst>
                          </a:blip>
                          <a:srcRect l="3151" r="2699"/>
                          <a:stretch/>
                        </pic:blipFill>
                        <pic:spPr bwMode="auto">
                          <a:xfrm>
                            <a:off x="0" y="0"/>
                            <a:ext cx="2700000" cy="28581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37" w:type="dxa"/>
          </w:tcPr>
          <w:p w14:paraId="74BC29F8" w14:textId="77777777" w:rsidR="00067669" w:rsidRPr="006E0496" w:rsidRDefault="00F526CB" w:rsidP="006E0496">
            <w:pPr>
              <w:pStyle w:val="ChartGraphic"/>
            </w:pPr>
            <w:r w:rsidRPr="006E0496">
              <w:object w:dxaOrig="4530" w:dyaOrig="4530" w14:anchorId="610A976F">
                <v:shape id="_x0000_i1027" type="#_x0000_t75" style="width:212.7pt;height:221.75pt;mso-position-horizontal:absolute;mso-position-vertical:absolute" o:ole="">
                  <v:imagedata r:id="rId38" o:title="" croptop="1230f" cropbottom="410f" cropleft="2460f" cropright="1640f"/>
                </v:shape>
                <o:OLEObject Type="Link" ProgID="Excel.Sheet.12" ShapeID="_x0000_i1027" DrawAspect="Content" r:id="rId39" UpdateMode="Always">
                  <o:LinkType>EnhancedMetaFile</o:LinkType>
                  <o:LockedField/>
                  <o:FieldCodes>\* MERGEFORMAT</o:FieldCodes>
                </o:OLEObject>
              </w:object>
            </w:r>
          </w:p>
        </w:tc>
      </w:tr>
      <w:tr w:rsidR="0029127A" w:rsidRPr="00E3016F" w14:paraId="76583A3E" w14:textId="77777777" w:rsidTr="006E0496">
        <w:tc>
          <w:tcPr>
            <w:tcW w:w="4637" w:type="dxa"/>
          </w:tcPr>
          <w:p w14:paraId="1743EBB9" w14:textId="77777777" w:rsidR="0029127A" w:rsidRPr="00E3016F" w:rsidRDefault="0029127A" w:rsidP="00E3016F">
            <w:pPr>
              <w:pStyle w:val="ChartorTableNote"/>
              <w:ind w:left="57" w:right="57"/>
            </w:pPr>
            <w:r w:rsidRPr="00E3016F">
              <w:t>Note: Average tariff protection is calculated as net total duty (inclusive of excise equivalent goods) collected divided by the total value of merchandise imports, excluding the value of Specie and Bullion. Preliminary adjustments have also been made to take into account the transfer of excise collection on tobacco goods from the ATO to DIBP from 2010-11.</w:t>
            </w:r>
          </w:p>
          <w:p w14:paraId="23B6CA56" w14:textId="77777777" w:rsidR="0029127A" w:rsidRPr="00E3016F" w:rsidRDefault="0029127A" w:rsidP="00E3016F">
            <w:pPr>
              <w:pStyle w:val="ChartorTableNote"/>
              <w:ind w:left="57" w:right="57"/>
            </w:pPr>
            <w:r w:rsidRPr="00E3016F">
              <w:t>Source: Lloyd (2008), ABS cat. no. 5368.0 and 1364.0.15.003 and Treasury.</w:t>
            </w:r>
          </w:p>
        </w:tc>
        <w:tc>
          <w:tcPr>
            <w:tcW w:w="4637" w:type="dxa"/>
          </w:tcPr>
          <w:p w14:paraId="367D0C93" w14:textId="77777777" w:rsidR="0029127A" w:rsidRPr="00E3016F" w:rsidRDefault="00174D0E" w:rsidP="00E3016F">
            <w:pPr>
              <w:pStyle w:val="ChartorTableNote"/>
              <w:ind w:left="41"/>
            </w:pPr>
            <w:r w:rsidRPr="00E3016F">
              <w:t>Source: ABS cat. no. 5204.0.</w:t>
            </w:r>
          </w:p>
        </w:tc>
      </w:tr>
    </w:tbl>
    <w:p w14:paraId="31BF4A5F" w14:textId="77777777" w:rsidR="00EE6011" w:rsidRPr="0063311E" w:rsidRDefault="00EE6011" w:rsidP="0063311E">
      <w:pPr>
        <w:pStyle w:val="SingleParagraph"/>
        <w:spacing w:line="240" w:lineRule="auto"/>
        <w:rPr>
          <w:sz w:val="12"/>
        </w:rPr>
      </w:pPr>
    </w:p>
    <w:p w14:paraId="1294DCEE" w14:textId="6CE3E003" w:rsidR="00756F3D" w:rsidRDefault="00067669" w:rsidP="0063311E">
      <w:pPr>
        <w:spacing w:after="200"/>
      </w:pPr>
      <w:r>
        <w:t xml:space="preserve">The second </w:t>
      </w:r>
      <w:r w:rsidR="009A0AD2">
        <w:t>wave</w:t>
      </w:r>
      <w:r>
        <w:t xml:space="preserve"> of reforms also included a shift to </w:t>
      </w:r>
      <w:r w:rsidR="00B453C6">
        <w:t xml:space="preserve">a more </w:t>
      </w:r>
      <w:r>
        <w:t>decentralised wage bargaining</w:t>
      </w:r>
      <w:r w:rsidR="00B453C6">
        <w:t xml:space="preserve"> system</w:t>
      </w:r>
      <w:r>
        <w:t xml:space="preserve">. </w:t>
      </w:r>
      <w:r w:rsidR="00B453C6">
        <w:t>This occurred through a formalised collective bargaining process</w:t>
      </w:r>
      <w:r w:rsidR="0068535F" w:rsidRPr="0068535F">
        <w:t xml:space="preserve"> </w:t>
      </w:r>
      <w:r w:rsidR="0068535F">
        <w:t>at the firm level</w:t>
      </w:r>
      <w:r w:rsidR="00B453C6">
        <w:t>, including in non</w:t>
      </w:r>
      <w:r w:rsidR="00C83FC6">
        <w:noBreakHyphen/>
      </w:r>
      <w:r w:rsidR="00B453C6">
        <w:t>unionised workplaces.</w:t>
      </w:r>
      <w:r w:rsidR="00B453C6" w:rsidDel="00B453C6">
        <w:t xml:space="preserve"> </w:t>
      </w:r>
      <w:r>
        <w:t xml:space="preserve">Somewhat surprisingly, </w:t>
      </w:r>
      <w:r w:rsidR="00691FF0">
        <w:t>much of</w:t>
      </w:r>
      <w:r>
        <w:t xml:space="preserve"> </w:t>
      </w:r>
      <w:r w:rsidR="00AF37A1">
        <w:t>this shift</w:t>
      </w:r>
      <w:r>
        <w:t xml:space="preserve"> </w:t>
      </w:r>
      <w:r w:rsidR="00691FF0">
        <w:t xml:space="preserve">took place </w:t>
      </w:r>
      <w:r w:rsidR="00B73C58">
        <w:t xml:space="preserve">with the support of the union movement </w:t>
      </w:r>
      <w:r w:rsidR="0068535F">
        <w:t xml:space="preserve">and </w:t>
      </w:r>
      <w:r w:rsidR="007A2B61">
        <w:t xml:space="preserve">through </w:t>
      </w:r>
      <w:r>
        <w:t>a highly centralised mechanism</w:t>
      </w:r>
      <w:r w:rsidR="0068535F">
        <w:t>, the</w:t>
      </w:r>
      <w:r>
        <w:t xml:space="preserve"> Accor</w:t>
      </w:r>
      <w:r w:rsidR="00B73C58">
        <w:t>d</w:t>
      </w:r>
      <w:r>
        <w:t xml:space="preserve">. In part, </w:t>
      </w:r>
      <w:r w:rsidR="0062632A">
        <w:t xml:space="preserve">it </w:t>
      </w:r>
      <w:r>
        <w:t xml:space="preserve">was achieved by retaining safety nets for workers in the form of </w:t>
      </w:r>
      <w:r w:rsidR="003820BB">
        <w:t>so-called ‘</w:t>
      </w:r>
      <w:r>
        <w:t>awards</w:t>
      </w:r>
      <w:r w:rsidR="003820BB">
        <w:t xml:space="preserve">’ – </w:t>
      </w:r>
      <w:r w:rsidR="00B73C58">
        <w:t>centrally determined</w:t>
      </w:r>
      <w:r w:rsidR="002276B5">
        <w:t xml:space="preserve"> rulings that</w:t>
      </w:r>
      <w:r w:rsidR="003820BB">
        <w:t xml:space="preserve"> </w:t>
      </w:r>
      <w:r w:rsidR="002276B5">
        <w:t>set out</w:t>
      </w:r>
      <w:r>
        <w:t xml:space="preserve"> minimum pay and conditions</w:t>
      </w:r>
      <w:r w:rsidR="002276B5">
        <w:t xml:space="preserve"> for particular occupations or industries</w:t>
      </w:r>
      <w:r>
        <w:t>. But mostly it reflected the union movement’s acknowledgement</w:t>
      </w:r>
      <w:r w:rsidR="002276B5">
        <w:t>, following the economic turmoil of the 1970s and early 1980s,</w:t>
      </w:r>
      <w:r>
        <w:t xml:space="preserve"> </w:t>
      </w:r>
      <w:r w:rsidR="00141DDF">
        <w:t>that workers</w:t>
      </w:r>
      <w:r w:rsidR="000512F0">
        <w:t>’</w:t>
      </w:r>
      <w:r w:rsidR="00141DDF">
        <w:t xml:space="preserve"> interests would best </w:t>
      </w:r>
      <w:r w:rsidR="00286A98">
        <w:t xml:space="preserve">be </w:t>
      </w:r>
      <w:r w:rsidR="00141DDF">
        <w:t>served through productivity gains leading to higher real wages and more jobs</w:t>
      </w:r>
      <w:r>
        <w:t>. The</w:t>
      </w:r>
      <w:r w:rsidR="001D6F68">
        <w:t>se</w:t>
      </w:r>
      <w:r w:rsidR="007A2B61">
        <w:t xml:space="preserve"> </w:t>
      </w:r>
      <w:r w:rsidR="001D6F68">
        <w:t>reforms</w:t>
      </w:r>
      <w:r>
        <w:t xml:space="preserve"> had the effect of significantly reducing the number of workers on award wages and increasing the number on individual contracts (Chart 7). This has improved the flexibility of the Australian labour market, enabling it to respond relatively smooth</w:t>
      </w:r>
      <w:r w:rsidR="00286A98">
        <w:t>ly</w:t>
      </w:r>
      <w:r w:rsidR="00AA4801">
        <w:t xml:space="preserve"> </w:t>
      </w:r>
      <w:r>
        <w:t xml:space="preserve">when </w:t>
      </w:r>
      <w:r w:rsidR="00286A98">
        <w:t>later</w:t>
      </w:r>
      <w:r>
        <w:t xml:space="preserve"> economic shocks inevitably arrived.</w:t>
      </w:r>
    </w:p>
    <w:p w14:paraId="73EC55B3" w14:textId="77777777" w:rsidR="00607871" w:rsidRDefault="00286A98" w:rsidP="0063311E">
      <w:pPr>
        <w:spacing w:after="0"/>
      </w:pPr>
      <w:r>
        <w:t>Lastly</w:t>
      </w:r>
      <w:r w:rsidR="00C91287">
        <w:t xml:space="preserve">, the second </w:t>
      </w:r>
      <w:r w:rsidR="001D6F68">
        <w:t xml:space="preserve">wave </w:t>
      </w:r>
      <w:r w:rsidR="00C91287">
        <w:t xml:space="preserve">included </w:t>
      </w:r>
      <w:r w:rsidR="00C91287" w:rsidRPr="00FB5E41">
        <w:t xml:space="preserve">a </w:t>
      </w:r>
      <w:r w:rsidR="00C91287">
        <w:t>wide</w:t>
      </w:r>
      <w:r w:rsidR="00EB3919">
        <w:t xml:space="preserve"> </w:t>
      </w:r>
      <w:r w:rsidR="00C91287">
        <w:t>rang</w:t>
      </w:r>
      <w:r w:rsidR="00EB3919">
        <w:t>e</w:t>
      </w:r>
      <w:r w:rsidR="00C91287">
        <w:t xml:space="preserve"> </w:t>
      </w:r>
      <w:r w:rsidR="00C91287" w:rsidRPr="00FB5E41">
        <w:t>of r</w:t>
      </w:r>
      <w:r w:rsidR="00C91287">
        <w:t xml:space="preserve">eforms </w:t>
      </w:r>
      <w:r w:rsidR="00EB3919">
        <w:t>aimed at</w:t>
      </w:r>
      <w:r w:rsidR="00C91287" w:rsidRPr="00FB5E41">
        <w:t xml:space="preserve"> </w:t>
      </w:r>
      <w:r w:rsidR="00C91287">
        <w:t>promot</w:t>
      </w:r>
      <w:r w:rsidR="00EB3919">
        <w:t>ing</w:t>
      </w:r>
      <w:r w:rsidR="00C91287">
        <w:t xml:space="preserve"> competition and rais</w:t>
      </w:r>
      <w:r w:rsidR="004B0E0A">
        <w:t>ing</w:t>
      </w:r>
      <w:r w:rsidR="00C91287">
        <w:t xml:space="preserve"> productivity in a number of </w:t>
      </w:r>
      <w:r w:rsidR="00EB3919">
        <w:t xml:space="preserve">goods and services </w:t>
      </w:r>
      <w:r w:rsidR="00C91287">
        <w:t xml:space="preserve">markets. A crucial part of this agenda was the </w:t>
      </w:r>
      <w:r w:rsidR="00DE4E87">
        <w:t xml:space="preserve">corporatisation and subsequent </w:t>
      </w:r>
      <w:r w:rsidR="00C91287">
        <w:t xml:space="preserve">privatisation of government </w:t>
      </w:r>
      <w:r w:rsidR="00813F4E">
        <w:t xml:space="preserve">business </w:t>
      </w:r>
      <w:r w:rsidR="00C91287">
        <w:t xml:space="preserve">enterprises including the national carrier, Qantas, the country’s biggest bank, the Commonwealth Bank of Australia, and the monopoly telecommunications provider, Telstra. </w:t>
      </w:r>
      <w:r w:rsidR="00B453C6">
        <w:t>Reforms also focused on lowering input costs for business by promoting competition in the delivery of essential infrastructure services including energy, transport and communications</w:t>
      </w:r>
      <w:r w:rsidR="005A7915">
        <w:t>.</w:t>
      </w:r>
      <w:r w:rsidR="00D41C29">
        <w:rPr>
          <w:rStyle w:val="FootnoteReference"/>
        </w:rPr>
        <w:footnoteReference w:id="6"/>
      </w:r>
      <w:r w:rsidR="00B453C6">
        <w:t xml:space="preserve"> </w:t>
      </w:r>
      <w:r w:rsidR="00C91287">
        <w:t xml:space="preserve">In these and other markets, deregulation had the effect of pulling back </w:t>
      </w:r>
      <w:r w:rsidR="003D0D1B">
        <w:t xml:space="preserve">direct </w:t>
      </w:r>
      <w:r w:rsidR="00C91287">
        <w:t xml:space="preserve">government control and allowing resources to be allocated by market </w:t>
      </w:r>
      <w:r w:rsidR="002F3D3A">
        <w:t>mechanisms where possible</w:t>
      </w:r>
      <w:r w:rsidR="00C91287">
        <w:t xml:space="preserve"> – a</w:t>
      </w:r>
      <w:r w:rsidR="006E0496">
        <w:t> </w:t>
      </w:r>
      <w:r w:rsidR="00C91287">
        <w:t>shift witne</w:t>
      </w:r>
      <w:r w:rsidR="00B45C88">
        <w:t>ssed in other economies (Chart 8</w:t>
      </w:r>
      <w:r w:rsidR="00A237F9">
        <w:t>)</w:t>
      </w:r>
      <w:r w:rsidR="0063311E">
        <w:t>.</w:t>
      </w:r>
      <w:r w:rsidR="002F3D3A">
        <w:rPr>
          <w:rStyle w:val="FootnoteReference"/>
        </w:rPr>
        <w:footnoteReference w:id="7"/>
      </w:r>
    </w:p>
    <w:tbl>
      <w:tblPr>
        <w:tblStyle w:val="TableGrid"/>
        <w:tblW w:w="9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4637"/>
      </w:tblGrid>
      <w:tr w:rsidR="0029127A" w14:paraId="6A2E3CFE" w14:textId="77777777" w:rsidTr="006E0496">
        <w:tc>
          <w:tcPr>
            <w:tcW w:w="4637" w:type="dxa"/>
          </w:tcPr>
          <w:p w14:paraId="4CA0998E" w14:textId="77777777" w:rsidR="0029127A" w:rsidRDefault="0029127A" w:rsidP="0029127A">
            <w:pPr>
              <w:pStyle w:val="ChartMainHeading"/>
            </w:pPr>
            <w:r>
              <w:t xml:space="preserve">Chart 7: </w:t>
            </w:r>
            <w:r w:rsidRPr="00A40CFF">
              <w:t>Co</w:t>
            </w:r>
            <w:r>
              <w:t>verage of enterprise agreements</w:t>
            </w:r>
          </w:p>
        </w:tc>
        <w:tc>
          <w:tcPr>
            <w:tcW w:w="4637" w:type="dxa"/>
          </w:tcPr>
          <w:p w14:paraId="482FBB38" w14:textId="77777777" w:rsidR="0029127A" w:rsidRDefault="0029127A" w:rsidP="0029127A">
            <w:pPr>
              <w:pStyle w:val="ChartMainHeading"/>
            </w:pPr>
            <w:r>
              <w:t>Chart 8: OECD product market regulation scores</w:t>
            </w:r>
          </w:p>
        </w:tc>
      </w:tr>
      <w:tr w:rsidR="00067669" w14:paraId="2603F04E" w14:textId="77777777" w:rsidTr="006E0496">
        <w:tc>
          <w:tcPr>
            <w:tcW w:w="4637" w:type="dxa"/>
          </w:tcPr>
          <w:p w14:paraId="0AE6BA76" w14:textId="77777777" w:rsidR="00067669" w:rsidRPr="00334979" w:rsidRDefault="00714E09" w:rsidP="0029127A">
            <w:pPr>
              <w:pStyle w:val="ChartGraphic"/>
              <w:rPr>
                <w:sz w:val="18"/>
              </w:rPr>
            </w:pPr>
            <w:r>
              <w:object w:dxaOrig="4515" w:dyaOrig="4516" w14:anchorId="6E6072F6">
                <v:shape id="_x0000_i1028" type="#_x0000_t75" style="width:212.65pt;height:216.55pt;mso-position-vertical:absolute" o:ole="">
                  <v:imagedata r:id="rId40" o:title="" croptop="411f" cropleft="1646f"/>
                </v:shape>
                <o:OLEObject Type="Link" ProgID="Excel.Sheet.12" ShapeID="_x0000_i1028" DrawAspect="Content" r:id="rId41" UpdateMode="Always">
                  <o:LinkType>EnhancedMetaFile</o:LinkType>
                  <o:LockedField/>
                  <o:FieldCodes>\* MERGEFORMAT</o:FieldCodes>
                </o:OLEObject>
              </w:object>
            </w:r>
          </w:p>
        </w:tc>
        <w:tc>
          <w:tcPr>
            <w:tcW w:w="4637" w:type="dxa"/>
          </w:tcPr>
          <w:p w14:paraId="508C00B5" w14:textId="77777777" w:rsidR="00067669" w:rsidRPr="0029127A" w:rsidRDefault="0063311E" w:rsidP="0029127A">
            <w:pPr>
              <w:pStyle w:val="ChartGraphic"/>
              <w:rPr>
                <w:sz w:val="18"/>
                <w:szCs w:val="18"/>
              </w:rPr>
            </w:pPr>
            <w:r>
              <w:object w:dxaOrig="4530" w:dyaOrig="4530" w14:anchorId="052727F4">
                <v:shape id="_x0000_i1029" type="#_x0000_t75" style="width:215.4pt;height:216.3pt;mso-position-horizontal:absolute" o:ole="">
                  <v:imagedata r:id="rId42" o:title="" croptop="410f" cropbottom="820f" cropleft="1640f" cropright="410f"/>
                </v:shape>
                <o:OLEObject Type="Link" ProgID="Excel.Sheet.12" ShapeID="_x0000_i1029" DrawAspect="Content" r:id="rId43" UpdateMode="Always">
                  <o:LinkType>EnhancedMetaFile</o:LinkType>
                  <o:LockedField/>
                  <o:FieldCodes>\* MERGEFORMAT</o:FieldCodes>
                </o:OLEObject>
              </w:object>
            </w:r>
          </w:p>
        </w:tc>
      </w:tr>
      <w:tr w:rsidR="0029127A" w14:paraId="28452592" w14:textId="77777777" w:rsidTr="006E0496">
        <w:tc>
          <w:tcPr>
            <w:tcW w:w="4637" w:type="dxa"/>
          </w:tcPr>
          <w:p w14:paraId="00269DEE" w14:textId="77777777" w:rsidR="0029127A" w:rsidRDefault="0029127A" w:rsidP="001F05DE">
            <w:pPr>
              <w:pStyle w:val="ChartorTableNote"/>
              <w:ind w:left="170" w:right="113"/>
            </w:pPr>
            <w:r w:rsidRPr="00334979">
              <w:t>Note: Data prior to 2004 should be interpreted with caution, as it is approximate and drawn from a range of sources which may not be consistent. Prior to 1991, those not on awards are assumed to be on common law individual agreements, or</w:t>
            </w:r>
            <w:r w:rsidR="001F05DE">
              <w:t xml:space="preserve"> </w:t>
            </w:r>
            <w:proofErr w:type="spellStart"/>
            <w:r w:rsidR="00A237F9">
              <w:t>self employed</w:t>
            </w:r>
            <w:proofErr w:type="spellEnd"/>
            <w:r w:rsidR="00A237F9">
              <w:t>.</w:t>
            </w:r>
          </w:p>
          <w:p w14:paraId="648572C6" w14:textId="77777777" w:rsidR="0029127A" w:rsidRDefault="0029127A" w:rsidP="001F05DE">
            <w:pPr>
              <w:pStyle w:val="ChartorTableNote"/>
              <w:spacing w:after="0"/>
              <w:ind w:left="170" w:right="113"/>
              <w:rPr>
                <w:b/>
              </w:rPr>
            </w:pPr>
            <w:r w:rsidRPr="00334979">
              <w:t>Sources: Borland, J. "Labour market and industrial relations", ABS cat. no. 6105.0, ABS cat. no 6102.0, ABS cat. no 6306.0 and Departm</w:t>
            </w:r>
            <w:r w:rsidR="009B1BBE">
              <w:t>ent of Jobs and Small Business.</w:t>
            </w:r>
            <w:r w:rsidR="001F05DE">
              <w:t xml:space="preserve"> </w:t>
            </w:r>
            <w:r w:rsidRPr="00C43548">
              <w:t>ABS cat. no. 6306.0.</w:t>
            </w:r>
          </w:p>
        </w:tc>
        <w:tc>
          <w:tcPr>
            <w:tcW w:w="4637" w:type="dxa"/>
          </w:tcPr>
          <w:p w14:paraId="6E91026D" w14:textId="77777777" w:rsidR="0029127A" w:rsidRDefault="0029127A" w:rsidP="001F05DE">
            <w:pPr>
              <w:pStyle w:val="ChartorTableNote"/>
              <w:ind w:left="113"/>
            </w:pPr>
            <w:r w:rsidRPr="00D45B26">
              <w:t>Source: OECD.</w:t>
            </w:r>
          </w:p>
          <w:p w14:paraId="4C16F86C" w14:textId="77777777" w:rsidR="0029127A" w:rsidRDefault="0029127A" w:rsidP="001F05DE">
            <w:pPr>
              <w:pStyle w:val="ChartorTableNote"/>
              <w:ind w:left="113"/>
              <w:rPr>
                <w:b/>
              </w:rPr>
            </w:pPr>
            <w:r w:rsidRPr="002E2562">
              <w:rPr>
                <w:szCs w:val="18"/>
              </w:rPr>
              <w:t xml:space="preserve">Note: A lower score indicates less </w:t>
            </w:r>
            <w:r>
              <w:rPr>
                <w:szCs w:val="18"/>
              </w:rPr>
              <w:t>product market</w:t>
            </w:r>
            <w:r w:rsidRPr="005B7846">
              <w:rPr>
                <w:szCs w:val="18"/>
              </w:rPr>
              <w:t xml:space="preserve"> regulation</w:t>
            </w:r>
            <w:r>
              <w:rPr>
                <w:szCs w:val="18"/>
              </w:rPr>
              <w:t>.</w:t>
            </w:r>
          </w:p>
        </w:tc>
      </w:tr>
    </w:tbl>
    <w:p w14:paraId="7FBF1FD0" w14:textId="77777777" w:rsidR="00EE6011" w:rsidRDefault="00EE6011" w:rsidP="00F526CB">
      <w:pPr>
        <w:pStyle w:val="SingleParagraph"/>
      </w:pPr>
    </w:p>
    <w:p w14:paraId="62345D3B" w14:textId="77777777" w:rsidR="00B453C6" w:rsidRDefault="00B453C6" w:rsidP="00CE4D9B">
      <w:r>
        <w:t xml:space="preserve">These were arguably the most premeditated and planned </w:t>
      </w:r>
      <w:r w:rsidR="00D91D42">
        <w:t xml:space="preserve">economic </w:t>
      </w:r>
      <w:r>
        <w:t>reforms undertaken in Australia</w:t>
      </w:r>
      <w:r w:rsidR="000C38A6">
        <w:t xml:space="preserve">, particularly where they </w:t>
      </w:r>
      <w:r>
        <w:t>demanded coordination between federal and State governments</w:t>
      </w:r>
      <w:r w:rsidR="00587CBD">
        <w:t>.</w:t>
      </w:r>
      <w:r w:rsidR="009B47B8">
        <w:rPr>
          <w:rStyle w:val="FootnoteReference"/>
        </w:rPr>
        <w:footnoteReference w:id="8"/>
      </w:r>
      <w:r>
        <w:t xml:space="preserve"> This is because the</w:t>
      </w:r>
      <w:r w:rsidR="00D91D42">
        <w:t>ir</w:t>
      </w:r>
      <w:r>
        <w:t xml:space="preserve"> effect </w:t>
      </w:r>
      <w:r w:rsidR="00CE3966">
        <w:t xml:space="preserve">was to increase </w:t>
      </w:r>
      <w:r w:rsidR="00720B3B">
        <w:t xml:space="preserve">the rate </w:t>
      </w:r>
      <w:r>
        <w:t xml:space="preserve">of economic growth </w:t>
      </w:r>
      <w:r w:rsidR="00720B3B">
        <w:t>and there</w:t>
      </w:r>
      <w:r w:rsidR="00D91D42">
        <w:t>fore</w:t>
      </w:r>
      <w:r w:rsidR="00720B3B">
        <w:t xml:space="preserve"> </w:t>
      </w:r>
      <w:r w:rsidR="004960F5">
        <w:t>f</w:t>
      </w:r>
      <w:r w:rsidR="00720B3B">
        <w:t>ederal government revenues</w:t>
      </w:r>
      <w:r w:rsidR="00D91D42">
        <w:t>,</w:t>
      </w:r>
      <w:r w:rsidR="00720B3B">
        <w:t xml:space="preserve"> </w:t>
      </w:r>
      <w:r>
        <w:t>wh</w:t>
      </w:r>
      <w:r w:rsidR="00D91D42">
        <w:t>ereas</w:t>
      </w:r>
      <w:r>
        <w:t xml:space="preserve"> state government revenues from the operation of assets were expected to fall</w:t>
      </w:r>
      <w:r w:rsidR="00587CBD">
        <w:t>.</w:t>
      </w:r>
      <w:r w:rsidR="001D0749">
        <w:rPr>
          <w:rStyle w:val="FootnoteReference"/>
        </w:rPr>
        <w:footnoteReference w:id="9"/>
      </w:r>
      <w:r>
        <w:t xml:space="preserve"> This </w:t>
      </w:r>
      <w:r w:rsidR="00D91D42">
        <w:t xml:space="preserve">outcome </w:t>
      </w:r>
      <w:r>
        <w:t>motivated a system of ‘competition payments’</w:t>
      </w:r>
      <w:r w:rsidR="00D91D42">
        <w:t>,</w:t>
      </w:r>
      <w:r>
        <w:t xml:space="preserve"> from the </w:t>
      </w:r>
      <w:r w:rsidR="00757217">
        <w:t>f</w:t>
      </w:r>
      <w:r>
        <w:t xml:space="preserve">ederal to </w:t>
      </w:r>
      <w:r w:rsidR="00D91D42">
        <w:t>s</w:t>
      </w:r>
      <w:r>
        <w:t xml:space="preserve">tate governments, </w:t>
      </w:r>
      <w:r w:rsidR="00CE3966">
        <w:t>that were conditional</w:t>
      </w:r>
      <w:r>
        <w:t xml:space="preserve"> on an independent assessment of </w:t>
      </w:r>
      <w:r w:rsidR="00D91D42">
        <w:t xml:space="preserve">the states’ </w:t>
      </w:r>
      <w:r>
        <w:t xml:space="preserve">progress in implementing reforms. </w:t>
      </w:r>
      <w:r w:rsidR="009154A0">
        <w:t xml:space="preserve">Microeconomic reform by </w:t>
      </w:r>
      <w:r w:rsidR="00D91D42">
        <w:t>s</w:t>
      </w:r>
      <w:r w:rsidR="009154A0">
        <w:t xml:space="preserve">tate and federal governments </w:t>
      </w:r>
      <w:r w:rsidR="00D91D42">
        <w:t xml:space="preserve">subsequently </w:t>
      </w:r>
      <w:r w:rsidR="009154A0">
        <w:t>continued from the mid</w:t>
      </w:r>
      <w:r w:rsidR="00242199">
        <w:t>-</w:t>
      </w:r>
      <w:r w:rsidR="009154A0">
        <w:t xml:space="preserve">2000s under the </w:t>
      </w:r>
      <w:r w:rsidR="00D91D42">
        <w:t xml:space="preserve">so-called </w:t>
      </w:r>
      <w:r w:rsidR="009154A0">
        <w:t>National Reform Agenda, which targeted improvements in competition policy, regulation and human capital.</w:t>
      </w:r>
    </w:p>
    <w:p w14:paraId="0DE98537" w14:textId="77777777" w:rsidR="00067669" w:rsidRDefault="00067669" w:rsidP="00CE4D9B">
      <w:r>
        <w:t>Following these reforms, productivity growth rebounded in the 1990s, after having been weak compared with other countries over preceding decades (Chart 9</w:t>
      </w:r>
      <w:r w:rsidRPr="00241791">
        <w:t xml:space="preserve">). </w:t>
      </w:r>
      <w:r>
        <w:t xml:space="preserve">This is likely to have contributed to the </w:t>
      </w:r>
      <w:r w:rsidR="00B10482">
        <w:t xml:space="preserve">lift </w:t>
      </w:r>
      <w:r>
        <w:t xml:space="preserve">in </w:t>
      </w:r>
      <w:r w:rsidRPr="00241791">
        <w:t>exports as a share of GDP over this period, although the rise of manufacturing value-added chains complicates a comparison with other countries</w:t>
      </w:r>
      <w:r>
        <w:t xml:space="preserve"> (Chart 10)</w:t>
      </w:r>
      <w:r w:rsidRPr="0024179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37"/>
        <w:gridCol w:w="4637"/>
      </w:tblGrid>
      <w:tr w:rsidR="0029127A" w14:paraId="747B0C91" w14:textId="77777777" w:rsidTr="006E0496">
        <w:tc>
          <w:tcPr>
            <w:tcW w:w="4637" w:type="dxa"/>
          </w:tcPr>
          <w:p w14:paraId="52A84E38" w14:textId="77777777" w:rsidR="0029127A" w:rsidRDefault="0029127A" w:rsidP="0029127A">
            <w:pPr>
              <w:pStyle w:val="ChartMainHeading"/>
            </w:pPr>
            <w:r>
              <w:t>Chart 9: Labour productivity</w:t>
            </w:r>
          </w:p>
        </w:tc>
        <w:tc>
          <w:tcPr>
            <w:tcW w:w="4637" w:type="dxa"/>
          </w:tcPr>
          <w:p w14:paraId="1DCD9FE0" w14:textId="77777777" w:rsidR="0029127A" w:rsidRDefault="0029127A" w:rsidP="0029127A">
            <w:pPr>
              <w:pStyle w:val="ChartMainHeading"/>
            </w:pPr>
            <w:r>
              <w:t>Chart 10: Australia’s trade intensity</w:t>
            </w:r>
          </w:p>
        </w:tc>
      </w:tr>
      <w:tr w:rsidR="00067669" w14:paraId="3B2F4F81" w14:textId="77777777" w:rsidTr="006E0496">
        <w:tc>
          <w:tcPr>
            <w:tcW w:w="4637" w:type="dxa"/>
          </w:tcPr>
          <w:p w14:paraId="2F9E1FB9" w14:textId="77777777" w:rsidR="00067669" w:rsidRPr="006E0496" w:rsidRDefault="006F1AD3" w:rsidP="006E0496">
            <w:pPr>
              <w:pStyle w:val="ChartGraphic"/>
            </w:pPr>
            <w:r w:rsidRPr="006E0496">
              <w:rPr>
                <w:noProof/>
              </w:rPr>
              <w:drawing>
                <wp:inline distT="0" distB="0" distL="0" distR="0" wp14:anchorId="4A34745C" wp14:editId="5960DA84">
                  <wp:extent cx="2604919" cy="2721694"/>
                  <wp:effectExtent l="0" t="0" r="508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05104" cy="2721887"/>
                          </a:xfrm>
                          <a:prstGeom prst="rect">
                            <a:avLst/>
                          </a:prstGeom>
                          <a:noFill/>
                        </pic:spPr>
                      </pic:pic>
                    </a:graphicData>
                  </a:graphic>
                </wp:inline>
              </w:drawing>
            </w:r>
          </w:p>
        </w:tc>
        <w:tc>
          <w:tcPr>
            <w:tcW w:w="4637" w:type="dxa"/>
          </w:tcPr>
          <w:p w14:paraId="6033B839" w14:textId="77777777" w:rsidR="00067669" w:rsidRPr="006E0496" w:rsidRDefault="00831AF8" w:rsidP="006E0496">
            <w:pPr>
              <w:pStyle w:val="ChartGraphic"/>
            </w:pPr>
            <w:r w:rsidRPr="006E0496">
              <w:rPr>
                <w:rStyle w:val="ChartGraphicChar"/>
                <w:rFonts w:eastAsiaTheme="minorHAnsi"/>
              </w:rPr>
              <w:object w:dxaOrig="4530" w:dyaOrig="4530" w14:anchorId="73ABE5C6">
                <v:shape id="_x0000_i1030" type="#_x0000_t75" style="width:205.9pt;height:214.95pt;mso-position-horizontal:absolute" o:ole="">
                  <v:imagedata r:id="rId45" o:title="" croptop="410f" cropbottom="410f" cropleft="2050f" cropright="1640f"/>
                </v:shape>
                <o:OLEObject Type="Link" ProgID="Excel.Sheet.12" ShapeID="_x0000_i1030" DrawAspect="Content" r:id="rId46" UpdateMode="Always">
                  <o:LinkType>EnhancedMetaFile</o:LinkType>
                  <o:LockedField/>
                  <o:FieldCodes>\* MERGEFORMAT</o:FieldCodes>
                </o:OLEObject>
              </w:object>
            </w:r>
          </w:p>
        </w:tc>
      </w:tr>
      <w:tr w:rsidR="0029127A" w14:paraId="77B5E959" w14:textId="77777777" w:rsidTr="006E0496">
        <w:tc>
          <w:tcPr>
            <w:tcW w:w="4637" w:type="dxa"/>
          </w:tcPr>
          <w:p w14:paraId="2109D7D0" w14:textId="77777777" w:rsidR="0029127A" w:rsidRDefault="0029127A" w:rsidP="001F05DE">
            <w:pPr>
              <w:pStyle w:val="ChartorTableNote"/>
              <w:ind w:left="113"/>
              <w:rPr>
                <w:b/>
              </w:rPr>
            </w:pPr>
            <w:r w:rsidRPr="00424EDD">
              <w:t>Source: ABS cat. no. 5204.0.</w:t>
            </w:r>
          </w:p>
        </w:tc>
        <w:tc>
          <w:tcPr>
            <w:tcW w:w="4637" w:type="dxa"/>
          </w:tcPr>
          <w:p w14:paraId="11A91923" w14:textId="77777777" w:rsidR="0029127A" w:rsidRDefault="0029127A" w:rsidP="001F05DE">
            <w:pPr>
              <w:pStyle w:val="ChartorTableNote"/>
              <w:ind w:left="170" w:right="57"/>
            </w:pPr>
            <w:r w:rsidRPr="00D45B26">
              <w:t xml:space="preserve">Note: Trade intensity is calculated as the sum of </w:t>
            </w:r>
            <w:r>
              <w:t xml:space="preserve">nominal </w:t>
            </w:r>
            <w:r w:rsidRPr="00D45B26">
              <w:t xml:space="preserve">imports and exports as a share of </w:t>
            </w:r>
            <w:r>
              <w:t xml:space="preserve">nominal </w:t>
            </w:r>
            <w:r w:rsidRPr="00D45B26">
              <w:t>GDP.</w:t>
            </w:r>
          </w:p>
          <w:p w14:paraId="1F360DA3" w14:textId="77777777" w:rsidR="0029127A" w:rsidRDefault="0029127A" w:rsidP="001F05DE">
            <w:pPr>
              <w:pStyle w:val="ChartorTableNote"/>
              <w:ind w:left="170" w:right="57"/>
              <w:rPr>
                <w:b/>
              </w:rPr>
            </w:pPr>
            <w:r w:rsidRPr="00C43548">
              <w:t xml:space="preserve">Source: ABS cat. no. </w:t>
            </w:r>
            <w:r>
              <w:t>5206</w:t>
            </w:r>
            <w:r w:rsidRPr="00C43548">
              <w:t>.0</w:t>
            </w:r>
            <w:r>
              <w:t>.</w:t>
            </w:r>
          </w:p>
        </w:tc>
      </w:tr>
    </w:tbl>
    <w:p w14:paraId="18C5F1F2" w14:textId="77777777" w:rsidR="009B1BBE" w:rsidRDefault="009B1BBE" w:rsidP="0029127A">
      <w:pPr>
        <w:pStyle w:val="SingleParagraph"/>
      </w:pPr>
      <w:bookmarkStart w:id="63" w:name="_Toc525736239"/>
      <w:bookmarkStart w:id="64" w:name="_Toc525743538"/>
      <w:bookmarkStart w:id="65" w:name="_Toc525912218"/>
      <w:bookmarkStart w:id="66" w:name="_Toc525915339"/>
      <w:bookmarkStart w:id="67" w:name="_Toc526355328"/>
      <w:bookmarkStart w:id="68" w:name="_Toc526413588"/>
    </w:p>
    <w:p w14:paraId="7CDF9911" w14:textId="77777777" w:rsidR="00067669" w:rsidRPr="00B120F3" w:rsidRDefault="00067669" w:rsidP="00447E63">
      <w:pPr>
        <w:pStyle w:val="Heading3"/>
      </w:pPr>
      <w:bookmarkStart w:id="69" w:name="_Toc526935108"/>
      <w:r w:rsidRPr="00B120F3">
        <w:t>Thir</w:t>
      </w:r>
      <w:r w:rsidRPr="00B120F3">
        <w:rPr>
          <w:rStyle w:val="Heading3Char"/>
          <w:rFonts w:eastAsiaTheme="minorHAnsi"/>
        </w:rPr>
        <w:t>d</w:t>
      </w:r>
      <w:r w:rsidRPr="00B120F3">
        <w:t xml:space="preserve"> </w:t>
      </w:r>
      <w:r w:rsidR="009A0AD2">
        <w:t>wave</w:t>
      </w:r>
      <w:r w:rsidR="009A0AD2" w:rsidRPr="00B120F3">
        <w:t xml:space="preserve"> </w:t>
      </w:r>
      <w:r w:rsidRPr="00B120F3">
        <w:t>of reforms</w:t>
      </w:r>
      <w:bookmarkEnd w:id="63"/>
      <w:bookmarkEnd w:id="64"/>
      <w:bookmarkEnd w:id="65"/>
      <w:bookmarkEnd w:id="66"/>
      <w:bookmarkEnd w:id="67"/>
      <w:bookmarkEnd w:id="68"/>
      <w:bookmarkEnd w:id="69"/>
    </w:p>
    <w:p w14:paraId="29001E4F" w14:textId="77777777" w:rsidR="00067669" w:rsidRDefault="00067669" w:rsidP="00831AF8">
      <w:pPr>
        <w:spacing w:after="200"/>
      </w:pPr>
      <w:r>
        <w:t xml:space="preserve">The third </w:t>
      </w:r>
      <w:r w:rsidR="009A0AD2">
        <w:t>wave</w:t>
      </w:r>
      <w:r>
        <w:t xml:space="preserve"> of reform targeted fiscal and monetary policy. S</w:t>
      </w:r>
      <w:r w:rsidRPr="00CC1991">
        <w:t>uccessive governments introduced reforms that coaxed fiscal discipline, broadened the tax base</w:t>
      </w:r>
      <w:r>
        <w:t xml:space="preserve">, raised national saving, and improved the sustainability of large spending programs </w:t>
      </w:r>
      <w:r w:rsidR="00CE1076">
        <w:t>such as health,</w:t>
      </w:r>
      <w:r>
        <w:t xml:space="preserve"> welfare and education. </w:t>
      </w:r>
      <w:r w:rsidRPr="0072176A">
        <w:t xml:space="preserve">Through a range of measures – on tax, spending and institutional settings – </w:t>
      </w:r>
      <w:r w:rsidR="00242199">
        <w:t>governments</w:t>
      </w:r>
      <w:r w:rsidR="00242199" w:rsidRPr="0072176A">
        <w:t xml:space="preserve"> </w:t>
      </w:r>
      <w:r w:rsidRPr="007B193A">
        <w:t>took steps to impose greater discipline on fiscal policy without compromising social welfare ob</w:t>
      </w:r>
      <w:r w:rsidRPr="0072176A">
        <w:t>jectives</w:t>
      </w:r>
      <w:r w:rsidRPr="00CC1991">
        <w:t xml:space="preserve">. </w:t>
      </w:r>
      <w:r>
        <w:t xml:space="preserve">Combined with the sale of government enterprises, this helped to reduce </w:t>
      </w:r>
      <w:r w:rsidR="004C131E">
        <w:t xml:space="preserve">net debt </w:t>
      </w:r>
      <w:r>
        <w:t>(Chart</w:t>
      </w:r>
      <w:r w:rsidR="0029127A">
        <w:t> </w:t>
      </w:r>
      <w:r>
        <w:t>11</w:t>
      </w:r>
      <w:r w:rsidR="004C131E">
        <w:t>)</w:t>
      </w:r>
      <w:r w:rsidR="00EF3372">
        <w:t xml:space="preserve"> – leaving Australia especially well placed to weather the </w:t>
      </w:r>
      <w:r w:rsidR="00C35FAF">
        <w:t>2007-08</w:t>
      </w:r>
      <w:r w:rsidR="00EF3372">
        <w:t xml:space="preserve"> global financial crisis. </w:t>
      </w:r>
      <w:r w:rsidR="00E72F01">
        <w:t xml:space="preserve">Tax reform was also </w:t>
      </w:r>
      <w:r w:rsidR="00EF3372">
        <w:t>pursued</w:t>
      </w:r>
      <w:r w:rsidR="00E72F01">
        <w:t xml:space="preserve"> to support economic performance, including company tax cuts that improved Australia’s international competitiveness and personal income tax cuts that aided workforce </w:t>
      </w:r>
      <w:proofErr w:type="spellStart"/>
      <w:r w:rsidR="00E72F01">
        <w:t>partication</w:t>
      </w:r>
      <w:proofErr w:type="spellEnd"/>
      <w:r w:rsidR="00E72F01">
        <w:t>.</w:t>
      </w:r>
      <w:r w:rsidR="004C131E">
        <w:t xml:space="preserve"> </w:t>
      </w:r>
      <w:r w:rsidR="006A4B36">
        <w:t>In 1996</w:t>
      </w:r>
      <w:r w:rsidR="000E6058">
        <w:t xml:space="preserve"> a</w:t>
      </w:r>
      <w:r w:rsidR="000E6058" w:rsidRPr="00F738AC">
        <w:t xml:space="preserve"> </w:t>
      </w:r>
      <w:r w:rsidR="000E6058">
        <w:t>Charter of Budget Honesty was introduced to formalise an approach to fiscal management</w:t>
      </w:r>
      <w:r w:rsidR="00105864">
        <w:t>.</w:t>
      </w:r>
      <w:r w:rsidR="000E6058" w:rsidRPr="00CC1991">
        <w:t xml:space="preserve"> </w:t>
      </w:r>
      <w:r w:rsidRPr="00CC1991">
        <w:t xml:space="preserve">In addition, </w:t>
      </w:r>
      <w:r>
        <w:t>the shift to an independent, inflation-targeting central bank, which has</w:t>
      </w:r>
      <w:r w:rsidR="00286A98">
        <w:t xml:space="preserve"> </w:t>
      </w:r>
      <w:r>
        <w:t>maintain</w:t>
      </w:r>
      <w:r w:rsidR="004960F5">
        <w:t>ed</w:t>
      </w:r>
      <w:r>
        <w:t xml:space="preserve"> low and stable inflation in Australia over recent decades (Chart</w:t>
      </w:r>
      <w:r w:rsidR="00607871">
        <w:t> </w:t>
      </w:r>
      <w:r>
        <w:t xml:space="preserve">12), was </w:t>
      </w:r>
      <w:r w:rsidRPr="00CC1991">
        <w:t xml:space="preserve">formalised in the 1996 </w:t>
      </w:r>
      <w:r w:rsidRPr="00CC1991">
        <w:rPr>
          <w:i/>
        </w:rPr>
        <w:t>Statement on the Conduct of Monetary Policy</w:t>
      </w:r>
      <w:r>
        <w:t>.</w:t>
      </w:r>
    </w:p>
    <w:p w14:paraId="04977D37" w14:textId="77777777" w:rsidR="004C131E" w:rsidRDefault="00607871" w:rsidP="00831AF8">
      <w:pPr>
        <w:spacing w:after="0"/>
      </w:pPr>
      <w:r>
        <w:t>Since the late 1990s, most major reforms in Australia</w:t>
      </w:r>
      <w:r w:rsidDel="00214C8D">
        <w:t xml:space="preserve"> </w:t>
      </w:r>
      <w:r>
        <w:t>have been to tax policy, even if a number were subsequently repealed. In general, governments have sought to broaden the tax base and reduce reliance on income taxes, including through the introduction of a 10 per cent goods and services tax (GST) in 2000.</w:t>
      </w:r>
      <w:r>
        <w:rPr>
          <w:rStyle w:val="FootnoteReference"/>
        </w:rPr>
        <w:footnoteReference w:id="10"/>
      </w:r>
      <w:r>
        <w:t xml:space="preserve"> Notably, there has been relatively little reform in the resources sector, despite its importance to the national economy. This largely reflects the nature of that sector in Australia, which is privately owned and has operated with </w:t>
      </w:r>
      <w:r w:rsidR="00CE1076">
        <w:t xml:space="preserve">relatively </w:t>
      </w:r>
      <w:r>
        <w:t>little government involvement for most of its history. Still, resources taxation has been the subject of much debate. After a 2010 review concluded the sector was undertaxed</w:t>
      </w:r>
      <w:r w:rsidR="006232E8">
        <w:t>,</w:t>
      </w:r>
      <w:r>
        <w:rPr>
          <w:rStyle w:val="FootnoteReference"/>
        </w:rPr>
        <w:footnoteReference w:id="11"/>
      </w:r>
      <w:r>
        <w:t xml:space="preserve"> a Minerals Resource Rent Tax was legislated but repealed two years later. More recently, a 2017 review called for a rethink of how new oil and gas projects are taxed.</w:t>
      </w:r>
      <w:r>
        <w:rPr>
          <w:rStyle w:val="FootnoteReference"/>
        </w:rPr>
        <w:footnoteReference w:id="12"/>
      </w:r>
    </w:p>
    <w:tbl>
      <w:tblPr>
        <w:tblStyle w:val="TableGrid"/>
        <w:tblW w:w="9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4637"/>
      </w:tblGrid>
      <w:tr w:rsidR="008647D4" w14:paraId="0BBB17C4" w14:textId="77777777" w:rsidTr="0063311E">
        <w:trPr>
          <w:trHeight w:val="374"/>
        </w:trPr>
        <w:tc>
          <w:tcPr>
            <w:tcW w:w="4637" w:type="dxa"/>
          </w:tcPr>
          <w:p w14:paraId="42AB6984" w14:textId="77777777" w:rsidR="008647D4" w:rsidRDefault="008647D4" w:rsidP="00EE1CB2">
            <w:pPr>
              <w:pStyle w:val="ChartMainHeading"/>
            </w:pPr>
            <w:r>
              <w:t>Chart 11: General government net debt as a share of GDP</w:t>
            </w:r>
          </w:p>
        </w:tc>
        <w:tc>
          <w:tcPr>
            <w:tcW w:w="4637" w:type="dxa"/>
            <w:vAlign w:val="bottom"/>
          </w:tcPr>
          <w:p w14:paraId="44FBD22E" w14:textId="77777777" w:rsidR="008647D4" w:rsidRDefault="008647D4" w:rsidP="0063311E">
            <w:pPr>
              <w:pStyle w:val="ChartMainHeading"/>
            </w:pPr>
            <w:r>
              <w:t>Chart 12: CPI i</w:t>
            </w:r>
            <w:r w:rsidRPr="00A40CFF">
              <w:t>nflation</w:t>
            </w:r>
          </w:p>
        </w:tc>
      </w:tr>
      <w:tr w:rsidR="005F39A2" w14:paraId="753D2783" w14:textId="77777777" w:rsidTr="006E0496">
        <w:trPr>
          <w:trHeight w:val="4073"/>
        </w:trPr>
        <w:tc>
          <w:tcPr>
            <w:tcW w:w="4637" w:type="dxa"/>
          </w:tcPr>
          <w:p w14:paraId="238B60A5" w14:textId="77777777" w:rsidR="005F39A2" w:rsidRDefault="0073028D" w:rsidP="006E0496">
            <w:pPr>
              <w:pStyle w:val="ChartGraphic"/>
            </w:pPr>
            <w:r>
              <w:rPr>
                <w:rFonts w:eastAsiaTheme="minorHAnsi"/>
                <w:noProof/>
              </w:rPr>
              <w:object w:dxaOrig="4530" w:dyaOrig="4530" w14:anchorId="249AC562">
                <v:shape id="_x0000_i1031" type="#_x0000_t75" style="width:205.9pt;height:210.65pt;mso-position-vertical:absolute" o:ole="">
                  <v:imagedata r:id="rId47" o:title="" croptop="410f" cropbottom="574f" cropleft="1640f" cropright="820f"/>
                </v:shape>
                <o:OLEObject Type="Link" ProgID="Excel.Sheet.12" ShapeID="_x0000_i1031" DrawAspect="Content" r:id="rId48" UpdateMode="Always">
                  <o:LinkType>EnhancedMetaFile</o:LinkType>
                  <o:LockedField/>
                  <o:FieldCodes>\* MERGEFORMAT</o:FieldCodes>
                </o:OLEObject>
              </w:object>
            </w:r>
          </w:p>
        </w:tc>
        <w:tc>
          <w:tcPr>
            <w:tcW w:w="4637" w:type="dxa"/>
          </w:tcPr>
          <w:p w14:paraId="35075463" w14:textId="77777777" w:rsidR="005F39A2" w:rsidRPr="00EE1CB2" w:rsidRDefault="0073028D" w:rsidP="006E0496">
            <w:pPr>
              <w:pStyle w:val="ChartGraphic"/>
              <w:rPr>
                <w:noProof/>
              </w:rPr>
            </w:pPr>
            <w:r>
              <w:object w:dxaOrig="4530" w:dyaOrig="4530" w14:anchorId="6092FC05">
                <v:shape id="_x0000_i1032" type="#_x0000_t75" style="width:206.55pt;height:210.65pt" o:ole="">
                  <v:imagedata r:id="rId49" o:title="" croptop="410f" cropbottom="820f" cropleft="1640f" cropright="820f"/>
                </v:shape>
                <o:OLEObject Type="Link" ProgID="Excel.Sheet.12" ShapeID="_x0000_i1032" DrawAspect="Content" r:id="rId50" UpdateMode="Always">
                  <o:LinkType>EnhancedMetaFile</o:LinkType>
                  <o:LockedField/>
                  <o:FieldCodes>\* MERGEFORMAT</o:FieldCodes>
                </o:OLEObject>
              </w:object>
            </w:r>
          </w:p>
        </w:tc>
      </w:tr>
      <w:tr w:rsidR="008647D4" w:rsidRPr="00EE1CB2" w14:paraId="7B91560E" w14:textId="77777777" w:rsidTr="006E0496">
        <w:trPr>
          <w:trHeight w:val="554"/>
        </w:trPr>
        <w:tc>
          <w:tcPr>
            <w:tcW w:w="4637" w:type="dxa"/>
          </w:tcPr>
          <w:p w14:paraId="4621CCB8" w14:textId="77777777" w:rsidR="008647D4" w:rsidRPr="00EE1CB2" w:rsidRDefault="008647D4" w:rsidP="001F05DE">
            <w:pPr>
              <w:pStyle w:val="ChartorTableNote"/>
              <w:ind w:left="113" w:right="113"/>
            </w:pPr>
            <w:r w:rsidRPr="00EE1CB2">
              <w:t>Note: General government net debt, which includes all levels of government.</w:t>
            </w:r>
          </w:p>
          <w:p w14:paraId="19B7798D" w14:textId="77777777" w:rsidR="008647D4" w:rsidRPr="00EE1CB2" w:rsidRDefault="008647D4" w:rsidP="00A237F9">
            <w:pPr>
              <w:pStyle w:val="ChartorTableNote"/>
              <w:ind w:left="113" w:right="113"/>
            </w:pPr>
            <w:r w:rsidRPr="00EE1CB2">
              <w:t>Source: IMF World Economic Outlook Database, April</w:t>
            </w:r>
            <w:r w:rsidR="001F05DE">
              <w:t> </w:t>
            </w:r>
            <w:r w:rsidRPr="00EE1CB2">
              <w:t>2</w:t>
            </w:r>
            <w:r w:rsidR="00A237F9">
              <w:t xml:space="preserve">018; Thomson Reuters </w:t>
            </w:r>
            <w:proofErr w:type="spellStart"/>
            <w:r w:rsidR="00A237F9">
              <w:t>Datastream</w:t>
            </w:r>
            <w:proofErr w:type="spellEnd"/>
            <w:r w:rsidR="00A237F9">
              <w:t>.</w:t>
            </w:r>
          </w:p>
        </w:tc>
        <w:tc>
          <w:tcPr>
            <w:tcW w:w="4637" w:type="dxa"/>
          </w:tcPr>
          <w:p w14:paraId="2EBECD5F" w14:textId="77777777" w:rsidR="008647D4" w:rsidRPr="00EE1CB2" w:rsidRDefault="008647D4" w:rsidP="001F05DE">
            <w:pPr>
              <w:pStyle w:val="ChartorTableNote"/>
              <w:ind w:left="57" w:right="113"/>
            </w:pPr>
            <w:r w:rsidRPr="00EE1CB2">
              <w:t>Note: The shaded area indicates the RBA’s inflation target band.</w:t>
            </w:r>
          </w:p>
          <w:p w14:paraId="68D9835C" w14:textId="77777777" w:rsidR="008647D4" w:rsidRPr="00EE1CB2" w:rsidRDefault="008647D4" w:rsidP="001F05DE">
            <w:pPr>
              <w:pStyle w:val="ChartorTableNote"/>
              <w:ind w:left="57" w:right="113"/>
            </w:pPr>
            <w:r w:rsidRPr="00EE1CB2">
              <w:t>Source: ABS cat. no. 6401.0.</w:t>
            </w:r>
          </w:p>
        </w:tc>
      </w:tr>
    </w:tbl>
    <w:p w14:paraId="119F5E09" w14:textId="77777777" w:rsidR="001D699E" w:rsidRPr="001F05DE" w:rsidRDefault="001D699E" w:rsidP="0073028D">
      <w:pPr>
        <w:pStyle w:val="SingleParagraph"/>
      </w:pPr>
      <w:bookmarkStart w:id="70" w:name="_Toc516147531"/>
      <w:bookmarkStart w:id="71" w:name="_Toc516664488"/>
      <w:bookmarkStart w:id="72" w:name="_Toc516753468"/>
      <w:bookmarkStart w:id="73" w:name="_Toc516833767"/>
      <w:bookmarkStart w:id="74" w:name="_Toc516836149"/>
      <w:bookmarkStart w:id="75" w:name="_Toc516838451"/>
      <w:bookmarkStart w:id="76" w:name="_Toc517097811"/>
      <w:bookmarkStart w:id="77" w:name="_Toc517098717"/>
      <w:bookmarkStart w:id="78" w:name="_Toc517099862"/>
      <w:bookmarkStart w:id="79" w:name="_Toc517184559"/>
      <w:bookmarkStart w:id="80" w:name="_Toc517192064"/>
      <w:bookmarkStart w:id="81" w:name="_Toc518903588"/>
      <w:bookmarkStart w:id="82" w:name="_Toc518922770"/>
      <w:bookmarkStart w:id="83" w:name="_Toc520472190"/>
      <w:bookmarkStart w:id="84" w:name="_Toc520472726"/>
      <w:bookmarkStart w:id="85" w:name="_Toc520812375"/>
      <w:bookmarkStart w:id="86" w:name="_Toc520819469"/>
      <w:bookmarkStart w:id="87" w:name="_Toc525736240"/>
      <w:bookmarkStart w:id="88" w:name="_Toc525743539"/>
      <w:bookmarkStart w:id="89" w:name="_Toc525912219"/>
      <w:bookmarkStart w:id="90" w:name="_Toc525915340"/>
      <w:bookmarkStart w:id="91" w:name="_Toc526355329"/>
    </w:p>
    <w:p w14:paraId="29E737FE" w14:textId="77777777" w:rsidR="00067669" w:rsidRPr="0098411F" w:rsidRDefault="00067669" w:rsidP="0073028D">
      <w:pPr>
        <w:pStyle w:val="Heading2-Numbered"/>
        <w:spacing w:after="240"/>
      </w:pPr>
      <w:bookmarkStart w:id="92" w:name="_Toc526413589"/>
      <w:bookmarkStart w:id="93" w:name="_Toc526935109"/>
      <w:r w:rsidRPr="0098411F">
        <w:t>Reflections on Australia’s experience with reform</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265BD202" w14:textId="77777777" w:rsidR="00067669" w:rsidRDefault="00C85776" w:rsidP="006E0496">
      <w:pPr>
        <w:spacing w:after="200"/>
      </w:pPr>
      <w:r>
        <w:t>Australia’s economic reforms were not unique. The policies it implemented from the 1970s reflected</w:t>
      </w:r>
      <w:r w:rsidR="00962B58">
        <w:t xml:space="preserve"> </w:t>
      </w:r>
      <w:r w:rsidR="00F64D8A">
        <w:t>intellectual</w:t>
      </w:r>
      <w:r w:rsidR="00962B58">
        <w:t xml:space="preserve"> </w:t>
      </w:r>
      <w:r>
        <w:t>ideas</w:t>
      </w:r>
      <w:r w:rsidR="00962B58">
        <w:t xml:space="preserve"> </w:t>
      </w:r>
      <w:r w:rsidR="00587CBD">
        <w:t xml:space="preserve">that </w:t>
      </w:r>
      <w:r w:rsidR="00FC0B70">
        <w:t xml:space="preserve">emerged in the decades </w:t>
      </w:r>
      <w:r>
        <w:t>after</w:t>
      </w:r>
      <w:r w:rsidR="00A40C00" w:rsidRPr="00CE3966">
        <w:t xml:space="preserve"> the </w:t>
      </w:r>
      <w:r w:rsidR="00FC0B70">
        <w:t>S</w:t>
      </w:r>
      <w:r w:rsidR="00A40C00" w:rsidRPr="00CE3966">
        <w:t xml:space="preserve">econd </w:t>
      </w:r>
      <w:r w:rsidR="00FC0B70">
        <w:t>W</w:t>
      </w:r>
      <w:r w:rsidR="00A40C00" w:rsidRPr="00CE3966">
        <w:t xml:space="preserve">orld </w:t>
      </w:r>
      <w:r w:rsidR="00FC0B70">
        <w:t>W</w:t>
      </w:r>
      <w:r w:rsidR="00A40C00" w:rsidRPr="00CE3966">
        <w:t xml:space="preserve">ar and </w:t>
      </w:r>
      <w:r w:rsidR="00FC0B70">
        <w:t xml:space="preserve">which </w:t>
      </w:r>
      <w:r w:rsidR="00A40C00" w:rsidRPr="00CE3966">
        <w:t>continue to be espoused by economists and policymakers to</w:t>
      </w:r>
      <w:r w:rsidR="00FC0B70">
        <w:t>d</w:t>
      </w:r>
      <w:r w:rsidR="00A40C00" w:rsidRPr="00CE3966">
        <w:t>ay</w:t>
      </w:r>
      <w:r w:rsidR="00067669" w:rsidRPr="00A40C00">
        <w:t>.</w:t>
      </w:r>
      <w:r w:rsidR="00067669">
        <w:t xml:space="preserve"> </w:t>
      </w:r>
      <w:r w:rsidR="0018329E">
        <w:t>Th</w:t>
      </w:r>
      <w:r>
        <w:t xml:space="preserve">ese reforms </w:t>
      </w:r>
      <w:r w:rsidR="0018329E">
        <w:t>appear to have delivered</w:t>
      </w:r>
      <w:r w:rsidR="00962B58">
        <w:t xml:space="preserve"> </w:t>
      </w:r>
      <w:r w:rsidR="00067669">
        <w:t xml:space="preserve">benefits in terms of </w:t>
      </w:r>
      <w:r w:rsidR="00F64D8A">
        <w:t xml:space="preserve">economic </w:t>
      </w:r>
      <w:r w:rsidR="00067669">
        <w:t xml:space="preserve">efficiency and flexibility, especially for a commodity producer </w:t>
      </w:r>
      <w:r w:rsidR="0018329E">
        <w:t>like</w:t>
      </w:r>
      <w:r w:rsidR="00067669">
        <w:t xml:space="preserve"> Australia. But success in a reform process is not guaranteed, </w:t>
      </w:r>
      <w:r>
        <w:t xml:space="preserve">particularly </w:t>
      </w:r>
      <w:r w:rsidR="00067669">
        <w:t xml:space="preserve">given the power of vested interests to derail even the most well thought-out </w:t>
      </w:r>
      <w:r w:rsidR="0018329E">
        <w:t>policy</w:t>
      </w:r>
      <w:r w:rsidR="00067669">
        <w:t xml:space="preserve">. Thus this section explores </w:t>
      </w:r>
      <w:r w:rsidR="00376325">
        <w:t>both what the reforms achieved, and how their</w:t>
      </w:r>
      <w:r w:rsidR="00067669">
        <w:t xml:space="preserve"> </w:t>
      </w:r>
      <w:r w:rsidR="00376325">
        <w:t xml:space="preserve">design </w:t>
      </w:r>
      <w:r w:rsidR="00067669">
        <w:t xml:space="preserve">and implementation contributed to </w:t>
      </w:r>
      <w:r w:rsidR="00376325">
        <w:t xml:space="preserve">this </w:t>
      </w:r>
      <w:r w:rsidR="00067669">
        <w:t>success. There has not been one particular factor that stands out; success can be attributed to the overall combination of the reforms and their sequencing, pacing and implementation.</w:t>
      </w:r>
    </w:p>
    <w:p w14:paraId="2B945C30" w14:textId="77777777" w:rsidR="00067669" w:rsidRPr="004857B2" w:rsidRDefault="00067669" w:rsidP="00447E63">
      <w:pPr>
        <w:pStyle w:val="Heading3"/>
      </w:pPr>
      <w:bookmarkStart w:id="94" w:name="_Toc516147532"/>
      <w:bookmarkStart w:id="95" w:name="_Toc516664489"/>
      <w:bookmarkStart w:id="96" w:name="_Toc516753469"/>
      <w:bookmarkStart w:id="97" w:name="_Toc516833768"/>
      <w:bookmarkStart w:id="98" w:name="_Toc516836150"/>
      <w:bookmarkStart w:id="99" w:name="_Toc516838452"/>
      <w:bookmarkStart w:id="100" w:name="_Toc517097812"/>
      <w:bookmarkStart w:id="101" w:name="_Toc517098718"/>
      <w:bookmarkStart w:id="102" w:name="_Toc517099863"/>
      <w:bookmarkStart w:id="103" w:name="_Toc517184560"/>
      <w:bookmarkStart w:id="104" w:name="_Toc517192065"/>
      <w:bookmarkStart w:id="105" w:name="_Toc518903589"/>
      <w:bookmarkStart w:id="106" w:name="_Toc518922771"/>
      <w:bookmarkStart w:id="107" w:name="_Toc520472191"/>
      <w:bookmarkStart w:id="108" w:name="_Toc520472727"/>
      <w:bookmarkStart w:id="109" w:name="_Toc520812376"/>
      <w:bookmarkStart w:id="110" w:name="_Toc520819470"/>
      <w:bookmarkStart w:id="111" w:name="_Toc525736241"/>
      <w:bookmarkStart w:id="112" w:name="_Toc525743540"/>
      <w:bookmarkStart w:id="113" w:name="_Toc525912220"/>
      <w:bookmarkStart w:id="114" w:name="_Toc525915341"/>
      <w:bookmarkStart w:id="115" w:name="_Toc526355330"/>
      <w:bookmarkStart w:id="116" w:name="_Toc526413590"/>
      <w:bookmarkStart w:id="117" w:name="_Toc526935110"/>
      <w:bookmarkEnd w:id="94"/>
      <w:bookmarkEnd w:id="95"/>
      <w:bookmarkEnd w:id="96"/>
      <w:bookmarkEnd w:id="97"/>
      <w:bookmarkEnd w:id="98"/>
      <w:bookmarkEnd w:id="99"/>
      <w:bookmarkEnd w:id="100"/>
      <w:bookmarkEnd w:id="101"/>
      <w:bookmarkEnd w:id="102"/>
      <w:bookmarkEnd w:id="103"/>
      <w:bookmarkEnd w:id="104"/>
      <w:r>
        <w:t>What did the reforms achieve?</w:t>
      </w:r>
      <w:bookmarkEnd w:id="105"/>
      <w:bookmarkEnd w:id="106"/>
      <w:bookmarkEnd w:id="107"/>
      <w:bookmarkEnd w:id="108"/>
      <w:bookmarkEnd w:id="109"/>
      <w:bookmarkEnd w:id="110"/>
      <w:bookmarkEnd w:id="111"/>
      <w:bookmarkEnd w:id="112"/>
      <w:bookmarkEnd w:id="113"/>
      <w:bookmarkEnd w:id="114"/>
      <w:bookmarkEnd w:id="115"/>
      <w:bookmarkEnd w:id="116"/>
      <w:bookmarkEnd w:id="117"/>
    </w:p>
    <w:p w14:paraId="75A15F85" w14:textId="6FEE0A2E" w:rsidR="00067669" w:rsidRDefault="00067669" w:rsidP="006E0496">
      <w:pPr>
        <w:spacing w:after="200"/>
      </w:pPr>
      <w:r w:rsidRPr="006D0D0B">
        <w:t xml:space="preserve">It is commonly </w:t>
      </w:r>
      <w:r>
        <w:t xml:space="preserve">accepted that Australia’s </w:t>
      </w:r>
      <w:r w:rsidR="00EA6581">
        <w:t xml:space="preserve">continuing economic and fiscal </w:t>
      </w:r>
      <w:r w:rsidR="00DB31CD">
        <w:t>reforms have benefit</w:t>
      </w:r>
      <w:r>
        <w:t>ed its economy overall. Two main benefits stand out. First, in the 2</w:t>
      </w:r>
      <w:r w:rsidR="00B453C6">
        <w:t>7</w:t>
      </w:r>
      <w:r>
        <w:t xml:space="preserve"> years since the </w:t>
      </w:r>
      <w:r w:rsidR="00B453C6">
        <w:t xml:space="preserve">early </w:t>
      </w:r>
      <w:r>
        <w:t>1990s recession the Australian economy has repeatedly demonstrated resistance to shocks – especially for an economy so reliant on volatile global commodities markets. Second, Australians’ living standards have outstripped gains in a number of comparable economies</w:t>
      </w:r>
      <w:r w:rsidR="00587CBD">
        <w:t>.</w:t>
      </w:r>
    </w:p>
    <w:p w14:paraId="4ADA7976" w14:textId="77777777" w:rsidR="00067669" w:rsidRPr="00AE0301" w:rsidRDefault="00067669" w:rsidP="0073028D">
      <w:pPr>
        <w:spacing w:after="0"/>
        <w:rPr>
          <w:rFonts w:ascii="Times New Roman" w:eastAsia="Times New Roman" w:hAnsi="Times New Roman"/>
          <w:sz w:val="24"/>
          <w:szCs w:val="24"/>
          <w:lang w:eastAsia="en-AU"/>
        </w:rPr>
      </w:pPr>
      <w:r w:rsidRPr="006537E1">
        <w:t xml:space="preserve">The Australian economy’s resilience </w:t>
      </w:r>
      <w:r>
        <w:t>over the past couple of decades or more is notable</w:t>
      </w:r>
      <w:r w:rsidRPr="006537E1">
        <w:t xml:space="preserve">. </w:t>
      </w:r>
      <w:r>
        <w:t>Australia has not experienced a technical recession, meaning a contraction in GDP for two successive quarters, for 2</w:t>
      </w:r>
      <w:r w:rsidR="00B453C6">
        <w:t>7</w:t>
      </w:r>
      <w:r w:rsidR="00EE1CB2">
        <w:t> </w:t>
      </w:r>
      <w:r>
        <w:t xml:space="preserve">years </w:t>
      </w:r>
      <w:r w:rsidRPr="00AE0301">
        <w:t xml:space="preserve">– the longest run since the national accounts </w:t>
      </w:r>
      <w:r w:rsidR="00CE1076">
        <w:t>were first published</w:t>
      </w:r>
      <w:r w:rsidRPr="00AE0301">
        <w:t xml:space="preserve"> in 1959. </w:t>
      </w:r>
      <w:r>
        <w:t>Only a few advanced economies ha</w:t>
      </w:r>
      <w:r w:rsidR="00480091">
        <w:t>ve ever achieved such a record.</w:t>
      </w:r>
      <w:r>
        <w:t xml:space="preserve"> </w:t>
      </w:r>
      <w:r w:rsidRPr="00AE0301">
        <w:t xml:space="preserve">The next longest such run </w:t>
      </w:r>
      <w:r>
        <w:t xml:space="preserve">in Australia </w:t>
      </w:r>
      <w:r w:rsidRPr="00AE0301">
        <w:t>was the 10 years leading up to the recession of the early 1970s.</w:t>
      </w:r>
      <w:r w:rsidRPr="00AE0301">
        <w:rPr>
          <w:rFonts w:ascii="Times New Roman" w:eastAsia="Times New Roman" w:hAnsi="Times New Roman"/>
          <w:sz w:val="24"/>
          <w:szCs w:val="24"/>
          <w:lang w:eastAsia="en-AU"/>
        </w:rPr>
        <w:t xml:space="preserve"> </w:t>
      </w:r>
      <w:r>
        <w:t>In contrast, in the 25 years to 1995, Australia experienced three recessions – in the mid-1970s, the early 1980s and the early 1990s – that together imposed large financial and social pain on the community.</w:t>
      </w:r>
      <w:r w:rsidR="006B6C55">
        <w:rPr>
          <w:rStyle w:val="FootnoteReference"/>
        </w:rPr>
        <w:footnoteReference w:id="13"/>
      </w:r>
    </w:p>
    <w:p w14:paraId="3A727F5B" w14:textId="77777777" w:rsidR="00067669" w:rsidRDefault="00067669" w:rsidP="00716753">
      <w:pPr>
        <w:spacing w:after="200" w:line="260" w:lineRule="exact"/>
      </w:pPr>
      <w:r>
        <w:t>Th</w:t>
      </w:r>
      <w:r w:rsidR="004B3400">
        <w:t>is</w:t>
      </w:r>
      <w:r>
        <w:t xml:space="preserve"> recent economic performance does not reflect a lack of external shocks. Indeed, </w:t>
      </w:r>
      <w:r w:rsidR="00EA6581">
        <w:t xml:space="preserve">since the </w:t>
      </w:r>
      <w:r w:rsidR="00286A98">
        <w:t xml:space="preserve">early </w:t>
      </w:r>
      <w:r w:rsidR="00EA6581">
        <w:t xml:space="preserve">1990s recession there has been </w:t>
      </w:r>
      <w:r>
        <w:t xml:space="preserve">the 1997-98 Asian financial crisis, the bursting of the </w:t>
      </w:r>
      <w:r w:rsidR="00681155">
        <w:t xml:space="preserve">US </w:t>
      </w:r>
      <w:r>
        <w:t>dot com bubble in the early</w:t>
      </w:r>
      <w:r w:rsidR="002D45AB">
        <w:t xml:space="preserve"> </w:t>
      </w:r>
      <w:r>
        <w:t xml:space="preserve">2000s and the global financial crisis in 2007-08. Further, the period </w:t>
      </w:r>
      <w:r w:rsidR="00541B33">
        <w:t xml:space="preserve">includes </w:t>
      </w:r>
      <w:r>
        <w:t>one</w:t>
      </w:r>
      <w:r w:rsidR="00E01CB1">
        <w:t> </w:t>
      </w:r>
      <w:r>
        <w:t>of Australia’s largest terms of trade cycles, which generated significant swings in national income (Chart</w:t>
      </w:r>
      <w:r w:rsidR="00EE1CB2">
        <w:t> </w:t>
      </w:r>
      <w:r>
        <w:t>13). Economic activity also responded</w:t>
      </w:r>
      <w:r w:rsidR="002D45AB">
        <w:t xml:space="preserve"> to these movements in the terms of trade</w:t>
      </w:r>
      <w:r>
        <w:t>, not least reflecting an expansion in new private business investment by 5 percentage points of GDP followed by a cont</w:t>
      </w:r>
      <w:r w:rsidR="00A237F9">
        <w:t>raction of a similar magnitude.</w:t>
      </w:r>
    </w:p>
    <w:p w14:paraId="558C9794" w14:textId="77777777" w:rsidR="00AE082E" w:rsidRDefault="00AE082E" w:rsidP="00716753">
      <w:pPr>
        <w:spacing w:after="200" w:line="260" w:lineRule="exact"/>
      </w:pPr>
      <w:r>
        <w:t xml:space="preserve">Much of the resilience of the economy can be attributed to Australia’s flexible exchange rate. Over the course of the past </w:t>
      </w:r>
      <w:r w:rsidR="009A3193">
        <w:t>27</w:t>
      </w:r>
      <w:r w:rsidR="00CA5C00">
        <w:t xml:space="preserve"> </w:t>
      </w:r>
      <w:r>
        <w:t>years, the Australian dollar has varied between a value of $</w:t>
      </w:r>
      <w:r w:rsidRPr="00ED7B56">
        <w:t>US1.1</w:t>
      </w:r>
      <w:r>
        <w:t>1, achieved at the height of the mining boom in mid-2011, and $</w:t>
      </w:r>
      <w:r w:rsidRPr="00ED7B56">
        <w:t>US0.48</w:t>
      </w:r>
      <w:r>
        <w:t xml:space="preserve">, reached in 2001. The dollar depreciated noticeably during each of the crisis episodes outlined above, helped by </w:t>
      </w:r>
      <w:r w:rsidR="001E4B84">
        <w:t>its</w:t>
      </w:r>
      <w:r>
        <w:t xml:space="preserve"> status as a proxy for global risk and the Reserve Bank of Australia</w:t>
      </w:r>
      <w:r w:rsidR="009829F9">
        <w:t>’s preference to intervene</w:t>
      </w:r>
      <w:r>
        <w:t xml:space="preserve"> </w:t>
      </w:r>
      <w:r w:rsidR="009829F9">
        <w:t xml:space="preserve">only </w:t>
      </w:r>
      <w:r w:rsidR="00EA6581">
        <w:t xml:space="preserve">rarely </w:t>
      </w:r>
      <w:r w:rsidR="009829F9">
        <w:t xml:space="preserve">– </w:t>
      </w:r>
      <w:r w:rsidR="00EA6581">
        <w:t xml:space="preserve">and </w:t>
      </w:r>
      <w:r w:rsidR="00CE1076">
        <w:t xml:space="preserve">then </w:t>
      </w:r>
      <w:r w:rsidR="00EA6581">
        <w:t xml:space="preserve">only </w:t>
      </w:r>
      <w:r>
        <w:t>to avoid disorderly adjustments.</w:t>
      </w:r>
      <w:r>
        <w:rPr>
          <w:rStyle w:val="FootnoteReference"/>
        </w:rPr>
        <w:footnoteReference w:id="14"/>
      </w:r>
      <w:r>
        <w:t xml:space="preserve"> </w:t>
      </w:r>
      <w:r w:rsidRPr="006214DC">
        <w:t>The associated improvement in the competitiveness of the traded sector during these crisis episodes helped the country to avoid more serious downturns.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EE1CB2" w14:paraId="4D5CFC98" w14:textId="77777777" w:rsidTr="00A237F9">
        <w:tc>
          <w:tcPr>
            <w:tcW w:w="9286" w:type="dxa"/>
          </w:tcPr>
          <w:p w14:paraId="0D9FFA96" w14:textId="77777777" w:rsidR="00EE1CB2" w:rsidRPr="00EE1CB2" w:rsidRDefault="00EE1CB2" w:rsidP="00EE1CB2">
            <w:pPr>
              <w:pStyle w:val="ChartMainHeading"/>
            </w:pPr>
            <w:r w:rsidRPr="00671ACD">
              <w:t>C</w:t>
            </w:r>
            <w:r>
              <w:t>hart</w:t>
            </w:r>
            <w:r w:rsidRPr="00671ACD">
              <w:t xml:space="preserve"> </w:t>
            </w:r>
            <w:r>
              <w:t>13:</w:t>
            </w:r>
            <w:r w:rsidRPr="00671ACD">
              <w:t xml:space="preserve"> </w:t>
            </w:r>
            <w:r>
              <w:t>Australia’s</w:t>
            </w:r>
            <w:r w:rsidRPr="00671ACD">
              <w:t xml:space="preserve"> terms of trade</w:t>
            </w:r>
          </w:p>
        </w:tc>
      </w:tr>
      <w:tr w:rsidR="00EE1CB2" w14:paraId="2C7B0184" w14:textId="77777777" w:rsidTr="00A237F9">
        <w:tc>
          <w:tcPr>
            <w:tcW w:w="9286" w:type="dxa"/>
          </w:tcPr>
          <w:p w14:paraId="03534497" w14:textId="77777777" w:rsidR="00EE1CB2" w:rsidRDefault="00716753" w:rsidP="00EE1CB2">
            <w:pPr>
              <w:pStyle w:val="ChartGraphic"/>
            </w:pPr>
            <w:r>
              <w:object w:dxaOrig="8775" w:dyaOrig="3961" w14:anchorId="01DB273C">
                <v:shape id="_x0000_i1033" type="#_x0000_t75" style="width:438.3pt;height:199.25pt;mso-position-vertical:absolute" o:ole="">
                  <v:imagedata r:id="rId51" o:title="" croptop="375f" cropbottom="375f" cropleft="762f" cropright="381f"/>
                </v:shape>
                <o:OLEObject Type="Link" ProgID="Excel.Sheet.12" ShapeID="_x0000_i1033" DrawAspect="Content" r:id="rId52" UpdateMode="Always">
                  <o:LinkType>EnhancedMetaFile</o:LinkType>
                  <o:LockedField>false</o:LockedField>
                  <o:FieldCodes>\* MERGEFORMAT</o:FieldCodes>
                </o:OLEObject>
              </w:object>
            </w:r>
          </w:p>
        </w:tc>
      </w:tr>
      <w:tr w:rsidR="00EE1CB2" w14:paraId="44F84B91" w14:textId="77777777" w:rsidTr="00A237F9">
        <w:tc>
          <w:tcPr>
            <w:tcW w:w="9286" w:type="dxa"/>
          </w:tcPr>
          <w:p w14:paraId="05F5E253" w14:textId="77777777" w:rsidR="00EE1CB2" w:rsidRDefault="00EE1CB2" w:rsidP="00447847">
            <w:pPr>
              <w:pStyle w:val="ChartorTableNote"/>
              <w:spacing w:after="0"/>
            </w:pPr>
            <w:r w:rsidRPr="0019338D">
              <w:t xml:space="preserve">Source: ABS cat. no. 5206.0, </w:t>
            </w:r>
            <w:proofErr w:type="spellStart"/>
            <w:r w:rsidRPr="0019338D">
              <w:t>Battelino</w:t>
            </w:r>
            <w:proofErr w:type="spellEnd"/>
            <w:r w:rsidRPr="0019338D">
              <w:t xml:space="preserve"> (2010), RBA and Treasury</w:t>
            </w:r>
            <w:r w:rsidRPr="007D1EC8">
              <w:t>.</w:t>
            </w:r>
          </w:p>
        </w:tc>
      </w:tr>
    </w:tbl>
    <w:p w14:paraId="0477C31C" w14:textId="77777777" w:rsidR="00EE1CB2" w:rsidRDefault="00EE1CB2" w:rsidP="00EE1CB2">
      <w:pPr>
        <w:pStyle w:val="SingleParagraph"/>
      </w:pPr>
    </w:p>
    <w:p w14:paraId="0184BCF4" w14:textId="77777777" w:rsidR="00607871" w:rsidRDefault="00607871" w:rsidP="00716753">
      <w:pPr>
        <w:spacing w:after="200" w:line="260" w:lineRule="exact"/>
      </w:pPr>
      <w:r>
        <w:t>The experience of New Zealand in the Asian financial crisis provides a good counterpoint to Australia’s experience. While the RBA let the Australian dollar fall, the Reserve Bank of New Zealand</w:t>
      </w:r>
      <w:r w:rsidR="00610503">
        <w:t xml:space="preserve"> (RBNZ)</w:t>
      </w:r>
      <w:r>
        <w:t xml:space="preserve"> sought to defend the New Zealand dollar, at least initially, only to see its economy fall into recession in</w:t>
      </w:r>
      <w:r w:rsidR="006E0496">
        <w:t xml:space="preserve"> </w:t>
      </w:r>
      <w:r>
        <w:t>1997-98.</w:t>
      </w:r>
    </w:p>
    <w:p w14:paraId="5C517D75" w14:textId="77777777" w:rsidR="00067669" w:rsidRDefault="00067669" w:rsidP="00716753">
      <w:pPr>
        <w:spacing w:after="120" w:line="260" w:lineRule="exact"/>
      </w:pPr>
      <w:r>
        <w:t xml:space="preserve">A flexible exchange rate was also critical in helping Australia manage its recent terms of trade boom. Unlike in a number of other resource-rich economies, mining projects in Australia are almost exclusively owned by the private sector. This means the government is less able to moderate the macroeconomic effect of commodity price cycles. From 2003 to 2011, Australia’s terms of trade almost doubled as surging Chinese demand for commodities </w:t>
      </w:r>
      <w:r w:rsidR="006212A7">
        <w:t>such as</w:t>
      </w:r>
      <w:r>
        <w:t xml:space="preserve"> iron ore and coal pushed their prices to record highs. The floating dollar acted as a shock absorber. It appreciated as the terms of trade rose</w:t>
      </w:r>
      <w:r w:rsidR="00AF389B">
        <w:t>,</w:t>
      </w:r>
      <w:r>
        <w:t xml:space="preserve"> distribut</w:t>
      </w:r>
      <w:r w:rsidR="00AF389B">
        <w:t>ing</w:t>
      </w:r>
      <w:r>
        <w:t xml:space="preserve"> the benefits of the boom during the upswing to households </w:t>
      </w:r>
      <w:r w:rsidR="00EA6581">
        <w:t xml:space="preserve">across the country </w:t>
      </w:r>
      <w:r>
        <w:t>in the form of cheaper imports</w:t>
      </w:r>
      <w:r>
        <w:rPr>
          <w:rStyle w:val="FootnoteReference"/>
        </w:rPr>
        <w:footnoteReference w:id="15"/>
      </w:r>
      <w:r>
        <w:t xml:space="preserve"> and allow</w:t>
      </w:r>
      <w:r w:rsidR="00AF389B">
        <w:t>ing</w:t>
      </w:r>
      <w:r>
        <w:t xml:space="preserve"> resources from trade-exposed industries to shift to the mining sector. The subsequent depreciation of the Australian dollar during the downswing in commodity prices softened the effect on incomes by improving the international competitiveness of large services </w:t>
      </w:r>
      <w:r w:rsidR="008B4032">
        <w:t xml:space="preserve">export </w:t>
      </w:r>
      <w:r>
        <w:t xml:space="preserve">industries </w:t>
      </w:r>
      <w:r w:rsidR="006212A7">
        <w:t>such as</w:t>
      </w:r>
      <w:r>
        <w:t xml:space="preserve"> education and tourism.</w:t>
      </w:r>
    </w:p>
    <w:p w14:paraId="3D46E0C6" w14:textId="77777777" w:rsidR="00B719EC" w:rsidRDefault="00B25503" w:rsidP="00CE4D9B">
      <w:r>
        <w:t xml:space="preserve">In Australia, movements in </w:t>
      </w:r>
      <w:r w:rsidR="00B719EC">
        <w:t xml:space="preserve">the exchange rate </w:t>
      </w:r>
      <w:r>
        <w:t xml:space="preserve">act </w:t>
      </w:r>
      <w:r w:rsidR="00B719EC">
        <w:t xml:space="preserve">as a shock absorber </w:t>
      </w:r>
      <w:r>
        <w:t>because</w:t>
      </w:r>
      <w:r w:rsidR="00B719EC">
        <w:t xml:space="preserve"> the </w:t>
      </w:r>
      <w:r>
        <w:t>foreign currency exposure is small. Indeed,</w:t>
      </w:r>
      <w:r w:rsidR="00B719EC">
        <w:t xml:space="preserve"> Australia has a net foreign currency asset position</w:t>
      </w:r>
      <w:r>
        <w:t xml:space="preserve"> (</w:t>
      </w:r>
      <w:r w:rsidR="00BA7D47">
        <w:t xml:space="preserve">that is, </w:t>
      </w:r>
      <w:r>
        <w:t>its foreign currency assets</w:t>
      </w:r>
      <w:r w:rsidR="00B719EC">
        <w:t xml:space="preserve"> are </w:t>
      </w:r>
      <w:r>
        <w:t>greater than its liabilities) as</w:t>
      </w:r>
      <w:r w:rsidR="00690ED1">
        <w:t xml:space="preserve"> a large share of foreign liabilities are denominated in </w:t>
      </w:r>
      <w:r>
        <w:t>domestic currency. In addition, a majority of foreign currency liabilities are hedged back into domestic currency</w:t>
      </w:r>
      <w:r w:rsidR="00B719EC">
        <w:t>.</w:t>
      </w:r>
      <w:r w:rsidR="00D475CA">
        <w:rPr>
          <w:rStyle w:val="FootnoteReference"/>
        </w:rPr>
        <w:footnoteReference w:id="16"/>
      </w:r>
      <w:r w:rsidR="00B719EC">
        <w:t xml:space="preserve"> </w:t>
      </w:r>
      <w:r w:rsidR="00690ED1">
        <w:t xml:space="preserve">This </w:t>
      </w:r>
      <w:r w:rsidR="00B719EC">
        <w:t>means that sizable depreciations are expansionary for the domestic economy</w:t>
      </w:r>
      <w:r w:rsidR="00690ED1">
        <w:t xml:space="preserve">. This is not </w:t>
      </w:r>
      <w:r w:rsidR="006212A7">
        <w:t>the case for</w:t>
      </w:r>
      <w:r w:rsidR="00690ED1">
        <w:t xml:space="preserve"> </w:t>
      </w:r>
      <w:r w:rsidR="00E83859">
        <w:t xml:space="preserve">some </w:t>
      </w:r>
      <w:r w:rsidR="00690ED1">
        <w:t>other commodity</w:t>
      </w:r>
      <w:r w:rsidR="00472D0F">
        <w:t>-</w:t>
      </w:r>
      <w:r w:rsidR="00690ED1">
        <w:t xml:space="preserve">exporting countries, where currency depreciations </w:t>
      </w:r>
      <w:r w:rsidR="00E83859">
        <w:t xml:space="preserve">can </w:t>
      </w:r>
      <w:r w:rsidR="00690ED1">
        <w:t xml:space="preserve">significantly raise the </w:t>
      </w:r>
      <w:r>
        <w:t>debt</w:t>
      </w:r>
      <w:r w:rsidR="00472D0F">
        <w:t>-</w:t>
      </w:r>
      <w:r>
        <w:t>servicing</w:t>
      </w:r>
      <w:r w:rsidR="00690ED1">
        <w:t xml:space="preserve"> burden and can be destabilising. </w:t>
      </w:r>
      <w:r w:rsidR="00E83859">
        <w:t>It also emphasises the importance of deep and liquid hedging markets.</w:t>
      </w:r>
    </w:p>
    <w:p w14:paraId="6329E71E" w14:textId="6062CDB5" w:rsidR="00067669" w:rsidRDefault="00067669" w:rsidP="00CE4D9B">
      <w:r>
        <w:t>The Australian economy’s performance during the global financial crisis was also helped by the flexibility in the country’s labour market. In the global financial crisis, a significant adjustment in average hours helped to moderate the effects on aggregate employment</w:t>
      </w:r>
      <w:r w:rsidR="008B4032">
        <w:t>. In practice this meant that employers retained staff at reduce</w:t>
      </w:r>
      <w:r w:rsidR="006E3B96">
        <w:t>d</w:t>
      </w:r>
      <w:r w:rsidR="008B4032">
        <w:t xml:space="preserve"> hours in contrast to previous downturns where retrenchment was the more usual response </w:t>
      </w:r>
      <w:r w:rsidR="001E6D7A">
        <w:t>– a</w:t>
      </w:r>
      <w:r w:rsidR="008B4032">
        <w:t xml:space="preserve"> good example of </w:t>
      </w:r>
      <w:r w:rsidR="00AF389B">
        <w:t xml:space="preserve">the </w:t>
      </w:r>
      <w:r w:rsidR="008B4032">
        <w:t xml:space="preserve">increased flexibility of Australia’s employment </w:t>
      </w:r>
      <w:r w:rsidR="00C13422">
        <w:t>arrangements</w:t>
      </w:r>
      <w:r w:rsidR="008B4032">
        <w:t>. Keeping more people employed was also</w:t>
      </w:r>
      <w:r>
        <w:t xml:space="preserve"> likely to have kept consumption a bit higher than it would otherwise have been.</w:t>
      </w:r>
      <w:r>
        <w:rPr>
          <w:rStyle w:val="FootnoteReference"/>
        </w:rPr>
        <w:footnoteReference w:id="17"/>
      </w:r>
      <w:r>
        <w:t xml:space="preserve"> Indeed, the increase in the unemployment rate in Australia, of almost 2 percentage points, was one of the lowest in the OECD. Of course, other factors helped Australia weather the global financial crisis, including robust financial regulation, successive reductions in the cash rate, a strong budget position, targeted </w:t>
      </w:r>
      <w:r w:rsidR="005339AA">
        <w:t xml:space="preserve">and rapidly implemented </w:t>
      </w:r>
      <w:r>
        <w:t xml:space="preserve">fiscal stimulus and </w:t>
      </w:r>
      <w:r w:rsidR="00AF389B">
        <w:t>its</w:t>
      </w:r>
      <w:r>
        <w:t xml:space="preserve"> exposure to China’</w:t>
      </w:r>
      <w:r w:rsidR="00DB31CD">
        <w:t>s economy, which itself benefit</w:t>
      </w:r>
      <w:r>
        <w:t>ed from substantial fiscal stimulus.</w:t>
      </w:r>
    </w:p>
    <w:p w14:paraId="599445E9" w14:textId="77777777" w:rsidR="00067669" w:rsidRDefault="00067669" w:rsidP="00CE4D9B">
      <w:r w:rsidRPr="0003332B">
        <w:t xml:space="preserve">Australia’s flexible labour market was also </w:t>
      </w:r>
      <w:r>
        <w:t xml:space="preserve">instrumental in helping the economy adjust to the </w:t>
      </w:r>
      <w:r w:rsidRPr="00D117AA">
        <w:t>terms of trade boom</w:t>
      </w:r>
      <w:r>
        <w:t xml:space="preserve">. </w:t>
      </w:r>
      <w:r w:rsidR="00AF389B">
        <w:t>C</w:t>
      </w:r>
      <w:r>
        <w:t>ommodity price increases spurred substantial growth in mining investment. Firms increased wages to attract workers from both other parts of Australia and overseas to remote areas of Australia to, among other things, dig holes, drive trucks and construct pipelines.</w:t>
      </w:r>
      <w:r>
        <w:rPr>
          <w:rStyle w:val="FootnoteReference"/>
        </w:rPr>
        <w:footnoteReference w:id="18"/>
      </w:r>
      <w:r>
        <w:t xml:space="preserve"> The strong growth in mining investment also increased demand in other industries and, although there was some </w:t>
      </w:r>
      <w:proofErr w:type="spellStart"/>
      <w:r>
        <w:t>spillover</w:t>
      </w:r>
      <w:proofErr w:type="spellEnd"/>
      <w:r>
        <w:t xml:space="preserve"> into generalised wages, there was not a break-out in inflation as had occurred in previous terms of trade booms. As the mining investment cycle turned, workers returned to </w:t>
      </w:r>
      <w:r w:rsidR="001E6D7A">
        <w:t xml:space="preserve">their home countries and to </w:t>
      </w:r>
      <w:r>
        <w:t>east-coast capitals</w:t>
      </w:r>
      <w:r w:rsidR="001E6D7A">
        <w:t>, where</w:t>
      </w:r>
      <w:r w:rsidR="006E3B96">
        <w:t xml:space="preserve"> </w:t>
      </w:r>
      <w:r w:rsidR="001E6D7A">
        <w:t>they</w:t>
      </w:r>
      <w:r w:rsidR="006E3B96">
        <w:t xml:space="preserve"> </w:t>
      </w:r>
      <w:r w:rsidR="00A06188">
        <w:t xml:space="preserve">were </w:t>
      </w:r>
      <w:r w:rsidR="006E3B96">
        <w:t xml:space="preserve">able to moderate capacity constraints </w:t>
      </w:r>
      <w:r w:rsidR="001E6D7A">
        <w:t xml:space="preserve">sparked by increased </w:t>
      </w:r>
      <w:r w:rsidR="006E3B96">
        <w:t xml:space="preserve">infrastructure </w:t>
      </w:r>
      <w:r w:rsidR="001E6D7A">
        <w:t>construction</w:t>
      </w:r>
      <w:r>
        <w:t>. Wage growth in the mining sector slowed significantly in order to lower relative wages in that industry. As occurred in the global financial crisis, average hours also adjusted noticeably</w:t>
      </w:r>
      <w:r w:rsidR="00AF389B">
        <w:t>. T</w:t>
      </w:r>
      <w:r>
        <w:t xml:space="preserve">he increase in </w:t>
      </w:r>
      <w:r w:rsidR="00DA411E">
        <w:t>the unemployment rate, from 5.0 </w:t>
      </w:r>
      <w:r>
        <w:t>per cent in January 2012 to a peak of 6.4 per cent, was relatively modest.</w:t>
      </w:r>
    </w:p>
    <w:p w14:paraId="284AD795" w14:textId="77777777" w:rsidR="00067669" w:rsidRDefault="00067669" w:rsidP="00CE4D9B">
      <w:r>
        <w:t xml:space="preserve">The resilience and stability of the Australian economy is particularly apparent when compared with other major commodity-exporting nations. Like Australia, economies such as Chile, Russia, Canada, Brazil and South Africa are susceptible to volatility resulting from large swings in global commodity prices. Among these economies, Australia recorded the lowest volatility in </w:t>
      </w:r>
      <w:r w:rsidR="005339AA">
        <w:t xml:space="preserve">both </w:t>
      </w:r>
      <w:r>
        <w:t xml:space="preserve">output growth </w:t>
      </w:r>
      <w:r w:rsidR="005339AA">
        <w:t xml:space="preserve">and </w:t>
      </w:r>
      <w:r>
        <w:t>inflation during the decade from 2003</w:t>
      </w:r>
      <w:r w:rsidR="00DC6C2D">
        <w:t>.</w:t>
      </w:r>
      <w:r w:rsidR="00C038F1">
        <w:rPr>
          <w:rStyle w:val="FootnoteReference"/>
        </w:rPr>
        <w:footnoteReference w:id="19"/>
      </w:r>
      <w:r>
        <w:t xml:space="preserve"> This was despite experiencing a terms of trade shock and investment boom as big as any during this period. As in Canada and Chile, a sharp increase in Australia’s real exchange rate occurred primarily through the nominal exchange rate rather than through inflation.</w:t>
      </w:r>
    </w:p>
    <w:p w14:paraId="5A3D4419" w14:textId="77777777" w:rsidR="00E6694A" w:rsidRPr="00CE3966" w:rsidRDefault="00067669" w:rsidP="00716753">
      <w:pPr>
        <w:spacing w:after="200" w:line="256" w:lineRule="exact"/>
        <w:rPr>
          <w:caps/>
        </w:rPr>
      </w:pPr>
      <w:r>
        <w:t>By reducing the incidence and severity of economic downturns, the greater stability in real GDP growth resulting from Australia’s economic reforms has helped improve living standards.</w:t>
      </w:r>
      <w:r>
        <w:rPr>
          <w:rStyle w:val="FootnoteReference"/>
        </w:rPr>
        <w:footnoteReference w:id="20"/>
      </w:r>
      <w:r>
        <w:t xml:space="preserve"> </w:t>
      </w:r>
      <w:r w:rsidR="007246EC">
        <w:t>M</w:t>
      </w:r>
      <w:r>
        <w:t>acroeconomic reforms, including those to the independence and objectives of monetary policy, have also resulted in lower and less variable inflation and unemployment rates. The inflation rate has averaged 2½ per cent since 1996, compared with over 7 per cent in the two previous decades</w:t>
      </w:r>
      <w:r w:rsidR="00D346BF">
        <w:t>. In addition, the increase in flexibility in labour and product markets mean</w:t>
      </w:r>
      <w:r w:rsidR="001429DB">
        <w:t>s</w:t>
      </w:r>
      <w:r w:rsidR="00D346BF">
        <w:t xml:space="preserve"> that</w:t>
      </w:r>
      <w:r>
        <w:t xml:space="preserve"> the economy can grow faster for a given rate of inflation.</w:t>
      </w:r>
      <w:r>
        <w:rPr>
          <w:rStyle w:val="FootnoteReference"/>
        </w:rPr>
        <w:footnoteReference w:id="21"/>
      </w:r>
      <w:r>
        <w:t xml:space="preserve"> Australia’s unemployment rate has averaged around 6 per cent since 1996, compared with 8 per cent from 1978 to 1995. Reducing volatility in key macroeconomic variables such as inflation boosts economic activity as it provides </w:t>
      </w:r>
      <w:r w:rsidRPr="00931F93">
        <w:t>certainty to business</w:t>
      </w:r>
      <w:r>
        <w:t>es</w:t>
      </w:r>
      <w:r w:rsidRPr="00931F93">
        <w:t xml:space="preserve"> and consumers in relation to their consumption and investment decisions which contributes to better allocation of resources in the economy</w:t>
      </w:r>
      <w:r>
        <w:t xml:space="preserve">. Living standards have also been improved by the increases in productive and allocative efficiency, which were the main justifications for the suite of microeconomic reforms undertaken in the late 1980s and 1990s. </w:t>
      </w:r>
      <w:r w:rsidR="001B0E1F">
        <w:t>S</w:t>
      </w:r>
      <w:r w:rsidR="00D52902">
        <w:t>ignificantly, Australia has achieved these overall gains with relatively little increase in inequality</w:t>
      </w:r>
      <w:r w:rsidR="00CE3966">
        <w:t>.</w:t>
      </w:r>
      <w:r w:rsidR="00D52902">
        <w:rPr>
          <w:rStyle w:val="FootnoteReference"/>
        </w:rPr>
        <w:footnoteReference w:id="22"/>
      </w:r>
    </w:p>
    <w:p w14:paraId="7B6A4C2B" w14:textId="77777777" w:rsidR="00C9722E" w:rsidRDefault="00067669" w:rsidP="00716753">
      <w:pPr>
        <w:spacing w:after="200" w:line="256" w:lineRule="exact"/>
      </w:pPr>
      <w:r w:rsidDel="002B3589">
        <w:t>Australia’s productivity</w:t>
      </w:r>
      <w:r w:rsidR="00225EC9">
        <w:t xml:space="preserve"> performance improved noticeably in the years following the major reforms</w:t>
      </w:r>
      <w:r w:rsidDel="002B3589">
        <w:t>. Labour productivity in the 12</w:t>
      </w:r>
      <w:r w:rsidDel="002B3589">
        <w:noBreakHyphen/>
        <w:t>industry market sector grew at 3.1 per cent a year in the decade to 1999-00, compared with just 1.4 per cent during the 1980s. This largely reflected an increase in multifactor productivity growth, which grew at 1.8 per cent a year du</w:t>
      </w:r>
      <w:r>
        <w:t>ring the 1990s, up from 0.3 per </w:t>
      </w:r>
      <w:r w:rsidDel="002B3589">
        <w:t xml:space="preserve">cent in </w:t>
      </w:r>
      <w:r w:rsidR="006212A7">
        <w:t xml:space="preserve">the </w:t>
      </w:r>
      <w:r w:rsidDel="002B3589">
        <w:t>preceding decade.</w:t>
      </w:r>
      <w:r w:rsidDel="002B3589">
        <w:rPr>
          <w:rStyle w:val="FootnoteReference"/>
        </w:rPr>
        <w:footnoteReference w:id="23"/>
      </w:r>
      <w:r w:rsidDel="002B3589">
        <w:t xml:space="preserve"> Indeed, multifactor productivity growth during this period was rapid and prolonged relative to the history of the series. As well as being high in historical terms, productivity growth was also rapid compared with other countries.</w:t>
      </w:r>
      <w:r w:rsidR="00E13170">
        <w:rPr>
          <w:rStyle w:val="FootnoteReference"/>
        </w:rPr>
        <w:footnoteReference w:id="24"/>
      </w:r>
      <w:r w:rsidDel="002B3589">
        <w:t xml:space="preserve"> Labour productivity in Australia grew faster than </w:t>
      </w:r>
      <w:r w:rsidR="00095870">
        <w:t>the average of</w:t>
      </w:r>
      <w:r w:rsidR="00095870" w:rsidDel="002B3589">
        <w:t xml:space="preserve"> </w:t>
      </w:r>
      <w:r w:rsidDel="002B3589">
        <w:t>other OECD countries between 1992 and 2009, resulting in a relative rise in Australian GDP per capita</w:t>
      </w:r>
      <w:r>
        <w:t xml:space="preserve"> over this period (Chart 14</w:t>
      </w:r>
      <w:r w:rsidDel="002B3589">
        <w:t xml:space="preserve">). This followed the country’s relatively poor productivity performance for much of the previous four decades. </w:t>
      </w:r>
      <w:r w:rsidRPr="0098299F" w:rsidDel="002B3589">
        <w:t>The decline in gross national income</w:t>
      </w:r>
      <w:r w:rsidRPr="0098299F">
        <w:t xml:space="preserve"> </w:t>
      </w:r>
      <w:r w:rsidR="00095870">
        <w:t xml:space="preserve">relative to the average of other OECD countries </w:t>
      </w:r>
      <w:r w:rsidRPr="0098299F">
        <w:t>over the period for which we have data had been even sharper</w:t>
      </w:r>
      <w:r w:rsidRPr="0098299F" w:rsidDel="002B3589">
        <w:t>, reflecting the decline in the terms of trade.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EE1CB2" w14:paraId="68690B43" w14:textId="77777777" w:rsidTr="00EE1CB2">
        <w:tc>
          <w:tcPr>
            <w:tcW w:w="9514" w:type="dxa"/>
          </w:tcPr>
          <w:p w14:paraId="37F90CB3" w14:textId="77777777" w:rsidR="00EE1CB2" w:rsidRDefault="00EE1CB2" w:rsidP="00EE1CB2">
            <w:pPr>
              <w:pStyle w:val="ChartMainHeading"/>
            </w:pPr>
            <w:r>
              <w:t>Chart 14:</w:t>
            </w:r>
            <w:r w:rsidDel="002B3589">
              <w:t xml:space="preserve"> Difference between Australian and OECD average GDP per capita</w:t>
            </w:r>
          </w:p>
        </w:tc>
      </w:tr>
      <w:tr w:rsidR="00EE1CB2" w14:paraId="1847A5AF" w14:textId="77777777" w:rsidTr="00EE1CB2">
        <w:tc>
          <w:tcPr>
            <w:tcW w:w="9514" w:type="dxa"/>
          </w:tcPr>
          <w:p w14:paraId="20E1FA2F" w14:textId="77777777" w:rsidR="00EE1CB2" w:rsidRDefault="00CF3C9C" w:rsidP="00716753">
            <w:pPr>
              <w:pStyle w:val="ChartGraphic"/>
              <w:spacing w:after="60"/>
            </w:pPr>
            <w:r>
              <w:fldChar w:fldCharType="begin" w:fldLock="1"/>
            </w:r>
            <w:r>
              <w:instrText xml:space="preserve"> LINK Excel.Sheet.12 "\\\\romulus\\ECD_PRO$\\CHARTS\\Presentations\\2018\\180726 - Laura - Economic History project\\9 DAT - ITAU - GNI per cap + GDP per cap.xlsx!nGNI per capita![9 DAT - ITAU - GNI per cap + GDP per cap.xlsx]nGNI per capita Chart 6" "" \a \p \* MERGEFORMAT </w:instrText>
            </w:r>
            <w:r>
              <w:fldChar w:fldCharType="separate"/>
            </w:r>
            <w:r w:rsidR="00973D9E">
              <w:object w:dxaOrig="8775" w:dyaOrig="3975" w14:anchorId="4F7CCCFD">
                <v:shape id="_x0000_i1034" type="#_x0000_t75" style="width:431.3pt;height:194.95pt;mso-position-vertical:absolute">
                  <v:imagedata r:id="rId53" o:title="" croptop="935f" cropleft="720f" cropright="381f"/>
                </v:shape>
              </w:object>
            </w:r>
            <w:r>
              <w:fldChar w:fldCharType="end"/>
            </w:r>
          </w:p>
        </w:tc>
      </w:tr>
      <w:tr w:rsidR="00EE1CB2" w:rsidRPr="00716753" w14:paraId="1B374ADF" w14:textId="77777777" w:rsidTr="00EE1CB2">
        <w:tc>
          <w:tcPr>
            <w:tcW w:w="9514" w:type="dxa"/>
          </w:tcPr>
          <w:p w14:paraId="0FABDE6E" w14:textId="77777777" w:rsidR="00EE1CB2" w:rsidRPr="00716753" w:rsidRDefault="00EE1CB2" w:rsidP="00716753">
            <w:pPr>
              <w:pStyle w:val="ChartorTableNote"/>
              <w:spacing w:after="40"/>
            </w:pPr>
            <w:r w:rsidRPr="00716753">
              <w:t>Note: OECD includes the 24 longest standing member countries, which includes Australia, but Turkey is excluded in the GNI series due to data limitations.</w:t>
            </w:r>
          </w:p>
          <w:p w14:paraId="4F80C9BF" w14:textId="77777777" w:rsidR="00EE1CB2" w:rsidRPr="00716753" w:rsidRDefault="00EE1CB2" w:rsidP="00716753">
            <w:pPr>
              <w:pStyle w:val="ChartorTableNote"/>
              <w:spacing w:after="40"/>
            </w:pPr>
            <w:r w:rsidRPr="00716753">
              <w:t>Source: GNI per capita: OECD Annual National Accoun</w:t>
            </w:r>
            <w:r w:rsidR="00A237F9" w:rsidRPr="00716753">
              <w:t xml:space="preserve">ts; Thomson Reuters </w:t>
            </w:r>
            <w:proofErr w:type="spellStart"/>
            <w:r w:rsidR="00A237F9" w:rsidRPr="00716753">
              <w:t>Datastream</w:t>
            </w:r>
            <w:proofErr w:type="spellEnd"/>
            <w:r w:rsidR="00A237F9" w:rsidRPr="00716753">
              <w:t>;</w:t>
            </w:r>
          </w:p>
          <w:p w14:paraId="1AC88F89" w14:textId="77777777" w:rsidR="00EE1CB2" w:rsidRPr="00716753" w:rsidRDefault="00EE1CB2" w:rsidP="00716753">
            <w:pPr>
              <w:pStyle w:val="ChartorTableNote"/>
              <w:spacing w:after="40"/>
            </w:pPr>
            <w:r w:rsidRPr="00716753">
              <w:t>GDP per capita: The Conference Board, Total Economy Database, March 2018.</w:t>
            </w:r>
          </w:p>
        </w:tc>
      </w:tr>
    </w:tbl>
    <w:p w14:paraId="33400728" w14:textId="77777777" w:rsidR="000824CF" w:rsidRDefault="00D475CA" w:rsidP="00CE4D9B">
      <w:r>
        <w:t xml:space="preserve">While productivity growth in Australia was relatively fast in the 1990s both compared with growth in other comparable countries and with Australia’s productivity growth in previous and subsequent decades, it is difficult to know exactly how much of the productivity growth can be attributed to the reforms. The 1990s was a period of rapid technological change, and </w:t>
      </w:r>
      <w:r w:rsidR="00E13170">
        <w:t xml:space="preserve">Australian firms were relatively </w:t>
      </w:r>
      <w:r w:rsidR="006212A7">
        <w:t>quick</w:t>
      </w:r>
      <w:r w:rsidR="00E13170">
        <w:t xml:space="preserve"> adopters of new technologies</w:t>
      </w:r>
      <w:r w:rsidR="00D346BF">
        <w:t xml:space="preserve"> </w:t>
      </w:r>
      <w:r w:rsidR="00225EC9">
        <w:t xml:space="preserve">and new business practices </w:t>
      </w:r>
      <w:r w:rsidR="00D346BF">
        <w:t xml:space="preserve">compared with </w:t>
      </w:r>
      <w:r w:rsidR="00225EC9">
        <w:t>their</w:t>
      </w:r>
      <w:r w:rsidR="00D346BF">
        <w:t xml:space="preserve"> international </w:t>
      </w:r>
      <w:r w:rsidR="00225EC9">
        <w:t>peers</w:t>
      </w:r>
      <w:r w:rsidR="00E13170">
        <w:t>, perhaps because of the broader changes occurring at around the same time</w:t>
      </w:r>
      <w:r>
        <w:t xml:space="preserve">. </w:t>
      </w:r>
      <w:r w:rsidR="00225EC9">
        <w:t>This can be seen in increased s</w:t>
      </w:r>
      <w:r w:rsidR="00DC6C2D">
        <w:t>pending on</w:t>
      </w:r>
      <w:r w:rsidR="00E83859">
        <w:t xml:space="preserve"> Research and </w:t>
      </w:r>
      <w:r w:rsidR="000824CF">
        <w:t>D</w:t>
      </w:r>
      <w:r w:rsidR="00E83859">
        <w:t xml:space="preserve">evelopment around this time (Chart 15). </w:t>
      </w:r>
      <w:r w:rsidR="009C3E81">
        <w:t>Nonetheless, it is difficult to disentangle the</w:t>
      </w:r>
      <w:r w:rsidR="006212A7">
        <w:t>se</w:t>
      </w:r>
      <w:r w:rsidR="009C3E81">
        <w:t xml:space="preserve"> factors.</w:t>
      </w:r>
      <w:r w:rsidR="00AE1DAE">
        <w:rPr>
          <w:rStyle w:val="FootnoteReference"/>
        </w:rPr>
        <w:footnoteReference w:id="25"/>
      </w:r>
    </w:p>
    <w:p w14:paraId="3A5F6193" w14:textId="77777777" w:rsidR="00C9722E" w:rsidRPr="00EE1CB2" w:rsidRDefault="00067669" w:rsidP="00EE1CB2">
      <w:r>
        <w:t xml:space="preserve">It is important to acknowledge that the efficiency benefits of Australia’s economic reforms have not been confined to productivity improvements. Allocative efficiency is also likely to have increased, as more accurate price signals result in an allocation of resources that better matches consumers’ preferences. This is likely to have resulted in increases in consumer surplus, </w:t>
      </w:r>
      <w:r w:rsidR="007246EC">
        <w:t xml:space="preserve">though </w:t>
      </w:r>
      <w:r>
        <w:t>these benefits are much harder to measure.</w:t>
      </w:r>
      <w:r>
        <w:rPr>
          <w:rStyle w:val="FootnoteReference"/>
        </w:rPr>
        <w:footnoteReference w:id="26"/>
      </w:r>
      <w:bookmarkStart w:id="118" w:name="_Toc518903590"/>
      <w:bookmarkStart w:id="119" w:name="_Toc518922772"/>
      <w:bookmarkStart w:id="120" w:name="_Toc520472192"/>
      <w:bookmarkStart w:id="121" w:name="_Toc520472728"/>
      <w:bookmarkStart w:id="122" w:name="_Toc520812377"/>
      <w:bookmarkStart w:id="123" w:name="_Toc520819471"/>
      <w:bookmarkStart w:id="124" w:name="_Toc525736242"/>
      <w:bookmarkStart w:id="125" w:name="_Toc525743541"/>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0"/>
      </w:tblGrid>
      <w:tr w:rsidR="00EE1CB2" w14:paraId="3F5DC817" w14:textId="77777777" w:rsidTr="00EE1CB2">
        <w:tc>
          <w:tcPr>
            <w:tcW w:w="9548" w:type="dxa"/>
          </w:tcPr>
          <w:p w14:paraId="782F0849" w14:textId="77777777" w:rsidR="00EE1CB2" w:rsidRPr="00EE1CB2" w:rsidRDefault="00EE1CB2" w:rsidP="00EE1CB2">
            <w:pPr>
              <w:pStyle w:val="ChartMainHeading"/>
            </w:pPr>
            <w:r>
              <w:t>Chart 15:</w:t>
            </w:r>
            <w:r w:rsidDel="002B3589">
              <w:t xml:space="preserve"> </w:t>
            </w:r>
            <w:r>
              <w:t>Research and Development Expenditure by the Business Sector</w:t>
            </w:r>
          </w:p>
        </w:tc>
      </w:tr>
      <w:tr w:rsidR="00EE1CB2" w14:paraId="0D7E5746" w14:textId="77777777" w:rsidTr="00EE1CB2">
        <w:tc>
          <w:tcPr>
            <w:tcW w:w="9548" w:type="dxa"/>
          </w:tcPr>
          <w:p w14:paraId="0BD1DFAB" w14:textId="77777777" w:rsidR="00EE1CB2" w:rsidRDefault="00716753" w:rsidP="00EE1CB2">
            <w:pPr>
              <w:pStyle w:val="ChartGraphic"/>
              <w:rPr>
                <w:rFonts w:ascii="Arial" w:hAnsi="Arial" w:cs="Arial"/>
                <w:color w:val="000000"/>
                <w:sz w:val="16"/>
                <w:szCs w:val="16"/>
              </w:rPr>
            </w:pPr>
            <w:r>
              <w:object w:dxaOrig="8775" w:dyaOrig="3961" w14:anchorId="01D0D57E">
                <v:shape id="_x0000_i1035" type="#_x0000_t75" style="width:432.6pt;height:195.1pt" o:ole="">
                  <v:imagedata r:id="rId54" o:title="" croptop="751f" cropbottom="469f" cropleft="847f"/>
                </v:shape>
                <o:OLEObject Type="Link" ProgID="Excel.Sheet.12" ShapeID="_x0000_i1035" DrawAspect="Content" r:id="rId55" UpdateMode="Always">
                  <o:LinkType>EnhancedMetaFile</o:LinkType>
                  <o:LockedField/>
                  <o:FieldCodes>\* MERGEFORMAT</o:FieldCodes>
                </o:OLEObject>
              </w:object>
            </w:r>
          </w:p>
        </w:tc>
      </w:tr>
      <w:tr w:rsidR="00EE1CB2" w:rsidRPr="00EE1CB2" w14:paraId="2D963905" w14:textId="77777777" w:rsidTr="00EE1CB2">
        <w:tc>
          <w:tcPr>
            <w:tcW w:w="9548" w:type="dxa"/>
          </w:tcPr>
          <w:p w14:paraId="42E6DC17" w14:textId="77777777" w:rsidR="00EE1CB2" w:rsidRPr="00EE1CB2" w:rsidRDefault="00EE1CB2" w:rsidP="0063311E">
            <w:pPr>
              <w:pStyle w:val="ChartorTableNote"/>
              <w:spacing w:after="0"/>
              <w:ind w:left="57"/>
            </w:pPr>
            <w:r w:rsidRPr="00EE1CB2">
              <w:t>Source: ABS cat. no. 5204.0</w:t>
            </w:r>
            <w:r w:rsidR="00A237F9">
              <w:t>.</w:t>
            </w:r>
          </w:p>
        </w:tc>
      </w:tr>
    </w:tbl>
    <w:p w14:paraId="77164669" w14:textId="77777777" w:rsidR="00EE1CB2" w:rsidRDefault="00EE1CB2" w:rsidP="00EE1CB2">
      <w:pPr>
        <w:pStyle w:val="SingleParagraph"/>
        <w:rPr>
          <w:lang w:eastAsia="en-AU"/>
        </w:rPr>
      </w:pPr>
    </w:p>
    <w:p w14:paraId="2C9822EE" w14:textId="77777777" w:rsidR="00067669" w:rsidRDefault="00067669" w:rsidP="00447E63">
      <w:pPr>
        <w:pStyle w:val="Heading3"/>
      </w:pPr>
      <w:bookmarkStart w:id="126" w:name="_Toc525912221"/>
      <w:bookmarkStart w:id="127" w:name="_Toc525915342"/>
      <w:bookmarkStart w:id="128" w:name="_Toc526355331"/>
      <w:bookmarkStart w:id="129" w:name="_Toc526413591"/>
      <w:bookmarkStart w:id="130" w:name="_Toc526935111"/>
      <w:r>
        <w:t>Insights from Australia’s experience with reform</w:t>
      </w:r>
      <w:bookmarkEnd w:id="118"/>
      <w:bookmarkEnd w:id="119"/>
      <w:bookmarkEnd w:id="120"/>
      <w:bookmarkEnd w:id="121"/>
      <w:bookmarkEnd w:id="122"/>
      <w:bookmarkEnd w:id="123"/>
      <w:bookmarkEnd w:id="124"/>
      <w:bookmarkEnd w:id="125"/>
      <w:bookmarkEnd w:id="126"/>
      <w:bookmarkEnd w:id="127"/>
      <w:bookmarkEnd w:id="128"/>
      <w:bookmarkEnd w:id="129"/>
      <w:bookmarkEnd w:id="130"/>
    </w:p>
    <w:p w14:paraId="6380D6CE" w14:textId="77777777" w:rsidR="00067669" w:rsidRDefault="00067669" w:rsidP="00CE4D9B">
      <w:r>
        <w:t>The diversity of circumstances and experiences of reform across countries makes it difficult to draw universal conclusions about how best to undertake reforms. Instead, this paper draws broad insights from Australia’s economic reform story. There are a number of factors that contributed to the success of Australia’s program of reform</w:t>
      </w:r>
      <w:r w:rsidR="00CA5C00">
        <w:t>.</w:t>
      </w:r>
      <w:r w:rsidR="00630543">
        <w:rPr>
          <w:rStyle w:val="FootnoteReference"/>
        </w:rPr>
        <w:footnoteReference w:id="27"/>
      </w:r>
      <w:r>
        <w:t xml:space="preserve"> First, the sequencing of reforms appears to have been useful in Australia’s case. Second, </w:t>
      </w:r>
      <w:r w:rsidR="001A37B4">
        <w:t xml:space="preserve">consensus building was critical, particularly because the reforms pursued in Australia typically benefited the many over a vocal minority. Third, </w:t>
      </w:r>
      <w:r>
        <w:t>Australian policymakers were mostly persistent in their pursuit of reform</w:t>
      </w:r>
      <w:r w:rsidR="0015550E">
        <w:t>. They</w:t>
      </w:r>
      <w:r>
        <w:t xml:space="preserve"> did not give up in the face of adverse outcomes or events and, perhaps most importantly, appear</w:t>
      </w:r>
      <w:r w:rsidR="0015550E">
        <w:t>ed</w:t>
      </w:r>
      <w:r>
        <w:t xml:space="preserve"> to learn from past mistakes</w:t>
      </w:r>
      <w:r w:rsidR="006212A7">
        <w:t>.</w:t>
      </w:r>
    </w:p>
    <w:p w14:paraId="60BD8E93" w14:textId="77777777" w:rsidR="00067669" w:rsidRDefault="00067669" w:rsidP="0073028D">
      <w:pPr>
        <w:pStyle w:val="Heading4"/>
      </w:pPr>
      <w:bookmarkStart w:id="131" w:name="_Toc526413592"/>
      <w:r>
        <w:t>Sequencing of Reforms</w:t>
      </w:r>
      <w:bookmarkEnd w:id="131"/>
    </w:p>
    <w:p w14:paraId="63139343" w14:textId="77777777" w:rsidR="00067669" w:rsidRDefault="00067669" w:rsidP="00CE4D9B">
      <w:r w:rsidRPr="006D7F36">
        <w:t xml:space="preserve">The </w:t>
      </w:r>
      <w:r w:rsidR="00FF6106">
        <w:t>order in which</w:t>
      </w:r>
      <w:r w:rsidR="00FF6106" w:rsidRPr="006D7F36">
        <w:t xml:space="preserve"> </w:t>
      </w:r>
      <w:r w:rsidRPr="006D7F36">
        <w:t>Australia</w:t>
      </w:r>
      <w:r w:rsidR="00FF6106">
        <w:t xml:space="preserve"> undertook</w:t>
      </w:r>
      <w:r w:rsidRPr="006D7F36">
        <w:t xml:space="preserve"> economic reforms was unusual. </w:t>
      </w:r>
      <w:r>
        <w:t>A standard approach might be to improve the efficiency of the economy before exposing it to international competition. To some extent, Australia did the reverse. It began in 1973 with a one-off 25 per cent unilateral tariff cut</w:t>
      </w:r>
      <w:r w:rsidR="00E83859">
        <w:t xml:space="preserve"> as a solution to rising inflation</w:t>
      </w:r>
      <w:r w:rsidR="0016638A">
        <w:t>. But the cut was</w:t>
      </w:r>
      <w:r w:rsidR="00E83859">
        <w:t xml:space="preserve"> controversial and was partly </w:t>
      </w:r>
      <w:r w:rsidR="002E7DE9">
        <w:t>scaled back</w:t>
      </w:r>
      <w:r w:rsidR="00E83859">
        <w:t xml:space="preserve"> in a number of industries</w:t>
      </w:r>
      <w:r>
        <w:t>.</w:t>
      </w:r>
      <w:r w:rsidR="00031F0A">
        <w:rPr>
          <w:rStyle w:val="FootnoteReference"/>
        </w:rPr>
        <w:footnoteReference w:id="28"/>
      </w:r>
      <w:r>
        <w:t xml:space="preserve"> The first concerted wave of reform involved deregulating the banking sector, opening it to foreign competition and floating the currency. The second </w:t>
      </w:r>
      <w:r w:rsidR="006212A7">
        <w:t>wave</w:t>
      </w:r>
      <w:r>
        <w:t xml:space="preserve"> was more focused on raising efficiency </w:t>
      </w:r>
      <w:r w:rsidR="007001F8">
        <w:t xml:space="preserve">by </w:t>
      </w:r>
      <w:r>
        <w:t>reducing trade barriers, decentralis</w:t>
      </w:r>
      <w:r w:rsidR="007001F8">
        <w:t>ing</w:t>
      </w:r>
      <w:r>
        <w:t xml:space="preserve"> the industrial relations system and </w:t>
      </w:r>
      <w:r w:rsidR="007001F8">
        <w:t xml:space="preserve">implementing </w:t>
      </w:r>
      <w:r>
        <w:t>microeconomic reform. Canada and the United States followed a broadly similar path.</w:t>
      </w:r>
      <w:r>
        <w:rPr>
          <w:rStyle w:val="FootnoteReference"/>
        </w:rPr>
        <w:footnoteReference w:id="29"/>
      </w:r>
    </w:p>
    <w:p w14:paraId="010566D5" w14:textId="77777777" w:rsidR="00067669" w:rsidRDefault="00067669" w:rsidP="00CE4D9B">
      <w:r>
        <w:t xml:space="preserve">The timing of reforms in Australia was significantly influenced by </w:t>
      </w:r>
      <w:r w:rsidR="00371C42">
        <w:t xml:space="preserve">developments </w:t>
      </w:r>
      <w:r>
        <w:t xml:space="preserve">in the terms of trade and current account. </w:t>
      </w:r>
      <w:r w:rsidR="00371C42">
        <w:t>Even through the 1950s and 1960s it was broadly accepted that existing institutional settings were no longer delivering the high living standards that had been promised</w:t>
      </w:r>
      <w:r w:rsidR="003F3A94">
        <w:t>.</w:t>
      </w:r>
      <w:r w:rsidR="00371C42">
        <w:rPr>
          <w:rStyle w:val="FootnoteReference"/>
        </w:rPr>
        <w:footnoteReference w:id="30"/>
      </w:r>
      <w:r w:rsidR="00371C42">
        <w:t xml:space="preserve"> Yet</w:t>
      </w:r>
      <w:r>
        <w:t xml:space="preserve"> </w:t>
      </w:r>
      <w:r w:rsidR="00371C42">
        <w:t xml:space="preserve">reform was delayed relative to other countries by </w:t>
      </w:r>
      <w:r>
        <w:t>high commodity prices</w:t>
      </w:r>
      <w:r w:rsidR="00371C42">
        <w:t>, which</w:t>
      </w:r>
      <w:r>
        <w:t xml:space="preserve"> </w:t>
      </w:r>
      <w:r w:rsidR="00371C42">
        <w:t xml:space="preserve">kept </w:t>
      </w:r>
      <w:r w:rsidR="00665D17">
        <w:t xml:space="preserve">Australian </w:t>
      </w:r>
      <w:r w:rsidR="00371C42">
        <w:t>incomes high and masked the country’s relatively poor productivity performance. N</w:t>
      </w:r>
      <w:r>
        <w:t xml:space="preserve">ot until the </w:t>
      </w:r>
      <w:r w:rsidR="0045269E">
        <w:t xml:space="preserve">1970s, as the </w:t>
      </w:r>
      <w:r>
        <w:t xml:space="preserve">terms of trade </w:t>
      </w:r>
      <w:r w:rsidR="0045269E">
        <w:t xml:space="preserve">deteriorated </w:t>
      </w:r>
      <w:r>
        <w:t>and the current account deficit widened</w:t>
      </w:r>
      <w:r w:rsidR="00371C42">
        <w:t xml:space="preserve">, did </w:t>
      </w:r>
      <w:r w:rsidR="00FE18AB">
        <w:t>the accepted wisdom lead to action</w:t>
      </w:r>
      <w:r w:rsidR="00371C42">
        <w:t>.</w:t>
      </w:r>
      <w:r w:rsidR="0045269E" w:rsidDel="00E83859">
        <w:t xml:space="preserve"> </w:t>
      </w:r>
      <w:r w:rsidR="005C0903">
        <w:t>The</w:t>
      </w:r>
      <w:r w:rsidR="00371C42">
        <w:t xml:space="preserve"> </w:t>
      </w:r>
      <w:r w:rsidR="00FE18AB">
        <w:t xml:space="preserve">first </w:t>
      </w:r>
      <w:r w:rsidR="005C0903">
        <w:t>wave</w:t>
      </w:r>
      <w:r w:rsidR="00FE18AB">
        <w:t xml:space="preserve"> of reform</w:t>
      </w:r>
      <w:r w:rsidR="005C0903">
        <w:t xml:space="preserve">s </w:t>
      </w:r>
      <w:r w:rsidR="007D373C">
        <w:t xml:space="preserve">was more responsive, </w:t>
      </w:r>
      <w:r w:rsidR="005C0903">
        <w:t xml:space="preserve">as authorities sought to manage the </w:t>
      </w:r>
      <w:r w:rsidR="007D373C">
        <w:t xml:space="preserve">macroeconomic </w:t>
      </w:r>
      <w:r w:rsidR="005C0903">
        <w:t xml:space="preserve">instability caused by </w:t>
      </w:r>
      <w:r w:rsidR="00FE18AB">
        <w:t>increasing international capital flows</w:t>
      </w:r>
      <w:r w:rsidR="005C0903">
        <w:t xml:space="preserve">, </w:t>
      </w:r>
      <w:r w:rsidR="00FE18AB">
        <w:t>growth of</w:t>
      </w:r>
      <w:r w:rsidR="006212A7">
        <w:t xml:space="preserve"> the non-bank</w:t>
      </w:r>
      <w:r w:rsidR="00FE18AB">
        <w:t xml:space="preserve"> f</w:t>
      </w:r>
      <w:r w:rsidR="005C0903">
        <w:t xml:space="preserve">inancial sector, and </w:t>
      </w:r>
      <w:r w:rsidR="00FE18AB">
        <w:t xml:space="preserve">a </w:t>
      </w:r>
      <w:r>
        <w:t xml:space="preserve">break-out in inflation. </w:t>
      </w:r>
      <w:r w:rsidR="005C0903">
        <w:t>Yet</w:t>
      </w:r>
      <w:r w:rsidR="00FE18AB">
        <w:t xml:space="preserve"> the </w:t>
      </w:r>
      <w:r>
        <w:t xml:space="preserve">terms of trade </w:t>
      </w:r>
      <w:r w:rsidR="00FE18AB">
        <w:t>and</w:t>
      </w:r>
      <w:r>
        <w:t xml:space="preserve"> the current account </w:t>
      </w:r>
      <w:r w:rsidR="005C0903">
        <w:t xml:space="preserve">continued to </w:t>
      </w:r>
      <w:r w:rsidR="00FE18AB">
        <w:t xml:space="preserve">deteriorate in the mid-1980s, </w:t>
      </w:r>
      <w:r w:rsidR="005C0903">
        <w:t>prompting</w:t>
      </w:r>
      <w:r>
        <w:t xml:space="preserve"> </w:t>
      </w:r>
      <w:r w:rsidR="00FE18AB">
        <w:t xml:space="preserve">a </w:t>
      </w:r>
      <w:r>
        <w:t xml:space="preserve">second </w:t>
      </w:r>
      <w:r w:rsidR="005C0903">
        <w:t>wave</w:t>
      </w:r>
      <w:r w:rsidR="00FE18AB">
        <w:t xml:space="preserve"> </w:t>
      </w:r>
      <w:r>
        <w:t xml:space="preserve">of </w:t>
      </w:r>
      <w:r w:rsidR="007D373C">
        <w:t xml:space="preserve">more premeditated </w:t>
      </w:r>
      <w:r>
        <w:t xml:space="preserve">reforms </w:t>
      </w:r>
      <w:r w:rsidR="00FE18AB">
        <w:t xml:space="preserve">that </w:t>
      </w:r>
      <w:r>
        <w:t>concentrated on domest</w:t>
      </w:r>
      <w:r w:rsidR="00A237F9">
        <w:t>ic industry and labour markets.</w:t>
      </w:r>
    </w:p>
    <w:p w14:paraId="4746A5A9" w14:textId="77777777" w:rsidR="00067669" w:rsidRDefault="00067669" w:rsidP="00CE4D9B">
      <w:r>
        <w:t>Even within th</w:t>
      </w:r>
      <w:r w:rsidR="00FE18AB">
        <w:t>is</w:t>
      </w:r>
      <w:r>
        <w:t xml:space="preserve"> second </w:t>
      </w:r>
      <w:r w:rsidR="009A0AD2">
        <w:t xml:space="preserve">wave </w:t>
      </w:r>
      <w:r>
        <w:t xml:space="preserve">the ordering was unusual. The </w:t>
      </w:r>
      <w:r w:rsidRPr="006D7F36">
        <w:t>s</w:t>
      </w:r>
      <w:r>
        <w:t xml:space="preserve">taged tariff cuts that </w:t>
      </w:r>
      <w:r w:rsidR="00F54577">
        <w:t xml:space="preserve">started </w:t>
      </w:r>
      <w:r>
        <w:t>in the late 19</w:t>
      </w:r>
      <w:r w:rsidRPr="006D7F36">
        <w:t>80s</w:t>
      </w:r>
      <w:r w:rsidR="00F54577">
        <w:t>, which</w:t>
      </w:r>
      <w:r w:rsidRPr="006D7F36">
        <w:t xml:space="preserve"> </w:t>
      </w:r>
      <w:r>
        <w:t>were partly motivated by a desire to expose Australian businesses to international competition and force further reform</w:t>
      </w:r>
      <w:r w:rsidR="00F54577">
        <w:t>,</w:t>
      </w:r>
      <w:r>
        <w:t xml:space="preserve"> began before other pro-competition and industrial relations reforms. </w:t>
      </w:r>
      <w:r w:rsidR="00F54577">
        <w:t xml:space="preserve">By contrast, </w:t>
      </w:r>
      <w:r w:rsidRPr="001B2445">
        <w:t xml:space="preserve">microeconomic reforms </w:t>
      </w:r>
      <w:r w:rsidR="00F54577">
        <w:t>i</w:t>
      </w:r>
      <w:r w:rsidR="00F54577" w:rsidRPr="001B2445">
        <w:t xml:space="preserve">n other countries </w:t>
      </w:r>
      <w:r w:rsidRPr="001B2445">
        <w:t>preceded reductions in trade barriers, in an effort to prepare domestic businesses for greater international competition.</w:t>
      </w:r>
      <w:r>
        <w:t xml:space="preserve"> Australia’s reductions in trade barriers were also relatively unusual in that they were done on a unilateral basis, rather than as part of reciprocal arrangements. Australia had relatively high tariffs at the start of the process, a consequence of the country’s decision not </w:t>
      </w:r>
      <w:r w:rsidR="006212A7">
        <w:t xml:space="preserve">to </w:t>
      </w:r>
      <w:r>
        <w:t xml:space="preserve">take part in the post-war trade liberalisation that was pursued by most other advanced </w:t>
      </w:r>
      <w:r w:rsidR="00937E9A">
        <w:t>economies</w:t>
      </w:r>
      <w:r>
        <w:t xml:space="preserve">. This decision not to participate was based on the view at the time </w:t>
      </w:r>
      <w:r w:rsidR="00DD7D7D">
        <w:t xml:space="preserve">that </w:t>
      </w:r>
      <w:r>
        <w:t>Australia’s manufacturing industry was relatively undeveloped and</w:t>
      </w:r>
      <w:r w:rsidR="00DD7D7D">
        <w:t xml:space="preserve"> that,</w:t>
      </w:r>
      <w:r>
        <w:t xml:space="preserve"> as an exporter of agricultur</w:t>
      </w:r>
      <w:r w:rsidR="00C916C0">
        <w:t>al</w:t>
      </w:r>
      <w:r>
        <w:t xml:space="preserve"> products</w:t>
      </w:r>
      <w:r w:rsidR="00DD7D7D">
        <w:t>,</w:t>
      </w:r>
      <w:r>
        <w:t xml:space="preserve"> </w:t>
      </w:r>
      <w:r w:rsidR="006212A7">
        <w:t xml:space="preserve">Australia </w:t>
      </w:r>
      <w:r w:rsidR="00DD7D7D">
        <w:t>had little</w:t>
      </w:r>
      <w:r>
        <w:t xml:space="preserve"> to gain from reciprocity when the </w:t>
      </w:r>
      <w:r w:rsidR="00B453C6">
        <w:t xml:space="preserve">multi-lateral </w:t>
      </w:r>
      <w:r>
        <w:t xml:space="preserve">rounds excluded agriculture. </w:t>
      </w:r>
      <w:r w:rsidR="00913CE6">
        <w:t xml:space="preserve">But the </w:t>
      </w:r>
      <w:r w:rsidR="00DD7D7D">
        <w:t xml:space="preserve">tide began to turn </w:t>
      </w:r>
      <w:r w:rsidR="00B54D66">
        <w:t>after</w:t>
      </w:r>
      <w:r w:rsidR="00DD7D7D">
        <w:t xml:space="preserve"> the </w:t>
      </w:r>
      <w:r w:rsidR="00913CE6">
        <w:t xml:space="preserve">National Farmers Federation </w:t>
      </w:r>
      <w:r w:rsidR="00DD7D7D">
        <w:t xml:space="preserve">joined the voices for tariff reduction, </w:t>
      </w:r>
      <w:r w:rsidR="00B54D66">
        <w:t>arguing</w:t>
      </w:r>
      <w:r w:rsidR="00913CE6">
        <w:t xml:space="preserve"> the farm sector was hurt by high manufacturing tariffs </w:t>
      </w:r>
      <w:r w:rsidR="00DD7D7D">
        <w:t xml:space="preserve">that </w:t>
      </w:r>
      <w:r w:rsidR="00913CE6">
        <w:t>increased costs of production</w:t>
      </w:r>
      <w:r w:rsidR="00C038F1">
        <w:t xml:space="preserve"> – a claim</w:t>
      </w:r>
      <w:r w:rsidR="00031F0A">
        <w:t xml:space="preserve"> supported by an independent assessment that the cost of protectionism was high</w:t>
      </w:r>
      <w:r w:rsidR="00913CE6">
        <w:t xml:space="preserve">. </w:t>
      </w:r>
      <w:r>
        <w:t>B</w:t>
      </w:r>
      <w:r w:rsidR="00EA6581">
        <w:t xml:space="preserve">y </w:t>
      </w:r>
      <w:r w:rsidRPr="0098299F">
        <w:t>the mid-1990s, Australia had a low effective rate of assistance compared with many other countri</w:t>
      </w:r>
      <w:r>
        <w:t>es.</w:t>
      </w:r>
    </w:p>
    <w:p w14:paraId="7C4E2BA5" w14:textId="77777777" w:rsidR="006212A7" w:rsidRDefault="00067669" w:rsidP="00CE4D9B">
      <w:r>
        <w:t xml:space="preserve">There have been both benefits and costs to the ordering of Australia’s reforms. On the one hand, </w:t>
      </w:r>
      <w:r w:rsidR="00314458">
        <w:t xml:space="preserve">some earlier reforms catalysed later reforms. A sharp depreciation in the newly floated dollar fuelled concerns about the current account deficit and an uncompetitive economy. The liberalisation of the capital account and financial sector contributed to an asset price bubble in unproductive sectors in the late 1980s, highlighting the need for microeconomic reform. And trade liberalisation later that decade provided additional impetus for domestic reform, including </w:t>
      </w:r>
      <w:r w:rsidR="00630543">
        <w:t xml:space="preserve">for </w:t>
      </w:r>
      <w:r w:rsidR="00314458">
        <w:t>a more flexible industrial relations system.</w:t>
      </w:r>
      <w:r>
        <w:t xml:space="preserve"> On the other hand, </w:t>
      </w:r>
      <w:r w:rsidR="00630543">
        <w:t>some of the</w:t>
      </w:r>
      <w:r w:rsidR="003329B0">
        <w:t>se</w:t>
      </w:r>
      <w:r w:rsidR="00630543">
        <w:t xml:space="preserve"> lessons were </w:t>
      </w:r>
      <w:r w:rsidR="003329B0">
        <w:t>learned at considerable cost</w:t>
      </w:r>
      <w:r w:rsidR="00630543">
        <w:t xml:space="preserve">. </w:t>
      </w:r>
      <w:r w:rsidR="003329B0">
        <w:t>In particular, the late</w:t>
      </w:r>
      <w:r w:rsidR="00F33BC2">
        <w:t>-</w:t>
      </w:r>
      <w:r w:rsidR="003329B0">
        <w:t>1980s asset bubble</w:t>
      </w:r>
      <w:r>
        <w:t xml:space="preserve"> was a significant contributor to the recession in the early</w:t>
      </w:r>
      <w:r w:rsidR="00BA7D47">
        <w:t> </w:t>
      </w:r>
      <w:r w:rsidR="00A237F9">
        <w:t>1990s.</w:t>
      </w:r>
    </w:p>
    <w:p w14:paraId="5DED49C8" w14:textId="77777777" w:rsidR="00067669" w:rsidRDefault="00157E94" w:rsidP="00CE4D9B">
      <w:r>
        <w:t xml:space="preserve">There have also been consequences from the speed of </w:t>
      </w:r>
      <w:r w:rsidR="00913197">
        <w:t>change, as well as the sequence. The</w:t>
      </w:r>
      <w:r w:rsidR="007D373C">
        <w:t xml:space="preserve"> relatively slow, iterative pace of reform in Australia</w:t>
      </w:r>
      <w:r w:rsidR="00067669">
        <w:t xml:space="preserve"> </w:t>
      </w:r>
      <w:r w:rsidR="007D373C">
        <w:t xml:space="preserve">has </w:t>
      </w:r>
      <w:r w:rsidR="007D1B9D">
        <w:t xml:space="preserve">arguably facilitated smooth adjustment. For instance, the steady loosening of exchange rate controls through the 1970s enabled the emergence of a fledgling hedging market that helped </w:t>
      </w:r>
      <w:r w:rsidR="00665D17">
        <w:t>ready</w:t>
      </w:r>
      <w:r w:rsidR="007D1B9D">
        <w:t xml:space="preserve"> business for the eventual float of the dollar in the early 1980s.</w:t>
      </w:r>
    </w:p>
    <w:p w14:paraId="73346C9F" w14:textId="77777777" w:rsidR="001A37B4" w:rsidRDefault="001A37B4" w:rsidP="0073028D">
      <w:pPr>
        <w:pStyle w:val="Heading4"/>
      </w:pPr>
      <w:bookmarkStart w:id="132" w:name="_Toc526413593"/>
      <w:r>
        <w:t>C</w:t>
      </w:r>
      <w:r w:rsidRPr="000A2234">
        <w:t>onsensus building</w:t>
      </w:r>
      <w:bookmarkEnd w:id="132"/>
    </w:p>
    <w:p w14:paraId="3D381057" w14:textId="77777777" w:rsidR="001A37B4" w:rsidRPr="00EE196B" w:rsidRDefault="001A37B4" w:rsidP="0073028D">
      <w:pPr>
        <w:spacing w:after="200"/>
        <w:rPr>
          <w:b/>
        </w:rPr>
      </w:pPr>
      <w:r>
        <w:t>Australia’s reforms have largely been implemented with substantive efforts to gain public support.</w:t>
      </w:r>
      <w:r>
        <w:rPr>
          <w:rStyle w:val="FootnoteReference"/>
        </w:rPr>
        <w:footnoteReference w:id="31"/>
      </w:r>
      <w:r>
        <w:t xml:space="preserve"> Mostly, they have been implemented with support from the major political parties as well as business groups and the labour union movement, which is unusual when compared with the experience of similar countries. Even those groups in society that were net losers from the reforms were not as vocal in Australia as they were in some other countries. This is notable since </w:t>
      </w:r>
      <w:r w:rsidRPr="00EE196B">
        <w:t>the types of economic reforms Australia introduced during this period typically benefited the majority while disadvantaging a small minority</w:t>
      </w:r>
      <w:r>
        <w:t xml:space="preserve">, which can often lead to vocal opposition by vested interests. While seeking support may have incurred some costs, most notably by delaying reform, it is also likely to have significantly reduced costs in other areas, </w:t>
      </w:r>
      <w:r w:rsidR="00556AF6">
        <w:t xml:space="preserve">for instanced by </w:t>
      </w:r>
      <w:r>
        <w:t xml:space="preserve">reducing days lost </w:t>
      </w:r>
      <w:r w:rsidR="00556AF6">
        <w:t>to</w:t>
      </w:r>
      <w:r>
        <w:t xml:space="preserve"> strike action</w:t>
      </w:r>
      <w:r w:rsidR="00556AF6">
        <w:t xml:space="preserve">. </w:t>
      </w:r>
      <w:r>
        <w:t>As such, it is likely an important reason why Australian governments were successful in pursuing reform over a relatively long timeframe and were able to push ahead even when faced with conditions that could have set</w:t>
      </w:r>
      <w:r w:rsidR="006212A7">
        <w:t xml:space="preserve"> </w:t>
      </w:r>
      <w:r w:rsidR="00A237F9">
        <w:t>back the reform agenda.</w:t>
      </w:r>
    </w:p>
    <w:p w14:paraId="2AD7A7C2" w14:textId="77777777" w:rsidR="001A37B4" w:rsidRPr="001F05DE" w:rsidRDefault="001A37B4" w:rsidP="0073028D">
      <w:pPr>
        <w:spacing w:after="200"/>
        <w:rPr>
          <w:spacing w:val="-2"/>
        </w:rPr>
      </w:pPr>
      <w:r w:rsidRPr="001F05DE">
        <w:rPr>
          <w:spacing w:val="-2"/>
        </w:rPr>
        <w:t>There are many reasons why Australia’s reforms</w:t>
      </w:r>
      <w:r w:rsidRPr="001F05DE" w:rsidDel="008C39BD">
        <w:rPr>
          <w:spacing w:val="-2"/>
        </w:rPr>
        <w:t xml:space="preserve"> </w:t>
      </w:r>
      <w:r w:rsidRPr="001F05DE">
        <w:rPr>
          <w:spacing w:val="-2"/>
        </w:rPr>
        <w:t xml:space="preserve">were </w:t>
      </w:r>
      <w:r w:rsidR="006212A7" w:rsidRPr="001F05DE">
        <w:rPr>
          <w:spacing w:val="-2"/>
        </w:rPr>
        <w:t>implemented</w:t>
      </w:r>
      <w:r w:rsidRPr="001F05DE">
        <w:rPr>
          <w:spacing w:val="-2"/>
        </w:rPr>
        <w:t xml:space="preserve"> with relatively broad public support: governments were opportunistic and took prudent steps to sell the case for change; the reform agenda had the overall support of business groups and unions, as well as federal and </w:t>
      </w:r>
      <w:r w:rsidR="00556AF6" w:rsidRPr="001F05DE">
        <w:rPr>
          <w:spacing w:val="-2"/>
        </w:rPr>
        <w:t>s</w:t>
      </w:r>
      <w:r w:rsidRPr="001F05DE">
        <w:rPr>
          <w:spacing w:val="-2"/>
        </w:rPr>
        <w:t>tate governments; the slow pace of change allowed time for the community to adjust; benefits and costs were relatively dispersed thanks to both a broad reform agenda, measures to ease transitional pain, and governments’ preparedness to offer trade-offs; and successive governments drew judiciously on advice from independent agencies and inquiries. These factors will now be examined in greater detail.</w:t>
      </w:r>
    </w:p>
    <w:p w14:paraId="2E4B8243" w14:textId="77777777" w:rsidR="001A37B4" w:rsidRDefault="001A37B4" w:rsidP="0073028D">
      <w:pPr>
        <w:spacing w:after="200"/>
      </w:pPr>
      <w:r>
        <w:t xml:space="preserve">Throughout Australia’s reform period, governments have taken advantage of windows of opportunity to make the case for change. These </w:t>
      </w:r>
      <w:r w:rsidR="006212A7">
        <w:t xml:space="preserve">opportunities </w:t>
      </w:r>
      <w:r>
        <w:t xml:space="preserve">included declines in the terms of trade, concerns about the size of the current account deficit and recessions. As an example, it took a current account crisis and a significant depreciation of the exchange rate for broad-based reductions in trade protectionism to be actioned, </w:t>
      </w:r>
      <w:r w:rsidR="00302AA6">
        <w:t>almost two decades after the Tariff Board and others began advocating liberalisation</w:t>
      </w:r>
      <w:r>
        <w:t>.</w:t>
      </w:r>
      <w:r>
        <w:rPr>
          <w:rStyle w:val="FootnoteReference"/>
        </w:rPr>
        <w:footnoteReference w:id="32"/>
      </w:r>
    </w:p>
    <w:p w14:paraId="21D11471" w14:textId="77777777" w:rsidR="001A37B4" w:rsidRPr="001F05DE" w:rsidRDefault="001A37B4" w:rsidP="00447E63">
      <w:pPr>
        <w:rPr>
          <w:spacing w:val="-2"/>
        </w:rPr>
      </w:pPr>
      <w:r w:rsidRPr="001F05DE">
        <w:rPr>
          <w:spacing w:val="-2"/>
        </w:rPr>
        <w:t xml:space="preserve">As well as being opportunistic, governments still worked hard to build support for reform. For instance in the 1983 economic summit, the government brought together union and business leaders to build consensus on the need for </w:t>
      </w:r>
      <w:r w:rsidR="00ED5544" w:rsidRPr="001F05DE">
        <w:rPr>
          <w:spacing w:val="-2"/>
        </w:rPr>
        <w:t>change</w:t>
      </w:r>
      <w:r w:rsidRPr="001F05DE">
        <w:rPr>
          <w:spacing w:val="-2"/>
        </w:rPr>
        <w:t xml:space="preserve">. In other cases support was sought by using simple messaging to communicate complex economic problems. By controversially warning in 1986 that Australia risked becoming a “banana republic”, Australia’s Treasurer at the time raised public awareness about threats to </w:t>
      </w:r>
      <w:r w:rsidR="00ED5544" w:rsidRPr="001F05DE">
        <w:rPr>
          <w:spacing w:val="-2"/>
        </w:rPr>
        <w:t xml:space="preserve">the country’s </w:t>
      </w:r>
      <w:r w:rsidRPr="001F05DE">
        <w:rPr>
          <w:spacing w:val="-2"/>
        </w:rPr>
        <w:t xml:space="preserve">standard of living. Another example was the GST. After failing to win support during the 1980s and early 1990s, </w:t>
      </w:r>
      <w:r w:rsidR="00CB0B51" w:rsidRPr="001F05DE">
        <w:rPr>
          <w:spacing w:val="-2"/>
        </w:rPr>
        <w:t xml:space="preserve">a </w:t>
      </w:r>
      <w:r w:rsidRPr="001F05DE">
        <w:rPr>
          <w:spacing w:val="-2"/>
        </w:rPr>
        <w:t>GST finally came into force in 2000 after gaining voters’ backing through a federal election</w:t>
      </w:r>
      <w:r w:rsidRPr="001F05DE">
        <w:rPr>
          <w:rStyle w:val="FootnoteReference"/>
          <w:spacing w:val="-2"/>
          <w:sz w:val="22"/>
        </w:rPr>
        <w:footnoteReference w:id="33"/>
      </w:r>
      <w:r w:rsidRPr="001F05DE">
        <w:rPr>
          <w:spacing w:val="-2"/>
        </w:rPr>
        <w:t xml:space="preserve"> and following extensive con</w:t>
      </w:r>
      <w:r w:rsidR="00A237F9">
        <w:rPr>
          <w:spacing w:val="-2"/>
        </w:rPr>
        <w:t>sultation about implementation.</w:t>
      </w:r>
    </w:p>
    <w:p w14:paraId="6D09ED31" w14:textId="77777777" w:rsidR="001A37B4" w:rsidRPr="001F05DE" w:rsidRDefault="006253B7" w:rsidP="00447E63">
      <w:r w:rsidRPr="001F05DE">
        <w:t xml:space="preserve">Crucial to Australia’s reform experience has been the organisation and support of interest groups, notably those representing business and workers. </w:t>
      </w:r>
      <w:r w:rsidR="001A37B4" w:rsidRPr="001F05DE">
        <w:t>These included the National Farmers</w:t>
      </w:r>
      <w:r w:rsidR="006212A7" w:rsidRPr="001F05DE">
        <w:t>’</w:t>
      </w:r>
      <w:r w:rsidR="001A37B4" w:rsidRPr="001F05DE">
        <w:t xml:space="preserve"> Federation, which was formed in 1979 and made a deliberate decision, as a major exporter, to argue the case for tariff reform</w:t>
      </w:r>
      <w:r w:rsidRPr="001F05DE">
        <w:t>. T</w:t>
      </w:r>
      <w:r w:rsidR="001A37B4" w:rsidRPr="001F05DE">
        <w:t>he Business Council of Australia</w:t>
      </w:r>
      <w:r w:rsidRPr="001F05DE">
        <w:t xml:space="preserve"> </w:t>
      </w:r>
      <w:r w:rsidR="001A37B4" w:rsidRPr="001F05DE">
        <w:t xml:space="preserve">was established </w:t>
      </w:r>
      <w:r w:rsidRPr="001F05DE">
        <w:t xml:space="preserve">in 1983 </w:t>
      </w:r>
      <w:r w:rsidR="001A37B4" w:rsidRPr="001F05DE">
        <w:t>to improve business</w:t>
      </w:r>
      <w:r w:rsidR="006212A7" w:rsidRPr="001F05DE">
        <w:t>’</w:t>
      </w:r>
      <w:r w:rsidR="001A37B4" w:rsidRPr="001F05DE">
        <w:t xml:space="preserve"> influence in public policy. </w:t>
      </w:r>
      <w:r w:rsidRPr="001F05DE">
        <w:t>And u</w:t>
      </w:r>
      <w:r w:rsidR="001A37B4" w:rsidRPr="001F05DE">
        <w:t>nion support for much of the reform agenda helped pu</w:t>
      </w:r>
      <w:r w:rsidR="00A237F9">
        <w:t>blic acceptance of the process.</w:t>
      </w:r>
    </w:p>
    <w:p w14:paraId="30DD6F35" w14:textId="77777777" w:rsidR="001A37B4" w:rsidRPr="001F05DE" w:rsidRDefault="001A37B4" w:rsidP="00447E63">
      <w:r w:rsidRPr="001F05DE">
        <w:t xml:space="preserve">Some reforms required consensus </w:t>
      </w:r>
      <w:r w:rsidR="006253B7" w:rsidRPr="001F05DE">
        <w:t xml:space="preserve">around </w:t>
      </w:r>
      <w:r w:rsidRPr="001F05DE">
        <w:t>implementation</w:t>
      </w:r>
      <w:r w:rsidR="006253B7" w:rsidRPr="001F05DE">
        <w:t>,</w:t>
      </w:r>
      <w:r w:rsidRPr="001F05DE">
        <w:t xml:space="preserve"> </w:t>
      </w:r>
      <w:r w:rsidR="006253B7" w:rsidRPr="001F05DE">
        <w:t>especially where different levels of government were involved</w:t>
      </w:r>
      <w:r w:rsidRPr="001F05DE">
        <w:t xml:space="preserve">. For example, the National Competition Policy reforms that followed the </w:t>
      </w:r>
      <w:proofErr w:type="spellStart"/>
      <w:r w:rsidRPr="001F05DE">
        <w:t>Hilmer</w:t>
      </w:r>
      <w:proofErr w:type="spellEnd"/>
      <w:r w:rsidRPr="001F05DE">
        <w:t xml:space="preserve"> Review – a wide-ranging package of reforms designed to improve productivity in the non</w:t>
      </w:r>
      <w:r w:rsidR="00132646" w:rsidRPr="001F05DE">
        <w:noBreakHyphen/>
      </w:r>
      <w:r w:rsidRPr="001F05DE">
        <w:t xml:space="preserve">traded economy – spanned both federal and </w:t>
      </w:r>
      <w:r w:rsidR="002B065F" w:rsidRPr="001F05DE">
        <w:t>s</w:t>
      </w:r>
      <w:r w:rsidR="00A237F9">
        <w:t>tate jurisdictions.</w:t>
      </w:r>
    </w:p>
    <w:p w14:paraId="3A000837" w14:textId="77777777" w:rsidR="001A37B4" w:rsidRDefault="001A37B4" w:rsidP="00447E63">
      <w:r>
        <w:t xml:space="preserve">Public support </w:t>
      </w:r>
      <w:r w:rsidR="006253B7">
        <w:t xml:space="preserve">for economic reform in Australia </w:t>
      </w:r>
      <w:r>
        <w:t xml:space="preserve">was likely aided by the timeframe over which </w:t>
      </w:r>
      <w:r w:rsidR="006253B7">
        <w:t>it</w:t>
      </w:r>
      <w:r>
        <w:t xml:space="preserve"> took place. </w:t>
      </w:r>
      <w:r w:rsidR="006253B7">
        <w:t>Compared with some other countries</w:t>
      </w:r>
      <w:r>
        <w:t>, Australia’s reforms were undertaken over a relatively extended period. This allowed affected groups and the broader public time to adjust</w:t>
      </w:r>
      <w:r w:rsidR="00031F0A">
        <w:t>.</w:t>
      </w:r>
      <w:r>
        <w:rPr>
          <w:rStyle w:val="FootnoteReference"/>
        </w:rPr>
        <w:footnoteReference w:id="34"/>
      </w:r>
      <w:r>
        <w:t xml:space="preserve"> In this respect, lessons were learnt from the </w:t>
      </w:r>
      <w:r w:rsidR="002B065F">
        <w:t xml:space="preserve">negative </w:t>
      </w:r>
      <w:r w:rsidR="00031F0A">
        <w:t xml:space="preserve">reaction to </w:t>
      </w:r>
      <w:r>
        <w:t>the sudden a</w:t>
      </w:r>
      <w:r w:rsidR="00A237F9">
        <w:t>nd large 1973 tariff cut.</w:t>
      </w:r>
    </w:p>
    <w:p w14:paraId="2E47F628" w14:textId="77777777" w:rsidR="001A37B4" w:rsidRDefault="001A37B4" w:rsidP="00447E63">
      <w:r>
        <w:t xml:space="preserve">Opposition to change was </w:t>
      </w:r>
      <w:r w:rsidR="006253B7">
        <w:t xml:space="preserve">also </w:t>
      </w:r>
      <w:r>
        <w:t xml:space="preserve">softened by the breadth of reform. Because reform was pursued across a range of fronts – including financial deregulation, industrial relations decentralisation, tariff cuts and tax reform – a group made worse off through one policy change </w:t>
      </w:r>
      <w:r w:rsidR="00132646">
        <w:t>had</w:t>
      </w:r>
      <w:r>
        <w:t xml:space="preserve"> </w:t>
      </w:r>
      <w:r w:rsidRPr="00841263">
        <w:t>at least a good chance to</w:t>
      </w:r>
      <w:r>
        <w:t xml:space="preserve"> </w:t>
      </w:r>
      <w:r w:rsidR="007041AC">
        <w:t xml:space="preserve">eventually </w:t>
      </w:r>
      <w:r>
        <w:t>benefit through another. In other words, costs or benefits were more likely to be dispersed rather than concentrated.</w:t>
      </w:r>
      <w:r>
        <w:rPr>
          <w:rStyle w:val="FootnoteReference"/>
        </w:rPr>
        <w:footnoteReference w:id="35"/>
      </w:r>
      <w:r>
        <w:t xml:space="preserve"> For instance, during the 1980s a largely pro-business reform agenda was accompanied by new taxes that closed loopholes exploited by wealthier Australians. This principle was pursued in a more explicit way through the Accord, under which unions agreed to </w:t>
      </w:r>
      <w:r w:rsidR="00132646">
        <w:t>contain</w:t>
      </w:r>
      <w:r>
        <w:t xml:space="preserve"> wage demands in return for a so-called ‘social wage’ – a broader package of non-wage benefits including tax cuts, increased public spending on health and education, and the introduction of superannuation.</w:t>
      </w:r>
    </w:p>
    <w:p w14:paraId="19BB1DA6" w14:textId="1A18017E" w:rsidR="001A37B4" w:rsidRDefault="009F0605" w:rsidP="00447E63">
      <w:r>
        <w:t>Indeed, a recurring theme of Australia’s economic reform story is the importance of fairness alongside efficiency and growth. M</w:t>
      </w:r>
      <w:r w:rsidR="001A37B4">
        <w:t xml:space="preserve">any reforms included measures to ease transitional pain, particularly where a policy change adversely affected particular groups. Doing so was considered not only appropriate on fairness grounds, but </w:t>
      </w:r>
      <w:r w:rsidR="001A37B4" w:rsidRPr="00841263">
        <w:t>politically savvy</w:t>
      </w:r>
      <w:r w:rsidR="001A37B4">
        <w:t xml:space="preserve"> – an approach that has also been taken by other countries to a greater or lesser extent.</w:t>
      </w:r>
      <w:r w:rsidR="001A37B4">
        <w:rPr>
          <w:rStyle w:val="FootnoteReference"/>
        </w:rPr>
        <w:footnoteReference w:id="36"/>
      </w:r>
      <w:r w:rsidR="001A37B4">
        <w:t xml:space="preserve"> For a discussion of a number of Australian case studies on transitional adjustment see </w:t>
      </w:r>
      <w:r w:rsidR="001A37B4" w:rsidRPr="00132646">
        <w:t>Box A</w:t>
      </w:r>
      <w:r w:rsidR="001A37B4">
        <w:t xml:space="preserve">. </w:t>
      </w:r>
      <w:r w:rsidR="00F173F9">
        <w:t>But s</w:t>
      </w:r>
      <w:r w:rsidR="001A37B4">
        <w:t>uch</w:t>
      </w:r>
      <w:r w:rsidR="001A37B4" w:rsidRPr="00ED33C7">
        <w:t xml:space="preserve"> measures </w:t>
      </w:r>
      <w:r w:rsidR="001A37B4">
        <w:t>were not</w:t>
      </w:r>
      <w:r w:rsidR="001A37B4" w:rsidRPr="00ED33C7">
        <w:t xml:space="preserve"> confined to businesses or individuals.</w:t>
      </w:r>
      <w:r w:rsidR="001A37B4">
        <w:t xml:space="preserve"> Under the National Competition Policy, </w:t>
      </w:r>
      <w:r w:rsidR="00DB73FE">
        <w:t>s</w:t>
      </w:r>
      <w:r w:rsidR="00C67A9A">
        <w:t>tate</w:t>
      </w:r>
      <w:r w:rsidR="001A37B4">
        <w:t xml:space="preserve"> </w:t>
      </w:r>
      <w:r w:rsidR="00DB73FE">
        <w:t xml:space="preserve">governments </w:t>
      </w:r>
      <w:r w:rsidR="001A37B4">
        <w:t>were entitled to receive so</w:t>
      </w:r>
      <w:r w:rsidR="00132646">
        <w:noBreakHyphen/>
      </w:r>
      <w:r w:rsidR="001A37B4">
        <w:t xml:space="preserve">called ‘competition payments’ from the federal government upon implementing agreed policy changes. The payments recognised that although the reforms were expected to deliver productivity gains that would boost federal government revenue, the cost of implementing the reforms would be borne by </w:t>
      </w:r>
      <w:r w:rsidR="00DB73FE">
        <w:t>s</w:t>
      </w:r>
      <w:r w:rsidR="001A37B4">
        <w:t>tate governments.</w:t>
      </w:r>
      <w:r w:rsidR="00F173F9">
        <w:t xml:space="preserve"> Similarly, support for the introduction of a GST in 2001 was aided by the </w:t>
      </w:r>
      <w:r w:rsidR="00757217">
        <w:t>f</w:t>
      </w:r>
      <w:r w:rsidR="00F173F9">
        <w:t xml:space="preserve">ederal </w:t>
      </w:r>
      <w:r w:rsidR="00533CE1">
        <w:t>g</w:t>
      </w:r>
      <w:r w:rsidR="00F173F9">
        <w:t>overnment’s commitment that all revenue raised would be distributed t</w:t>
      </w:r>
      <w:r w:rsidR="00DB73FE">
        <w:t>o the s</w:t>
      </w:r>
      <w:r w:rsidR="00F173F9">
        <w:t>tates.</w:t>
      </w:r>
    </w:p>
    <w:p w14:paraId="3A6D16DD" w14:textId="2C17C52C" w:rsidR="00F173F9" w:rsidRDefault="00F173F9" w:rsidP="00CE4D9B">
      <w:r>
        <w:t>Finally, as in other countries</w:t>
      </w:r>
      <w:r w:rsidR="0073028D" w:rsidRPr="0073028D">
        <w:t>,</w:t>
      </w:r>
      <w:r>
        <w:rPr>
          <w:rStyle w:val="FootnoteReference"/>
        </w:rPr>
        <w:footnoteReference w:id="37"/>
      </w:r>
      <w:r>
        <w:t xml:space="preserve"> governments in Australia have repeatedly drawn on independent advice to build consensus for economic reform. This includes advice from independent agencies, such as the Productivity Commission or the Australian Competition and Consumer Commission, as well as from</w:t>
      </w:r>
      <w:r w:rsidR="00DB31CD">
        <w:t xml:space="preserve"> government</w:t>
      </w:r>
      <w:r w:rsidR="00DB31CD">
        <w:noBreakHyphen/>
        <w:t>commissioned</w:t>
      </w:r>
      <w:r>
        <w:t xml:space="preserve"> public inquiries, </w:t>
      </w:r>
      <w:r w:rsidRPr="009331FC">
        <w:t>such as the 19</w:t>
      </w:r>
      <w:r>
        <w:t xml:space="preserve">81 Campbell Financial System Inquiry, the 1992 </w:t>
      </w:r>
      <w:proofErr w:type="spellStart"/>
      <w:r>
        <w:t>Hilmer</w:t>
      </w:r>
      <w:proofErr w:type="spellEnd"/>
      <w:r>
        <w:t xml:space="preserve"> Report</w:t>
      </w:r>
      <w:r w:rsidR="00DB73FE">
        <w:t xml:space="preserve"> </w:t>
      </w:r>
      <w:r w:rsidR="0070257D">
        <w:t>on competition policy</w:t>
      </w:r>
      <w:r>
        <w:t>, the 1997 Wallis Report</w:t>
      </w:r>
      <w:r w:rsidR="0070257D">
        <w:t xml:space="preserve"> on the financial system</w:t>
      </w:r>
      <w:r w:rsidR="00AE2738">
        <w:t>,</w:t>
      </w:r>
      <w:r>
        <w:t xml:space="preserve"> the 2014 Murray Financial System Inquiry</w:t>
      </w:r>
      <w:r w:rsidR="00AE2738">
        <w:t xml:space="preserve"> and the 2015 Harper Review</w:t>
      </w:r>
      <w:r w:rsidR="0070257D">
        <w:t xml:space="preserve"> on competition policy</w:t>
      </w:r>
      <w:r>
        <w:t>. These fora can lend much-needed credibility to the case for change – credibility that is founded upon both technical expertise and independence. They provide a mechanism for experts, free from political or vested interests, to identify challenges, sift through proposed responses, and recommend the best way forward – whether or not it accords with the government’s own views.</w:t>
      </w:r>
      <w:r>
        <w:rPr>
          <w:rStyle w:val="FootnoteReference"/>
        </w:rPr>
        <w:footnoteReference w:id="38"/>
      </w:r>
    </w:p>
    <w:p w14:paraId="0612E08C" w14:textId="77777777" w:rsidR="00F173F9" w:rsidRDefault="00F173F9" w:rsidP="00CE4D9B">
      <w:r>
        <w:t>Successive Australian governments have used such advice to build a case for politically challenging reforms.</w:t>
      </w:r>
      <w:r>
        <w:rPr>
          <w:rStyle w:val="FootnoteReference"/>
        </w:rPr>
        <w:footnoteReference w:id="39"/>
      </w:r>
      <w:r>
        <w:t xml:space="preserve"> For instance, soon after winning the </w:t>
      </w:r>
      <w:r w:rsidRPr="00CC1991">
        <w:t>19</w:t>
      </w:r>
      <w:r>
        <w:t>83 election the new government initiated the Martin Committee</w:t>
      </w:r>
      <w:r>
        <w:rPr>
          <w:rStyle w:val="FootnoteReference"/>
        </w:rPr>
        <w:footnoteReference w:id="40"/>
      </w:r>
      <w:r>
        <w:t xml:space="preserve"> in order to revive the financial deregulation agenda previously recommended by the </w:t>
      </w:r>
      <w:r w:rsidRPr="00C56C35">
        <w:t>Campbell R</w:t>
      </w:r>
      <w:r>
        <w:t>eview</w:t>
      </w:r>
      <w:r w:rsidR="006C2DFA">
        <w:rPr>
          <w:rStyle w:val="FootnoteReference"/>
        </w:rPr>
        <w:footnoteReference w:id="41"/>
      </w:r>
      <w:r w:rsidR="00AA4801">
        <w:t xml:space="preserve"> </w:t>
      </w:r>
      <w:r>
        <w:t xml:space="preserve">– a review that had helped to shape the discussion around capital controls and the Australian dollar in the early 1980s, and </w:t>
      </w:r>
      <w:r w:rsidR="00DB73FE">
        <w:t xml:space="preserve">which </w:t>
      </w:r>
      <w:r>
        <w:t xml:space="preserve">prepared the ground for the dollar’s float a couple of years later. More recently, a 2011 Productivity Commission review of disability support arrangements </w:t>
      </w:r>
      <w:r w:rsidR="0070257D">
        <w:t>supported</w:t>
      </w:r>
      <w:r>
        <w:t xml:space="preserve"> the introduction of a National Disability Insurance Scheme (NDIS)</w:t>
      </w:r>
      <w:r w:rsidR="00410464">
        <w:t>.</w:t>
      </w:r>
      <w:r w:rsidR="00184E2E">
        <w:rPr>
          <w:rStyle w:val="FootnoteReference"/>
        </w:rPr>
        <w:footnoteReference w:id="42"/>
      </w:r>
    </w:p>
    <w:p w14:paraId="1D3D208C" w14:textId="77777777" w:rsidR="00F173F9" w:rsidRDefault="00F173F9" w:rsidP="00CE4D9B">
      <w:r>
        <w:t xml:space="preserve">The credibility of independent institutions has been bolstered by those occasions they have made recommendations that do not accord with the government’s views – at least, not initially. </w:t>
      </w:r>
      <w:r w:rsidRPr="00FF50D7">
        <w:t xml:space="preserve">For instance, </w:t>
      </w:r>
      <w:r>
        <w:t xml:space="preserve">the Tariff Board, which was established in the 1920s as the agency responsible for determining how much protection should be granted to Australian industry, used its independence to argue </w:t>
      </w:r>
      <w:r w:rsidRPr="00FF50D7">
        <w:rPr>
          <w:i/>
        </w:rPr>
        <w:t>against</w:t>
      </w:r>
      <w:r>
        <w:t xml:space="preserve"> protectionism from the 1960s – a stance at odds with the government of the day. The</w:t>
      </w:r>
      <w:r w:rsidRPr="00FF50D7">
        <w:t xml:space="preserve"> Productivity Commission</w:t>
      </w:r>
      <w:r>
        <w:t xml:space="preserve">, a </w:t>
      </w:r>
      <w:r w:rsidRPr="00CC1991">
        <w:t>descendant</w:t>
      </w:r>
      <w:r>
        <w:t xml:space="preserve"> of the Tariff Board, continues in that tradition by providing independent, evidence-based analysis and advice on economic policy. In an example of its preparedness to exert reform pressure on itself, the government recently asked the Productivity Commission to publish a review of Australia’s productivity performance every five years.</w:t>
      </w:r>
      <w:r>
        <w:rPr>
          <w:rStyle w:val="FootnoteReference"/>
        </w:rPr>
        <w:footnoteReference w:id="43"/>
      </w:r>
      <w:r>
        <w:t xml:space="preserve"> </w:t>
      </w:r>
      <w:r w:rsidR="00F57F3F">
        <w:t>On</w:t>
      </w:r>
      <w:r>
        <w:t xml:space="preserve"> a number of occasions unwelcome advice from an independent arbiter has eventually been adopted. For instance, the Tariff Board’s arguments against protectionism eventually became accepted wisdom and contributed, more than 20</w:t>
      </w:r>
      <w:r w:rsidR="004A3E3B">
        <w:t> </w:t>
      </w:r>
      <w:r>
        <w:t>years later, to the large, unilateral tariff reduction</w:t>
      </w:r>
      <w:r w:rsidR="00A237F9">
        <w:t>s that began in the late 1980s.</w:t>
      </w:r>
    </w:p>
    <w:p w14:paraId="4D164B7D" w14:textId="77777777" w:rsidR="001A37B4" w:rsidRPr="001D699E" w:rsidRDefault="00F173F9" w:rsidP="00716753">
      <w:r w:rsidRPr="001D699E">
        <w:t xml:space="preserve">But consensus has been far from universal in Australia’s reform experience. </w:t>
      </w:r>
      <w:r w:rsidR="001A37B4" w:rsidRPr="001D699E">
        <w:t xml:space="preserve">Though most economic reforms introduced since the 1980s now enjoy near unanimous support, some issues remain contested. Privatisation of government assets has been a </w:t>
      </w:r>
      <w:r w:rsidR="00004CF7" w:rsidRPr="001D699E">
        <w:t>controversial issue</w:t>
      </w:r>
      <w:r w:rsidR="001A37B4" w:rsidRPr="001D699E">
        <w:t xml:space="preserve">, even if the overall trend has been towards continued divestment. </w:t>
      </w:r>
      <w:r w:rsidR="00B10804" w:rsidRPr="001D699E">
        <w:t>A</w:t>
      </w:r>
      <w:r w:rsidR="001A37B4" w:rsidRPr="001D699E">
        <w:t xml:space="preserve">lthough the shift to less centralised wage setting enjoyed broad-based support – from the major political parties as well as unions and business – this consensus fell apart with the </w:t>
      </w:r>
      <w:r w:rsidR="00757217" w:rsidRPr="001D699E">
        <w:t>f</w:t>
      </w:r>
      <w:r w:rsidR="001A37B4" w:rsidRPr="001D699E">
        <w:t xml:space="preserve">ederal </w:t>
      </w:r>
      <w:r w:rsidR="00533CE1" w:rsidRPr="001D699E">
        <w:t>g</w:t>
      </w:r>
      <w:r w:rsidR="001A37B4" w:rsidRPr="001D699E">
        <w:t xml:space="preserve">overnment’s </w:t>
      </w:r>
      <w:proofErr w:type="spellStart"/>
      <w:r w:rsidR="001A37B4" w:rsidRPr="001D699E">
        <w:t>WorkChoices</w:t>
      </w:r>
      <w:proofErr w:type="spellEnd"/>
      <w:r w:rsidR="001A37B4" w:rsidRPr="001D699E">
        <w:t xml:space="preserve"> reforms in 2005. </w:t>
      </w:r>
      <w:r w:rsidR="00B10804" w:rsidRPr="001D699E">
        <w:t>And g</w:t>
      </w:r>
      <w:r w:rsidR="001A37B4" w:rsidRPr="001D699E">
        <w:t>reenhouse gas emissions policy has been the subject of considerable debate over the past 15 years.</w:t>
      </w:r>
    </w:p>
    <w:p w14:paraId="6B5ACFD3" w14:textId="77777777" w:rsidR="00067669" w:rsidRDefault="00067669" w:rsidP="0073028D">
      <w:pPr>
        <w:pStyle w:val="Heading4"/>
      </w:pPr>
      <w:bookmarkStart w:id="133" w:name="_Toc526413594"/>
      <w:r w:rsidRPr="00BA7D47">
        <w:rPr>
          <w:color w:val="002B54"/>
        </w:rPr>
        <w:t>Perseverance</w:t>
      </w:r>
      <w:r>
        <w:t xml:space="preserve"> with reforms</w:t>
      </w:r>
      <w:bookmarkEnd w:id="133"/>
    </w:p>
    <w:p w14:paraId="15E3D48E" w14:textId="48B803FB" w:rsidR="00067669" w:rsidRDefault="00067669" w:rsidP="00716753">
      <w:r>
        <w:t>A feature of Australia’s experience is that governments have generally stuck by economic reform, even in the face of some ‘failures’ and political backlash.</w:t>
      </w:r>
      <w:r w:rsidR="00DB31CD">
        <w:t xml:space="preserve"> Because they typically benefit</w:t>
      </w:r>
      <w:r>
        <w:t xml:space="preserve">ed the majority while imposing transitional costs on certain groups, the reforms Australia implemented through this period were often criticised by vocal vested interests. Yet there have been relatively few instances of major policies being scrapped or scaled back. </w:t>
      </w:r>
      <w:r w:rsidR="00DD5470">
        <w:t xml:space="preserve">In part this </w:t>
      </w:r>
      <w:r>
        <w:t xml:space="preserve">may </w:t>
      </w:r>
      <w:r w:rsidR="00DD5470">
        <w:t>reflect</w:t>
      </w:r>
      <w:r w:rsidR="00665D17">
        <w:t xml:space="preserve"> political stability</w:t>
      </w:r>
      <w:r w:rsidR="00080E0F">
        <w:t>;</w:t>
      </w:r>
      <w:r w:rsidR="00DD5470">
        <w:t xml:space="preserve"> </w:t>
      </w:r>
      <w:r w:rsidR="005169B5">
        <w:t>Australia experienced just one</w:t>
      </w:r>
      <w:r w:rsidR="00DD5470">
        <w:t xml:space="preserve"> change of government </w:t>
      </w:r>
      <w:r>
        <w:t xml:space="preserve">in </w:t>
      </w:r>
      <w:r w:rsidR="00DD5470">
        <w:t xml:space="preserve">the </w:t>
      </w:r>
      <w:r w:rsidR="002C0A72">
        <w:t>2</w:t>
      </w:r>
      <w:r w:rsidR="009F0605">
        <w:t>4</w:t>
      </w:r>
      <w:r w:rsidR="00DD5470">
        <w:t xml:space="preserve"> years from 1983 to 2007. But it </w:t>
      </w:r>
      <w:r>
        <w:t xml:space="preserve">may </w:t>
      </w:r>
      <w:r w:rsidR="00DD5470">
        <w:t>also</w:t>
      </w:r>
      <w:r>
        <w:t xml:space="preserve"> be attributed to the insights discussed in this section, including the unusual sequencing of Australia’s reform, the steps governments took to build political consensus for change, and the frequent use of independent advice. Throughout the reform period, governments have put in place institutional arrangements – such as the Productivity Commission or National Competition Policy – that have had the effect of disco</w:t>
      </w:r>
      <w:r w:rsidR="00A237F9">
        <w:t>uraging them to reverse course.</w:t>
      </w:r>
    </w:p>
    <w:p w14:paraId="605E0BA6" w14:textId="77777777" w:rsidR="00067669" w:rsidRDefault="00067669" w:rsidP="00716753">
      <w:r>
        <w:t xml:space="preserve">There were a number of quite high-profile problems resulting from reforms that could have derailed the entire process without strongly held convictions about the need for </w:t>
      </w:r>
      <w:r w:rsidR="00080E0F">
        <w:t xml:space="preserve">change </w:t>
      </w:r>
      <w:r>
        <w:t>and processes in place to prevent backsliding. For example, the depreciation of the Australian dollar in the mid-1980s, shortly after its float, significantly raised the principal value and repayments on some loans that were denominated in foreign currencies (notably Swiss francs), although fortunately these were not a large enough share of total loans to be of systemic importance. There was also a severe recession in the early 1990s, which was partly a result of the deregulation of the banking system combined with a lack of adequate supervision</w:t>
      </w:r>
      <w:r w:rsidR="009B0557">
        <w:t>.</w:t>
      </w:r>
      <w:r w:rsidR="005C6B16">
        <w:rPr>
          <w:rStyle w:val="FootnoteReference"/>
        </w:rPr>
        <w:footnoteReference w:id="44"/>
      </w:r>
      <w:r>
        <w:t xml:space="preserve"> Yet neither of these adverse events led to the reforms being scaled back or reversed. Indeed, the early-1990s recession was used to push for the microeconomic reforms that were implemented throughout</w:t>
      </w:r>
      <w:r w:rsidR="00774EEA">
        <w:t xml:space="preserve"> that decade</w:t>
      </w:r>
      <w:r>
        <w:t>.</w:t>
      </w:r>
    </w:p>
    <w:p w14:paraId="12F1C4C3" w14:textId="77777777" w:rsidR="00032BD1" w:rsidRPr="00E2142E" w:rsidRDefault="00EA6581" w:rsidP="00716753">
      <w:pPr>
        <w:rPr>
          <w:spacing w:val="-2"/>
        </w:rPr>
      </w:pPr>
      <w:r w:rsidRPr="00E2142E">
        <w:rPr>
          <w:spacing w:val="-2"/>
        </w:rPr>
        <w:t>T</w:t>
      </w:r>
      <w:r w:rsidR="00032BD1" w:rsidRPr="00E2142E">
        <w:rPr>
          <w:spacing w:val="-2"/>
        </w:rPr>
        <w:t xml:space="preserve">he major reforms of the 1980s and </w:t>
      </w:r>
      <w:r w:rsidR="00545084" w:rsidRPr="00E2142E">
        <w:rPr>
          <w:spacing w:val="-2"/>
        </w:rPr>
        <w:t>19</w:t>
      </w:r>
      <w:r w:rsidR="00032BD1" w:rsidRPr="00E2142E">
        <w:rPr>
          <w:spacing w:val="-2"/>
        </w:rPr>
        <w:t xml:space="preserve">90s </w:t>
      </w:r>
      <w:r w:rsidRPr="00E2142E">
        <w:rPr>
          <w:spacing w:val="-2"/>
        </w:rPr>
        <w:t>have not all been ‘set and forget’. I</w:t>
      </w:r>
      <w:r w:rsidR="00032BD1" w:rsidRPr="00E2142E">
        <w:rPr>
          <w:spacing w:val="-2"/>
        </w:rPr>
        <w:t xml:space="preserve">n the financial sector, </w:t>
      </w:r>
      <w:r w:rsidRPr="00E2142E">
        <w:rPr>
          <w:spacing w:val="-2"/>
        </w:rPr>
        <w:t xml:space="preserve">for example, </w:t>
      </w:r>
      <w:r w:rsidR="0070257D" w:rsidRPr="00E2142E">
        <w:rPr>
          <w:spacing w:val="-2"/>
        </w:rPr>
        <w:t>government</w:t>
      </w:r>
      <w:r w:rsidR="0070257D" w:rsidRPr="00E2142E">
        <w:rPr>
          <w:spacing w:val="-2"/>
        </w:rPr>
        <w:noBreakHyphen/>
        <w:t xml:space="preserve">commissioned </w:t>
      </w:r>
      <w:r w:rsidR="00032BD1" w:rsidRPr="00E2142E">
        <w:rPr>
          <w:spacing w:val="-2"/>
        </w:rPr>
        <w:t xml:space="preserve">independent reviews have played a major hand in driving </w:t>
      </w:r>
      <w:r w:rsidR="005169B5" w:rsidRPr="00E2142E">
        <w:rPr>
          <w:spacing w:val="-2"/>
        </w:rPr>
        <w:t xml:space="preserve">further </w:t>
      </w:r>
      <w:r w:rsidRPr="00E2142E">
        <w:rPr>
          <w:spacing w:val="-2"/>
        </w:rPr>
        <w:t>development</w:t>
      </w:r>
      <w:r w:rsidR="00032BD1" w:rsidRPr="00E2142E">
        <w:rPr>
          <w:spacing w:val="-2"/>
        </w:rPr>
        <w:t xml:space="preserve">. The </w:t>
      </w:r>
      <w:r w:rsidR="007F20A9" w:rsidRPr="00E2142E">
        <w:rPr>
          <w:spacing w:val="-2"/>
        </w:rPr>
        <w:t xml:space="preserve">1997 </w:t>
      </w:r>
      <w:r w:rsidR="00032BD1" w:rsidRPr="00E2142E">
        <w:rPr>
          <w:spacing w:val="-2"/>
        </w:rPr>
        <w:t xml:space="preserve">Wallis </w:t>
      </w:r>
      <w:r w:rsidR="00A61A1D" w:rsidRPr="00E2142E">
        <w:rPr>
          <w:spacing w:val="-2"/>
        </w:rPr>
        <w:t xml:space="preserve">Inquiry </w:t>
      </w:r>
      <w:r w:rsidR="007F20A9" w:rsidRPr="00E2142E">
        <w:rPr>
          <w:spacing w:val="-2"/>
        </w:rPr>
        <w:t>led to the adoption of a so-called ‘twin peaks’ regulatory model, under which one regulator focuses on safety and soundness, and another on conduct and consumer protection</w:t>
      </w:r>
      <w:r w:rsidR="005169B5" w:rsidRPr="00E2142E">
        <w:rPr>
          <w:spacing w:val="-2"/>
        </w:rPr>
        <w:t xml:space="preserve">. </w:t>
      </w:r>
      <w:r w:rsidRPr="00E2142E">
        <w:rPr>
          <w:spacing w:val="-2"/>
        </w:rPr>
        <w:t xml:space="preserve">This model was adopted by several other countries. </w:t>
      </w:r>
      <w:r w:rsidR="005169B5" w:rsidRPr="00E2142E">
        <w:rPr>
          <w:spacing w:val="-2"/>
        </w:rPr>
        <w:t>And t</w:t>
      </w:r>
      <w:r w:rsidR="007F20A9" w:rsidRPr="00E2142E">
        <w:rPr>
          <w:spacing w:val="-2"/>
        </w:rPr>
        <w:t>he 2014</w:t>
      </w:r>
      <w:r w:rsidR="00E2142E">
        <w:rPr>
          <w:spacing w:val="-2"/>
        </w:rPr>
        <w:t xml:space="preserve"> </w:t>
      </w:r>
      <w:r w:rsidR="007F20A9" w:rsidRPr="00E2142E">
        <w:rPr>
          <w:spacing w:val="-2"/>
        </w:rPr>
        <w:t xml:space="preserve">Murray review recommended </w:t>
      </w:r>
      <w:r w:rsidRPr="00E2142E">
        <w:rPr>
          <w:spacing w:val="-2"/>
        </w:rPr>
        <w:t xml:space="preserve">further refinements </w:t>
      </w:r>
      <w:r w:rsidR="007F20A9" w:rsidRPr="00E2142E">
        <w:rPr>
          <w:spacing w:val="-2"/>
        </w:rPr>
        <w:t>in areas such as financial advice, superannuation, the payments system and prudential policy</w:t>
      </w:r>
      <w:r w:rsidR="00132646" w:rsidRPr="00E2142E">
        <w:rPr>
          <w:spacing w:val="-2"/>
        </w:rPr>
        <w:t>. F</w:t>
      </w:r>
      <w:r w:rsidR="00F57F3F" w:rsidRPr="00E2142E">
        <w:rPr>
          <w:spacing w:val="-2"/>
        </w:rPr>
        <w:t xml:space="preserve">urther changes are likely to occur as a result of the Royal Commission into </w:t>
      </w:r>
      <w:r w:rsidR="006A66CD" w:rsidRPr="00E2142E">
        <w:rPr>
          <w:spacing w:val="-2"/>
        </w:rPr>
        <w:t>misconduct in the banking, superannuation and financial services sector.</w:t>
      </w:r>
    </w:p>
    <w:p w14:paraId="60161E11" w14:textId="77777777" w:rsidR="00F35AFA" w:rsidRDefault="005169B5" w:rsidP="00716753">
      <w:r>
        <w:t xml:space="preserve">Australia has </w:t>
      </w:r>
      <w:r w:rsidR="00EA6581">
        <w:t xml:space="preserve">also </w:t>
      </w:r>
      <w:r>
        <w:t xml:space="preserve">witnessed </w:t>
      </w:r>
      <w:r w:rsidR="00067669">
        <w:t xml:space="preserve">instances of scaling back or reversing reforms. </w:t>
      </w:r>
      <w:r w:rsidR="00A27B55">
        <w:t xml:space="preserve">A </w:t>
      </w:r>
      <w:r w:rsidR="00B6016A">
        <w:t xml:space="preserve">salutary </w:t>
      </w:r>
      <w:r w:rsidR="00A27B55">
        <w:t>example was</w:t>
      </w:r>
      <w:r w:rsidR="00067669">
        <w:t xml:space="preserve"> </w:t>
      </w:r>
      <w:r w:rsidR="00A27B55">
        <w:t xml:space="preserve">the </w:t>
      </w:r>
      <w:r w:rsidR="00067669">
        <w:t>25 per cent across-the-board tariff cut</w:t>
      </w:r>
      <w:r w:rsidR="00A27B55">
        <w:t xml:space="preserve"> </w:t>
      </w:r>
      <w:r>
        <w:t>that</w:t>
      </w:r>
      <w:r w:rsidR="00A27B55">
        <w:t xml:space="preserve"> was</w:t>
      </w:r>
      <w:r w:rsidR="00067669">
        <w:t xml:space="preserve"> introduced in 1973 without warning</w:t>
      </w:r>
      <w:r w:rsidR="00A27B55">
        <w:t>. The cut</w:t>
      </w:r>
      <w:r w:rsidR="00067669">
        <w:t xml:space="preserve"> was deeply unpopular and</w:t>
      </w:r>
      <w:r w:rsidR="00A61A1D">
        <w:t>,</w:t>
      </w:r>
      <w:r w:rsidR="00067669">
        <w:t xml:space="preserve"> </w:t>
      </w:r>
      <w:r>
        <w:t>following a</w:t>
      </w:r>
      <w:r w:rsidR="00067669">
        <w:t xml:space="preserve"> backlash</w:t>
      </w:r>
      <w:r>
        <w:t xml:space="preserve"> by</w:t>
      </w:r>
      <w:r w:rsidR="00067669">
        <w:t xml:space="preserve"> the </w:t>
      </w:r>
      <w:r w:rsidR="00A61A1D">
        <w:t>TCF</w:t>
      </w:r>
      <w:r w:rsidR="00067669">
        <w:t xml:space="preserve"> and automotive industries</w:t>
      </w:r>
      <w:r w:rsidR="00A61A1D">
        <w:t>,</w:t>
      </w:r>
      <w:r w:rsidR="003E04AD">
        <w:t xml:space="preserve"> there was some scaling back in those industries</w:t>
      </w:r>
      <w:r w:rsidR="00D1130D">
        <w:t>, including through a range of different forms of industry support</w:t>
      </w:r>
      <w:r w:rsidR="00067669">
        <w:t xml:space="preserve">. </w:t>
      </w:r>
      <w:r w:rsidR="00A27B55">
        <w:t>But it at least provided a lesson for</w:t>
      </w:r>
      <w:r w:rsidR="00067669">
        <w:t xml:space="preserve"> policymakers. </w:t>
      </w:r>
      <w:r w:rsidR="00B6016A">
        <w:t>When a</w:t>
      </w:r>
      <w:r w:rsidR="00067669">
        <w:t xml:space="preserve"> second attempt </w:t>
      </w:r>
      <w:r w:rsidR="00B6016A">
        <w:t xml:space="preserve">was </w:t>
      </w:r>
      <w:r w:rsidR="00AA7D96">
        <w:t xml:space="preserve">made </w:t>
      </w:r>
      <w:r w:rsidR="00067669">
        <w:t xml:space="preserve">to scale back trade barriers </w:t>
      </w:r>
      <w:r w:rsidR="00AA7D96">
        <w:t>in</w:t>
      </w:r>
      <w:r w:rsidR="00B6016A">
        <w:t xml:space="preserve"> the late 1980s, it </w:t>
      </w:r>
      <w:r w:rsidR="00067669">
        <w:t>was done gradually and with sufficient warning</w:t>
      </w:r>
      <w:r w:rsidR="00B04520">
        <w:t xml:space="preserve"> and included continued industry support, through different mechanisms for </w:t>
      </w:r>
      <w:r w:rsidR="00067669">
        <w:t>those industries that had so vehemently objected to the early-1970s measures.</w:t>
      </w:r>
    </w:p>
    <w:p w14:paraId="4B8C58FA" w14:textId="77777777" w:rsidR="00067669" w:rsidRDefault="007F20A9" w:rsidP="00716753">
      <w:r>
        <w:t>P</w:t>
      </w:r>
      <w:r w:rsidR="00AA7D96">
        <w:t xml:space="preserve">olicy reversals have been more common in recent decades, reflecting a decline in the </w:t>
      </w:r>
      <w:r w:rsidR="00587CBD">
        <w:t>informal parliamentary consensus</w:t>
      </w:r>
      <w:r w:rsidR="00AA7D96">
        <w:t xml:space="preserve"> that enabled </w:t>
      </w:r>
      <w:r w:rsidR="00032BD1">
        <w:t xml:space="preserve">economic </w:t>
      </w:r>
      <w:r w:rsidR="00AA7D96">
        <w:t xml:space="preserve">reform </w:t>
      </w:r>
      <w:r w:rsidR="00EA6581">
        <w:t xml:space="preserve">to </w:t>
      </w:r>
      <w:r w:rsidR="00435DC7">
        <w:t>be</w:t>
      </w:r>
      <w:r w:rsidR="00EA6581">
        <w:t xml:space="preserve"> agreed and implemented </w:t>
      </w:r>
      <w:r w:rsidR="00AA7D96">
        <w:t>during the 1980s and 1990s. Since the turn of the century</w:t>
      </w:r>
      <w:r w:rsidR="005169B5">
        <w:t>,</w:t>
      </w:r>
      <w:r w:rsidR="00F35AFA">
        <w:t xml:space="preserve"> a number of major reforms have </w:t>
      </w:r>
      <w:r w:rsidR="00A228CE">
        <w:t xml:space="preserve">been introduced </w:t>
      </w:r>
      <w:r w:rsidR="00E431A2">
        <w:t>only to be</w:t>
      </w:r>
      <w:r w:rsidR="00F35AFA">
        <w:t xml:space="preserve"> scal</w:t>
      </w:r>
      <w:r w:rsidR="00A228CE">
        <w:t xml:space="preserve">ed back or </w:t>
      </w:r>
      <w:r w:rsidR="00AA7D96">
        <w:t>repealed</w:t>
      </w:r>
      <w:r w:rsidR="00A228CE">
        <w:t>, or proposed then later abandoned</w:t>
      </w:r>
      <w:r w:rsidR="00F35AFA">
        <w:t xml:space="preserve">. </w:t>
      </w:r>
      <w:r w:rsidR="00E431A2">
        <w:t>For instance</w:t>
      </w:r>
      <w:r w:rsidR="005169B5">
        <w:t>,</w:t>
      </w:r>
      <w:r w:rsidR="00E431A2">
        <w:t xml:space="preserve"> an </w:t>
      </w:r>
      <w:r w:rsidR="00A228CE">
        <w:t>emission</w:t>
      </w:r>
      <w:r w:rsidR="008633EB">
        <w:t>s</w:t>
      </w:r>
      <w:r w:rsidR="00A228CE">
        <w:t xml:space="preserve"> trading scheme with an initial fixed price was legislated </w:t>
      </w:r>
      <w:r w:rsidR="00E431A2">
        <w:t>in 2011 then repealed two years later. A</w:t>
      </w:r>
      <w:r w:rsidR="00447847">
        <w:t> </w:t>
      </w:r>
      <w:r w:rsidR="00E431A2">
        <w:t xml:space="preserve">reduction in the company tax rate </w:t>
      </w:r>
      <w:r w:rsidR="00545084">
        <w:t>was</w:t>
      </w:r>
      <w:r w:rsidR="00E431A2">
        <w:t xml:space="preserve"> only partially implemented amid continued political debate. A new tax on mining rents was legislated in 2012 </w:t>
      </w:r>
      <w:r w:rsidR="005169B5">
        <w:t>but</w:t>
      </w:r>
      <w:r w:rsidR="00E431A2">
        <w:t xml:space="preserve"> repealed </w:t>
      </w:r>
      <w:r w:rsidR="008633EB">
        <w:t xml:space="preserve">a few </w:t>
      </w:r>
      <w:r w:rsidR="00E431A2">
        <w:t xml:space="preserve">years later. And industrial relations reform has been largely off the agenda since the </w:t>
      </w:r>
      <w:proofErr w:type="spellStart"/>
      <w:r w:rsidR="00E431A2">
        <w:t>WorkChoices</w:t>
      </w:r>
      <w:proofErr w:type="spellEnd"/>
      <w:r w:rsidR="00E431A2">
        <w:t xml:space="preserve"> package was intro</w:t>
      </w:r>
      <w:r w:rsidR="00AA7D96">
        <w:t>duced in 200</w:t>
      </w:r>
      <w:r w:rsidR="00E431A2">
        <w:t>5 then repealed soon after.</w:t>
      </w:r>
    </w:p>
    <w:tbl>
      <w:tblPr>
        <w:tblStyle w:val="TableGrid"/>
        <w:tblW w:w="0" w:type="auto"/>
        <w:shd w:val="clear" w:color="auto" w:fill="EAEDF1" w:themeFill="accent4" w:themeFillTint="33"/>
        <w:tblLook w:val="04A0" w:firstRow="1" w:lastRow="0" w:firstColumn="1" w:lastColumn="0" w:noHBand="0" w:noVBand="1"/>
      </w:tblPr>
      <w:tblGrid>
        <w:gridCol w:w="9242"/>
      </w:tblGrid>
      <w:tr w:rsidR="00BA7D47" w14:paraId="31953DF7" w14:textId="77777777" w:rsidTr="005E1970">
        <w:tc>
          <w:tcPr>
            <w:tcW w:w="9242" w:type="dxa"/>
            <w:shd w:val="clear" w:color="auto" w:fill="EAEDF1" w:themeFill="accent4" w:themeFillTint="33"/>
          </w:tcPr>
          <w:p w14:paraId="623E50C0" w14:textId="77777777" w:rsidR="00BA7D47" w:rsidRPr="00815122" w:rsidRDefault="00BA7D47" w:rsidP="001F05DE">
            <w:pPr>
              <w:pStyle w:val="BoxHeading"/>
              <w:rPr>
                <w:b w:val="0"/>
              </w:rPr>
            </w:pPr>
            <w:r>
              <w:rPr>
                <w:b w:val="0"/>
              </w:rPr>
              <w:t>Box A</w:t>
            </w:r>
            <w:r w:rsidR="00DC43AD">
              <w:rPr>
                <w:b w:val="0"/>
              </w:rPr>
              <w:t>:</w:t>
            </w:r>
            <w:r w:rsidRPr="005E0F93">
              <w:rPr>
                <w:b w:val="0"/>
              </w:rPr>
              <w:t xml:space="preserve"> Case stu</w:t>
            </w:r>
            <w:r>
              <w:rPr>
                <w:b w:val="0"/>
              </w:rPr>
              <w:t>dies on transitional adjustment</w:t>
            </w:r>
          </w:p>
          <w:p w14:paraId="0BACBF1A" w14:textId="77777777" w:rsidR="00BA7D47" w:rsidRDefault="00BA7D47" w:rsidP="001F05DE">
            <w:pPr>
              <w:pStyle w:val="BoxText"/>
            </w:pPr>
            <w:r>
              <w:t>Consistent with the approach of consensus building and seeking public support, a number of Australian reforms included measures to ease transitional pain. This was particularly the case where reforms were narrowly targeted, such as those affecting the dairy industry. In other cases, such as for the motor vehicle industry or the steel industry, protection measures that had produced inefficient and uncompetitive industries were wound back in a planned and structured way over a significant period of time to allow for adjustment and transition.</w:t>
            </w:r>
          </w:p>
          <w:p w14:paraId="7D2C0AC1" w14:textId="77777777" w:rsidR="00BA7D47" w:rsidRPr="00BA7D47" w:rsidRDefault="00BA7D47" w:rsidP="001F05DE">
            <w:pPr>
              <w:pStyle w:val="BoxSub-Heading"/>
            </w:pPr>
            <w:r w:rsidRPr="00BA7D47">
              <w:t>Dairy industry</w:t>
            </w:r>
          </w:p>
          <w:p w14:paraId="1DA584CD" w14:textId="77777777" w:rsidR="00BA7D47" w:rsidRDefault="00BA7D47" w:rsidP="001F05DE">
            <w:pPr>
              <w:pStyle w:val="BoxText"/>
            </w:pPr>
            <w:r>
              <w:t xml:space="preserve">Under the umbrella of the </w:t>
            </w:r>
            <w:r w:rsidRPr="007A7AC4">
              <w:t>wide-ranging program of microeconomic reforms</w:t>
            </w:r>
            <w:r>
              <w:t xml:space="preserve"> proposed in the </w:t>
            </w:r>
            <w:r w:rsidRPr="007A7AC4">
              <w:t>1993</w:t>
            </w:r>
            <w:r>
              <w:t xml:space="preserve"> </w:t>
            </w:r>
            <w:proofErr w:type="spellStart"/>
            <w:r>
              <w:t>Hilmer</w:t>
            </w:r>
            <w:proofErr w:type="spellEnd"/>
            <w:r>
              <w:t xml:space="preserve"> report (</w:t>
            </w:r>
            <w:r w:rsidRPr="007A7AC4">
              <w:t xml:space="preserve">see Box </w:t>
            </w:r>
            <w:r>
              <w:t>C), attention was turned to deregulation of the dairy industry. At the time the industry was subject to various regulatory and price controls.</w:t>
            </w:r>
          </w:p>
          <w:p w14:paraId="71E47B85" w14:textId="77777777" w:rsidR="00BA7D47" w:rsidRDefault="00BA7D47" w:rsidP="001F05DE">
            <w:pPr>
              <w:pStyle w:val="BoxText"/>
            </w:pPr>
            <w:r>
              <w:t>In 1999, the federal government announced it would implement the Dairy Structural Adjustment Program (DSAP). This involved the imposition of a levy of 11 cents per litre on consumers of milk products. The levy funded quarterly DSAP payments over eight years to Australian dairy farmers, to help them deal with the social and economic disruption. A number of farmers took advantage of exit payments offered under the DSAP scheme to leave the industry.</w:t>
            </w:r>
            <w:r>
              <w:rPr>
                <w:rStyle w:val="FootnoteReference"/>
              </w:rPr>
              <w:footnoteReference w:id="45"/>
            </w:r>
          </w:p>
          <w:p w14:paraId="65638F5B" w14:textId="77777777" w:rsidR="00BA7D47" w:rsidRPr="004841DC" w:rsidRDefault="00BA7D47" w:rsidP="001F05DE">
            <w:pPr>
              <w:pStyle w:val="BoxSub-Heading"/>
            </w:pPr>
            <w:r w:rsidRPr="004841DC">
              <w:t>Motor vehicle industry</w:t>
            </w:r>
          </w:p>
          <w:p w14:paraId="377F816F" w14:textId="77777777" w:rsidR="0073028D" w:rsidRPr="001F05DE" w:rsidRDefault="00BA7D47" w:rsidP="00716753">
            <w:pPr>
              <w:pStyle w:val="BoxText"/>
            </w:pPr>
            <w:r>
              <w:t xml:space="preserve">In 1983, </w:t>
            </w:r>
            <w:r>
              <w:rPr>
                <w:lang w:val="en"/>
              </w:rPr>
              <w:t xml:space="preserve">the Minister for Industry and Commerce, </w:t>
            </w:r>
            <w:r>
              <w:t>Senator Button, commissioned a report on the</w:t>
            </w:r>
            <w:r w:rsidR="00E01CB1">
              <w:br/>
            </w:r>
            <w:r>
              <w:t>long-term future of the car industry. This followed general concern that 20 years of steadily increasing protection, through measures such as tariffs, local content provisions and import restrictions, had produced an inefficient and uncompetitive industry. Following the review, in 1984 the government announced a plan (‘the Button Plan’) to significantly rationalise and improve efficiency in the industry by removing barriers to trade.</w:t>
            </w:r>
          </w:p>
        </w:tc>
      </w:tr>
    </w:tbl>
    <w:p w14:paraId="457700E0" w14:textId="77777777" w:rsidR="00BA7D47" w:rsidRDefault="00BA7D47">
      <w:r>
        <w:br w:type="page"/>
      </w:r>
    </w:p>
    <w:tbl>
      <w:tblPr>
        <w:tblStyle w:val="TableGrid"/>
        <w:tblW w:w="0" w:type="auto"/>
        <w:shd w:val="clear" w:color="auto" w:fill="EAEDF1" w:themeFill="accent4" w:themeFillTint="33"/>
        <w:tblLook w:val="04A0" w:firstRow="1" w:lastRow="0" w:firstColumn="1" w:lastColumn="0" w:noHBand="0" w:noVBand="1"/>
      </w:tblPr>
      <w:tblGrid>
        <w:gridCol w:w="9242"/>
      </w:tblGrid>
      <w:tr w:rsidR="00BA7D47" w14:paraId="3F6F3212" w14:textId="77777777" w:rsidTr="005E1970">
        <w:tc>
          <w:tcPr>
            <w:tcW w:w="9242" w:type="dxa"/>
            <w:shd w:val="clear" w:color="auto" w:fill="EAEDF1" w:themeFill="accent4" w:themeFillTint="33"/>
          </w:tcPr>
          <w:p w14:paraId="01696A8B" w14:textId="77777777" w:rsidR="00B77BC7" w:rsidRDefault="00B77BC7" w:rsidP="00716753">
            <w:pPr>
              <w:pStyle w:val="BoxSub-Heading"/>
              <w:spacing w:before="100" w:after="100"/>
            </w:pPr>
            <w:r w:rsidRPr="004841DC">
              <w:t>Motor vehicle industry</w:t>
            </w:r>
            <w:r>
              <w:t xml:space="preserve"> (continued)</w:t>
            </w:r>
          </w:p>
          <w:p w14:paraId="44290FD1" w14:textId="77777777" w:rsidR="00716753" w:rsidRPr="00716753" w:rsidRDefault="00716753" w:rsidP="00716753">
            <w:pPr>
              <w:pStyle w:val="BoxText"/>
              <w:spacing w:after="110"/>
            </w:pPr>
            <w:r w:rsidRPr="00716753">
              <w:t>Under the Button Plan, which was intended to cover the period to 1992, the government committed to:</w:t>
            </w:r>
          </w:p>
          <w:p w14:paraId="76509D0A" w14:textId="77777777" w:rsidR="0073028D" w:rsidRPr="00716753" w:rsidRDefault="0073028D" w:rsidP="00716753">
            <w:pPr>
              <w:pStyle w:val="BoxBullet"/>
              <w:spacing w:after="110"/>
            </w:pPr>
            <w:r w:rsidRPr="00716753">
              <w:t>maintain the tariff at 57.5 per cent;</w:t>
            </w:r>
          </w:p>
          <w:p w14:paraId="0DA58551" w14:textId="77777777" w:rsidR="0073028D" w:rsidRPr="00716753" w:rsidRDefault="0073028D" w:rsidP="00716753">
            <w:pPr>
              <w:pStyle w:val="BoxBullet"/>
              <w:spacing w:after="110"/>
            </w:pPr>
            <w:r w:rsidRPr="00716753">
              <w:t>increase the import quota to 22 per cent;</w:t>
            </w:r>
          </w:p>
          <w:p w14:paraId="21F8317F" w14:textId="77777777" w:rsidR="0073028D" w:rsidRPr="00716753" w:rsidRDefault="0073028D" w:rsidP="00716753">
            <w:pPr>
              <w:pStyle w:val="BoxBullet"/>
              <w:spacing w:after="110"/>
            </w:pPr>
            <w:r w:rsidRPr="00716753">
              <w:t>expand the tariff quota system to include light commercial and four-wheel drive (4WD) vehicles; and</w:t>
            </w:r>
          </w:p>
          <w:p w14:paraId="498F8A09" w14:textId="77777777" w:rsidR="00716753" w:rsidRPr="00716753" w:rsidRDefault="0073028D" w:rsidP="00716753">
            <w:pPr>
              <w:pStyle w:val="BoxBullet"/>
              <w:spacing w:after="110"/>
            </w:pPr>
            <w:r w:rsidRPr="00716753">
              <w:t>improve access to export facilitation.</w:t>
            </w:r>
          </w:p>
          <w:p w14:paraId="22AF5E40" w14:textId="77777777" w:rsidR="001F05DE" w:rsidRDefault="001F05DE" w:rsidP="00716753">
            <w:pPr>
              <w:pStyle w:val="BoxText"/>
              <w:spacing w:after="110"/>
            </w:pPr>
            <w:r>
              <w:t>Following a mid-term review of the Button Plan in mid-1988, the reductions in protection were accelerated. The substantial depreciation of the Australian dollar in the mid-1980s had reduced the pressures on the industry to adjust to the 1984 arrangements. Under the mid-1988 arrangements, the government committed to:</w:t>
            </w:r>
          </w:p>
          <w:p w14:paraId="3CBF9511" w14:textId="77777777" w:rsidR="001F05DE" w:rsidRDefault="001F05DE" w:rsidP="00716753">
            <w:pPr>
              <w:pStyle w:val="BoxBullet"/>
              <w:spacing w:after="110"/>
            </w:pPr>
            <w:r>
              <w:t>immediately abolish tariff quotas;</w:t>
            </w:r>
          </w:p>
          <w:p w14:paraId="1CC68286" w14:textId="77777777" w:rsidR="001F05DE" w:rsidRDefault="001F05DE" w:rsidP="00716753">
            <w:pPr>
              <w:pStyle w:val="BoxBullet"/>
              <w:spacing w:after="110"/>
            </w:pPr>
            <w:r w:rsidRPr="00781EC4">
              <w:t>reduc</w:t>
            </w:r>
            <w:r>
              <w:t>e</w:t>
            </w:r>
            <w:r w:rsidRPr="00781EC4">
              <w:t xml:space="preserve"> the general tariff to 45 per cent </w:t>
            </w:r>
            <w:r>
              <w:t xml:space="preserve">then </w:t>
            </w:r>
            <w:r w:rsidRPr="00781EC4">
              <w:t>phas</w:t>
            </w:r>
            <w:r>
              <w:t>e</w:t>
            </w:r>
            <w:r w:rsidRPr="00781EC4">
              <w:t xml:space="preserve"> down to 35 per cent in 1992;</w:t>
            </w:r>
          </w:p>
          <w:p w14:paraId="0689FDE3" w14:textId="77777777" w:rsidR="001F05DE" w:rsidRDefault="001F05DE" w:rsidP="00716753">
            <w:pPr>
              <w:pStyle w:val="BoxBullet"/>
              <w:spacing w:after="110"/>
            </w:pPr>
            <w:r>
              <w:t xml:space="preserve">immediately </w:t>
            </w:r>
            <w:r w:rsidRPr="00781EC4">
              <w:t>reduc</w:t>
            </w:r>
            <w:r>
              <w:t>e</w:t>
            </w:r>
            <w:r w:rsidRPr="00781EC4">
              <w:t xml:space="preserve"> the tariff on light commercial and 4WDs from 35 and 25 per cent respectively down to 20 per cent and phasing </w:t>
            </w:r>
            <w:r>
              <w:t>down to 15 per cent by 1992.</w:t>
            </w:r>
          </w:p>
          <w:p w14:paraId="76DDB192" w14:textId="77777777" w:rsidR="00BA7D47" w:rsidRDefault="00BA7D47" w:rsidP="00716753">
            <w:pPr>
              <w:pStyle w:val="BoxText"/>
              <w:spacing w:after="110"/>
            </w:pPr>
            <w:r>
              <w:t>In December 1990, the Industry Commission (IC), later the Productivity Commission, was able to report that “for the first time in at least twenty years, there have been ongoing reductions in assistance to the industry”.</w:t>
            </w:r>
            <w:r>
              <w:rPr>
                <w:rStyle w:val="FootnoteReference"/>
              </w:rPr>
              <w:footnoteReference w:id="46"/>
            </w:r>
          </w:p>
          <w:p w14:paraId="31F23283" w14:textId="77777777" w:rsidR="00BA7D47" w:rsidRPr="001F05DE" w:rsidRDefault="00BA7D47" w:rsidP="00716753">
            <w:pPr>
              <w:pStyle w:val="BoxText"/>
              <w:spacing w:after="110"/>
              <w:rPr>
                <w:spacing w:val="-2"/>
              </w:rPr>
            </w:pPr>
            <w:r w:rsidRPr="001F05DE">
              <w:rPr>
                <w:spacing w:val="-2"/>
              </w:rPr>
              <w:t>Following another review in 1997-98, the government announced that passenger motor vehicle tariffs would be frozen for five years before legislated reductions resumed from 2005. The plan aimed to provide certainty for the industry. Industry assistance continued in various forms until the car industry closed in 2017.</w:t>
            </w:r>
          </w:p>
          <w:p w14:paraId="3388AAD3" w14:textId="77777777" w:rsidR="00BA7D47" w:rsidRPr="00BA7D47" w:rsidRDefault="00BA7D47" w:rsidP="00716753">
            <w:pPr>
              <w:pStyle w:val="BoxSub-Heading"/>
              <w:spacing w:before="60" w:after="100"/>
            </w:pPr>
            <w:r w:rsidRPr="00BA7D47">
              <w:t>Steel Industry</w:t>
            </w:r>
          </w:p>
          <w:p w14:paraId="1D0E3553" w14:textId="77777777" w:rsidR="00BA7D47" w:rsidRPr="00BA7D47" w:rsidRDefault="00BA7D47" w:rsidP="00716753">
            <w:pPr>
              <w:pStyle w:val="BoxText"/>
              <w:spacing w:after="110"/>
            </w:pPr>
            <w:r w:rsidRPr="00BA7D47">
              <w:t>Around the same time as the car plan was introduced, Senator Button also introduced a Steel Industry Plan. The Plan was formulated in response to a severe deterioration in the competitive position of the Australian steel industry in the early 1980s. Production, sales, profits and employment in the industry all fell dramatically below the levels recorded during the 1970s.</w:t>
            </w:r>
            <w:r w:rsidRPr="00410464">
              <w:rPr>
                <w:rStyle w:val="FootnoteReference"/>
              </w:rPr>
              <w:footnoteReference w:id="47"/>
            </w:r>
            <w:r w:rsidRPr="00BA7D47">
              <w:t xml:space="preserve"> The Plan was informed by an Industries Assistance Commission’s report on the Iron and Steel Industry and a report of the Steel Industry Advisory Council. The objective of the plan was the creation of a long-term viable steel industry providing job security for its employees and inputs to a wide range of metal and engineering industries at internationally competitive prices.</w:t>
            </w:r>
          </w:p>
          <w:p w14:paraId="45206E5E" w14:textId="77777777" w:rsidR="00BA7D47" w:rsidRPr="00BA7D47" w:rsidRDefault="00BA7D47" w:rsidP="00716753">
            <w:pPr>
              <w:pStyle w:val="BoxText"/>
              <w:spacing w:after="110"/>
            </w:pPr>
            <w:r w:rsidRPr="00BA7D47">
              <w:t>The basis of the Plan was that in exchange for Australian government assistance – in the form of payments on certain product categories with an annual ceiling of $71.6 million – the steel industry would keep steel plants open, provide job security undertake investment to improve product quality and reduce production costs. The steel unions agreed that wage increases would be in accordance with the Prices and Incomes Accord.</w:t>
            </w:r>
            <w:r w:rsidRPr="00BA7D47">
              <w:rPr>
                <w:rStyle w:val="FootnoteReference"/>
                <w:sz w:val="19"/>
                <w:vertAlign w:val="baseline"/>
              </w:rPr>
              <w:footnoteReference w:id="48"/>
            </w:r>
            <w:r w:rsidRPr="00BA7D47">
              <w:t xml:space="preserve"> The government established a Steel Industry Authority to monitor and report on the progress of the Plan, while State governments were to ensure prices remained contained. It began in 1984 and was due to remain in place for five years.</w:t>
            </w:r>
          </w:p>
          <w:p w14:paraId="0836F55A" w14:textId="77777777" w:rsidR="00BA7D47" w:rsidRDefault="00BA7D47" w:rsidP="00716753">
            <w:pPr>
              <w:pStyle w:val="BoxText"/>
              <w:spacing w:after="110"/>
            </w:pPr>
            <w:r w:rsidRPr="00BA7D47">
              <w:t>The Steel Plan marked the beginning of a cultural change within the steel industry which carried over into the Steel Industry Development Program Agreement (SIDA) in 1989 when the Steel Industry Plan ended. Under SIDA, the focus on business improvement and productivity performance continued. Management and unions agreed to performance targets and on processes to identify and implement measures to achieve the targets.</w:t>
            </w:r>
            <w:r w:rsidRPr="00BA7D47">
              <w:rPr>
                <w:rStyle w:val="FootnoteReference"/>
              </w:rPr>
              <w:footnoteReference w:id="49"/>
            </w:r>
          </w:p>
        </w:tc>
      </w:tr>
      <w:tr w:rsidR="00BA7D47" w14:paraId="351C96AC" w14:textId="77777777" w:rsidTr="005E1970">
        <w:tc>
          <w:tcPr>
            <w:tcW w:w="9242" w:type="dxa"/>
            <w:shd w:val="clear" w:color="auto" w:fill="EAEDF1" w:themeFill="accent4" w:themeFillTint="33"/>
          </w:tcPr>
          <w:p w14:paraId="27E0B51B" w14:textId="77777777" w:rsidR="00BA7D47" w:rsidRDefault="00BA7D47" w:rsidP="00BA7D47">
            <w:pPr>
              <w:pStyle w:val="BoxHeading"/>
            </w:pPr>
            <w:r>
              <w:t>Box B</w:t>
            </w:r>
            <w:r w:rsidR="00DC43AD">
              <w:t>:</w:t>
            </w:r>
            <w:r>
              <w:t xml:space="preserve"> Reform in Australia’s agriculture sector</w:t>
            </w:r>
          </w:p>
          <w:p w14:paraId="72909B1B" w14:textId="77777777" w:rsidR="00BA7D47" w:rsidRDefault="00BA7D47" w:rsidP="00BA7D47">
            <w:pPr>
              <w:pStyle w:val="BoxText"/>
            </w:pPr>
            <w:r>
              <w:t>Through the 1950s and 1960s, Australia pursued an interventionist agriculture policy, albeit one less protectionist than in most other developed economies. Though they varied greatly from one</w:t>
            </w:r>
            <w:r w:rsidR="00DE366D">
              <w:t> </w:t>
            </w:r>
            <w:r>
              <w:t>commodity to another, common interventions included high tariffs, price controls, production quotas and centralised marketing. The overall effect was to alter prices in a bid to stabilise incomes and expand exports.</w:t>
            </w:r>
          </w:p>
          <w:p w14:paraId="309B53E5" w14:textId="77777777" w:rsidR="00BA7D47" w:rsidRDefault="00BA7D47" w:rsidP="00BA7D47">
            <w:pPr>
              <w:pStyle w:val="BoxText"/>
            </w:pPr>
            <w:r>
              <w:t>But the system came under challenge from the 1960s. Critics noted that the interventions raised costs for consumers and distorted resources allocation. And whereas many policies purported to help smaller farmers, the chief beneficiaries were often big land holders.</w:t>
            </w:r>
            <w:r>
              <w:rPr>
                <w:rStyle w:val="FootnoteReference"/>
              </w:rPr>
              <w:footnoteReference w:id="50"/>
            </w:r>
          </w:p>
          <w:p w14:paraId="51EE400C" w14:textId="77777777" w:rsidR="00BA7D47" w:rsidRDefault="00BA7D47" w:rsidP="00BA7D47">
            <w:pPr>
              <w:pStyle w:val="BoxText"/>
            </w:pPr>
            <w:r>
              <w:t>These criticisms gained traction during the 1970s. The establishment of the Industries Assistance Commission, which replaced the Tariff Board, provided a forum for these concerns to influence policy. Similar sentiments among farm leaders led to the establishment of the National Farmers Federation in 1979, giving the sector a voice that was not just united, but explicitly promoted free markets.</w:t>
            </w:r>
          </w:p>
          <w:p w14:paraId="3C1BED9E" w14:textId="77777777" w:rsidR="00BA7D47" w:rsidRDefault="00BA7D47" w:rsidP="00BA7D47">
            <w:pPr>
              <w:pStyle w:val="BoxText"/>
            </w:pPr>
            <w:r>
              <w:t xml:space="preserve">Consistent with the government’s broader microeconomic agenda, farm policy evolved significantly from the mid-1980s. Stabilisation policies began to be unwound, including the removal of price and output controls and the dismantling of centralised marketing schemes – a process accelerated through the </w:t>
            </w:r>
            <w:proofErr w:type="spellStart"/>
            <w:r>
              <w:t>Hilmer</w:t>
            </w:r>
            <w:proofErr w:type="spellEnd"/>
            <w:r>
              <w:t xml:space="preserve"> pro-competition reforms. Tariffs were reduced to among the lowest levels in the OECD. In contrast with the permanent farm support programs in the EU and US, what assistance remained in place tended to be small and transitional, such as drought relief. The overall effect was to ensure that prices in the agriculture sector increasingly reflected actual costs.</w:t>
            </w:r>
          </w:p>
          <w:p w14:paraId="16779766" w14:textId="77777777" w:rsidR="00BA7D47" w:rsidRDefault="00BA7D47" w:rsidP="00BA7D47">
            <w:pPr>
              <w:pStyle w:val="BoxText"/>
            </w:pPr>
            <w:r>
              <w:t>For farmers, the transition was softened by a number of factors. What they lost in terms of direct assistance, they typically gained through broader microeconomic and macroeconomic reforms. Workplace reform cut labour costs, financial sector reform freed up access to credit and foreign direct investment, and tariff cuts in the manufacturing sector helped reduce input costs</w:t>
            </w:r>
            <w:r w:rsidR="00DE366D">
              <w:t>.</w:t>
            </w:r>
            <w:r>
              <w:rPr>
                <w:rStyle w:val="FootnoteReference"/>
              </w:rPr>
              <w:footnoteReference w:id="51"/>
            </w:r>
            <w:r>
              <w:t xml:space="preserve"> In some cases transitional assistance was more explicit. For instance, deregulation of the dairy industry was accompanied by a temporary milk levy that funded adjustment programs for farmers leaving the industry. That said, agriculture reform has not always proceeded smoothly – the dismantling of the wool floor price being one example. And improved farm productivity has led to declining populations in many rural areas, raising </w:t>
            </w:r>
            <w:r w:rsidR="00DC43AD">
              <w:t>social and economic challenges.</w:t>
            </w:r>
          </w:p>
          <w:p w14:paraId="04F7E519" w14:textId="77777777" w:rsidR="00BA7D47" w:rsidRDefault="00BA7D47" w:rsidP="00BA7D47">
            <w:pPr>
              <w:pStyle w:val="BoxText"/>
            </w:pPr>
            <w:r>
              <w:t xml:space="preserve">But the overall result of reform is a farm sector that is more efficient, sustainable, and internationally competitive. Total factor productivity in Australia’s </w:t>
            </w:r>
            <w:proofErr w:type="spellStart"/>
            <w:r>
              <w:t>broadacre</w:t>
            </w:r>
            <w:proofErr w:type="spellEnd"/>
            <w:r>
              <w:t xml:space="preserve"> agriculture sector grew 1 per cent a year on average from the late 1970s to the early 2010s, enabling farmers to increase output despite reducing inputs.</w:t>
            </w:r>
            <w:r>
              <w:rPr>
                <w:rStyle w:val="FootnoteReference"/>
              </w:rPr>
              <w:footnoteReference w:id="52"/>
            </w:r>
          </w:p>
        </w:tc>
      </w:tr>
    </w:tbl>
    <w:p w14:paraId="24CD0CDE" w14:textId="77777777" w:rsidR="00BA7D47" w:rsidRDefault="00BA7D47" w:rsidP="00CE4D9B"/>
    <w:p w14:paraId="697365F4" w14:textId="77777777" w:rsidR="00A03276" w:rsidRDefault="00A03276" w:rsidP="001D699E">
      <w:bookmarkStart w:id="134" w:name="_Toc518903591"/>
      <w:bookmarkStart w:id="135" w:name="_Toc518922773"/>
      <w:bookmarkStart w:id="136" w:name="_Toc520472193"/>
      <w:bookmarkStart w:id="137" w:name="_Toc520472729"/>
    </w:p>
    <w:p w14:paraId="0B1B4285" w14:textId="77777777" w:rsidR="00032DF4" w:rsidRDefault="00032DF4" w:rsidP="001D699E">
      <w:pPr>
        <w:sectPr w:rsidR="00032DF4" w:rsidSect="00CF3C9C">
          <w:footerReference w:type="first" r:id="rId56"/>
          <w:pgSz w:w="11906" w:h="16838" w:code="9"/>
          <w:pgMar w:top="1418" w:right="1418" w:bottom="1418" w:left="1418" w:header="709" w:footer="709" w:gutter="0"/>
          <w:pgNumType w:start="1"/>
          <w:cols w:space="708"/>
          <w:titlePg/>
          <w:docGrid w:linePitch="360"/>
        </w:sectPr>
      </w:pPr>
    </w:p>
    <w:p w14:paraId="2FD3ABFA" w14:textId="77777777" w:rsidR="00067669" w:rsidRPr="000446E2" w:rsidRDefault="00067669" w:rsidP="00E22DCB">
      <w:pPr>
        <w:pStyle w:val="AppendixHeading"/>
      </w:pPr>
      <w:bookmarkStart w:id="138" w:name="_Toc520812378"/>
      <w:bookmarkStart w:id="139" w:name="_Toc520819472"/>
      <w:bookmarkStart w:id="140" w:name="_Toc525736243"/>
      <w:bookmarkStart w:id="141" w:name="_Toc525743542"/>
      <w:bookmarkStart w:id="142" w:name="_Toc525912222"/>
      <w:bookmarkStart w:id="143" w:name="_Toc525915343"/>
      <w:bookmarkStart w:id="144" w:name="_Toc526355332"/>
      <w:bookmarkStart w:id="145" w:name="_Toc526413595"/>
      <w:bookmarkStart w:id="146" w:name="_Toc526935112"/>
      <w:r w:rsidRPr="000446E2">
        <w:t xml:space="preserve">Appendix: </w:t>
      </w:r>
      <w:r w:rsidR="009A0AD2" w:rsidRPr="000446E2">
        <w:t xml:space="preserve">Waves </w:t>
      </w:r>
      <w:r w:rsidRPr="000446E2">
        <w:t>of Economic Reform</w:t>
      </w:r>
      <w:bookmarkEnd w:id="138"/>
      <w:bookmarkEnd w:id="139"/>
      <w:bookmarkEnd w:id="140"/>
      <w:bookmarkEnd w:id="141"/>
      <w:bookmarkEnd w:id="142"/>
      <w:bookmarkEnd w:id="143"/>
      <w:bookmarkEnd w:id="144"/>
      <w:bookmarkEnd w:id="145"/>
      <w:bookmarkEnd w:id="146"/>
    </w:p>
    <w:p w14:paraId="6679707B" w14:textId="77777777" w:rsidR="00067669" w:rsidRPr="00CF1965" w:rsidRDefault="00067669" w:rsidP="0098411F">
      <w:pPr>
        <w:pStyle w:val="Heading2-Numbered"/>
      </w:pPr>
      <w:bookmarkStart w:id="147" w:name="_Toc520812379"/>
      <w:bookmarkStart w:id="148" w:name="_Toc520819473"/>
      <w:bookmarkStart w:id="149" w:name="_Toc525736244"/>
      <w:bookmarkStart w:id="150" w:name="_Toc525743543"/>
      <w:bookmarkStart w:id="151" w:name="_Toc525912223"/>
      <w:bookmarkStart w:id="152" w:name="_Toc525915344"/>
      <w:bookmarkStart w:id="153" w:name="_Toc526355333"/>
      <w:bookmarkStart w:id="154" w:name="_Toc526413596"/>
      <w:bookmarkStart w:id="155" w:name="_Toc526935113"/>
      <w:r>
        <w:t xml:space="preserve">First </w:t>
      </w:r>
      <w:r w:rsidR="00C46D0D">
        <w:t>wave</w:t>
      </w:r>
      <w:r w:rsidR="00AD688D">
        <w:t>:</w:t>
      </w:r>
      <w:r w:rsidR="00AA4801">
        <w:t xml:space="preserve"> </w:t>
      </w:r>
      <w:r w:rsidR="00AD688D">
        <w:t>M</w:t>
      </w:r>
      <w:r>
        <w:t>acroeconomic stability</w:t>
      </w:r>
      <w:bookmarkEnd w:id="27"/>
      <w:bookmarkEnd w:id="28"/>
      <w:bookmarkEnd w:id="29"/>
      <w:bookmarkEnd w:id="30"/>
      <w:bookmarkEnd w:id="31"/>
      <w:bookmarkEnd w:id="32"/>
      <w:bookmarkEnd w:id="33"/>
      <w:bookmarkEnd w:id="34"/>
      <w:bookmarkEnd w:id="35"/>
      <w:bookmarkEnd w:id="36"/>
      <w:bookmarkEnd w:id="37"/>
      <w:bookmarkEnd w:id="134"/>
      <w:bookmarkEnd w:id="135"/>
      <w:bookmarkEnd w:id="136"/>
      <w:bookmarkEnd w:id="137"/>
      <w:bookmarkEnd w:id="147"/>
      <w:bookmarkEnd w:id="148"/>
      <w:bookmarkEnd w:id="149"/>
      <w:bookmarkEnd w:id="150"/>
      <w:bookmarkEnd w:id="151"/>
      <w:bookmarkEnd w:id="152"/>
      <w:bookmarkEnd w:id="153"/>
      <w:bookmarkEnd w:id="154"/>
      <w:bookmarkEnd w:id="155"/>
    </w:p>
    <w:p w14:paraId="5BDD16A4" w14:textId="77777777" w:rsidR="00067669" w:rsidRPr="004A6DFB" w:rsidRDefault="00067669" w:rsidP="00CE4D9B">
      <w:pPr>
        <w:rPr>
          <w:b/>
        </w:rPr>
      </w:pPr>
      <w:r w:rsidRPr="00132F70">
        <w:t xml:space="preserve">The first </w:t>
      </w:r>
      <w:r w:rsidR="00132646">
        <w:t>wave</w:t>
      </w:r>
      <w:r w:rsidRPr="00132F70">
        <w:t xml:space="preserve"> of economic reform in Australia, beginning in the 1970s, comprised responsive </w:t>
      </w:r>
      <w:r>
        <w:t>policy changes</w:t>
      </w:r>
      <w:r w:rsidRPr="00132F70">
        <w:t xml:space="preserve"> largely aimed at stabilising the </w:t>
      </w:r>
      <w:proofErr w:type="spellStart"/>
      <w:r w:rsidRPr="00132F70">
        <w:t>macroeconomy</w:t>
      </w:r>
      <w:proofErr w:type="spellEnd"/>
      <w:r w:rsidRPr="00132F70">
        <w:t>. Though they built on the reformist thinking that had emerged since the 1960s and 1970s, these were mostly pragmatic, iterative reforms aimed at managing sources of instability – whether inflation, international capital</w:t>
      </w:r>
      <w:r w:rsidR="001D699E">
        <w:t xml:space="preserve"> flows or financial innovation.</w:t>
      </w:r>
    </w:p>
    <w:p w14:paraId="4BBA8A5D" w14:textId="77777777" w:rsidR="00067669" w:rsidRPr="004A6DFB" w:rsidRDefault="00067669" w:rsidP="00447E63">
      <w:pPr>
        <w:pStyle w:val="Heading3"/>
      </w:pPr>
      <w:bookmarkStart w:id="156" w:name="_Toc516147535"/>
      <w:bookmarkStart w:id="157" w:name="_Toc516664492"/>
      <w:bookmarkStart w:id="158" w:name="_Toc516753472"/>
      <w:bookmarkStart w:id="159" w:name="_Toc516833771"/>
      <w:bookmarkStart w:id="160" w:name="_Toc516836153"/>
      <w:bookmarkStart w:id="161" w:name="_Toc516838455"/>
      <w:bookmarkStart w:id="162" w:name="_Toc517097815"/>
      <w:bookmarkStart w:id="163" w:name="_Toc517098721"/>
      <w:bookmarkStart w:id="164" w:name="_Toc517099866"/>
      <w:bookmarkStart w:id="165" w:name="_Toc517184563"/>
      <w:bookmarkStart w:id="166" w:name="_Toc517192068"/>
      <w:bookmarkStart w:id="167" w:name="_Toc518903592"/>
      <w:bookmarkStart w:id="168" w:name="_Toc518922774"/>
      <w:bookmarkStart w:id="169" w:name="_Toc520472194"/>
      <w:bookmarkStart w:id="170" w:name="_Toc520472730"/>
      <w:bookmarkStart w:id="171" w:name="_Toc520812380"/>
      <w:bookmarkStart w:id="172" w:name="_Toc520819474"/>
      <w:bookmarkStart w:id="173" w:name="_Toc525736245"/>
      <w:bookmarkStart w:id="174" w:name="_Toc525743544"/>
      <w:bookmarkStart w:id="175" w:name="_Toc525912224"/>
      <w:bookmarkStart w:id="176" w:name="_Toc525915345"/>
      <w:bookmarkStart w:id="177" w:name="_Toc526355334"/>
      <w:bookmarkStart w:id="178" w:name="_Toc526413597"/>
      <w:bookmarkStart w:id="179" w:name="_Toc526935114"/>
      <w:r>
        <w:t>Financial Sector</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4E5AE421" w14:textId="77777777" w:rsidR="00067669" w:rsidRDefault="00067669" w:rsidP="00CE4D9B">
      <w:r>
        <w:t xml:space="preserve">Of all the economic reforms Australia undertook over the past four decades, the overhaul of the financial sector was not just the first but the most reactive </w:t>
      </w:r>
      <w:r w:rsidRPr="00CC1991">
        <w:t>and consequential</w:t>
      </w:r>
      <w:r w:rsidR="00132646">
        <w:t>. Far from a pre</w:t>
      </w:r>
      <w:r w:rsidR="00132646">
        <w:noBreakHyphen/>
      </w:r>
      <w:r>
        <w:t>meditated strategy, the process of floating the dollar, opening up the capital account and deregulating the banks was pursued as a series of iterative and pragmatic steps, each aimed at preserving macroeconomic stability in the face of unstoppable global forces – notably surging global capital flows and financial innovation.</w:t>
      </w:r>
      <w:r w:rsidRPr="00B25666">
        <w:t xml:space="preserve"> </w:t>
      </w:r>
      <w:r>
        <w:t>Though they were ostensibly responses to distinct challenges, banking and capital account liberalisation were closely intertwined. Together, they triggered a period of far reaching economic reform in Australia.</w:t>
      </w:r>
    </w:p>
    <w:p w14:paraId="0FEEB7BC" w14:textId="77777777" w:rsidR="00067669" w:rsidRDefault="00067669" w:rsidP="00CE4D9B">
      <w:r>
        <w:t xml:space="preserve">At its core, the challenge that Australian authorities confronted was the Mundell-Fleming trilemma – the theory that a country cannot simultaneously control its exchange rate, capital flows and monetary policy. Until the 1980s, Australian policy was to try to manage all three. </w:t>
      </w:r>
      <w:r w:rsidRPr="001B2445">
        <w:t>The exchange rate was pegged, although the peg had switched from the British Pound to the US dollar following the collapse of Bretton Woods. This is in contrast to many other advanced economies, such as Canada and most of Western Europe, which had made the decision to move from a fixed to a floating or semi-pegged rate against the US dollar at that time.</w:t>
      </w:r>
      <w:r>
        <w:t xml:space="preserve"> The capital account was tightly controlled: foreign currency transactions required approval from the authorities and outward investment was heavily restricted, reflecting authorities’ desire for domestic savings to be invested at home. And monetary policy was managed – not only through a government-directed central bank, but through strict financial regulations that dictated how much banks could lend, to whom and at what interest rate.</w:t>
      </w:r>
    </w:p>
    <w:p w14:paraId="540B506E" w14:textId="77777777" w:rsidR="00067669" w:rsidRDefault="00067669" w:rsidP="00CE4D9B">
      <w:r>
        <w:t>Cracks in this</w:t>
      </w:r>
      <w:r w:rsidRPr="0059193F">
        <w:t xml:space="preserve"> system </w:t>
      </w:r>
      <w:r>
        <w:t>became evident as early as the late 1960s. Lured by a mining boom and aided by newly arrived merchant banks, international capital flows increasingly targeted Australia. The RBA’s usual response was to sterilise inflows by tightening reserve requirements. But its capacity to do so was constrained by another global development: financial market innovation. Tight regulation of domestic banking had spurred rapid growth of non-bank financial institutions such as finance companies and building societies, as well as merchant banks. With a growing share of money held outside the regulated banking sector, the RBA’s control of monetary policy was weakened. Though authorities could instead sterilise through open market operations, this meant higher interest rates – which hurt the domestic economy and attracted further inflows. In effect, authorities were grappling with the trilemma</w:t>
      </w:r>
      <w:r w:rsidR="009B0557">
        <w:t>;</w:t>
      </w:r>
      <w:r>
        <w:t xml:space="preserve"> </w:t>
      </w:r>
      <w:r w:rsidR="009B0557">
        <w:t>w</w:t>
      </w:r>
      <w:r w:rsidR="004B12F6">
        <w:t>ith freer capital flows and a fixed exchange rate</w:t>
      </w:r>
      <w:r w:rsidR="00DE4C4D">
        <w:t>,</w:t>
      </w:r>
      <w:r w:rsidR="004B12F6">
        <w:t xml:space="preserve"> they could not maintain an independent monetary policy</w:t>
      </w:r>
      <w:r>
        <w:t>. They could resist external pressures, but only at the cost of the domestic economy.</w:t>
      </w:r>
    </w:p>
    <w:p w14:paraId="51198173" w14:textId="77777777" w:rsidR="000446E2" w:rsidRDefault="000446E2">
      <w:pPr>
        <w:spacing w:after="200" w:line="276" w:lineRule="auto"/>
      </w:pPr>
      <w:r>
        <w:br w:type="page"/>
      </w:r>
    </w:p>
    <w:p w14:paraId="5A87EB6C" w14:textId="77777777" w:rsidR="00067669" w:rsidRDefault="00067669" w:rsidP="00CE4D9B">
      <w:r>
        <w:t>The</w:t>
      </w:r>
      <w:r w:rsidRPr="0059193F">
        <w:t xml:space="preserve"> </w:t>
      </w:r>
      <w:r w:rsidR="005227DF">
        <w:t>g</w:t>
      </w:r>
      <w:r w:rsidRPr="0059193F">
        <w:t>overnment</w:t>
      </w:r>
      <w:r>
        <w:t xml:space="preserve">’s response proceeded </w:t>
      </w:r>
      <w:r w:rsidRPr="0059193F">
        <w:t xml:space="preserve">down two related tracks: one </w:t>
      </w:r>
      <w:r>
        <w:t>targeting</w:t>
      </w:r>
      <w:r w:rsidRPr="0059193F">
        <w:t xml:space="preserve"> banking regulation, the other capital controls and the currency.</w:t>
      </w:r>
      <w:r>
        <w:t xml:space="preserve"> Starting from the early 1970s it steadily wound back regulations on the banks, not only in response to the trilemma but also in recognition that financial innovation demanded a more efficient and competitive banking sector. By 1980 prudential restrictions had been relaxed considerably and controls on interest rates abandoned. Over the same decade the </w:t>
      </w:r>
      <w:r w:rsidRPr="0059193F">
        <w:t>Australian doll</w:t>
      </w:r>
      <w:r>
        <w:t>ar endured a tumultuous journey. Capital controls were tightened then eased</w:t>
      </w:r>
      <w:r w:rsidR="003820BB">
        <w:t>. T</w:t>
      </w:r>
      <w:r>
        <w:t xml:space="preserve">he dollar went through numerous revaluations and devaluations as well as a shift </w:t>
      </w:r>
      <w:r w:rsidR="00480091">
        <w:t>from a fixed to a crawling peg</w:t>
      </w:r>
      <w:r w:rsidR="003820BB">
        <w:t xml:space="preserve"> – an evolution which, importantly, </w:t>
      </w:r>
      <w:r w:rsidR="00765CEC">
        <w:t>led to</w:t>
      </w:r>
      <w:r w:rsidR="003820BB">
        <w:t xml:space="preserve"> the development of a fledgling hedging market</w:t>
      </w:r>
      <w:r w:rsidR="00752350">
        <w:t>.</w:t>
      </w:r>
      <w:r w:rsidR="003820BB">
        <w:rPr>
          <w:rStyle w:val="FootnoteReference"/>
        </w:rPr>
        <w:footnoteReference w:id="53"/>
      </w:r>
      <w:r>
        <w:t xml:space="preserve"> The </w:t>
      </w:r>
      <w:r w:rsidR="005227DF">
        <w:t>g</w:t>
      </w:r>
      <w:r>
        <w:t>overnment also improved the marketability of its own bonds by switching from a tap to a tender-based issuance system, meaning it set the volume of securities on offer while the market set the interest rate.</w:t>
      </w:r>
      <w:r>
        <w:rPr>
          <w:rStyle w:val="FootnoteReference"/>
        </w:rPr>
        <w:footnoteReference w:id="54"/>
      </w:r>
      <w:r>
        <w:t xml:space="preserve"> The change enabled the </w:t>
      </w:r>
      <w:r w:rsidR="005227DF">
        <w:t>g</w:t>
      </w:r>
      <w:r>
        <w:t>overnment to borrow more from the public and less from the RBA, thereby freeing up the central bank to concentrate on monetary policy.</w:t>
      </w:r>
    </w:p>
    <w:p w14:paraId="2B5F757D" w14:textId="77777777" w:rsidR="00067669" w:rsidRDefault="00067669" w:rsidP="00CE4D9B">
      <w:r>
        <w:t>Whereas these reforms took place</w:t>
      </w:r>
      <w:r w:rsidRPr="0059193F">
        <w:t xml:space="preserve"> in a largely ad hoc fashion</w:t>
      </w:r>
      <w:r>
        <w:t xml:space="preserve">, with authorities responding to challenges as they arose, an important shift occurred in 1979. Noting the growth of the non-bank sector and international capital markets, the </w:t>
      </w:r>
      <w:r w:rsidR="005227DF">
        <w:t>g</w:t>
      </w:r>
      <w:r>
        <w:t xml:space="preserve">overnment established Australia’s first review of the broader financial system. Two years later, the so-called Campbell Review – named after its chairman, businessman Keith Campbell – advised that Australia’s macroeconomic stability could be best achieved by completing the deregulation of the financial sector, exposing banks to foreign competition and floating the </w:t>
      </w:r>
      <w:r w:rsidRPr="00CC1991">
        <w:t>dollar. It was a blueprint for pro-market reform.</w:t>
      </w:r>
      <w:r>
        <w:t xml:space="preserve"> But while some of the Review’s </w:t>
      </w:r>
      <w:r w:rsidRPr="00055777">
        <w:t xml:space="preserve">recommendations </w:t>
      </w:r>
      <w:r>
        <w:t xml:space="preserve">were implemented, </w:t>
      </w:r>
      <w:r w:rsidR="005227DF">
        <w:t>its</w:t>
      </w:r>
      <w:r>
        <w:t xml:space="preserve"> main proposals </w:t>
      </w:r>
      <w:r w:rsidRPr="00055777">
        <w:t>initially went unheeded</w:t>
      </w:r>
      <w:r>
        <w:t>, reflecting unease among senior politicians and bureaucrats</w:t>
      </w:r>
      <w:r w:rsidRPr="003C3A00">
        <w:t xml:space="preserve"> </w:t>
      </w:r>
      <w:r>
        <w:t xml:space="preserve">about such market-oriented remedies. </w:t>
      </w:r>
      <w:r w:rsidR="005227DF">
        <w:t>Still</w:t>
      </w:r>
      <w:r>
        <w:t>, the Review solidified a growing discussion within senior policy circles about the need for change, making</w:t>
      </w:r>
      <w:r w:rsidR="00A237F9">
        <w:t xml:space="preserve"> an eventual float more likely.</w:t>
      </w:r>
    </w:p>
    <w:p w14:paraId="082AFB6E" w14:textId="77777777" w:rsidR="00067669" w:rsidRDefault="00067669" w:rsidP="00CE4D9B">
      <w:r>
        <w:t>As it happened, t</w:t>
      </w:r>
      <w:r w:rsidRPr="0066499B">
        <w:t xml:space="preserve">he dollar was floated </w:t>
      </w:r>
      <w:r>
        <w:t>on</w:t>
      </w:r>
      <w:r w:rsidRPr="0066499B">
        <w:t xml:space="preserve"> 9 December 1983</w:t>
      </w:r>
      <w:r>
        <w:t xml:space="preserve"> alongside the removal of most foreign exchange controls. The decision was made by a relatively new </w:t>
      </w:r>
      <w:r w:rsidR="007B0515">
        <w:t>government</w:t>
      </w:r>
      <w:r>
        <w:t>, wh</w:t>
      </w:r>
      <w:r w:rsidR="007C6895">
        <w:t>ich</w:t>
      </w:r>
      <w:r>
        <w:t xml:space="preserve"> had already devalued the currency by 10 per cent. Yet frequent attacks on the currency – which had begun in response to a deep recession – continued, prompting RBA interventions that made it increasingly hard for authorities to manage monetary policy. Over the course of 1983 it became clear that the </w:t>
      </w:r>
      <w:r w:rsidR="007C6895">
        <w:t>g</w:t>
      </w:r>
      <w:r>
        <w:t>overnment and the RBA could do little to resist surging capital inflows</w:t>
      </w:r>
      <w:r w:rsidR="007C6895">
        <w:t>. S</w:t>
      </w:r>
      <w:r w:rsidRPr="00CC1991">
        <w:t>enior policymakers eventually decided that Australia had little option but to let go of the reins. Despite</w:t>
      </w:r>
      <w:r>
        <w:t xml:space="preserve"> concerns about a sharp devaluation, on its first day as a free floating c</w:t>
      </w:r>
      <w:r w:rsidR="00A237F9">
        <w:t>urrency the dollar appreciated.</w:t>
      </w:r>
    </w:p>
    <w:p w14:paraId="73FC5538" w14:textId="77777777" w:rsidR="00067669" w:rsidRDefault="00067669" w:rsidP="00CE4D9B">
      <w:r>
        <w:t xml:space="preserve">Compared with other central banks, the RBA has been a relatively hands off participant in foreign exchange markets in the 35 years since the float. But that was not initially the case. In what it describes as the “testing and smoothing” phase of intervention, the RBA made small but frequent interventions in the first few years after the float as it sought </w:t>
      </w:r>
      <w:r w:rsidR="007C6895">
        <w:t xml:space="preserve">both </w:t>
      </w:r>
      <w:r>
        <w:t xml:space="preserve">to understand how the currency would operate under the new regime and </w:t>
      </w:r>
      <w:r w:rsidR="007C6895">
        <w:t xml:space="preserve">to </w:t>
      </w:r>
      <w:r>
        <w:t>smooth</w:t>
      </w:r>
      <w:r w:rsidR="003C4864">
        <w:t xml:space="preserve"> day-to-day volatility (Chart 16</w:t>
      </w:r>
      <w:r>
        <w:t>).</w:t>
      </w:r>
      <w:r>
        <w:rPr>
          <w:rStyle w:val="FootnoteReference"/>
        </w:rPr>
        <w:footnoteReference w:id="55"/>
      </w:r>
      <w:r>
        <w:t xml:space="preserve"> Only from the late 1980s, with Australian dollar markets that were deeper and better able to manage volatility, did the RBA shift </w:t>
      </w:r>
      <w:r w:rsidR="007C6895">
        <w:t>strategy, by</w:t>
      </w:r>
      <w:r>
        <w:t xml:space="preserve"> only intervening if it believed speculative trading had pushed the currency to levels inconsistent with fundamentals.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EE1CB2" w14:paraId="626E8255" w14:textId="77777777" w:rsidTr="00EE1CB2">
        <w:tc>
          <w:tcPr>
            <w:tcW w:w="9514" w:type="dxa"/>
          </w:tcPr>
          <w:p w14:paraId="325E3045" w14:textId="77777777" w:rsidR="00EE1CB2" w:rsidRPr="00EE1CB2" w:rsidRDefault="00EE1CB2" w:rsidP="00EE1CB2">
            <w:pPr>
              <w:pStyle w:val="ChartMainHeading"/>
            </w:pPr>
            <w:r>
              <w:t>Chart 16 - Exchange rate volatility</w:t>
            </w:r>
          </w:p>
        </w:tc>
      </w:tr>
      <w:tr w:rsidR="00EE1CB2" w14:paraId="205B67A4" w14:textId="77777777" w:rsidTr="00EE1CB2">
        <w:tc>
          <w:tcPr>
            <w:tcW w:w="9514" w:type="dxa"/>
          </w:tcPr>
          <w:p w14:paraId="448AEAB8" w14:textId="77777777" w:rsidR="00EE1CB2" w:rsidRPr="00B77BC7" w:rsidRDefault="00E2142E" w:rsidP="00E2142E">
            <w:pPr>
              <w:pStyle w:val="ChartGraphic"/>
              <w:spacing w:after="60"/>
            </w:pPr>
            <w:r w:rsidRPr="00B77BC7">
              <w:object w:dxaOrig="8775" w:dyaOrig="3961" w14:anchorId="439AE324">
                <v:shape id="_x0000_i1036" type="#_x0000_t75" style="width:439.2pt;height:206.55pt" o:ole="">
                  <v:imagedata r:id="rId57" o:title="" cropleft="1270f" cropright="1186f"/>
                </v:shape>
                <o:OLEObject Type="Link" ProgID="Excel.Sheet.12" ShapeID="_x0000_i1036" DrawAspect="Content" r:id="rId58" UpdateMode="Always">
                  <o:LinkType>EnhancedMetaFile</o:LinkType>
                  <o:LockedField/>
                  <o:FieldCodes>\* MERGEFORMAT</o:FieldCodes>
                </o:OLEObject>
              </w:object>
            </w:r>
          </w:p>
        </w:tc>
      </w:tr>
      <w:tr w:rsidR="00EE1CB2" w:rsidRPr="00EE1CB2" w14:paraId="1EA6AA09" w14:textId="77777777" w:rsidTr="00EE1CB2">
        <w:tc>
          <w:tcPr>
            <w:tcW w:w="9514" w:type="dxa"/>
          </w:tcPr>
          <w:p w14:paraId="6DA3CD66" w14:textId="77777777" w:rsidR="00EE1CB2" w:rsidRPr="00EE1CB2" w:rsidRDefault="00EE1CB2" w:rsidP="00447847">
            <w:pPr>
              <w:pStyle w:val="ChartorTableNote"/>
              <w:spacing w:after="40"/>
            </w:pPr>
            <w:r w:rsidRPr="00EE1CB2">
              <w:t>Note: against end of month US dollar exchange rate: 6 month rolling average of monthly absolute percentage changes.</w:t>
            </w:r>
          </w:p>
          <w:p w14:paraId="400BC58E" w14:textId="77777777" w:rsidR="00EE1CB2" w:rsidRPr="00EE1CB2" w:rsidRDefault="00EE1CB2" w:rsidP="000446E2">
            <w:pPr>
              <w:pStyle w:val="ChartorTableNote"/>
              <w:spacing w:after="0"/>
            </w:pPr>
            <w:r>
              <w:t>Source: RBA.</w:t>
            </w:r>
          </w:p>
        </w:tc>
      </w:tr>
    </w:tbl>
    <w:p w14:paraId="7AD5DFC0" w14:textId="77777777" w:rsidR="00067669" w:rsidRPr="00914977" w:rsidRDefault="00067669" w:rsidP="00EE1CB2">
      <w:pPr>
        <w:pStyle w:val="SingleParagraph"/>
        <w:rPr>
          <w:sz w:val="18"/>
          <w:szCs w:val="18"/>
        </w:rPr>
      </w:pPr>
    </w:p>
    <w:p w14:paraId="79F5C9B3" w14:textId="77777777" w:rsidR="00067669" w:rsidRPr="00055777" w:rsidRDefault="00067669" w:rsidP="000446E2">
      <w:pPr>
        <w:spacing w:after="200"/>
      </w:pPr>
      <w:r>
        <w:t>By floating the dollar, Australian authorities effectively accepted a more volatile currency in return for greater macroeconomic stability. Concerns about the currency’s increased volatility were high in the years immediately after the float, as reflected in the RBA’s intervention strategy</w:t>
      </w:r>
      <w:r w:rsidR="007C6895">
        <w:t>. B</w:t>
      </w:r>
      <w:r>
        <w:t>ut</w:t>
      </w:r>
      <w:r w:rsidR="007C6895">
        <w:t xml:space="preserve"> these concerns</w:t>
      </w:r>
      <w:r>
        <w:t xml:space="preserve"> diminished as hedging became commonplace. Despite gaining some experience during the turmoil of the 1970s, banks and business were still relatively new to hedging at the time the dollar was floated. As a result, mistakes were made</w:t>
      </w:r>
      <w:r w:rsidRPr="00865248">
        <w:t xml:space="preserve">. </w:t>
      </w:r>
      <w:r>
        <w:t xml:space="preserve">In the so-called Swiss loans affair, some Australians were steered by their banks into taking out unhedged foreign-denominated loans, only to see their repayment obligations jump in the mid-1980s as the recently floated Australian dollar depreciated sharply. </w:t>
      </w:r>
      <w:r w:rsidR="007C6895">
        <w:t>But th</w:t>
      </w:r>
      <w:r w:rsidR="00302AA6">
        <w:t>is episode had unforeseen benefits</w:t>
      </w:r>
      <w:r w:rsidR="007C6895">
        <w:t xml:space="preserve">. By </w:t>
      </w:r>
      <w:r>
        <w:t>help</w:t>
      </w:r>
      <w:r w:rsidR="007C6895">
        <w:t>ing</w:t>
      </w:r>
      <w:r>
        <w:t xml:space="preserve"> raise awareness about the risks of a floating currency</w:t>
      </w:r>
      <w:r w:rsidR="007C6895">
        <w:t>, the Swiss loans affair</w:t>
      </w:r>
      <w:r>
        <w:t xml:space="preserve"> is likely to have contributed to the greater use of derivatives for hedging and the development of those markets.</w:t>
      </w:r>
      <w:r>
        <w:rPr>
          <w:rStyle w:val="FootnoteReference"/>
        </w:rPr>
        <w:footnoteReference w:id="56"/>
      </w:r>
      <w:r>
        <w:t xml:space="preserve"> Today Australia’s banks use derivatives to hedge almost all of their foreign currency borrowings.</w:t>
      </w:r>
      <w:r>
        <w:rPr>
          <w:rStyle w:val="FootnoteReference"/>
        </w:rPr>
        <w:footnoteReference w:id="57"/>
      </w:r>
    </w:p>
    <w:p w14:paraId="6547C918" w14:textId="77777777" w:rsidR="00067669" w:rsidRDefault="00067669" w:rsidP="000446E2">
      <w:pPr>
        <w:spacing w:after="200"/>
      </w:pPr>
      <w:r w:rsidRPr="0059193F">
        <w:t xml:space="preserve">The float of the dollar paved the way for liberalisation of the broader </w:t>
      </w:r>
      <w:r w:rsidRPr="00CC1991">
        <w:t>financial sector. By sidelining doubters and making reform s</w:t>
      </w:r>
      <w:r>
        <w:t xml:space="preserve">eem inevitable, it enabled the </w:t>
      </w:r>
      <w:r w:rsidR="007C6895">
        <w:t>g</w:t>
      </w:r>
      <w:r w:rsidRPr="00CC1991">
        <w:t>overnment to</w:t>
      </w:r>
      <w:r>
        <w:t xml:space="preserve"> pursue changes that only a few years earlier had been considered off the agenda. By mid-1985, </w:t>
      </w:r>
      <w:r w:rsidR="007C6895">
        <w:t>the government</w:t>
      </w:r>
      <w:r>
        <w:t xml:space="preserve"> had removed all caps on deposit and lending rates and had invited 16 foreign banks </w:t>
      </w:r>
      <w:r w:rsidR="00A237F9">
        <w:t>to enter the Australian market.</w:t>
      </w:r>
    </w:p>
    <w:p w14:paraId="0DFA7B4F" w14:textId="77777777" w:rsidR="00067669" w:rsidRDefault="00067669" w:rsidP="00CE4D9B">
      <w:r>
        <w:t xml:space="preserve">Financial deregulation delivered considerable benefits to Australia, though only after some time. The removal of controls on banking was sold in part on the promise that competition would lead to improved service and lower prices. Yet it took about a decade for lending margins to </w:t>
      </w:r>
      <w:r w:rsidR="007C6895">
        <w:t xml:space="preserve">start </w:t>
      </w:r>
      <w:r>
        <w:t>shrinking.</w:t>
      </w:r>
      <w:r>
        <w:rPr>
          <w:rStyle w:val="FootnoteReference"/>
        </w:rPr>
        <w:footnoteReference w:id="58"/>
      </w:r>
      <w:r>
        <w:t xml:space="preserve"> Only with the arrival of innovations like securitisation, mortgage broking and automatic teller machines were new entrants able to exert competitive pressure on the incumbents. But some benefits were less obvious. Financial sector liberalisation improved the allocative efficiency of the economy by ensuring capital was directed towards more productive uses. It also aided macroeconomic stability by allowing the RBA to implement monetary policy through interest rates rather</w:t>
      </w:r>
      <w:r w:rsidR="003C4864">
        <w:t xml:space="preserve"> than bank regulations (Chart 17</w:t>
      </w:r>
      <w:r>
        <w:t>).</w:t>
      </w:r>
      <w:r>
        <w:rPr>
          <w:rStyle w:val="FootnoteReference"/>
        </w:rPr>
        <w:footnoteReference w:id="59"/>
      </w:r>
    </w:p>
    <w:p w14:paraId="5D593427" w14:textId="77777777" w:rsidR="00067669" w:rsidRDefault="00067669" w:rsidP="00CE4D9B">
      <w:r w:rsidRPr="00865248">
        <w:t xml:space="preserve">But these benefits were </w:t>
      </w:r>
      <w:r>
        <w:t>only</w:t>
      </w:r>
      <w:r w:rsidRPr="00865248">
        <w:t xml:space="preserve"> realised </w:t>
      </w:r>
      <w:r>
        <w:t>after considerable</w:t>
      </w:r>
      <w:r w:rsidRPr="00865248">
        <w:t xml:space="preserve"> </w:t>
      </w:r>
      <w:r>
        <w:t>teething problems. In the new liberalised environment,</w:t>
      </w:r>
      <w:r w:rsidRPr="00865248">
        <w:t xml:space="preserve"> financial </w:t>
      </w:r>
      <w:r>
        <w:t>institutions</w:t>
      </w:r>
      <w:r w:rsidRPr="00865248">
        <w:t xml:space="preserve"> struggled to manage </w:t>
      </w:r>
      <w:r>
        <w:t>their</w:t>
      </w:r>
      <w:r w:rsidRPr="00865248">
        <w:t xml:space="preserve"> exuberance</w:t>
      </w:r>
      <w:r>
        <w:t xml:space="preserve"> and regulators struggled to keep them in check. The Swiss loans affair was one example that caused </w:t>
      </w:r>
      <w:r w:rsidR="002808C4">
        <w:t>limited economic damage. O</w:t>
      </w:r>
      <w:r>
        <w:t>f much greater consequence</w:t>
      </w:r>
      <w:r w:rsidRPr="00E31B56">
        <w:t xml:space="preserve"> </w:t>
      </w:r>
      <w:r>
        <w:t>was</w:t>
      </w:r>
      <w:r w:rsidRPr="00E31B56">
        <w:t xml:space="preserve"> a destabilising credit boom.</w:t>
      </w:r>
      <w:r>
        <w:t xml:space="preserve"> As foreign banks entered and incumbent banks rushed to protect market share, borrowing money suddenly became a lot easier – especially in the corporate and commercial property sectors. With rising corporate leverage, surging assets prices and deteriorating lending standards, the economy became increasingly vulnerable to a downturn. And as the RBA repeatedly raised official interest rates in a bid to dampen credit growth, the risk of such a downturn steadily increased. In the early 1990s the economy </w:t>
      </w:r>
      <w:r w:rsidRPr="00CC1991">
        <w:t>eventually snapped,</w:t>
      </w:r>
      <w:r>
        <w:t xml:space="preserve"> leading to Australia’s deepest recession since the 1930s Great Depression. One of </w:t>
      </w:r>
      <w:r w:rsidR="007C6895">
        <w:t xml:space="preserve">the country’s </w:t>
      </w:r>
      <w:r>
        <w:t>major ban</w:t>
      </w:r>
      <w:r w:rsidR="00EE1CB2">
        <w:t>ks narrowly avoided insolvency.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EE1CB2" w14:paraId="2D3DF388" w14:textId="77777777" w:rsidTr="00EE1CB2">
        <w:tc>
          <w:tcPr>
            <w:tcW w:w="9514" w:type="dxa"/>
          </w:tcPr>
          <w:p w14:paraId="4232ADAF" w14:textId="77777777" w:rsidR="00EE1CB2" w:rsidRPr="00EE1CB2" w:rsidRDefault="00EE1CB2" w:rsidP="00EE1CB2">
            <w:pPr>
              <w:pStyle w:val="ChartMainHeading"/>
            </w:pPr>
            <w:r>
              <w:t>Chart 17 - Australian cash rate</w:t>
            </w:r>
          </w:p>
        </w:tc>
      </w:tr>
      <w:tr w:rsidR="00EE1CB2" w14:paraId="7434B9B6" w14:textId="77777777" w:rsidTr="00EE1CB2">
        <w:tc>
          <w:tcPr>
            <w:tcW w:w="9514" w:type="dxa"/>
          </w:tcPr>
          <w:p w14:paraId="3CB483E5" w14:textId="77777777" w:rsidR="00EE1CB2" w:rsidRDefault="00F86A83" w:rsidP="00EE1CB2">
            <w:pPr>
              <w:pStyle w:val="ChartGraphic"/>
            </w:pPr>
            <w:r>
              <w:object w:dxaOrig="8775" w:dyaOrig="3961" w14:anchorId="2808C7E7">
                <v:shape id="_x0000_i1037" type="#_x0000_t75" style="width:438.75pt;height:198.05pt" o:ole="">
                  <v:imagedata r:id="rId59" o:title=""/>
                </v:shape>
                <o:OLEObject Type="Link" ProgID="Excel.Sheet.12" ShapeID="_x0000_i1037" DrawAspect="Content" r:id="rId60" UpdateMode="Always">
                  <o:LinkType>EnhancedMetaFile</o:LinkType>
                  <o:LockedField/>
                </o:OLEObject>
              </w:object>
            </w:r>
          </w:p>
        </w:tc>
      </w:tr>
      <w:tr w:rsidR="00EE1CB2" w:rsidRPr="00EE1CB2" w14:paraId="314F5F1F" w14:textId="77777777" w:rsidTr="00EE1CB2">
        <w:tc>
          <w:tcPr>
            <w:tcW w:w="9514" w:type="dxa"/>
          </w:tcPr>
          <w:p w14:paraId="25C56CEF" w14:textId="77777777" w:rsidR="00EE1CB2" w:rsidRPr="00EE1CB2" w:rsidRDefault="00EE1CB2" w:rsidP="00EE1CB2">
            <w:pPr>
              <w:pStyle w:val="ChartorTableNote"/>
            </w:pPr>
            <w:r w:rsidRPr="00EE1CB2">
              <w:t>Source: RBA</w:t>
            </w:r>
          </w:p>
          <w:p w14:paraId="21F0E35E" w14:textId="77777777" w:rsidR="00EE1CB2" w:rsidRPr="00EE1CB2" w:rsidRDefault="00EE1CB2" w:rsidP="000446E2">
            <w:pPr>
              <w:pStyle w:val="ChartorTableNote"/>
              <w:spacing w:after="0"/>
            </w:pPr>
            <w:r w:rsidRPr="00EE1CB2">
              <w:t>Note: The data from 1978 to 1990 is the interbank overnight cash rate.</w:t>
            </w:r>
          </w:p>
        </w:tc>
      </w:tr>
    </w:tbl>
    <w:p w14:paraId="4D00F729" w14:textId="77777777" w:rsidR="00EE1CB2" w:rsidRDefault="00EE1CB2" w:rsidP="008A5843">
      <w:pPr>
        <w:pStyle w:val="SingleParagraph"/>
      </w:pPr>
    </w:p>
    <w:p w14:paraId="3916C400" w14:textId="77777777" w:rsidR="00067669" w:rsidRDefault="00067669" w:rsidP="00CE4D9B">
      <w:r w:rsidRPr="0059193F">
        <w:t>Even after deregulation, Australia’s banking system is not entirely free of protection.</w:t>
      </w:r>
      <w:r>
        <w:t xml:space="preserve"> Under the so</w:t>
      </w:r>
      <w:r w:rsidR="00132646">
        <w:noBreakHyphen/>
      </w:r>
      <w:r>
        <w:t xml:space="preserve">called “Four Pillars” policy, Australian governments since the 1990s have committed to disallow a merger between any of Australia’s four largest retail banks. The policy aims to ensure competition. And though there is no blanket prohibition on a foreign takeover of any of the big four domestic banks, such a proposal would have to be assessed under Australia’s foreign investment regime – and none </w:t>
      </w:r>
      <w:r w:rsidR="00902547">
        <w:t>has</w:t>
      </w:r>
      <w:r>
        <w:t xml:space="preserve"> ever been publicly announced.</w:t>
      </w:r>
      <w:r>
        <w:rPr>
          <w:rStyle w:val="FootnoteReference"/>
        </w:rPr>
        <w:footnoteReference w:id="60"/>
      </w:r>
    </w:p>
    <w:p w14:paraId="396A0140" w14:textId="77777777" w:rsidR="00251DDB" w:rsidRDefault="00067669" w:rsidP="00CE4D9B">
      <w:r>
        <w:t xml:space="preserve">Meanwhile, banking regulation has not stayed still. </w:t>
      </w:r>
      <w:r w:rsidRPr="0059193F">
        <w:t xml:space="preserve">Following </w:t>
      </w:r>
      <w:r w:rsidR="00251DDB">
        <w:t xml:space="preserve">the Wallis Review </w:t>
      </w:r>
      <w:r w:rsidRPr="0059193F">
        <w:t>in the late 1990s, Australia adopted a financial regulation regime that allocates responsibility along functional lines: one focused on safety and soundness, the other on conduct and consumer protection.</w:t>
      </w:r>
      <w:r>
        <w:rPr>
          <w:b/>
        </w:rPr>
        <w:t xml:space="preserve"> </w:t>
      </w:r>
      <w:r w:rsidRPr="00963D87">
        <w:t>E</w:t>
      </w:r>
      <w:r>
        <w:t xml:space="preserve">xperience suggests this so-called </w:t>
      </w:r>
      <w:r w:rsidR="00765CEC">
        <w:t>‘</w:t>
      </w:r>
      <w:r>
        <w:t>twin peaks</w:t>
      </w:r>
      <w:r w:rsidR="00765CEC">
        <w:t>’</w:t>
      </w:r>
      <w:r>
        <w:rPr>
          <w:rStyle w:val="FootnoteReference"/>
        </w:rPr>
        <w:footnoteReference w:id="61"/>
      </w:r>
      <w:r>
        <w:t xml:space="preserve"> </w:t>
      </w:r>
      <w:r w:rsidR="002358A2">
        <w:t xml:space="preserve">model </w:t>
      </w:r>
      <w:r>
        <w:t xml:space="preserve">has performed well. In particular, the banking sector emerged relatively unscathed from the 2007-08 global financial crisis, even if it led some smaller lenders to be acquired by major banks. </w:t>
      </w:r>
      <w:r w:rsidR="00251DDB">
        <w:t xml:space="preserve">The financial sector was subjected to further scrutiny in 2014, when the Murray Review </w:t>
      </w:r>
      <w:r w:rsidR="008E736E">
        <w:t xml:space="preserve">endorsed the twin peaks model but </w:t>
      </w:r>
      <w:r w:rsidR="00251DDB">
        <w:t>recommended changes in areas such as financial advice, superannuation,</w:t>
      </w:r>
      <w:r w:rsidR="00632117">
        <w:t xml:space="preserve"> the payments system and prudential policy.</w:t>
      </w:r>
    </w:p>
    <w:p w14:paraId="32BED881" w14:textId="77777777" w:rsidR="009429E8" w:rsidRDefault="00067669" w:rsidP="00CE4D9B">
      <w:r>
        <w:t>Yet financial regulation has not been without missteps – often leading to self-assessment and further reform. For instance, the collapse of a large general insurance company in the early 2000s led the Australian Prudential Regulat</w:t>
      </w:r>
      <w:r w:rsidR="00205BBA">
        <w:t>ion</w:t>
      </w:r>
      <w:r>
        <w:t xml:space="preserve"> Authority to beef up its monitoring and surveillance activities – an initiative which helped ensure the banking sector was in strong shape leading into the 2007-08 crisis.</w:t>
      </w:r>
      <w:r>
        <w:rPr>
          <w:rStyle w:val="FootnoteReference"/>
        </w:rPr>
        <w:footnoteReference w:id="62"/>
      </w:r>
      <w:r>
        <w:t xml:space="preserve"> More recently, </w:t>
      </w:r>
      <w:r w:rsidR="008E736E">
        <w:t xml:space="preserve">industry conduct and </w:t>
      </w:r>
      <w:r>
        <w:t xml:space="preserve">consumer protection regulation has come under </w:t>
      </w:r>
      <w:r w:rsidR="004B12F6">
        <w:t xml:space="preserve">increased </w:t>
      </w:r>
      <w:r>
        <w:t>scrutiny as a result of a Royal Commission into misconduct in the banking, superannuation</w:t>
      </w:r>
      <w:bookmarkStart w:id="180" w:name="_Toc516147536"/>
      <w:bookmarkStart w:id="181" w:name="_Toc516664493"/>
      <w:bookmarkStart w:id="182" w:name="_Toc516753473"/>
      <w:bookmarkStart w:id="183" w:name="_Toc516833772"/>
      <w:bookmarkStart w:id="184" w:name="_Toc516836154"/>
      <w:bookmarkStart w:id="185" w:name="_Toc516838456"/>
      <w:bookmarkStart w:id="186" w:name="_Toc517097816"/>
      <w:bookmarkStart w:id="187" w:name="_Toc517098722"/>
      <w:bookmarkStart w:id="188" w:name="_Toc517099867"/>
      <w:bookmarkStart w:id="189" w:name="_Toc517184564"/>
      <w:bookmarkStart w:id="190" w:name="_Toc517192069"/>
      <w:bookmarkStart w:id="191" w:name="_Toc518903593"/>
      <w:bookmarkStart w:id="192" w:name="_Toc518922775"/>
      <w:bookmarkStart w:id="193" w:name="_Toc520472195"/>
      <w:bookmarkStart w:id="194" w:name="_Toc520472731"/>
      <w:bookmarkStart w:id="195" w:name="_Toc520812381"/>
      <w:bookmarkStart w:id="196" w:name="_Toc520819475"/>
      <w:r w:rsidR="00A237F9">
        <w:t xml:space="preserve"> and financial services sector.</w:t>
      </w:r>
    </w:p>
    <w:p w14:paraId="5E84A80D" w14:textId="77777777" w:rsidR="009429E8" w:rsidRDefault="00067669" w:rsidP="00447E63">
      <w:pPr>
        <w:pStyle w:val="Heading3"/>
      </w:pPr>
      <w:bookmarkStart w:id="197" w:name="_Toc525736246"/>
      <w:bookmarkStart w:id="198" w:name="_Toc525743545"/>
      <w:bookmarkStart w:id="199" w:name="_Toc525912225"/>
      <w:bookmarkStart w:id="200" w:name="_Toc525915346"/>
      <w:bookmarkStart w:id="201" w:name="_Toc526355335"/>
      <w:bookmarkStart w:id="202" w:name="_Toc526413598"/>
      <w:bookmarkStart w:id="203" w:name="_Toc526935115"/>
      <w:r w:rsidRPr="00FA72C6">
        <w:t>The Accord</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222FD6BD" w14:textId="77777777" w:rsidR="009429E8" w:rsidRDefault="00067669" w:rsidP="00CE4D9B">
      <w:r w:rsidRPr="00132F70">
        <w:t>Through most of the 20</w:t>
      </w:r>
      <w:r w:rsidRPr="00132F70">
        <w:rPr>
          <w:vertAlign w:val="superscript"/>
        </w:rPr>
        <w:t>th</w:t>
      </w:r>
      <w:r w:rsidRPr="00132F70">
        <w:t xml:space="preserve"> century, Australia operated a highly centralised industrial relations regime.</w:t>
      </w:r>
      <w:r>
        <w:t xml:space="preserve"> Wages were set through a process of compulsory arbitration administered by </w:t>
      </w:r>
      <w:r w:rsidR="002358A2">
        <w:t xml:space="preserve">state governments or </w:t>
      </w:r>
      <w:r>
        <w:t>the Australian Industrial Relations Commission (and its forerunner), which acted as an umpire between unions and employers. Pay and conditions were set out in awards that encompassed whole industries or occupations, leaving little scope for wages to vary according to the profitability or productivity of particular firms or industries. The system was underpinned by a centrally determined minimum wage based on the cost of living – a reflection of Australia’s egalitarian tradition.</w:t>
      </w:r>
    </w:p>
    <w:p w14:paraId="204DC63C" w14:textId="77777777" w:rsidR="009429E8" w:rsidRDefault="00067669" w:rsidP="00CE4D9B">
      <w:r w:rsidRPr="00132F70">
        <w:t>But this long standing system came under increased pressure from the 1970s.</w:t>
      </w:r>
      <w:r>
        <w:t xml:space="preserve"> Unions used their power to push for ever higher over-award wage increases. Industrial strikes proliferated and real wages surged, exacerbating the challenges of stagflation. Another wage breakout occurred in the early 1980s, just as the economy was heading into a recession that caused Australia’s unemployment rate to hit double digits for the first time since </w:t>
      </w:r>
      <w:r w:rsidR="00132646">
        <w:t xml:space="preserve">the </w:t>
      </w:r>
      <w:r w:rsidR="004B3400">
        <w:t>S</w:t>
      </w:r>
      <w:r w:rsidR="00132646">
        <w:t xml:space="preserve">econd </w:t>
      </w:r>
      <w:r>
        <w:t>World War. For the unions, the downturn showed that there was a trade-off between real</w:t>
      </w:r>
      <w:r w:rsidR="00A237F9">
        <w:t xml:space="preserve"> wage increases and employment.</w:t>
      </w:r>
    </w:p>
    <w:p w14:paraId="62BAC0C4" w14:textId="77777777" w:rsidR="009429E8" w:rsidRDefault="00067669" w:rsidP="00CE4D9B">
      <w:r w:rsidRPr="00132F70">
        <w:t>It was ag</w:t>
      </w:r>
      <w:r>
        <w:t xml:space="preserve">ainst this background that </w:t>
      </w:r>
      <w:r w:rsidR="00EF25F0">
        <w:t>an</w:t>
      </w:r>
      <w:r>
        <w:t xml:space="preserve"> agreement, known as the </w:t>
      </w:r>
      <w:r w:rsidR="002E5349">
        <w:t xml:space="preserve">Prices and Incomes </w:t>
      </w:r>
      <w:r>
        <w:t>Accord,</w:t>
      </w:r>
      <w:r w:rsidRPr="00132F70">
        <w:t xml:space="preserve"> </w:t>
      </w:r>
      <w:r>
        <w:t xml:space="preserve">was struck between the </w:t>
      </w:r>
      <w:r w:rsidR="001A1A0E">
        <w:t>g</w:t>
      </w:r>
      <w:r>
        <w:t>overnment and u</w:t>
      </w:r>
      <w:r w:rsidRPr="00132F70">
        <w:t>nions.</w:t>
      </w:r>
      <w:r>
        <w:rPr>
          <w:rStyle w:val="FootnoteReference"/>
        </w:rPr>
        <w:footnoteReference w:id="63"/>
      </w:r>
      <w:r>
        <w:t xml:space="preserve"> The country’s peak union body agreed to </w:t>
      </w:r>
      <w:r w:rsidR="00132646">
        <w:t>contain</w:t>
      </w:r>
      <w:r>
        <w:t xml:space="preserve"> their wage demands to </w:t>
      </w:r>
      <w:r w:rsidR="00BE758B">
        <w:t>help curb</w:t>
      </w:r>
      <w:r>
        <w:t xml:space="preserve"> inflation. In return, the </w:t>
      </w:r>
      <w:r w:rsidR="003F7879">
        <w:t>g</w:t>
      </w:r>
      <w:r>
        <w:t xml:space="preserve">overnment would compensate workers through a so-called “social wage” – which over time </w:t>
      </w:r>
      <w:r w:rsidR="00765CEC">
        <w:t xml:space="preserve">encompassed </w:t>
      </w:r>
      <w:r>
        <w:t>tax relief, health</w:t>
      </w:r>
      <w:r w:rsidR="00A42DAF">
        <w:t xml:space="preserve"> spending,</w:t>
      </w:r>
      <w:r>
        <w:t xml:space="preserve"> education spending</w:t>
      </w:r>
      <w:r w:rsidR="00EF25F0">
        <w:t xml:space="preserve"> and</w:t>
      </w:r>
      <w:r>
        <w:t xml:space="preserve"> the introduction of a compulsory retirement savings scheme</w:t>
      </w:r>
      <w:r w:rsidR="00EF25F0">
        <w:t>.</w:t>
      </w:r>
      <w:r>
        <w:t xml:space="preserve"> </w:t>
      </w:r>
      <w:r w:rsidR="00EF25F0">
        <w:t>T</w:t>
      </w:r>
      <w:r>
        <w:t xml:space="preserve">he </w:t>
      </w:r>
      <w:r w:rsidR="00EF25F0">
        <w:t xml:space="preserve">outcome also included the </w:t>
      </w:r>
      <w:r>
        <w:t xml:space="preserve">employment </w:t>
      </w:r>
      <w:r w:rsidR="002E5349">
        <w:t xml:space="preserve">and income </w:t>
      </w:r>
      <w:r>
        <w:t>benefits of a stronger economy.</w:t>
      </w:r>
      <w:r w:rsidR="00C82BFE">
        <w:t xml:space="preserve"> First agr</w:t>
      </w:r>
      <w:r w:rsidR="001A1A0E">
        <w:t>eed in 1983, the Accord would continue</w:t>
      </w:r>
      <w:r w:rsidR="00C82BFE">
        <w:t xml:space="preserve"> through seven iterations </w:t>
      </w:r>
      <w:r w:rsidR="00BC6A8E">
        <w:t>through to the mid</w:t>
      </w:r>
      <w:r w:rsidR="00E0202A">
        <w:t>-</w:t>
      </w:r>
      <w:r w:rsidR="00BC6A8E">
        <w:t>1990s</w:t>
      </w:r>
      <w:r w:rsidR="00A237F9">
        <w:t>.</w:t>
      </w:r>
    </w:p>
    <w:p w14:paraId="3181F84B" w14:textId="77777777" w:rsidR="009429E8" w:rsidRDefault="00067669" w:rsidP="00CE4D9B">
      <w:r w:rsidRPr="00132F70">
        <w:t>Viewed today, the Accord seems something of an anomaly.</w:t>
      </w:r>
      <w:r>
        <w:t xml:space="preserve"> Other Australian reforms of this period – notably deregulation of the financial sector and the floating of the dollar – largely involved the </w:t>
      </w:r>
      <w:r w:rsidR="00E0202A">
        <w:t>g</w:t>
      </w:r>
      <w:r w:rsidRPr="00CC1991">
        <w:t>overnment pulling back from its role as manager</w:t>
      </w:r>
      <w:r w:rsidR="00E0202A">
        <w:t xml:space="preserve"> of the private economy</w:t>
      </w:r>
      <w:r w:rsidRPr="00CC1991">
        <w:t xml:space="preserve">. By contrast, the Accord </w:t>
      </w:r>
      <w:r w:rsidR="00376120">
        <w:t>concentrated</w:t>
      </w:r>
      <w:r w:rsidRPr="00CC1991">
        <w:t xml:space="preserve"> macroeconomic </w:t>
      </w:r>
      <w:r w:rsidR="00376120">
        <w:t>levers</w:t>
      </w:r>
      <w:r w:rsidR="00376120" w:rsidRPr="00CC1991">
        <w:t xml:space="preserve"> </w:t>
      </w:r>
      <w:r>
        <w:t xml:space="preserve">in the hands of not just the </w:t>
      </w:r>
      <w:r w:rsidR="00E53860">
        <w:t>g</w:t>
      </w:r>
      <w:r>
        <w:t>overnment, but the union movement. Whereas economies like the UK moved to decentralise their industrial relations system during this period, Australia in the early 1980s moved in the opposite direction.</w:t>
      </w:r>
      <w:r>
        <w:rPr>
          <w:rStyle w:val="FootnoteReference"/>
        </w:rPr>
        <w:footnoteReference w:id="64"/>
      </w:r>
      <w:r>
        <w:t xml:space="preserve"> More than any other policy change of the time, the Accord demonstrates that the economic reforms Australia pursued in this first </w:t>
      </w:r>
      <w:r w:rsidR="009A0AD2">
        <w:t xml:space="preserve">wave </w:t>
      </w:r>
      <w:r>
        <w:t>were driven less by an ideological agenda and more by the need for pragmatic problem solving.</w:t>
      </w:r>
      <w:r>
        <w:rPr>
          <w:rStyle w:val="FootnoteReference"/>
        </w:rPr>
        <w:footnoteReference w:id="65"/>
      </w:r>
    </w:p>
    <w:p w14:paraId="621F2DF6" w14:textId="59FD7853" w:rsidR="00FB3E9D" w:rsidRDefault="00067669" w:rsidP="00CE4D9B">
      <w:r w:rsidRPr="00132F70">
        <w:t xml:space="preserve">The Accord largely delivered on its initial goal to curb wage pressures and support economic growth. </w:t>
      </w:r>
      <w:r>
        <w:t xml:space="preserve">Real wages fell </w:t>
      </w:r>
      <w:r w:rsidR="002E5349">
        <w:t xml:space="preserve">over the 12 years </w:t>
      </w:r>
      <w:r w:rsidR="000D0623">
        <w:t>successive</w:t>
      </w:r>
      <w:r w:rsidR="001A1A0E">
        <w:t xml:space="preserve"> Accords</w:t>
      </w:r>
      <w:r w:rsidR="00510F97">
        <w:t xml:space="preserve"> </w:t>
      </w:r>
      <w:r w:rsidR="001A1A0E">
        <w:t>were</w:t>
      </w:r>
      <w:r w:rsidR="00510F97">
        <w:t xml:space="preserve"> in effect</w:t>
      </w:r>
      <w:r>
        <w:t xml:space="preserve">, as did the labour share of income. </w:t>
      </w:r>
      <w:r w:rsidR="001A1A0E">
        <w:t>It was one reason the</w:t>
      </w:r>
      <w:r>
        <w:t xml:space="preserve"> number of days lost to industrial disputes declined dramatically compared with the tumultuous 1970s. But </w:t>
      </w:r>
      <w:r w:rsidR="00BC6A8E">
        <w:t>as</w:t>
      </w:r>
      <w:r>
        <w:t xml:space="preserve"> will be discussed in the next section, the industrial relations </w:t>
      </w:r>
      <w:r w:rsidR="00510F97">
        <w:t xml:space="preserve">system </w:t>
      </w:r>
      <w:r>
        <w:t>evolve</w:t>
      </w:r>
      <w:r w:rsidR="00BC6A8E">
        <w:t>d</w:t>
      </w:r>
      <w:r>
        <w:t xml:space="preserve"> substantially </w:t>
      </w:r>
      <w:r w:rsidR="00510F97">
        <w:t>from one Accord to the next</w:t>
      </w:r>
      <w:r>
        <w:t>, as reform priorities shifted.</w:t>
      </w:r>
    </w:p>
    <w:p w14:paraId="6133129A" w14:textId="77777777" w:rsidR="00067669" w:rsidRPr="009F71BC" w:rsidRDefault="00067669" w:rsidP="0098411F">
      <w:pPr>
        <w:pStyle w:val="Heading2-Numbered"/>
      </w:pPr>
      <w:bookmarkStart w:id="204" w:name="_Toc516147538"/>
      <w:bookmarkStart w:id="205" w:name="_Toc516664495"/>
      <w:bookmarkStart w:id="206" w:name="_Toc516753475"/>
      <w:bookmarkStart w:id="207" w:name="_Toc516833774"/>
      <w:bookmarkStart w:id="208" w:name="_Toc516836156"/>
      <w:bookmarkStart w:id="209" w:name="_Toc516838458"/>
      <w:bookmarkStart w:id="210" w:name="_Toc517097818"/>
      <w:bookmarkStart w:id="211" w:name="_Toc517098724"/>
      <w:bookmarkStart w:id="212" w:name="_Toc517099869"/>
      <w:bookmarkStart w:id="213" w:name="_Toc517184565"/>
      <w:bookmarkStart w:id="214" w:name="_Toc517192070"/>
      <w:bookmarkStart w:id="215" w:name="_Toc518903594"/>
      <w:bookmarkStart w:id="216" w:name="_Toc518922776"/>
      <w:bookmarkStart w:id="217" w:name="_Toc520472196"/>
      <w:bookmarkStart w:id="218" w:name="_Toc520472732"/>
      <w:bookmarkStart w:id="219" w:name="_Toc520812382"/>
      <w:bookmarkStart w:id="220" w:name="_Toc520819476"/>
      <w:bookmarkStart w:id="221" w:name="_Toc525736247"/>
      <w:bookmarkStart w:id="222" w:name="_Toc525743546"/>
      <w:bookmarkStart w:id="223" w:name="_Toc525912226"/>
      <w:bookmarkStart w:id="224" w:name="_Toc525915347"/>
      <w:bookmarkStart w:id="225" w:name="_Toc526355336"/>
      <w:bookmarkStart w:id="226" w:name="_Toc526413599"/>
      <w:bookmarkStart w:id="227" w:name="_Toc526935116"/>
      <w:r w:rsidRPr="00077112">
        <w:t xml:space="preserve">Second </w:t>
      </w:r>
      <w:r w:rsidR="009A0AD2">
        <w:t>wave</w:t>
      </w:r>
      <w:r w:rsidR="00AD688D">
        <w:t>: M</w:t>
      </w:r>
      <w:r w:rsidRPr="00077112">
        <w:t>icroeconomic reform and productivity</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7F5D8EC9" w14:textId="77777777" w:rsidR="00D65EAF" w:rsidRDefault="00067669" w:rsidP="00CE4D9B">
      <w:r w:rsidRPr="00132F70">
        <w:t xml:space="preserve">By floating its dollar in 1983, Australia had effectively invited global financial markets to deliver a real time evaluation of the merits of the Australian </w:t>
      </w:r>
      <w:r w:rsidRPr="00CC1991">
        <w:t xml:space="preserve">economy. And the early judgement was not flattering. The opening up of financial markets, combined with a deteriorating terms of trade, had exposed Australia’s poor productivity performance, which </w:t>
      </w:r>
      <w:r w:rsidR="00201EDA" w:rsidRPr="00CC1991">
        <w:t xml:space="preserve">over preceding decades </w:t>
      </w:r>
      <w:r w:rsidRPr="00CC1991">
        <w:t>had been masked by strong global demand for mining and agricultural commodities. These factors led to a sharp decline in the Australian dollar</w:t>
      </w:r>
      <w:r w:rsidR="00201EDA">
        <w:t>. A</w:t>
      </w:r>
      <w:r w:rsidR="00201EDA" w:rsidRPr="00CC1991">
        <w:t xml:space="preserve">fter </w:t>
      </w:r>
      <w:r w:rsidR="00201EDA">
        <w:t>initially appreciating then stabilising</w:t>
      </w:r>
      <w:r w:rsidR="00201EDA" w:rsidRPr="00CC1991">
        <w:t xml:space="preserve"> </w:t>
      </w:r>
      <w:r w:rsidR="00201EDA">
        <w:t>in the year after the float, through 1985 the dollar</w:t>
      </w:r>
      <w:r w:rsidRPr="00CC1991">
        <w:t xml:space="preserve"> f</w:t>
      </w:r>
      <w:r w:rsidR="00201EDA">
        <w:t>ell</w:t>
      </w:r>
      <w:r w:rsidRPr="00CC1991">
        <w:t xml:space="preserve"> almost 30 per cent in trade-weighted terms</w:t>
      </w:r>
      <w:r w:rsidR="00201EDA">
        <w:t xml:space="preserve">. </w:t>
      </w:r>
      <w:r w:rsidRPr="00CC1991">
        <w:t xml:space="preserve">Despite this, the economy was </w:t>
      </w:r>
      <w:r>
        <w:t>doing</w:t>
      </w:r>
      <w:r w:rsidRPr="00CC1991">
        <w:t xml:space="preserve"> well, leading to strong growth in imports and a</w:t>
      </w:r>
      <w:r>
        <w:t>n expanding</w:t>
      </w:r>
      <w:r w:rsidRPr="00CC1991">
        <w:t xml:space="preserve"> current account deficit. By 1986</w:t>
      </w:r>
      <w:r w:rsidR="00201EDA">
        <w:t>,</w:t>
      </w:r>
      <w:r w:rsidRPr="00CC1991">
        <w:t xml:space="preserve"> the current account deficit had blown out to </w:t>
      </w:r>
      <w:r>
        <w:t xml:space="preserve">almost </w:t>
      </w:r>
      <w:r w:rsidRPr="00CC1991">
        <w:t xml:space="preserve">6 per cent of GDP, well above the </w:t>
      </w:r>
      <w:r w:rsidRPr="00174541">
        <w:t>2</w:t>
      </w:r>
      <w:r w:rsidRPr="00CC1991">
        <w:t xml:space="preserve"> per cent it had averaged during the 19</w:t>
      </w:r>
      <w:r>
        <w:t>60s</w:t>
      </w:r>
      <w:r w:rsidR="003C4864">
        <w:t xml:space="preserve"> (Chart 18)</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8A5843" w14:paraId="620EFB32" w14:textId="77777777" w:rsidTr="008A5843">
        <w:tc>
          <w:tcPr>
            <w:tcW w:w="9514" w:type="dxa"/>
          </w:tcPr>
          <w:p w14:paraId="433BA3FD" w14:textId="77777777" w:rsidR="008A5843" w:rsidRDefault="008A5843" w:rsidP="008A5843">
            <w:pPr>
              <w:pStyle w:val="ChartMainHeading"/>
            </w:pPr>
            <w:r>
              <w:t xml:space="preserve">Chart 18 - </w:t>
            </w:r>
            <w:r w:rsidRPr="00B36B60">
              <w:t>Australia’s current account balance (per cent of GDP)</w:t>
            </w:r>
          </w:p>
        </w:tc>
      </w:tr>
      <w:tr w:rsidR="008A5843" w14:paraId="4D9DA8F8" w14:textId="77777777" w:rsidTr="008A5843">
        <w:tc>
          <w:tcPr>
            <w:tcW w:w="9514" w:type="dxa"/>
          </w:tcPr>
          <w:p w14:paraId="73C7A8A5" w14:textId="77777777" w:rsidR="008A5843" w:rsidRDefault="00E2142E" w:rsidP="008A5843">
            <w:pPr>
              <w:pStyle w:val="ChartGraphic"/>
            </w:pPr>
            <w:r>
              <w:fldChar w:fldCharType="begin" w:fldLock="1"/>
            </w:r>
            <w:r>
              <w:instrText xml:space="preserve"> LINK Excel.Sheet.12 "" "" \a \p  \* MERGEFORMAT </w:instrText>
            </w:r>
            <w:r>
              <w:fldChar w:fldCharType="separate"/>
            </w:r>
            <w:r>
              <w:rPr>
                <w:noProof/>
              </w:rPr>
              <w:drawing>
                <wp:inline distT="0" distB="0" distL="0" distR="0" wp14:anchorId="73E9C201" wp14:editId="69C49F70">
                  <wp:extent cx="5586093" cy="25205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31"/>
                          <pic:cNvPicPr>
                            <a:picLocks noChangeAspect="1" noChangeArrowheads="1"/>
                          </pic:cNvPicPr>
                        </pic:nvPicPr>
                        <pic:blipFill rotWithShape="1">
                          <a:blip r:embed="rId61">
                            <a:extLst>
                              <a:ext uri="{28A0092B-C50C-407E-A947-70E740481C1C}">
                                <a14:useLocalDpi xmlns:a14="http://schemas.microsoft.com/office/drawing/2010/main" val="0"/>
                              </a:ext>
                            </a:extLst>
                          </a:blip>
                          <a:srcRect l="889" t="1028" r="1066" b="1313"/>
                          <a:stretch/>
                        </pic:blipFill>
                        <pic:spPr bwMode="auto">
                          <a:xfrm>
                            <a:off x="0" y="0"/>
                            <a:ext cx="5610974" cy="253179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8A5843" w14:paraId="153A3189" w14:textId="77777777" w:rsidTr="008A5843">
        <w:tc>
          <w:tcPr>
            <w:tcW w:w="9514" w:type="dxa"/>
          </w:tcPr>
          <w:p w14:paraId="346802A5" w14:textId="77777777" w:rsidR="008A5843" w:rsidRDefault="008A5843" w:rsidP="008A5843">
            <w:pPr>
              <w:pStyle w:val="ChartorTableNote"/>
            </w:pPr>
            <w:r w:rsidRPr="00914977">
              <w:t xml:space="preserve">Source: ABS cat. no. 5302.0 and 5206.0, Foster (1996) and </w:t>
            </w:r>
            <w:proofErr w:type="spellStart"/>
            <w:r w:rsidRPr="00914977">
              <w:t>Vamplew</w:t>
            </w:r>
            <w:proofErr w:type="spellEnd"/>
            <w:r w:rsidRPr="00914977">
              <w:t xml:space="preserve"> (1987), RBA and Treasury</w:t>
            </w:r>
            <w:r w:rsidR="00E2142E">
              <w:t>.</w:t>
            </w:r>
          </w:p>
        </w:tc>
      </w:tr>
    </w:tbl>
    <w:p w14:paraId="748B1415" w14:textId="77777777" w:rsidR="008A5843" w:rsidRDefault="008A5843" w:rsidP="000446E2">
      <w:pPr>
        <w:pStyle w:val="SingleParagraph"/>
      </w:pPr>
    </w:p>
    <w:p w14:paraId="168E5621" w14:textId="77777777" w:rsidR="00D65EAF" w:rsidRDefault="00D65EAF" w:rsidP="00CE4D9B">
      <w:r w:rsidRPr="00132F70">
        <w:t>The combination of a depreciating dollar and a ballooning current account de</w:t>
      </w:r>
      <w:r>
        <w:t>ficit alarmed Australian policy</w:t>
      </w:r>
      <w:r w:rsidRPr="00132F70">
        <w:t>makers.</w:t>
      </w:r>
      <w:r>
        <w:rPr>
          <w:rStyle w:val="FootnoteReference"/>
        </w:rPr>
        <w:footnoteReference w:id="66"/>
      </w:r>
      <w:r>
        <w:t xml:space="preserve"> There were fears the two developments were feeding on each other. Because the country’s foreign liabilities were mostly denominated in foreign currencies, a depreciating Australian dollar increased debt-servicing costs – and, therefore, the current account deficit. Meanwhile, the expanding current account deficit was itself a reason for foreign investors to lose faith in the economy, causing the currency to depreciate. </w:t>
      </w:r>
      <w:r w:rsidR="00201EDA">
        <w:t>T</w:t>
      </w:r>
      <w:r>
        <w:t>he Australian economy appeared stuck in a dangerous spiral</w:t>
      </w:r>
      <w:r w:rsidR="007B0515">
        <w:t>.</w:t>
      </w:r>
    </w:p>
    <w:p w14:paraId="6D8AE410" w14:textId="77777777" w:rsidR="00447847" w:rsidRDefault="00447847">
      <w:pPr>
        <w:spacing w:after="200" w:line="276" w:lineRule="auto"/>
      </w:pPr>
      <w:r>
        <w:br w:type="page"/>
      </w:r>
    </w:p>
    <w:p w14:paraId="045C1CDF" w14:textId="77777777" w:rsidR="00067669" w:rsidRDefault="00067669" w:rsidP="00CE4D9B">
      <w:r w:rsidRPr="00132F70">
        <w:t>T</w:t>
      </w:r>
      <w:r>
        <w:t>he</w:t>
      </w:r>
      <w:r w:rsidRPr="00132F70">
        <w:t xml:space="preserve"> </w:t>
      </w:r>
      <w:r w:rsidR="00201EDA">
        <w:t xml:space="preserve">government’s </w:t>
      </w:r>
      <w:r w:rsidR="00105864">
        <w:t xml:space="preserve">proposed </w:t>
      </w:r>
      <w:r>
        <w:t>solution was widespread reform of labour and product markets</w:t>
      </w:r>
      <w:r w:rsidDel="00201EDA">
        <w:t xml:space="preserve"> to address Australia’s poor productivity performance</w:t>
      </w:r>
      <w:r>
        <w:t xml:space="preserve">. Although the need for </w:t>
      </w:r>
      <w:r w:rsidR="00201EDA">
        <w:t xml:space="preserve">such </w:t>
      </w:r>
      <w:r>
        <w:t xml:space="preserve">reform </w:t>
      </w:r>
      <w:r w:rsidR="00201EDA">
        <w:t xml:space="preserve">had been </w:t>
      </w:r>
      <w:r>
        <w:t xml:space="preserve">recognised </w:t>
      </w:r>
      <w:r w:rsidR="00201EDA">
        <w:t>for some time,</w:t>
      </w:r>
      <w:r>
        <w:t xml:space="preserve"> the developments in the currency and the current account increased the urgency to </w:t>
      </w:r>
      <w:r w:rsidR="00201EDA">
        <w:t>act</w:t>
      </w:r>
      <w:r>
        <w:t xml:space="preserve">. This was crystallised in May 1986 when Treasurer Paul Keating declared that unless it got its economic house in order, Australia risked becoming “a third rate economy … a banana republic.” Though controversial, Keating’s blunt warning helped raise public awareness of the need for Australia to pursue reforms aimed not at stabilising the </w:t>
      </w:r>
      <w:proofErr w:type="spellStart"/>
      <w:r>
        <w:t>macroeconomy</w:t>
      </w:r>
      <w:proofErr w:type="spellEnd"/>
      <w:r>
        <w:t xml:space="preserve">, but at improving the inner workings of the </w:t>
      </w:r>
      <w:proofErr w:type="spellStart"/>
      <w:r>
        <w:t>microeconomy</w:t>
      </w:r>
      <w:proofErr w:type="spellEnd"/>
      <w:r>
        <w:t>.</w:t>
      </w:r>
    </w:p>
    <w:p w14:paraId="5CCC4F6E" w14:textId="77777777" w:rsidR="00067669" w:rsidRDefault="00067669" w:rsidP="00CE4D9B">
      <w:r w:rsidRPr="00132F70">
        <w:t xml:space="preserve">In hindsight, concerns about the current account appear overblown. </w:t>
      </w:r>
      <w:r>
        <w:t xml:space="preserve">Economists today take a far more benign view of a current account deficit, recognising its level will be moderated by a floating currency. However misplaced, fears about the issue provided the impetus for Australia’s political leaders to pursue reforms which had long been discussed </w:t>
      </w:r>
      <w:r w:rsidR="00A237F9">
        <w:t>but had never been implemented.</w:t>
      </w:r>
    </w:p>
    <w:p w14:paraId="2510268C" w14:textId="77777777" w:rsidR="00067669" w:rsidRDefault="00067669" w:rsidP="00CE4D9B">
      <w:r>
        <w:t>As it did in most countries, m</w:t>
      </w:r>
      <w:r w:rsidRPr="00132F70">
        <w:t xml:space="preserve">icroeconomic reform </w:t>
      </w:r>
      <w:r>
        <w:t xml:space="preserve">in Australia </w:t>
      </w:r>
      <w:r w:rsidRPr="00132F70">
        <w:t>occurred across a wide range of fronts.</w:t>
      </w:r>
      <w:r>
        <w:rPr>
          <w:rStyle w:val="FootnoteReference"/>
        </w:rPr>
        <w:footnoteReference w:id="67"/>
      </w:r>
      <w:r>
        <w:t xml:space="preserve"> It meant tariff cuts combined with adjustment plans for industry, a shift away from centralised wage setting, the privatisation of government assets, and the deregulation of closely controlled sectors </w:t>
      </w:r>
      <w:r w:rsidR="001F3965">
        <w:t>like</w:t>
      </w:r>
      <w:r>
        <w:t xml:space="preserve"> agriculture </w:t>
      </w:r>
      <w:r w:rsidR="001F3965">
        <w:t>and</w:t>
      </w:r>
      <w:r>
        <w:t xml:space="preserve"> transport. The overall effect was to</w:t>
      </w:r>
      <w:r w:rsidR="00EF25F0">
        <w:t xml:space="preserve"> remove government from commercial/quasi-commercial operations and biased regulation</w:t>
      </w:r>
      <w:r>
        <w:t xml:space="preserve"> and increasingly allow resources to be allocated by competitive markets. Compared with the reactive reforms of the 1970s and 1980s, the microeconomic reform agenda was pursued in far more staged, premeditated fashion.</w:t>
      </w:r>
    </w:p>
    <w:p w14:paraId="77A39ECD" w14:textId="77777777" w:rsidR="00067669" w:rsidRPr="00880799" w:rsidRDefault="00067669" w:rsidP="00447E63">
      <w:pPr>
        <w:pStyle w:val="Heading3"/>
      </w:pPr>
      <w:bookmarkStart w:id="228" w:name="_Toc516753476"/>
      <w:bookmarkStart w:id="229" w:name="_Toc516833775"/>
      <w:bookmarkStart w:id="230" w:name="_Toc516836157"/>
      <w:bookmarkStart w:id="231" w:name="_Toc516838459"/>
      <w:bookmarkStart w:id="232" w:name="_Toc517097819"/>
      <w:bookmarkStart w:id="233" w:name="_Toc517098725"/>
      <w:bookmarkStart w:id="234" w:name="_Toc517099870"/>
      <w:bookmarkStart w:id="235" w:name="_Toc517184566"/>
      <w:bookmarkStart w:id="236" w:name="_Toc518903595"/>
      <w:bookmarkStart w:id="237" w:name="_Toc518922777"/>
      <w:bookmarkStart w:id="238" w:name="_Toc520472197"/>
      <w:bookmarkStart w:id="239" w:name="_Toc520472733"/>
      <w:bookmarkStart w:id="240" w:name="_Toc520812383"/>
      <w:bookmarkStart w:id="241" w:name="_Toc520819477"/>
      <w:bookmarkStart w:id="242" w:name="_Toc525736248"/>
      <w:bookmarkStart w:id="243" w:name="_Toc525743547"/>
      <w:bookmarkStart w:id="244" w:name="_Toc525912227"/>
      <w:bookmarkStart w:id="245" w:name="_Toc525915348"/>
      <w:bookmarkStart w:id="246" w:name="_Toc526355337"/>
      <w:bookmarkStart w:id="247" w:name="_Toc526413600"/>
      <w:bookmarkStart w:id="248" w:name="_Toc516147539"/>
      <w:bookmarkStart w:id="249" w:name="_Toc516664496"/>
      <w:bookmarkStart w:id="250" w:name="_Toc526935117"/>
      <w:r w:rsidRPr="00940FF7">
        <w:rPr>
          <w:rStyle w:val="SubtleEmphasis"/>
          <w:i w:val="0"/>
          <w:color w:val="002B54" w:themeColor="accent1"/>
        </w:rPr>
        <w:t>Phased tariff cuts</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5B10056C" w14:textId="77777777" w:rsidR="00067669" w:rsidRDefault="00067669" w:rsidP="00CE4D9B">
      <w:r>
        <w:t>Comprehensive reductions in tariffs in Australia were implemented in an orderly and phased manner over a lengthy period. For instance, a four</w:t>
      </w:r>
      <w:r>
        <w:noBreakHyphen/>
        <w:t xml:space="preserve">year program of phased tariff reductions commenced </w:t>
      </w:r>
      <w:r w:rsidR="00D06F15">
        <w:t>in</w:t>
      </w:r>
      <w:r>
        <w:t xml:space="preserve"> 1988. </w:t>
      </w:r>
      <w:r w:rsidR="00F915ED">
        <w:t>Apart from the PMV and TCF sectors, t</w:t>
      </w:r>
      <w:r>
        <w:t xml:space="preserve">ariffs that were above 15 per cent were phased down in annual steps to 15 per cent by 1992 and tariff rates of 15 per cent or less were reduced to 10 per cent over the same period. Further tariffs </w:t>
      </w:r>
      <w:r w:rsidR="00F915ED">
        <w:t xml:space="preserve">cuts </w:t>
      </w:r>
      <w:r>
        <w:t xml:space="preserve">and </w:t>
      </w:r>
      <w:r w:rsidR="002E7DE9">
        <w:t>reductions in</w:t>
      </w:r>
      <w:r>
        <w:t xml:space="preserve"> other barriers to trade were made in subsequent years, including in the midst of the early-1990s recession.</w:t>
      </w:r>
      <w:r>
        <w:rPr>
          <w:rStyle w:val="FootnoteReference"/>
        </w:rPr>
        <w:footnoteReference w:id="68"/>
      </w:r>
    </w:p>
    <w:p w14:paraId="10ACF01B" w14:textId="77777777" w:rsidR="00067669" w:rsidRDefault="00067669" w:rsidP="00CE4D9B">
      <w:r>
        <w:t>The across</w:t>
      </w:r>
      <w:r>
        <w:noBreakHyphen/>
        <w:t>the</w:t>
      </w:r>
      <w:r>
        <w:noBreakHyphen/>
        <w:t xml:space="preserve">board approach to reducing tariffs was important to the success of reducing protection and minimising transitional assistance. This was also helped by the introduction of some </w:t>
      </w:r>
      <w:r w:rsidR="001F3965">
        <w:t xml:space="preserve">tax rates that were </w:t>
      </w:r>
      <w:r w:rsidR="00F915ED">
        <w:t>internationally competitive for a capital</w:t>
      </w:r>
      <w:r w:rsidR="002E7DE9">
        <w:t>-</w:t>
      </w:r>
      <w:r w:rsidR="00F915ED">
        <w:t>importing country</w:t>
      </w:r>
      <w:r>
        <w:t xml:space="preserve">, such as accelerated depreciation and company tax. </w:t>
      </w:r>
      <w:r w:rsidR="0097342F">
        <w:t>Still</w:t>
      </w:r>
      <w:r>
        <w:t xml:space="preserve">, vocal vested interests </w:t>
      </w:r>
      <w:r w:rsidR="0097342F">
        <w:t>meant</w:t>
      </w:r>
      <w:r>
        <w:t xml:space="preserve"> some industries</w:t>
      </w:r>
      <w:r w:rsidR="0097342F">
        <w:t>, such as TCF and PMV, retained</w:t>
      </w:r>
      <w:r>
        <w:t xml:space="preserve"> high levels of assistance for substantially longer periods of time than other</w:t>
      </w:r>
      <w:r w:rsidR="0097342F">
        <w:t>s</w:t>
      </w:r>
      <w:r>
        <w:t>.</w:t>
      </w:r>
      <w:r>
        <w:rPr>
          <w:rStyle w:val="FootnoteReference"/>
        </w:rPr>
        <w:footnoteReference w:id="69"/>
      </w:r>
      <w:r>
        <w:t xml:space="preserve"> This was also true of some agriculture commodities, such as citrus, dried vine fruits and tobacco, where tariffs were an important form of assistance. Assistance to the car industry</w:t>
      </w:r>
      <w:r w:rsidR="0097342F">
        <w:t>, which</w:t>
      </w:r>
      <w:r>
        <w:t xml:space="preserve"> persisted until very recently</w:t>
      </w:r>
      <w:r w:rsidR="0097342F">
        <w:t>,</w:t>
      </w:r>
      <w:r>
        <w:t xml:space="preserve"> </w:t>
      </w:r>
      <w:r w:rsidR="0097342F">
        <w:t xml:space="preserve">has been cited as an unsuccessful use of such </w:t>
      </w:r>
      <w:r>
        <w:t xml:space="preserve">mechanisms. </w:t>
      </w:r>
      <w:r w:rsidR="0097342F">
        <w:t xml:space="preserve">In a 2014 report, the Productivity </w:t>
      </w:r>
      <w:proofErr w:type="spellStart"/>
      <w:r w:rsidR="0097342F">
        <w:t>Commmission</w:t>
      </w:r>
      <w:proofErr w:type="spellEnd"/>
      <w:r w:rsidR="0097342F">
        <w:t xml:space="preserve"> concluded that industry assistance had </w:t>
      </w:r>
      <w:r>
        <w:t xml:space="preserve">led to </w:t>
      </w:r>
      <w:r w:rsidR="0097342F">
        <w:t xml:space="preserve">long-running </w:t>
      </w:r>
      <w:r>
        <w:t>rent-seeking behaviour by Australian car manufacturers</w:t>
      </w:r>
      <w:r w:rsidR="0097342F">
        <w:t xml:space="preserve"> and that persistent </w:t>
      </w:r>
      <w:r>
        <w:t xml:space="preserve">protection </w:t>
      </w:r>
      <w:r w:rsidR="0097342F">
        <w:t>had</w:t>
      </w:r>
      <w:r>
        <w:t xml:space="preserve"> resulted in inefficient resource allocation and uncertainty for affected workers.</w:t>
      </w:r>
      <w:r w:rsidR="002E7DE9">
        <w:rPr>
          <w:rStyle w:val="FootnoteReference"/>
        </w:rPr>
        <w:footnoteReference w:id="70"/>
      </w:r>
    </w:p>
    <w:p w14:paraId="5583F68D" w14:textId="77777777" w:rsidR="0063311E" w:rsidRDefault="0063311E">
      <w:pPr>
        <w:spacing w:after="200" w:line="276" w:lineRule="auto"/>
      </w:pPr>
      <w:r>
        <w:br w:type="page"/>
      </w:r>
    </w:p>
    <w:p w14:paraId="429668A6" w14:textId="77777777" w:rsidR="00067669" w:rsidRDefault="00EA6171" w:rsidP="00CE4D9B">
      <w:r>
        <w:t>As in many countries</w:t>
      </w:r>
      <w:r w:rsidR="00067669">
        <w:t xml:space="preserve">, </w:t>
      </w:r>
      <w:r>
        <w:t xml:space="preserve">Australia’s </w:t>
      </w:r>
      <w:r w:rsidR="00067669">
        <w:t xml:space="preserve">tariff </w:t>
      </w:r>
      <w:r>
        <w:t xml:space="preserve">cuts </w:t>
      </w:r>
      <w:r w:rsidR="00067669">
        <w:t xml:space="preserve">required a substantial shift in the way the public and politicians thought about the economic effect </w:t>
      </w:r>
      <w:r>
        <w:t>of such measures</w:t>
      </w:r>
      <w:r w:rsidR="00067669">
        <w:t>. During most of the 20</w:t>
      </w:r>
      <w:r w:rsidR="00067669" w:rsidRPr="00801915">
        <w:rPr>
          <w:vertAlign w:val="superscript"/>
        </w:rPr>
        <w:t>th</w:t>
      </w:r>
      <w:r w:rsidR="00067669">
        <w:t xml:space="preserve"> century up until the late 1980s, Australia’s tariffs were high by international standards. Th</w:t>
      </w:r>
      <w:r>
        <w:t>is</w:t>
      </w:r>
      <w:r w:rsidR="00067669">
        <w:t xml:space="preserve"> strong protectionist stance was part of the ‘Australian settlement’, and for much of the early part of the century was seen as critical to strong employment and high wages.</w:t>
      </w:r>
      <w:r w:rsidR="00067669">
        <w:rPr>
          <w:rStyle w:val="FootnoteReference"/>
        </w:rPr>
        <w:footnoteReference w:id="71"/>
      </w:r>
      <w:r w:rsidR="00067669">
        <w:t xml:space="preserve"> </w:t>
      </w:r>
      <w:r>
        <w:t>But</w:t>
      </w:r>
      <w:r w:rsidR="00067669">
        <w:t xml:space="preserve"> in the 19</w:t>
      </w:r>
      <w:r w:rsidR="00067669" w:rsidRPr="005866EA">
        <w:t xml:space="preserve">50s and </w:t>
      </w:r>
      <w:r w:rsidR="00067669">
        <w:t>19</w:t>
      </w:r>
      <w:r w:rsidR="00067669" w:rsidRPr="005866EA">
        <w:t xml:space="preserve">60s </w:t>
      </w:r>
      <w:r w:rsidR="00067669">
        <w:t>there was a gr</w:t>
      </w:r>
      <w:r w:rsidR="00067669" w:rsidRPr="005866EA">
        <w:t>owing awareness that</w:t>
      </w:r>
      <w:r>
        <w:t>, by raising domestic prices,</w:t>
      </w:r>
      <w:r w:rsidRPr="005866EA">
        <w:t xml:space="preserve"> </w:t>
      </w:r>
      <w:r w:rsidR="00067669" w:rsidRPr="005866EA">
        <w:t xml:space="preserve">highly protectionist trade policies </w:t>
      </w:r>
      <w:r>
        <w:t xml:space="preserve">were one reason </w:t>
      </w:r>
      <w:r w:rsidR="00067669" w:rsidRPr="005866EA">
        <w:t>Australia’s standard of living</w:t>
      </w:r>
      <w:r w:rsidR="00F109F7">
        <w:t xml:space="preserve"> </w:t>
      </w:r>
      <w:r>
        <w:t xml:space="preserve">was </w:t>
      </w:r>
      <w:r w:rsidR="00F109F7">
        <w:t xml:space="preserve">rising </w:t>
      </w:r>
      <w:r>
        <w:t xml:space="preserve">slower than </w:t>
      </w:r>
      <w:r w:rsidR="00F109F7">
        <w:t>the OECD average</w:t>
      </w:r>
      <w:r w:rsidR="00067669">
        <w:t xml:space="preserve">. Strong opposing views </w:t>
      </w:r>
      <w:r w:rsidR="00A16D17">
        <w:t xml:space="preserve">emerged </w:t>
      </w:r>
      <w:r w:rsidR="00067669">
        <w:t xml:space="preserve">on how to address this decline. </w:t>
      </w:r>
      <w:r w:rsidR="00A16D17">
        <w:t>Through what became known as ‘</w:t>
      </w:r>
      <w:proofErr w:type="spellStart"/>
      <w:r w:rsidR="00A16D17">
        <w:t>McEwenism</w:t>
      </w:r>
      <w:proofErr w:type="spellEnd"/>
      <w:r w:rsidR="00A16D17">
        <w:t xml:space="preserve">’, then trade minister John McEwen championed </w:t>
      </w:r>
      <w:r w:rsidR="00067669">
        <w:t>continu</w:t>
      </w:r>
      <w:r w:rsidR="00A16D17">
        <w:t>ed</w:t>
      </w:r>
      <w:r w:rsidR="00067669">
        <w:t xml:space="preserve"> support for protectionist policies</w:t>
      </w:r>
      <w:r w:rsidR="00A16D17">
        <w:t xml:space="preserve">. </w:t>
      </w:r>
      <w:r w:rsidR="00067669">
        <w:t>At the same time the role of the Tariff Board was evolving, particular</w:t>
      </w:r>
      <w:r w:rsidR="002E7DE9">
        <w:t>ly</w:t>
      </w:r>
      <w:r w:rsidR="00067669">
        <w:t xml:space="preserve"> </w:t>
      </w:r>
      <w:r w:rsidR="00A16D17">
        <w:t xml:space="preserve">as it sought to </w:t>
      </w:r>
      <w:r w:rsidR="002E7DE9">
        <w:t>quantify the</w:t>
      </w:r>
      <w:r w:rsidR="00067669">
        <w:t xml:space="preserve"> benefits and costs of protectionism </w:t>
      </w:r>
      <w:r w:rsidR="002E7DE9">
        <w:t>by calculating an</w:t>
      </w:r>
      <w:r w:rsidR="00067669">
        <w:t xml:space="preserve"> </w:t>
      </w:r>
      <w:r w:rsidR="00067669" w:rsidRPr="001E2D85">
        <w:t>effective rate of assistance (ERA)</w:t>
      </w:r>
      <w:r w:rsidR="00A237F9">
        <w:t>.</w:t>
      </w:r>
    </w:p>
    <w:p w14:paraId="1F397196" w14:textId="77777777" w:rsidR="00067669" w:rsidRDefault="00067669" w:rsidP="00CE4D9B">
      <w:r>
        <w:t>Reduced tariff protection</w:t>
      </w:r>
      <w:r w:rsidRPr="00B71F98">
        <w:t xml:space="preserve"> </w:t>
      </w:r>
      <w:r>
        <w:t>and industry assistance has generally been seen as positive for living standards</w:t>
      </w:r>
      <w:r w:rsidRPr="00B71F98">
        <w:t xml:space="preserve">. </w:t>
      </w:r>
      <w:r>
        <w:t xml:space="preserve">This has come through </w:t>
      </w:r>
      <w:r w:rsidR="002E7DE9">
        <w:t xml:space="preserve">both </w:t>
      </w:r>
      <w:r>
        <w:t xml:space="preserve">reductions in import prices </w:t>
      </w:r>
      <w:r w:rsidR="002E7DE9">
        <w:t>and</w:t>
      </w:r>
      <w:r>
        <w:t xml:space="preserve"> through efficiency gains caused by the increase in competitive pressure on trade-exposed industries. As was the intent, this resulted in the t</w:t>
      </w:r>
      <w:r w:rsidRPr="00B71F98">
        <w:t>rade in</w:t>
      </w:r>
      <w:r>
        <w:t xml:space="preserve">tensity of the economy increasing noticeably, for </w:t>
      </w:r>
      <w:r w:rsidRPr="00851E87">
        <w:t xml:space="preserve">both exports </w:t>
      </w:r>
      <w:r>
        <w:t>and imports, with particular growth in trade with Asia</w:t>
      </w:r>
      <w:r w:rsidRPr="00B71F98">
        <w:t>.</w:t>
      </w:r>
    </w:p>
    <w:p w14:paraId="79C753B1" w14:textId="77777777" w:rsidR="00AB3690" w:rsidRDefault="00AB3690" w:rsidP="00CE4D9B">
      <w:r>
        <w:t>Public support for trade liberalisation has been arguably stronger in Australia than in many advanced economies, suggesting the benefits of tariff reform are perceived to have outweighed the costs. Manufacturing activity moved up the value chain, but still declined from around 15 per cent of GDP in the late 1980s to around 6 per cent today. Although part of the decline reflects a global trend of growth of services sectors</w:t>
      </w:r>
      <w:r w:rsidRPr="00FD1799">
        <w:t xml:space="preserve">, the </w:t>
      </w:r>
      <w:r>
        <w:t>fall</w:t>
      </w:r>
      <w:r w:rsidRPr="00FD1799">
        <w:t xml:space="preserve"> of the manufacturing share of output in Australia has been somewhat larger than in most other advanced economies. At least over the past decade, this may be due to the strength of the Australian dollar, which decreased the relative international competitiveness of Australian manufacturers.</w:t>
      </w:r>
      <w:r>
        <w:t xml:space="preserve"> While the adjustment has been difficult for certain industries and communities, tariff reform has nonetheless delivered benefits. At a broad level, living standards have risen and unemployment has fallen. At the industry level, low-skilled,</w:t>
      </w:r>
      <w:r w:rsidR="00DE366D">
        <w:br/>
      </w:r>
      <w:r>
        <w:t>labour-intensive manufacturing, which was typified in the textiles, clothing and footwear industry, has largely been replaced by high-value, specialised manufacturing. And for those communities particularly affected by the decline of trade-exposed industries, structural adjustment policies appear to have removed some of the anxiety associated with job losses.</w:t>
      </w:r>
    </w:p>
    <w:p w14:paraId="6EE2A316" w14:textId="77777777" w:rsidR="00067669" w:rsidRDefault="00067669" w:rsidP="00CE4D9B">
      <w:pPr>
        <w:rPr>
          <w:lang w:val="en"/>
        </w:rPr>
      </w:pPr>
      <w:r w:rsidRPr="004E27FB">
        <w:t>More recent</w:t>
      </w:r>
      <w:r>
        <w:t xml:space="preserve"> trade</w:t>
      </w:r>
      <w:r w:rsidRPr="004E27FB">
        <w:t xml:space="preserve"> liberalis</w:t>
      </w:r>
      <w:r>
        <w:t>ation in Australia has occurred through free trade agreements</w:t>
      </w:r>
      <w:r w:rsidR="00BE758B">
        <w:t xml:space="preserve"> (FTA)</w:t>
      </w:r>
      <w:r>
        <w:t>, consistent with practices in other countries</w:t>
      </w:r>
      <w:r w:rsidRPr="004E27FB">
        <w:t>.</w:t>
      </w:r>
      <w:r w:rsidR="00E66B30">
        <w:t xml:space="preserve"> </w:t>
      </w:r>
      <w:r w:rsidR="003C6228">
        <w:t xml:space="preserve">In particular, </w:t>
      </w:r>
      <w:r w:rsidR="008C3DC1">
        <w:t xml:space="preserve">since 2013 </w:t>
      </w:r>
      <w:r w:rsidR="003C6228">
        <w:t>FTAs were concluded with Malaysia, Korea</w:t>
      </w:r>
      <w:r w:rsidR="001E72B5">
        <w:t>,</w:t>
      </w:r>
      <w:r w:rsidR="003C6228">
        <w:t xml:space="preserve"> </w:t>
      </w:r>
      <w:r w:rsidR="00304D70">
        <w:t>Japan</w:t>
      </w:r>
      <w:r w:rsidR="008C3DC1">
        <w:t>,</w:t>
      </w:r>
      <w:r w:rsidR="003C6228">
        <w:t xml:space="preserve"> China</w:t>
      </w:r>
      <w:r w:rsidR="00D349A8">
        <w:t xml:space="preserve"> and more recently in relation to</w:t>
      </w:r>
      <w:r w:rsidR="008C3DC1">
        <w:t xml:space="preserve"> </w:t>
      </w:r>
      <w:r w:rsidR="00D349A8">
        <w:t>Trans-Pacific Partnership (</w:t>
      </w:r>
      <w:r w:rsidR="008C3DC1">
        <w:t>TPP-11</w:t>
      </w:r>
      <w:r w:rsidR="00D349A8">
        <w:t>) and</w:t>
      </w:r>
      <w:r w:rsidR="008C3DC1">
        <w:t xml:space="preserve"> </w:t>
      </w:r>
      <w:r w:rsidR="00D349A8">
        <w:t xml:space="preserve">an </w:t>
      </w:r>
      <w:r w:rsidR="008C3DC1">
        <w:t>Indonesia</w:t>
      </w:r>
      <w:r w:rsidR="00D349A8">
        <w:t>-Australia agreement</w:t>
      </w:r>
      <w:r w:rsidR="008C3DC1">
        <w:t xml:space="preserve">. These </w:t>
      </w:r>
      <w:r w:rsidR="00BE04D6">
        <w:t>build on earlier agreements struck with New Zealand, Singapore, the US, Thailand, Chile and members of the Association of Southeast Asian Nations (ASEAN)</w:t>
      </w:r>
      <w:r w:rsidR="003C6228">
        <w:t xml:space="preserve">. </w:t>
      </w:r>
      <w:r w:rsidR="00DC6EF7">
        <w:t xml:space="preserve">Despite </w:t>
      </w:r>
      <w:r w:rsidR="00C94A31">
        <w:t>questions</w:t>
      </w:r>
      <w:r w:rsidR="00DC6EF7">
        <w:t xml:space="preserve"> about their economic benefits</w:t>
      </w:r>
      <w:r w:rsidR="00410464">
        <w:t>,</w:t>
      </w:r>
      <w:r w:rsidR="00DC6EF7">
        <w:rPr>
          <w:rStyle w:val="FootnoteReference"/>
          <w:lang w:val="en"/>
        </w:rPr>
        <w:footnoteReference w:id="72"/>
      </w:r>
      <w:r w:rsidR="00E66B30" w:rsidRPr="00E66B30">
        <w:rPr>
          <w:lang w:val="en"/>
        </w:rPr>
        <w:t xml:space="preserve"> FTAs </w:t>
      </w:r>
      <w:r w:rsidR="001F3965">
        <w:rPr>
          <w:lang w:val="en"/>
        </w:rPr>
        <w:t xml:space="preserve">have </w:t>
      </w:r>
      <w:r w:rsidR="00DC6EF7">
        <w:rPr>
          <w:lang w:val="en"/>
        </w:rPr>
        <w:t>provide</w:t>
      </w:r>
      <w:r w:rsidR="001F3965">
        <w:rPr>
          <w:lang w:val="en"/>
        </w:rPr>
        <w:t>d</w:t>
      </w:r>
      <w:r w:rsidR="00DC6EF7">
        <w:rPr>
          <w:lang w:val="en"/>
        </w:rPr>
        <w:t xml:space="preserve"> a mechanism to </w:t>
      </w:r>
      <w:r w:rsidR="001F3965">
        <w:rPr>
          <w:lang w:val="en"/>
        </w:rPr>
        <w:t>pursue</w:t>
      </w:r>
      <w:r w:rsidR="00DC6EF7">
        <w:rPr>
          <w:lang w:val="en"/>
        </w:rPr>
        <w:t xml:space="preserve"> trade, investment and regulatory </w:t>
      </w:r>
      <w:r w:rsidR="001F3965">
        <w:rPr>
          <w:lang w:val="en"/>
        </w:rPr>
        <w:t>reform</w:t>
      </w:r>
      <w:r w:rsidR="00DC6EF7">
        <w:rPr>
          <w:lang w:val="en"/>
        </w:rPr>
        <w:t xml:space="preserve"> with other countries in an environment in wh</w:t>
      </w:r>
      <w:r w:rsidR="005F4BE9">
        <w:rPr>
          <w:lang w:val="en"/>
        </w:rPr>
        <w:t>ich multil</w:t>
      </w:r>
      <w:r w:rsidR="00DC6EF7">
        <w:rPr>
          <w:lang w:val="en"/>
        </w:rPr>
        <w:t xml:space="preserve">ateral action through the World Trade </w:t>
      </w:r>
      <w:proofErr w:type="spellStart"/>
      <w:r w:rsidR="00DC6EF7">
        <w:rPr>
          <w:lang w:val="en"/>
        </w:rPr>
        <w:t>Organisation</w:t>
      </w:r>
      <w:proofErr w:type="spellEnd"/>
      <w:r w:rsidR="00DC6EF7">
        <w:rPr>
          <w:lang w:val="en"/>
        </w:rPr>
        <w:t xml:space="preserve"> </w:t>
      </w:r>
      <w:r w:rsidR="008E736E">
        <w:rPr>
          <w:lang w:val="en"/>
        </w:rPr>
        <w:t>has made little progress since</w:t>
      </w:r>
      <w:r w:rsidR="00F723DE">
        <w:rPr>
          <w:lang w:val="en"/>
        </w:rPr>
        <w:t xml:space="preserve"> the mid</w:t>
      </w:r>
      <w:r w:rsidR="00BE758B">
        <w:rPr>
          <w:lang w:val="en"/>
        </w:rPr>
        <w:noBreakHyphen/>
      </w:r>
      <w:r w:rsidR="00F723DE">
        <w:rPr>
          <w:lang w:val="en"/>
        </w:rPr>
        <w:t>1990s</w:t>
      </w:r>
      <w:r w:rsidR="002C6020">
        <w:rPr>
          <w:lang w:val="en"/>
        </w:rPr>
        <w:t>.</w:t>
      </w:r>
      <w:r w:rsidR="005F4BE9">
        <w:rPr>
          <w:rStyle w:val="FootnoteReference"/>
          <w:lang w:val="en"/>
        </w:rPr>
        <w:footnoteReference w:id="73"/>
      </w:r>
    </w:p>
    <w:p w14:paraId="07977184" w14:textId="77777777" w:rsidR="00447847" w:rsidRDefault="00447847">
      <w:pPr>
        <w:spacing w:after="200" w:line="276" w:lineRule="auto"/>
        <w:rPr>
          <w:rFonts w:ascii="Arial" w:eastAsia="Times New Roman" w:hAnsi="Arial" w:cs="Times New Roman"/>
          <w:color w:val="002B54" w:themeColor="accent1"/>
          <w:sz w:val="30"/>
          <w:szCs w:val="20"/>
          <w:lang w:val="en-US" w:eastAsia="en-AU"/>
        </w:rPr>
      </w:pPr>
      <w:bookmarkStart w:id="251" w:name="_Toc525736249"/>
      <w:bookmarkStart w:id="252" w:name="_Toc525743548"/>
      <w:bookmarkStart w:id="253" w:name="_Toc525912228"/>
      <w:bookmarkStart w:id="254" w:name="_Toc525915349"/>
      <w:bookmarkStart w:id="255" w:name="_Toc526355338"/>
      <w:bookmarkStart w:id="256" w:name="_Toc526413601"/>
      <w:r>
        <w:br w:type="page"/>
      </w:r>
    </w:p>
    <w:p w14:paraId="57EA856E" w14:textId="77777777" w:rsidR="004350AC" w:rsidRPr="004E27FB" w:rsidRDefault="004350AC" w:rsidP="00447E63">
      <w:pPr>
        <w:pStyle w:val="Heading3"/>
      </w:pPr>
      <w:bookmarkStart w:id="257" w:name="_Toc526935118"/>
      <w:r>
        <w:t>Microeconomic reform in the markets for goods and services</w:t>
      </w:r>
      <w:bookmarkEnd w:id="251"/>
      <w:bookmarkEnd w:id="252"/>
      <w:bookmarkEnd w:id="253"/>
      <w:bookmarkEnd w:id="254"/>
      <w:bookmarkEnd w:id="255"/>
      <w:bookmarkEnd w:id="256"/>
      <w:bookmarkEnd w:id="257"/>
    </w:p>
    <w:p w14:paraId="5B0DBACE" w14:textId="77777777" w:rsidR="00067669" w:rsidRDefault="00067669" w:rsidP="00CE4D9B">
      <w:r w:rsidRPr="00FD1799">
        <w:t>The economic reforms of the early</w:t>
      </w:r>
      <w:r>
        <w:t>-</w:t>
      </w:r>
      <w:r w:rsidRPr="00FD1799">
        <w:t>to</w:t>
      </w:r>
      <w:r w:rsidR="00BE758B">
        <w:noBreakHyphen/>
      </w:r>
      <w:r w:rsidRPr="00FD1799">
        <w:t xml:space="preserve">mid-1980s had raised the efficiency of the trade-exposed and financial sectors by exposing them to foreign competition. But </w:t>
      </w:r>
      <w:r w:rsidR="00376120">
        <w:t>as border controls were removed, inefficiencies behind the border became more apparent. I</w:t>
      </w:r>
      <w:r w:rsidRPr="00FD1799">
        <w:t>t was recognised that much of the economy was relatively untouched</w:t>
      </w:r>
      <w:r>
        <w:t>, especially in non-traded sectors</w:t>
      </w:r>
      <w:r w:rsidRPr="00FD1799">
        <w:t>.</w:t>
      </w:r>
      <w:r w:rsidRPr="00132659">
        <w:rPr>
          <w:b/>
        </w:rPr>
        <w:t xml:space="preserve"> </w:t>
      </w:r>
      <w:r>
        <w:t>Sometimes</w:t>
      </w:r>
      <w:r w:rsidRPr="009E06ED">
        <w:t xml:space="preserve"> </w:t>
      </w:r>
      <w:r>
        <w:t>by design, and sometimes because of</w:t>
      </w:r>
      <w:r w:rsidRPr="009E06ED">
        <w:t xml:space="preserve"> natural mon</w:t>
      </w:r>
      <w:r>
        <w:t>o</w:t>
      </w:r>
      <w:r w:rsidRPr="009E06ED">
        <w:t xml:space="preserve">polies, there </w:t>
      </w:r>
      <w:r>
        <w:t>remained</w:t>
      </w:r>
      <w:r w:rsidRPr="009E06ED">
        <w:t xml:space="preserve"> </w:t>
      </w:r>
      <w:r>
        <w:t>many markets for goods and services in which</w:t>
      </w:r>
      <w:r w:rsidRPr="009E06ED">
        <w:t xml:space="preserve"> </w:t>
      </w:r>
      <w:r>
        <w:t>competition was restricted and price signals muted</w:t>
      </w:r>
      <w:r w:rsidRPr="009E06ED">
        <w:t>.</w:t>
      </w:r>
      <w:r>
        <w:rPr>
          <w:rStyle w:val="FootnoteReference"/>
        </w:rPr>
        <w:footnoteReference w:id="74"/>
      </w:r>
      <w:r>
        <w:t xml:space="preserve"> And because it was especially prevalent in essential services – in sectors like transport, electricity, water and telecommunications – this regulation undermined the efficiency of the broader economy.</w:t>
      </w:r>
    </w:p>
    <w:p w14:paraId="38C4559E" w14:textId="77777777" w:rsidR="00067669" w:rsidRDefault="00067669" w:rsidP="00CE4D9B">
      <w:r w:rsidRPr="00FB5E41">
        <w:t xml:space="preserve">To address these problems, Australia’s federal and </w:t>
      </w:r>
      <w:r>
        <w:t>S</w:t>
      </w:r>
      <w:r w:rsidRPr="00FB5E41">
        <w:t xml:space="preserve">tate governments </w:t>
      </w:r>
      <w:r w:rsidR="00F915ED">
        <w:t>commenced</w:t>
      </w:r>
      <w:r w:rsidR="00F915ED" w:rsidRPr="00FB5E41">
        <w:t xml:space="preserve"> </w:t>
      </w:r>
      <w:r w:rsidRPr="00FB5E41">
        <w:t>a series of pro</w:t>
      </w:r>
      <w:r w:rsidR="00BE758B">
        <w:noBreakHyphen/>
      </w:r>
      <w:r w:rsidRPr="00FB5E41">
        <w:t>competition reforms</w:t>
      </w:r>
      <w:r w:rsidRPr="00B8461D">
        <w:t xml:space="preserve"> </w:t>
      </w:r>
      <w:r>
        <w:t>from the late 19</w:t>
      </w:r>
      <w:r w:rsidRPr="00FB5E41">
        <w:t xml:space="preserve">80s. The broad intention was to </w:t>
      </w:r>
      <w:r w:rsidR="0063255C">
        <w:t xml:space="preserve">limit government involvement in the </w:t>
      </w:r>
      <w:r w:rsidR="001F3965">
        <w:t xml:space="preserve">market </w:t>
      </w:r>
      <w:r w:rsidR="0063255C">
        <w:t>economy</w:t>
      </w:r>
      <w:r w:rsidRPr="00FB5E41">
        <w:t xml:space="preserve"> </w:t>
      </w:r>
      <w:r>
        <w:t>and instead allow</w:t>
      </w:r>
      <w:r w:rsidRPr="00FB5E41">
        <w:t xml:space="preserve"> resources to </w:t>
      </w:r>
      <w:r>
        <w:t xml:space="preserve">be </w:t>
      </w:r>
      <w:r w:rsidRPr="00FB5E41">
        <w:t>allocated by prices.</w:t>
      </w:r>
      <w:r>
        <w:rPr>
          <w:b/>
        </w:rPr>
        <w:t xml:space="preserve"> </w:t>
      </w:r>
      <w:r>
        <w:t>The</w:t>
      </w:r>
      <w:r w:rsidRPr="00774CEB">
        <w:t xml:space="preserve"> reform</w:t>
      </w:r>
      <w:r>
        <w:t xml:space="preserve"> agenda</w:t>
      </w:r>
      <w:r w:rsidRPr="00774CEB">
        <w:t xml:space="preserve"> proceeded down a number of tracks.</w:t>
      </w:r>
      <w:r>
        <w:rPr>
          <w:b/>
        </w:rPr>
        <w:t xml:space="preserve"> </w:t>
      </w:r>
      <w:r w:rsidR="002C06F5">
        <w:t>Government business</w:t>
      </w:r>
      <w:r w:rsidRPr="00537EED">
        <w:t xml:space="preserve"> enterprises </w:t>
      </w:r>
      <w:r w:rsidR="002C06F5">
        <w:t>(GBE</w:t>
      </w:r>
      <w:r w:rsidR="00F30A35">
        <w:t>s</w:t>
      </w:r>
      <w:r w:rsidR="002C06F5">
        <w:t xml:space="preserve">) </w:t>
      </w:r>
      <w:r w:rsidRPr="00537EED">
        <w:t xml:space="preserve">were </w:t>
      </w:r>
      <w:proofErr w:type="spellStart"/>
      <w:r>
        <w:t>corporati</w:t>
      </w:r>
      <w:r w:rsidRPr="00537EED">
        <w:t>sed</w:t>
      </w:r>
      <w:proofErr w:type="spellEnd"/>
      <w:r w:rsidRPr="00537EED">
        <w:t xml:space="preserve">, exposed to competition </w:t>
      </w:r>
      <w:r>
        <w:t>or</w:t>
      </w:r>
      <w:r w:rsidRPr="00537EED">
        <w:t xml:space="preserve"> even privatised. </w:t>
      </w:r>
      <w:r>
        <w:t>Heavy</w:t>
      </w:r>
      <w:r w:rsidR="002E7DE9">
        <w:t>-</w:t>
      </w:r>
      <w:r>
        <w:t>handed regulations were dismantled in</w:t>
      </w:r>
      <w:r w:rsidRPr="00537EED">
        <w:t xml:space="preserve"> sec</w:t>
      </w:r>
      <w:r>
        <w:t>tors from agricul</w:t>
      </w:r>
      <w:r w:rsidRPr="00537EED">
        <w:t xml:space="preserve">ture </w:t>
      </w:r>
      <w:r>
        <w:t xml:space="preserve">to electricity to transport. But the </w:t>
      </w:r>
      <w:r w:rsidR="006E41E1">
        <w:t xml:space="preserve">culmination </w:t>
      </w:r>
      <w:r>
        <w:t>of the reform agenda was the</w:t>
      </w:r>
      <w:r w:rsidRPr="00537EED">
        <w:t xml:space="preserve"> so</w:t>
      </w:r>
      <w:r w:rsidR="00BE758B">
        <w:noBreakHyphen/>
      </w:r>
      <w:r>
        <w:t xml:space="preserve">called </w:t>
      </w:r>
      <w:proofErr w:type="spellStart"/>
      <w:r>
        <w:t>Hilmer</w:t>
      </w:r>
      <w:proofErr w:type="spellEnd"/>
      <w:r>
        <w:t xml:space="preserve"> </w:t>
      </w:r>
      <w:r w:rsidR="00B620F3">
        <w:t xml:space="preserve">report in 1993 and subsequent </w:t>
      </w:r>
      <w:r>
        <w:t>refo</w:t>
      </w:r>
      <w:r w:rsidRPr="00537EED">
        <w:t>rms</w:t>
      </w:r>
      <w:r>
        <w:t xml:space="preserve"> in the 1990s</w:t>
      </w:r>
      <w:r w:rsidRPr="00537EED">
        <w:t xml:space="preserve"> – a </w:t>
      </w:r>
      <w:r>
        <w:t>coordinated</w:t>
      </w:r>
      <w:r w:rsidRPr="00537EED">
        <w:t xml:space="preserve"> </w:t>
      </w:r>
      <w:r>
        <w:t>program of pro</w:t>
      </w:r>
      <w:r w:rsidR="00BE758B">
        <w:noBreakHyphen/>
      </w:r>
      <w:r>
        <w:t xml:space="preserve">competition reforms undertaken by federal and </w:t>
      </w:r>
      <w:r w:rsidR="002C06F5">
        <w:t>s</w:t>
      </w:r>
      <w:r w:rsidRPr="00537EED">
        <w:t>tate governments</w:t>
      </w:r>
      <w:r>
        <w:t>.</w:t>
      </w:r>
    </w:p>
    <w:p w14:paraId="5F154DA3" w14:textId="77777777" w:rsidR="00067669" w:rsidRDefault="00067669" w:rsidP="00CE4D9B">
      <w:r>
        <w:t>Despite some planning,</w:t>
      </w:r>
      <w:r w:rsidRPr="00FB5E41">
        <w:t xml:space="preserve"> pro-competition reform in Australia was slow and disjointed, especially in the early years.</w:t>
      </w:r>
      <w:r>
        <w:rPr>
          <w:b/>
        </w:rPr>
        <w:t xml:space="preserve"> </w:t>
      </w:r>
      <w:r w:rsidRPr="002D253F">
        <w:t xml:space="preserve">Progress was </w:t>
      </w:r>
      <w:r>
        <w:t>hampered</w:t>
      </w:r>
      <w:r w:rsidRPr="002D253F">
        <w:t xml:space="preserve"> by a range of factors, both political and administrative.</w:t>
      </w:r>
      <w:r>
        <w:t xml:space="preserve"> Whereas its counterparts in the UK and New Zealand</w:t>
      </w:r>
      <w:r>
        <w:rPr>
          <w:rStyle w:val="FootnoteReference"/>
        </w:rPr>
        <w:footnoteReference w:id="75"/>
      </w:r>
      <w:r>
        <w:t xml:space="preserve"> pursued deregulation with urgency, in Australia the government sought to build support for change across business, the union movement and the broader community. And because many critical sectors were managed by </w:t>
      </w:r>
      <w:r w:rsidR="002C06F5">
        <w:t>s</w:t>
      </w:r>
      <w:r>
        <w:t>tate governments rather than the federal government, coordination was a persistent problem. The upshot was microeconomic reform in Australia’s goods and services market occurred slower than in many other countries – and slower than many observers would have liked.</w:t>
      </w:r>
      <w:r>
        <w:rPr>
          <w:rStyle w:val="FootnoteReference"/>
        </w:rPr>
        <w:footnoteReference w:id="76"/>
      </w:r>
    </w:p>
    <w:p w14:paraId="4F504BBE" w14:textId="77777777" w:rsidR="00B00C92" w:rsidRDefault="00B620F3" w:rsidP="00CE4D9B">
      <w:r>
        <w:t>Corporatisation and then p</w:t>
      </w:r>
      <w:r w:rsidR="00067669">
        <w:t xml:space="preserve">rivatisation of </w:t>
      </w:r>
      <w:r w:rsidR="002C06F5">
        <w:t>GBEs</w:t>
      </w:r>
      <w:r w:rsidR="00067669">
        <w:t xml:space="preserve"> was a central part of the microeconomic reform agenda, though progress was often slow. For instance, though it was endorsed by the opposition from the mid-1980s and by the </w:t>
      </w:r>
      <w:r w:rsidR="002C06F5">
        <w:t>g</w:t>
      </w:r>
      <w:r w:rsidR="00067669">
        <w:t xml:space="preserve">overnment from 1987, the privatisation of the national airline, Qantas, did not begin until 1993. In the face of stiff resistance from the union movement and from within the </w:t>
      </w:r>
      <w:r w:rsidR="002C06F5">
        <w:t>g</w:t>
      </w:r>
      <w:r w:rsidR="00067669">
        <w:t xml:space="preserve">overnment’s own ranks, airline reform </w:t>
      </w:r>
      <w:r w:rsidR="002C06F5">
        <w:t xml:space="preserve">instead </w:t>
      </w:r>
      <w:r w:rsidR="00067669">
        <w:t>started with deregulation and corporatisation. Similarly, the privatisation of the Commonwealth Bank did not occur until 1991, half a decade after the sector was opened to foreign competition. And privatisation of the national telecommunications company, today known as Telstra, only commenced in 1997 and was completed in 2006. Whereas privatisation in the UK and New Zealand was typically pursued on more ideological grounds – based on the argument that governments should not own businesses in such sectors – in Australia it was presented in more pragmatic terms, as a means to improve efficiency, attract capital investment and enable everyday Australians to own a share of the some of the country’s biggest businesses.</w:t>
      </w:r>
    </w:p>
    <w:p w14:paraId="56769695" w14:textId="77777777" w:rsidR="00447847" w:rsidRDefault="00447847">
      <w:pPr>
        <w:spacing w:after="200" w:line="276" w:lineRule="auto"/>
      </w:pPr>
      <w:r>
        <w:br w:type="page"/>
      </w:r>
    </w:p>
    <w:p w14:paraId="1E7BB4D0" w14:textId="77777777" w:rsidR="00B00C92" w:rsidRDefault="00067669" w:rsidP="00BC3AEE">
      <w:pPr>
        <w:spacing w:after="180" w:line="260" w:lineRule="exact"/>
      </w:pPr>
      <w:r>
        <w:t>Coordination between different levels of government proved to be a major challenge</w:t>
      </w:r>
      <w:r w:rsidR="0063255C">
        <w:t xml:space="preserve">, and was eventually resolved through an </w:t>
      </w:r>
      <w:r w:rsidR="0070257D">
        <w:t>government</w:t>
      </w:r>
      <w:r w:rsidR="0070257D">
        <w:noBreakHyphen/>
        <w:t xml:space="preserve">commissioned </w:t>
      </w:r>
      <w:r w:rsidR="0063255C">
        <w:t xml:space="preserve">independent inquiry into national competition policy led by academic and consultant Fred </w:t>
      </w:r>
      <w:proofErr w:type="spellStart"/>
      <w:r w:rsidR="0063255C">
        <w:t>Hilmer</w:t>
      </w:r>
      <w:proofErr w:type="spellEnd"/>
      <w:r w:rsidRPr="00FB5E41">
        <w:t xml:space="preserve">. </w:t>
      </w:r>
      <w:r>
        <w:t xml:space="preserve">Whereas a major reform like cutting tariffs or floating the dollar could </w:t>
      </w:r>
      <w:r w:rsidR="002C06F5">
        <w:t xml:space="preserve">largely </w:t>
      </w:r>
      <w:r>
        <w:t>be designed and implemented by the federal government, a nation-wide effort to raise competitiveness in the non-traded sector and beyond would require</w:t>
      </w:r>
      <w:r w:rsidR="00DE366D">
        <w:br/>
      </w:r>
      <w:r>
        <w:t xml:space="preserve">buy-in from nine governments: the Commonwealth, six </w:t>
      </w:r>
      <w:r w:rsidR="002C06F5">
        <w:t>s</w:t>
      </w:r>
      <w:r>
        <w:t xml:space="preserve">tates and two </w:t>
      </w:r>
      <w:r w:rsidR="002C06F5">
        <w:t>t</w:t>
      </w:r>
      <w:r>
        <w:t xml:space="preserve">erritories. And to be truly effective, it would require the </w:t>
      </w:r>
      <w:r w:rsidR="002C06F5">
        <w:t>s</w:t>
      </w:r>
      <w:r>
        <w:t xml:space="preserve">tates and </w:t>
      </w:r>
      <w:r w:rsidR="002C06F5">
        <w:t>t</w:t>
      </w:r>
      <w:r>
        <w:t xml:space="preserve">erritories to acknowledge that the Australian economy was a single market. The corollary was that if pro-competition reforms were to be introduced on a national scale, </w:t>
      </w:r>
      <w:r w:rsidR="002C06F5">
        <w:t>s</w:t>
      </w:r>
      <w:r>
        <w:t xml:space="preserve">tates and </w:t>
      </w:r>
      <w:r w:rsidR="002C06F5">
        <w:t>t</w:t>
      </w:r>
      <w:r>
        <w:t>erritories would need to relinquish at least some sovereignty.</w:t>
      </w:r>
    </w:p>
    <w:p w14:paraId="0AD44B82" w14:textId="77777777" w:rsidR="00067669" w:rsidRDefault="00067669" w:rsidP="00BC3AEE">
      <w:pPr>
        <w:spacing w:after="180" w:line="260" w:lineRule="exact"/>
      </w:pPr>
      <w:proofErr w:type="spellStart"/>
      <w:r>
        <w:t>Hilmer’s</w:t>
      </w:r>
      <w:proofErr w:type="spellEnd"/>
      <w:r>
        <w:t xml:space="preserve"> report (</w:t>
      </w:r>
      <w:r w:rsidR="00BE758B">
        <w:t>see Box C</w:t>
      </w:r>
      <w:r>
        <w:t>), released in 1993, proposed a wide-ranging program of microeconomic reforms that covered everything from regulat</w:t>
      </w:r>
      <w:r w:rsidR="002C06F5">
        <w:t>ing</w:t>
      </w:r>
      <w:r>
        <w:t xml:space="preserve"> agriculture and the professions, to guaranteeing access to critical privately owned infrastructure like rail and ports, to subjecting natural monopolies to competition, </w:t>
      </w:r>
      <w:r w:rsidR="002C06F5">
        <w:t xml:space="preserve">to </w:t>
      </w:r>
      <w:r>
        <w:t xml:space="preserve">ensuring that remaining </w:t>
      </w:r>
      <w:r w:rsidR="008C2C12">
        <w:t>GBEs</w:t>
      </w:r>
      <w:r>
        <w:t xml:space="preserve"> were on a level playing field with private competitors. These reforms would be steadily implemented by the State and federal governments over the following decade and beyond, with profound consequences for the Australian economy.</w:t>
      </w:r>
    </w:p>
    <w:tbl>
      <w:tblPr>
        <w:tblStyle w:val="TableGrid"/>
        <w:tblW w:w="0" w:type="auto"/>
        <w:shd w:val="clear" w:color="auto" w:fill="EAEDF1" w:themeFill="accent4" w:themeFillTint="33"/>
        <w:tblLook w:val="04A0" w:firstRow="1" w:lastRow="0" w:firstColumn="1" w:lastColumn="0" w:noHBand="0" w:noVBand="1"/>
      </w:tblPr>
      <w:tblGrid>
        <w:gridCol w:w="9242"/>
      </w:tblGrid>
      <w:tr w:rsidR="00B77BC7" w14:paraId="3FA6EF91" w14:textId="77777777" w:rsidTr="005E1970">
        <w:tc>
          <w:tcPr>
            <w:tcW w:w="9242" w:type="dxa"/>
            <w:shd w:val="clear" w:color="auto" w:fill="EAEDF1" w:themeFill="accent4" w:themeFillTint="33"/>
          </w:tcPr>
          <w:p w14:paraId="0D6179B2" w14:textId="77777777" w:rsidR="00B77BC7" w:rsidRDefault="00B77BC7" w:rsidP="00BC3AEE">
            <w:pPr>
              <w:pStyle w:val="BoxHeading"/>
              <w:spacing w:before="100" w:after="80"/>
            </w:pPr>
            <w:r w:rsidRPr="00D62460">
              <w:t xml:space="preserve">Box </w:t>
            </w:r>
            <w:r>
              <w:t>C: The Hilmer pro-competition reforms</w:t>
            </w:r>
          </w:p>
          <w:p w14:paraId="6F864F5E" w14:textId="77777777" w:rsidR="00B77BC7" w:rsidRPr="00822077" w:rsidRDefault="00B77BC7" w:rsidP="00BC3AEE">
            <w:pPr>
              <w:pStyle w:val="BoxText"/>
              <w:spacing w:after="80" w:line="254" w:lineRule="exact"/>
            </w:pPr>
            <w:r>
              <w:t xml:space="preserve">The </w:t>
            </w:r>
            <w:proofErr w:type="spellStart"/>
            <w:r>
              <w:t>Hilmer</w:t>
            </w:r>
            <w:proofErr w:type="spellEnd"/>
            <w:r>
              <w:t xml:space="preserve"> R</w:t>
            </w:r>
            <w:r w:rsidRPr="00775D57">
              <w:t>eview</w:t>
            </w:r>
            <w:r w:rsidR="00410464">
              <w:t>,</w:t>
            </w:r>
            <w:r>
              <w:rPr>
                <w:rStyle w:val="FootnoteReference"/>
              </w:rPr>
              <w:footnoteReference w:id="77"/>
            </w:r>
            <w:r w:rsidRPr="00775D57">
              <w:t xml:space="preserve"> as it became widely known, proposed a wide range of reforms to promote competition in the Australian economy.</w:t>
            </w:r>
            <w:r w:rsidRPr="003F3D19">
              <w:t xml:space="preserve"> </w:t>
            </w:r>
            <w:r>
              <w:t>Part of this meant revising the main law prohibiting anti</w:t>
            </w:r>
            <w:r>
              <w:noBreakHyphen/>
              <w:t>competitive conduct – the Trade Practices Act (1974) – to plug gaps that restricted its application to large swathes of the economy. Another part meant using a ‘public interest test’ to stop governments restricting competition in particular sectors, such as agricultural marketing schemes, public utilities and professional licensing. Finally, the Review identified four specific areas which required more tailored remedies: breaking up public monopolies to allow competition in sectors like transport, utilities and telecommunications; requiring owners of critical infrastructure like rail tracks or telecommunications networks to provide access to other users; monitoring prices set by natural monopolies; and ensuring that governments did not have an unfair advantage where they compete with the private sector.</w:t>
            </w:r>
          </w:p>
          <w:p w14:paraId="0E9FC1B6" w14:textId="77777777" w:rsidR="00B77BC7" w:rsidRDefault="00B77BC7" w:rsidP="00BC3AEE">
            <w:pPr>
              <w:pStyle w:val="BoxText"/>
              <w:spacing w:after="80" w:line="254" w:lineRule="exact"/>
            </w:pPr>
            <w:r>
              <w:t xml:space="preserve">The </w:t>
            </w:r>
            <w:proofErr w:type="spellStart"/>
            <w:r>
              <w:t>Hilmer</w:t>
            </w:r>
            <w:proofErr w:type="spellEnd"/>
            <w:r>
              <w:t xml:space="preserve"> R</w:t>
            </w:r>
            <w:r w:rsidRPr="00775D57">
              <w:t>eview recognised that for a host of reasons governments deliberately made laws or regulations designed to limit competition.</w:t>
            </w:r>
            <w:r>
              <w:t xml:space="preserve"> For instance, output quotas and price controls were used in agricultural industries like dairy and sugar to give farmers price stability and market power. In the transport sector, limits on the number of taxi licenses reduced competition and therefore raised fares, but had long been justified on public safety grounds. And a range of occupations, from lawyers to real estate agents, had long used licensing to restrict competitors on the grounds of maintaining professional standards. To manage the over-use of such restrictions, the </w:t>
            </w:r>
            <w:proofErr w:type="spellStart"/>
            <w:r>
              <w:t>Hilmer</w:t>
            </w:r>
            <w:proofErr w:type="spellEnd"/>
            <w:r>
              <w:t xml:space="preserve"> Review said that if anyone wanted a rule that restricted competition, it was up to them to show that it was in the public interest to do so. Importantly, this put the onus on proponents of anti-competitive regulation to demonstrate that the benefits would outweigh the costs. And to prevent anti-competitive rules hanging on in perpetuity, the Review said restrictions on competition should lapse after five years unless</w:t>
            </w:r>
            <w:r w:rsidR="000446E2">
              <w:t xml:space="preserve"> </w:t>
            </w:r>
            <w:r w:rsidR="00A237F9">
              <w:t>re-enacted.</w:t>
            </w:r>
          </w:p>
          <w:p w14:paraId="21D720A3" w14:textId="77777777" w:rsidR="0073028D" w:rsidRDefault="00B77BC7" w:rsidP="00BC3AEE">
            <w:pPr>
              <w:pStyle w:val="BoxText"/>
              <w:spacing w:after="80" w:line="254" w:lineRule="exact"/>
            </w:pPr>
            <w:r w:rsidRPr="00775D57">
              <w:t xml:space="preserve">In sectors like electricity, gas and water, the traditional domination of vertically integrated </w:t>
            </w:r>
            <w:r>
              <w:t>GBE</w:t>
            </w:r>
            <w:r w:rsidRPr="00775D57">
              <w:t xml:space="preserve"> monopolies posed a particular impediment to competition.</w:t>
            </w:r>
            <w:r w:rsidRPr="004E27FB">
              <w:t xml:space="preserve"> </w:t>
            </w:r>
            <w:r>
              <w:t xml:space="preserve">Consistent with changes already underway, </w:t>
            </w:r>
            <w:proofErr w:type="spellStart"/>
            <w:r>
              <w:t>Hilmer’s</w:t>
            </w:r>
            <w:proofErr w:type="spellEnd"/>
            <w:r>
              <w:t xml:space="preserve"> general remedy was to break them up and, where feasible, </w:t>
            </w:r>
            <w:proofErr w:type="spellStart"/>
            <w:r>
              <w:t>corporatise</w:t>
            </w:r>
            <w:proofErr w:type="spellEnd"/>
            <w:r>
              <w:t xml:space="preserve"> or even privatise the fragments. In the electricity sector, for instance, this typically meant separating generation, transmission, distribution and retail. And in markets where they performed the role of regulator, governments had to ensure this functio</w:t>
            </w:r>
            <w:r w:rsidR="000446E2">
              <w:t>n was separated from any GBEs.</w:t>
            </w:r>
          </w:p>
          <w:p w14:paraId="550BC58F" w14:textId="77777777" w:rsidR="00BC3AEE" w:rsidRDefault="00BC3AEE" w:rsidP="00BC3AEE">
            <w:pPr>
              <w:pStyle w:val="BoxText"/>
              <w:spacing w:after="80" w:line="254" w:lineRule="exact"/>
            </w:pPr>
            <w:r w:rsidRPr="00447847">
              <w:t xml:space="preserve">But some sectors remained resistant to competition. Natural monopolies may arise where high barriers to entry block potential competitors. Or governments may be unwilling to undertake the structural reforms described above to break up existing monopolies. In these situations, the </w:t>
            </w:r>
            <w:proofErr w:type="spellStart"/>
            <w:r w:rsidRPr="00447847">
              <w:t>Hilmer</w:t>
            </w:r>
            <w:proofErr w:type="spellEnd"/>
            <w:r w:rsidRPr="00447847">
              <w:t xml:space="preserve"> Review called for independent oversight to ensure monopolies did not abuse their market power by setting prices too high. Rather than creating competition, the intention was to limit the cost of a lack of competition.</w:t>
            </w:r>
          </w:p>
        </w:tc>
      </w:tr>
    </w:tbl>
    <w:p w14:paraId="024167BE" w14:textId="77777777" w:rsidR="00B77BC7" w:rsidRPr="00BC3AEE" w:rsidRDefault="00B77BC7" w:rsidP="00BC3AEE">
      <w:pPr>
        <w:spacing w:after="0" w:line="240" w:lineRule="auto"/>
        <w:rPr>
          <w:sz w:val="4"/>
        </w:rPr>
      </w:pPr>
      <w:r w:rsidRPr="00BC3AEE">
        <w:rPr>
          <w:sz w:val="4"/>
        </w:rPr>
        <w:br w:type="page"/>
      </w:r>
    </w:p>
    <w:tbl>
      <w:tblPr>
        <w:tblStyle w:val="TableGrid"/>
        <w:tblW w:w="0" w:type="auto"/>
        <w:shd w:val="clear" w:color="auto" w:fill="EAEDF1" w:themeFill="accent4" w:themeFillTint="33"/>
        <w:tblLook w:val="04A0" w:firstRow="1" w:lastRow="0" w:firstColumn="1" w:lastColumn="0" w:noHBand="0" w:noVBand="1"/>
      </w:tblPr>
      <w:tblGrid>
        <w:gridCol w:w="9286"/>
      </w:tblGrid>
      <w:tr w:rsidR="00B77BC7" w:rsidRPr="00B77BC7" w14:paraId="7234EBDD" w14:textId="77777777" w:rsidTr="005E1970">
        <w:tc>
          <w:tcPr>
            <w:tcW w:w="9286" w:type="dxa"/>
            <w:shd w:val="clear" w:color="auto" w:fill="EAEDF1" w:themeFill="accent4" w:themeFillTint="33"/>
          </w:tcPr>
          <w:p w14:paraId="2235A43D" w14:textId="77777777" w:rsidR="00B77BC7" w:rsidRPr="00BC3AEE" w:rsidRDefault="00B77BC7" w:rsidP="00BC3AEE">
            <w:pPr>
              <w:pStyle w:val="BoxHeading"/>
            </w:pPr>
            <w:r w:rsidRPr="00BC3AEE">
              <w:t>Box C: The Hilmer pro-competition reforms (continued)</w:t>
            </w:r>
          </w:p>
          <w:p w14:paraId="7EEA852F" w14:textId="77777777" w:rsidR="000446E2" w:rsidRDefault="000446E2" w:rsidP="00BC3AEE">
            <w:pPr>
              <w:pStyle w:val="BoxText"/>
              <w:spacing w:after="90"/>
            </w:pPr>
            <w:r w:rsidRPr="00775D57">
              <w:t>Natural monopolies also pose problems in terms of access.</w:t>
            </w:r>
            <w:r w:rsidRPr="008F466F">
              <w:rPr>
                <w:b/>
              </w:rPr>
              <w:t xml:space="preserve"> </w:t>
            </w:r>
            <w:r>
              <w:t xml:space="preserve">For instance, even if it is not possible to subject a telephone line network to competition – because it would be uneconomic to build another – it is important to ensure the network’s </w:t>
            </w:r>
            <w:r w:rsidRPr="003F3A94">
              <w:rPr>
                <w:i/>
              </w:rPr>
              <w:t>users</w:t>
            </w:r>
            <w:r>
              <w:t xml:space="preserve"> still operate in a competitive environment. The risk was especially acute if the owner of the critical infrastructure was itself a user, thereby creating an incentive to deny access to potential competitors. The </w:t>
            </w:r>
            <w:proofErr w:type="spellStart"/>
            <w:r>
              <w:t>Hilmer</w:t>
            </w:r>
            <w:proofErr w:type="spellEnd"/>
            <w:r>
              <w:t xml:space="preserve"> Review therefore proposed a third-party access regime. Where critical infrastructure exists as a natural monopoly, private sector firms should have a legal right to access that infrastructure on “fair and reasonable” terms.</w:t>
            </w:r>
          </w:p>
          <w:p w14:paraId="060468CB" w14:textId="77777777" w:rsidR="00B77BC7" w:rsidRPr="00B77BC7" w:rsidRDefault="00B77BC7" w:rsidP="00BC3AEE">
            <w:pPr>
              <w:pStyle w:val="BoxText"/>
              <w:spacing w:after="90"/>
            </w:pPr>
            <w:r w:rsidRPr="00B77BC7">
              <w:t xml:space="preserve">Finally, the Review recognised that in markets where the government operates as businesses, it may enjoy unfair advantages over private sector competitors. The </w:t>
            </w:r>
            <w:proofErr w:type="spellStart"/>
            <w:r w:rsidRPr="00B77BC7">
              <w:t>Hilmer</w:t>
            </w:r>
            <w:proofErr w:type="spellEnd"/>
            <w:r w:rsidRPr="00B77BC7">
              <w:t xml:space="preserve"> Review identified this as a growing problem because governments were increasingly allowing competition in markets it had traditionally monopolised, such as electricity, gas, government printing and government legal advice. In such circumstances, it was common for a government to stop short of privatisation and instead allow its own provider to compete with private sector entrants as a GBE. But GBEs typically had many advantages. They did not have to pay tax, were often exempt from various regulations, and could rely on implicit government guarantees to raise capital far more cheaply than their private sector rivals. To ensure “competitive neutrality”, the </w:t>
            </w:r>
            <w:proofErr w:type="spellStart"/>
            <w:r w:rsidRPr="00B77BC7">
              <w:t>Hilmer</w:t>
            </w:r>
            <w:proofErr w:type="spellEnd"/>
            <w:r w:rsidRPr="00B77BC7">
              <w:t xml:space="preserve"> Review proposed that GBEs should adopt principles such as reflective pricing, commercial borrowing rates and compliance with the same regulations as private operators.</w:t>
            </w:r>
          </w:p>
        </w:tc>
      </w:tr>
    </w:tbl>
    <w:p w14:paraId="73497F5C" w14:textId="77777777" w:rsidR="004350AC" w:rsidRPr="00BC3AEE" w:rsidRDefault="004350AC" w:rsidP="00BC3AEE">
      <w:pPr>
        <w:pStyle w:val="SingleParagraph"/>
      </w:pPr>
    </w:p>
    <w:p w14:paraId="65A7D2D9" w14:textId="77777777" w:rsidR="00447847" w:rsidRPr="00BC3AEE" w:rsidRDefault="00067669" w:rsidP="00BC3AEE">
      <w:pPr>
        <w:rPr>
          <w:spacing w:val="-2"/>
        </w:rPr>
      </w:pPr>
      <w:r w:rsidRPr="00BC3AEE">
        <w:rPr>
          <w:spacing w:val="-2"/>
        </w:rPr>
        <w:t xml:space="preserve">Because of the </w:t>
      </w:r>
      <w:proofErr w:type="spellStart"/>
      <w:r w:rsidRPr="00BC3AEE">
        <w:rPr>
          <w:spacing w:val="-2"/>
        </w:rPr>
        <w:t>Hilmer</w:t>
      </w:r>
      <w:proofErr w:type="spellEnd"/>
      <w:r w:rsidRPr="00BC3AEE">
        <w:rPr>
          <w:spacing w:val="-2"/>
        </w:rPr>
        <w:t xml:space="preserve"> report, competition policy reform in Australia occurred in a more planned and premeditated fashion than other reform areas. In the financial sector, deregulation largely occurred as an iterative process that culminated in the floating of the dollar. By contrast for National Competition Policy (NCP) – as the </w:t>
      </w:r>
      <w:proofErr w:type="spellStart"/>
      <w:r w:rsidRPr="00BC3AEE">
        <w:rPr>
          <w:spacing w:val="-2"/>
        </w:rPr>
        <w:t>Hilmer</w:t>
      </w:r>
      <w:proofErr w:type="spellEnd"/>
      <w:r w:rsidRPr="00BC3AEE">
        <w:rPr>
          <w:spacing w:val="-2"/>
        </w:rPr>
        <w:t xml:space="preserve"> program became known </w:t>
      </w:r>
      <w:r w:rsidR="00852E71" w:rsidRPr="00BC3AEE">
        <w:rPr>
          <w:spacing w:val="-2"/>
        </w:rPr>
        <w:t>–</w:t>
      </w:r>
      <w:r w:rsidRPr="00BC3AEE">
        <w:rPr>
          <w:spacing w:val="-2"/>
        </w:rPr>
        <w:t xml:space="preserve"> the</w:t>
      </w:r>
      <w:r w:rsidR="00AA4801" w:rsidRPr="00BC3AEE">
        <w:rPr>
          <w:spacing w:val="-2"/>
        </w:rPr>
        <w:t xml:space="preserve"> </w:t>
      </w:r>
      <w:r w:rsidRPr="00BC3AEE">
        <w:rPr>
          <w:spacing w:val="-2"/>
        </w:rPr>
        <w:t xml:space="preserve">federal and </w:t>
      </w:r>
      <w:r w:rsidR="00852E71" w:rsidRPr="00BC3AEE">
        <w:rPr>
          <w:spacing w:val="-2"/>
        </w:rPr>
        <w:t>s</w:t>
      </w:r>
      <w:r w:rsidRPr="00BC3AEE">
        <w:rPr>
          <w:spacing w:val="-2"/>
        </w:rPr>
        <w:t>tate governments identified a problem, commissioned a review, broadly accepted the review recommendations, then moved to implementation (</w:t>
      </w:r>
      <w:r w:rsidR="00552AC6" w:rsidRPr="00BC3AEE">
        <w:rPr>
          <w:spacing w:val="-2"/>
        </w:rPr>
        <w:t xml:space="preserve">Box </w:t>
      </w:r>
      <w:r w:rsidR="00F33714" w:rsidRPr="00BC3AEE">
        <w:rPr>
          <w:spacing w:val="-2"/>
        </w:rPr>
        <w:t>D</w:t>
      </w:r>
      <w:r w:rsidRPr="00BC3AEE">
        <w:rPr>
          <w:spacing w:val="-2"/>
        </w:rPr>
        <w:t xml:space="preserve">). In part, the deliberate nature of this process reflected the administrative complexity and reach of the challenge. Because it required the agreement of all levels of government at every stage, competition reform was </w:t>
      </w:r>
      <w:r w:rsidR="00B77BC7" w:rsidRPr="00BC3AEE">
        <w:rPr>
          <w:spacing w:val="-2"/>
        </w:rPr>
        <w:t>ill-suited to iterative reform.</w:t>
      </w:r>
    </w:p>
    <w:tbl>
      <w:tblPr>
        <w:tblStyle w:val="TableGrid"/>
        <w:tblW w:w="0" w:type="auto"/>
        <w:shd w:val="clear" w:color="auto" w:fill="EAEDF1" w:themeFill="accent4" w:themeFillTint="33"/>
        <w:tblLook w:val="04A0" w:firstRow="1" w:lastRow="0" w:firstColumn="1" w:lastColumn="0" w:noHBand="0" w:noVBand="1"/>
      </w:tblPr>
      <w:tblGrid>
        <w:gridCol w:w="9286"/>
      </w:tblGrid>
      <w:tr w:rsidR="00B77BC7" w14:paraId="2DCBC698" w14:textId="77777777" w:rsidTr="005E1970">
        <w:tc>
          <w:tcPr>
            <w:tcW w:w="9286" w:type="dxa"/>
            <w:shd w:val="clear" w:color="auto" w:fill="EAEDF1" w:themeFill="accent4" w:themeFillTint="33"/>
          </w:tcPr>
          <w:p w14:paraId="7250B45B" w14:textId="77777777" w:rsidR="00B77BC7" w:rsidRPr="00BC3AEE" w:rsidRDefault="00B77BC7" w:rsidP="00BC3AEE">
            <w:pPr>
              <w:pStyle w:val="BoxHeading"/>
            </w:pPr>
            <w:r w:rsidRPr="00BC3AEE">
              <w:t>Box D: Implementing National Competition Policy</w:t>
            </w:r>
          </w:p>
          <w:p w14:paraId="1D240BFC" w14:textId="77777777" w:rsidR="00B77BC7" w:rsidRDefault="00B77BC7" w:rsidP="00BC3AEE">
            <w:pPr>
              <w:pStyle w:val="BoxText"/>
              <w:spacing w:after="90"/>
            </w:pPr>
            <w:r w:rsidRPr="00FB5E41">
              <w:t xml:space="preserve">Implementation of </w:t>
            </w:r>
            <w:r>
              <w:t>NCP</w:t>
            </w:r>
            <w:r w:rsidRPr="00FB5E41">
              <w:t xml:space="preserve"> was aided by a number of policy innovations.</w:t>
            </w:r>
            <w:r>
              <w:t xml:space="preserve"> An independent agency, </w:t>
            </w:r>
            <w:r w:rsidRPr="00654433">
              <w:t>the National Competition Council</w:t>
            </w:r>
            <w:r>
              <w:t xml:space="preserve"> (NCC), was established to oversee the process. Governed by five councillors drawn from the business community, one of the NCC’s functions was to educate the public about the need for national competition reform. So even if a pro-</w:t>
            </w:r>
            <w:proofErr w:type="spellStart"/>
            <w:r>
              <w:t>compeition</w:t>
            </w:r>
            <w:proofErr w:type="spellEnd"/>
            <w:r>
              <w:t xml:space="preserve"> reform drew resistance from the community, politicians or participating governments, it would have </w:t>
            </w:r>
            <w:r w:rsidR="000446E2">
              <w:t>a proponent in the NCC.</w:t>
            </w:r>
          </w:p>
          <w:p w14:paraId="0AEC7EDE" w14:textId="77777777" w:rsidR="0073028D" w:rsidRDefault="0073028D" w:rsidP="00BC3AEE">
            <w:pPr>
              <w:pStyle w:val="BoxText"/>
              <w:spacing w:after="90"/>
            </w:pPr>
            <w:r>
              <w:t>However,</w:t>
            </w:r>
            <w:r w:rsidRPr="00FB5E41">
              <w:t xml:space="preserve"> the NCC’s main function was </w:t>
            </w:r>
            <w:r>
              <w:t xml:space="preserve">not as an advocate but </w:t>
            </w:r>
            <w:r w:rsidRPr="00FB5E41">
              <w:t>as</w:t>
            </w:r>
            <w:r>
              <w:t xml:space="preserve"> a</w:t>
            </w:r>
            <w:r w:rsidRPr="00FB5E41">
              <w:t xml:space="preserve"> referee – to assess</w:t>
            </w:r>
            <w:r>
              <w:t xml:space="preserve"> whether s</w:t>
            </w:r>
            <w:r w:rsidRPr="00FB5E41">
              <w:t>tate</w:t>
            </w:r>
            <w:r>
              <w:t xml:space="preserve"> governments</w:t>
            </w:r>
            <w:r w:rsidRPr="00FB5E41">
              <w:t xml:space="preserve"> were making sufficient progress on their pledges to </w:t>
            </w:r>
            <w:r>
              <w:t xml:space="preserve">implement </w:t>
            </w:r>
            <w:r w:rsidRPr="00FB5E41">
              <w:t>reform</w:t>
            </w:r>
            <w:r>
              <w:t>s</w:t>
            </w:r>
            <w:r w:rsidRPr="00FB5E41">
              <w:t>.</w:t>
            </w:r>
            <w:r>
              <w:t xml:space="preserve"> And for this purpose its judgement had consequences. As part of the protracted inter-governmental negotiations that followed the release of the </w:t>
            </w:r>
            <w:proofErr w:type="spellStart"/>
            <w:r>
              <w:t>Hilmer</w:t>
            </w:r>
            <w:proofErr w:type="spellEnd"/>
            <w:r>
              <w:t xml:space="preserve"> Review, the federal government agreed to make payments to the states conditional on them implementing competition reforms. These payments aimed to recognise that although state governments were largely responsible for implementing the reforms – and that those reforms often resulted in them forgoing monopoly rents – it was the federal government that stood to gain the most in the form of increased taxation revenue. As such, in the first decade of NCP the federal government paid about $5.7 billion in ‘competition payments’ to the states.</w:t>
            </w:r>
            <w:r>
              <w:rPr>
                <w:rStyle w:val="FootnoteReference"/>
              </w:rPr>
              <w:footnoteReference w:id="78"/>
            </w:r>
            <w:r>
              <w:t xml:space="preserve"> But these payments would have been as much as 24 per cent higher in certain years, had the NCC not judged that some states </w:t>
            </w:r>
            <w:r w:rsidRPr="00841263">
              <w:t>were dragging their feet</w:t>
            </w:r>
            <w:r>
              <w:t xml:space="preserve"> and should therefore receive lower payments</w:t>
            </w:r>
            <w:r w:rsidRPr="00841263">
              <w:t>. In a 2005 review, the Productivity Commission judged that the payments system had been an “important</w:t>
            </w:r>
            <w:r>
              <w:t xml:space="preserve"> motivator of reform”.</w:t>
            </w:r>
          </w:p>
        </w:tc>
      </w:tr>
    </w:tbl>
    <w:p w14:paraId="7D8E74AE" w14:textId="77777777" w:rsidR="000446E2" w:rsidRPr="00447847" w:rsidRDefault="000446E2" w:rsidP="00447847">
      <w:pPr>
        <w:spacing w:after="0" w:line="240" w:lineRule="auto"/>
        <w:rPr>
          <w:sz w:val="4"/>
        </w:rPr>
      </w:pPr>
      <w:r w:rsidRPr="00447847">
        <w:rPr>
          <w:b/>
          <w:caps/>
          <w:sz w:val="4"/>
        </w:rPr>
        <w:br w:type="page"/>
      </w:r>
    </w:p>
    <w:p w14:paraId="49FB6AD3" w14:textId="77777777" w:rsidR="00B929AE" w:rsidRDefault="00067669" w:rsidP="00BC3AEE">
      <w:r w:rsidRPr="00FB5E41">
        <w:t>Though competition reform is considered to have delivered significant economic benefits, its implementation has been far from painless.</w:t>
      </w:r>
      <w:r>
        <w:rPr>
          <w:b/>
        </w:rPr>
        <w:t xml:space="preserve"> </w:t>
      </w:r>
      <w:r>
        <w:t xml:space="preserve">In its 2005 review, the Productivity Commission estimated that </w:t>
      </w:r>
      <w:r w:rsidR="00235F70">
        <w:t>selected NCP reforms had contributed to</w:t>
      </w:r>
      <w:r>
        <w:t xml:space="preserve"> a permanent 2.5 per cent increase in the level of Australian GDP</w:t>
      </w:r>
      <w:r w:rsidR="00410464">
        <w:t>.</w:t>
      </w:r>
      <w:r>
        <w:rPr>
          <w:rStyle w:val="FootnoteReference"/>
        </w:rPr>
        <w:footnoteReference w:id="79"/>
      </w:r>
      <w:r>
        <w:t xml:space="preserve"> But it also acknowledged the transitional costs borne by particular groups. For instance, some dairy farmers had suffered from deregulation, even if dairy farm incomes had risen in aggregate. And although the reforms had raised the efficiency of public utilities, such as water and gas services, this often came at the cost of jobs in rural areas. The transitional pain has at times </w:t>
      </w:r>
      <w:r w:rsidR="00F13985">
        <w:t xml:space="preserve">contributed to </w:t>
      </w:r>
      <w:r>
        <w:t xml:space="preserve">the emergence of politicians opposed to economic openness. Concern about an electoral backlash led </w:t>
      </w:r>
      <w:r w:rsidR="00501F6B">
        <w:t>s</w:t>
      </w:r>
      <w:r>
        <w:t>tate government</w:t>
      </w:r>
      <w:r w:rsidR="00F33714">
        <w:t>s</w:t>
      </w:r>
      <w:r>
        <w:t xml:space="preserve"> to sometimes stall on implementation of their NCP commitments, resulting in compe</w:t>
      </w:r>
      <w:r w:rsidR="00A237F9">
        <w:t>tition payments being withheld.</w:t>
      </w:r>
    </w:p>
    <w:p w14:paraId="4D3DFA57" w14:textId="77777777" w:rsidR="00067119" w:rsidRDefault="00AB6C0F" w:rsidP="00BC3AEE">
      <w:r w:rsidRPr="001D3014">
        <w:t xml:space="preserve">Though the microeconomic reforms of the 1980s and </w:t>
      </w:r>
      <w:r w:rsidR="00890EC9">
        <w:t>19</w:t>
      </w:r>
      <w:r w:rsidRPr="001D3014">
        <w:t>90s helped raise Australia’s productivity growth, these benefits have waned over time</w:t>
      </w:r>
      <w:r w:rsidR="003B569E">
        <w:t>.</w:t>
      </w:r>
      <w:r w:rsidR="003B569E">
        <w:rPr>
          <w:rStyle w:val="FootnoteReference"/>
        </w:rPr>
        <w:footnoteReference w:id="80"/>
      </w:r>
      <w:r w:rsidRPr="001D3014">
        <w:t xml:space="preserve"> This has led governments to </w:t>
      </w:r>
      <w:r w:rsidR="00567593" w:rsidRPr="001D3014">
        <w:t>seek new</w:t>
      </w:r>
      <w:r w:rsidRPr="001D3014">
        <w:t xml:space="preserve"> </w:t>
      </w:r>
      <w:r w:rsidR="00567593" w:rsidRPr="001D3014">
        <w:t xml:space="preserve">sources of improvement. </w:t>
      </w:r>
      <w:r w:rsidR="00C453AA">
        <w:t>NCP was followed in the mid</w:t>
      </w:r>
      <w:r w:rsidR="00BB1917">
        <w:t>-</w:t>
      </w:r>
      <w:r w:rsidR="00C453AA">
        <w:t>2000s by the</w:t>
      </w:r>
      <w:r w:rsidR="009154A0">
        <w:t xml:space="preserve"> National Reform Agenda, which targeted improvements in competition policy, regulation and human capital. And</w:t>
      </w:r>
      <w:r w:rsidR="00567593" w:rsidRPr="001D3014">
        <w:t xml:space="preserve"> in 2016 the </w:t>
      </w:r>
      <w:r w:rsidR="00C453AA">
        <w:t>federal g</w:t>
      </w:r>
      <w:r w:rsidR="00567593" w:rsidRPr="001D3014">
        <w:t>overnment commissioned the Productivity Commission to conduct ta five-yearly review of Australia’s productivity performance. The Commission’s first report, released the following year, recommended a range of reforms</w:t>
      </w:r>
      <w:r w:rsidR="00296721" w:rsidRPr="001D3014">
        <w:t xml:space="preserve">, many of them in </w:t>
      </w:r>
      <w:r w:rsidR="003B569E">
        <w:t xml:space="preserve">non-market </w:t>
      </w:r>
      <w:r w:rsidR="00296721" w:rsidRPr="001D3014">
        <w:t xml:space="preserve">sectors like health, education and cities – that is, in areas quite different to those targeted by </w:t>
      </w:r>
      <w:proofErr w:type="spellStart"/>
      <w:r w:rsidR="00296721" w:rsidRPr="001D3014">
        <w:t>Hilmer</w:t>
      </w:r>
      <w:proofErr w:type="spellEnd"/>
      <w:r w:rsidR="00296721" w:rsidRPr="001D3014">
        <w:t xml:space="preserve"> a quarter of a century earlier. As the </w:t>
      </w:r>
      <w:r w:rsidR="00067119" w:rsidRPr="001D3014">
        <w:t xml:space="preserve">Commission’s </w:t>
      </w:r>
      <w:r w:rsidR="00296721" w:rsidRPr="001D3014">
        <w:t>report explained: “The greatest prospective gains now lie in services, especially those that all of us consume regularly, thus spreading the gains widely.</w:t>
      </w:r>
      <w:r w:rsidR="00B865E1">
        <w:t>”</w:t>
      </w:r>
      <w:r w:rsidR="001C1C75">
        <w:rPr>
          <w:rStyle w:val="FootnoteReference"/>
        </w:rPr>
        <w:footnoteReference w:id="81"/>
      </w:r>
      <w:bookmarkStart w:id="258" w:name="_Toc516147541"/>
      <w:bookmarkStart w:id="259" w:name="_Toc516664498"/>
      <w:bookmarkStart w:id="260" w:name="_Toc516753478"/>
      <w:bookmarkStart w:id="261" w:name="_Toc516833777"/>
      <w:bookmarkStart w:id="262" w:name="_Toc516836159"/>
      <w:bookmarkStart w:id="263" w:name="_Toc516838461"/>
      <w:bookmarkStart w:id="264" w:name="_Toc517097821"/>
      <w:bookmarkStart w:id="265" w:name="_Toc517098727"/>
      <w:bookmarkStart w:id="266" w:name="_Toc517099872"/>
      <w:bookmarkStart w:id="267" w:name="_Toc517184568"/>
      <w:bookmarkStart w:id="268" w:name="_Toc517192072"/>
      <w:bookmarkStart w:id="269" w:name="_Toc518903597"/>
      <w:bookmarkStart w:id="270" w:name="_Toc518922779"/>
      <w:bookmarkStart w:id="271" w:name="_Toc520472199"/>
      <w:bookmarkStart w:id="272" w:name="_Toc520472735"/>
      <w:bookmarkStart w:id="273" w:name="_Toc520812385"/>
      <w:bookmarkStart w:id="274" w:name="_Toc520819479"/>
    </w:p>
    <w:p w14:paraId="5DB9C5B4" w14:textId="77777777" w:rsidR="004350AC" w:rsidRPr="004350AC" w:rsidRDefault="004350AC" w:rsidP="00447E63">
      <w:pPr>
        <w:pStyle w:val="Heading3"/>
      </w:pPr>
      <w:bookmarkStart w:id="275" w:name="_Toc525736250"/>
      <w:bookmarkStart w:id="276" w:name="_Toc525743549"/>
      <w:bookmarkStart w:id="277" w:name="_Toc525912229"/>
      <w:bookmarkStart w:id="278" w:name="_Toc525915350"/>
      <w:bookmarkStart w:id="279" w:name="_Toc526355339"/>
      <w:bookmarkStart w:id="280" w:name="_Toc526413602"/>
      <w:bookmarkStart w:id="281" w:name="_Toc526935119"/>
      <w:proofErr w:type="spellStart"/>
      <w:r>
        <w:t>Decentralised</w:t>
      </w:r>
      <w:proofErr w:type="spellEnd"/>
      <w:r>
        <w:t xml:space="preserve"> industrial relations system</w:t>
      </w:r>
      <w:bookmarkEnd w:id="275"/>
      <w:bookmarkEnd w:id="276"/>
      <w:bookmarkEnd w:id="277"/>
      <w:bookmarkEnd w:id="278"/>
      <w:bookmarkEnd w:id="279"/>
      <w:bookmarkEnd w:id="280"/>
      <w:bookmarkEnd w:id="281"/>
    </w:p>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14:paraId="3AE26C06" w14:textId="77777777" w:rsidR="00067669" w:rsidRDefault="00067669" w:rsidP="00CE4D9B">
      <w:r>
        <w:t>The late-</w:t>
      </w:r>
      <w:r w:rsidRPr="00FB5E41">
        <w:t xml:space="preserve">1980s shift in the </w:t>
      </w:r>
      <w:r w:rsidR="00347456">
        <w:t>g</w:t>
      </w:r>
      <w:r w:rsidRPr="00FB5E41">
        <w:t xml:space="preserve">overnment’s reform priorities, from stabilising the </w:t>
      </w:r>
      <w:proofErr w:type="spellStart"/>
      <w:r w:rsidRPr="00FB5E41">
        <w:t>macroeconomy</w:t>
      </w:r>
      <w:proofErr w:type="spellEnd"/>
      <w:r w:rsidRPr="00FB5E41">
        <w:t xml:space="preserve"> to modernising the </w:t>
      </w:r>
      <w:proofErr w:type="spellStart"/>
      <w:r w:rsidRPr="00FB5E41">
        <w:t>microeconomy</w:t>
      </w:r>
      <w:proofErr w:type="spellEnd"/>
      <w:r w:rsidRPr="00FB5E41">
        <w:t>, was most evident in industrial relations policy.</w:t>
      </w:r>
      <w:r>
        <w:t xml:space="preserve"> Over two decades, </w:t>
      </w:r>
      <w:r w:rsidRPr="00030A5D">
        <w:t xml:space="preserve">the </w:t>
      </w:r>
      <w:r w:rsidR="00B620F3">
        <w:t xml:space="preserve">architecture in </w:t>
      </w:r>
      <w:r w:rsidRPr="00030A5D">
        <w:t xml:space="preserve">which wages are set </w:t>
      </w:r>
      <w:r>
        <w:t xml:space="preserve">in Australia </w:t>
      </w:r>
      <w:r w:rsidRPr="00030A5D">
        <w:t xml:space="preserve">steadily </w:t>
      </w:r>
      <w:r>
        <w:t>shifted downwards,</w:t>
      </w:r>
      <w:r w:rsidRPr="00B154F5">
        <w:t xml:space="preserve"> </w:t>
      </w:r>
      <w:r w:rsidRPr="00030A5D">
        <w:t>away from a central authority and towards the worker</w:t>
      </w:r>
      <w:r>
        <w:t>. Unusually, this evolution was driven as much by unions as by government or business. It reflected a broad acceptance across the political spectrum that to maintain and raise living standards, Australia needed an economy that was more productive and more flexible. This meant Australia’s industrial relations system was generally decentralised in a less acrimonious way than in comparable economies.</w:t>
      </w:r>
      <w:r>
        <w:rPr>
          <w:rStyle w:val="FootnoteReference"/>
        </w:rPr>
        <w:footnoteReference w:id="82"/>
      </w:r>
      <w:r>
        <w:t xml:space="preserve"> And it ensured industrial relations reform was pursued with an eye on fairness as </w:t>
      </w:r>
      <w:r w:rsidR="005E4D1B">
        <w:t>well as</w:t>
      </w:r>
      <w:r>
        <w:t xml:space="preserve"> efficiency.</w:t>
      </w:r>
    </w:p>
    <w:p w14:paraId="1B56EFA8" w14:textId="77777777" w:rsidR="00067669" w:rsidRDefault="00067669" w:rsidP="00CE4D9B">
      <w:r w:rsidRPr="00FB5E41">
        <w:t>Somewhat counterintuitively, Australia’s shift to more flexible labour system setting occurred through a highly corporatist mechanism: the Accord.</w:t>
      </w:r>
      <w:r>
        <w:t xml:space="preserve"> As discussed earlier, the Accord’s initial iteration constituted a return to more centralised wage setting – putting it at odds </w:t>
      </w:r>
      <w:r w:rsidR="00967C58">
        <w:t xml:space="preserve">both </w:t>
      </w:r>
      <w:r>
        <w:t xml:space="preserve">with other major economic reform at the time </w:t>
      </w:r>
      <w:r w:rsidR="00967C58">
        <w:t>and with</w:t>
      </w:r>
      <w:r>
        <w:t xml:space="preserve"> industrial relations developments in other advanced economies.</w:t>
      </w:r>
      <w:r w:rsidRPr="00E35E82">
        <w:rPr>
          <w:b/>
        </w:rPr>
        <w:t xml:space="preserve"> </w:t>
      </w:r>
      <w:r w:rsidRPr="00386AD1">
        <w:t xml:space="preserve">But this changed </w:t>
      </w:r>
      <w:r w:rsidRPr="00851E87">
        <w:t xml:space="preserve">in 1987 </w:t>
      </w:r>
      <w:r w:rsidRPr="00FB5E41">
        <w:t xml:space="preserve">with </w:t>
      </w:r>
      <w:r w:rsidRPr="00386AD1">
        <w:t>the Accord Mark III.</w:t>
      </w:r>
      <w:r>
        <w:t xml:space="preserve"> Its innovation was a two-tier structure: a first tier that set out a minimum safety net for workers’ pay and conditions; and a second tier that allowed unions to negotiate at the enterprise level for higher wages that were conditional on improvements in productivity. The implication of this enterprise bargaining framework was that pay could vary from one firm to the next depending on </w:t>
      </w:r>
      <w:r w:rsidR="00A237F9">
        <w:t>profitability and productivity.</w:t>
      </w:r>
    </w:p>
    <w:p w14:paraId="7134D2D3" w14:textId="77777777" w:rsidR="00067669" w:rsidRDefault="00067669" w:rsidP="00CE4D9B">
      <w:r>
        <w:t>A notable feature of Australia’s shift to enterprise bargaining is that it largely occurred with the support of the union movement. This reflected an acceptance by union leaders that increased flexibility would benefit workers by delivering productivity gains that would in turn raise real wages and employment</w:t>
      </w:r>
      <w:r w:rsidR="00253AB8">
        <w:t>, provided workers were protected by a safety net</w:t>
      </w:r>
      <w:r>
        <w:t xml:space="preserve">. The unions’ support facilitated reform by enabling the </w:t>
      </w:r>
      <w:r w:rsidR="005E4D1B">
        <w:t>g</w:t>
      </w:r>
      <w:r>
        <w:t xml:space="preserve">overnment to build a consensus for change. But it also had some downsides, with some particularly contentious issues being </w:t>
      </w:r>
      <w:r w:rsidRPr="00841263">
        <w:t>pushed off the</w:t>
      </w:r>
      <w:r>
        <w:t xml:space="preserve"> reform agenda. For instance, not until 1996 was a federal government willing to break the union monopoly </w:t>
      </w:r>
      <w:r w:rsidR="00F13985">
        <w:t xml:space="preserve">on labour hiring </w:t>
      </w:r>
      <w:r>
        <w:t>in the ports – a monopoly that had long been recognised as a major impediment to the country’s international competiveness.</w:t>
      </w:r>
    </w:p>
    <w:p w14:paraId="1288DDD8" w14:textId="77777777" w:rsidR="00067669" w:rsidRDefault="00067669" w:rsidP="00CE4D9B">
      <w:r w:rsidRPr="00E2125A">
        <w:t xml:space="preserve">Though the system has since ebbed and flowed with each change of government, </w:t>
      </w:r>
      <w:r>
        <w:t>its</w:t>
      </w:r>
      <w:r w:rsidRPr="00E2125A">
        <w:t xml:space="preserve"> essential elements </w:t>
      </w:r>
      <w:r>
        <w:t xml:space="preserve">have </w:t>
      </w:r>
      <w:r w:rsidR="00F17F67">
        <w:t xml:space="preserve">largely </w:t>
      </w:r>
      <w:r w:rsidRPr="00E2125A">
        <w:t>remain</w:t>
      </w:r>
      <w:r>
        <w:t>ed</w:t>
      </w:r>
      <w:r w:rsidRPr="00E2125A">
        <w:t>.</w:t>
      </w:r>
      <w:r>
        <w:rPr>
          <w:b/>
        </w:rPr>
        <w:t xml:space="preserve"> </w:t>
      </w:r>
      <w:r>
        <w:t>After the change of government in</w:t>
      </w:r>
      <w:r w:rsidRPr="00386AD1">
        <w:t xml:space="preserve"> 1996, </w:t>
      </w:r>
      <w:r>
        <w:t>wage setting shifted closer to the worker</w:t>
      </w:r>
      <w:r w:rsidR="00253AB8">
        <w:t>. I</w:t>
      </w:r>
      <w:r>
        <w:t xml:space="preserve">ndividual workers </w:t>
      </w:r>
      <w:r w:rsidR="00253AB8">
        <w:t xml:space="preserve">and their employers were permitted </w:t>
      </w:r>
      <w:r>
        <w:t>to negotiate pay and conditions without input from unions</w:t>
      </w:r>
      <w:r w:rsidR="00253AB8">
        <w:t>.</w:t>
      </w:r>
      <w:r w:rsidR="00F17F67">
        <w:t xml:space="preserve"> </w:t>
      </w:r>
      <w:r w:rsidR="00DE4C4D">
        <w:t>T</w:t>
      </w:r>
      <w:r w:rsidR="00253AB8">
        <w:t xml:space="preserve">hey could </w:t>
      </w:r>
      <w:r w:rsidR="00DE4C4D">
        <w:t>also</w:t>
      </w:r>
      <w:r w:rsidR="00253AB8">
        <w:t xml:space="preserve"> trade away award conditions subject to a so</w:t>
      </w:r>
      <w:r w:rsidR="00F33714">
        <w:noBreakHyphen/>
      </w:r>
      <w:r w:rsidR="00253AB8">
        <w:t>called ‘no-disadvantage test’, which required that the</w:t>
      </w:r>
      <w:r w:rsidR="00F17F67">
        <w:t>ir</w:t>
      </w:r>
      <w:r w:rsidR="00253AB8">
        <w:t xml:space="preserve"> negotiated agreement should not leave </w:t>
      </w:r>
      <w:r w:rsidR="00F17F67">
        <w:t>the employee</w:t>
      </w:r>
      <w:r w:rsidR="00253AB8">
        <w:t xml:space="preserve"> worse off overall compared with the relevant award</w:t>
      </w:r>
      <w:r>
        <w:t>. A decade later</w:t>
      </w:r>
      <w:r w:rsidR="00F17F67">
        <w:t>,</w:t>
      </w:r>
      <w:r>
        <w:t xml:space="preserve"> </w:t>
      </w:r>
      <w:r w:rsidR="00F17F67">
        <w:t>the government</w:t>
      </w:r>
      <w:r>
        <w:t xml:space="preserve"> went even further, including </w:t>
      </w:r>
      <w:r w:rsidR="00F17F67">
        <w:t>by removing the ‘no</w:t>
      </w:r>
      <w:r w:rsidR="00F33714">
        <w:noBreakHyphen/>
      </w:r>
      <w:r w:rsidR="00F17F67">
        <w:t>disadvantage test’ and</w:t>
      </w:r>
      <w:r>
        <w:t xml:space="preserve"> making it easier for small businesses to fire employees</w:t>
      </w:r>
      <w:r w:rsidR="00F17F67">
        <w:t xml:space="preserve">. </w:t>
      </w:r>
      <w:r>
        <w:t xml:space="preserve">But these reforms, known as </w:t>
      </w:r>
      <w:proofErr w:type="spellStart"/>
      <w:r>
        <w:t>WorkChoices</w:t>
      </w:r>
      <w:proofErr w:type="spellEnd"/>
      <w:r>
        <w:t xml:space="preserve">, sparked fierce resistance from the unions and contributed to the </w:t>
      </w:r>
      <w:r w:rsidR="003B569E">
        <w:t xml:space="preserve">government </w:t>
      </w:r>
      <w:r>
        <w:t xml:space="preserve">losing office in the 2007 election. </w:t>
      </w:r>
      <w:proofErr w:type="spellStart"/>
      <w:r w:rsidR="009F7AEC">
        <w:t>WorkChoices</w:t>
      </w:r>
      <w:proofErr w:type="spellEnd"/>
      <w:r w:rsidR="009F7AEC">
        <w:t xml:space="preserve"> was subsequently repealed. </w:t>
      </w:r>
      <w:r>
        <w:t>The episode has had a lasting effect on Australian politics. Industrial relations has since largely stayed off the political agenda, despite continued debate about whether Australia has the right balance between flexibility and protection.</w:t>
      </w:r>
    </w:p>
    <w:p w14:paraId="27B35E3E" w14:textId="77777777" w:rsidR="00067669" w:rsidRDefault="00067669" w:rsidP="0098411F">
      <w:pPr>
        <w:pStyle w:val="Heading2-Numbered"/>
      </w:pPr>
      <w:bookmarkStart w:id="282" w:name="_Toc516147542"/>
      <w:bookmarkStart w:id="283" w:name="_Toc516664499"/>
      <w:bookmarkStart w:id="284" w:name="_Toc516753479"/>
      <w:bookmarkStart w:id="285" w:name="_Toc516833778"/>
      <w:bookmarkStart w:id="286" w:name="_Toc516836160"/>
      <w:bookmarkStart w:id="287" w:name="_Toc516838462"/>
      <w:bookmarkStart w:id="288" w:name="_Toc520472200"/>
      <w:bookmarkStart w:id="289" w:name="_Toc520472736"/>
      <w:bookmarkStart w:id="290" w:name="_Toc520812386"/>
      <w:bookmarkStart w:id="291" w:name="_Toc520819480"/>
      <w:bookmarkStart w:id="292" w:name="_Toc525736251"/>
      <w:bookmarkStart w:id="293" w:name="_Toc525743550"/>
      <w:bookmarkStart w:id="294" w:name="_Toc525912230"/>
      <w:bookmarkStart w:id="295" w:name="_Toc525915351"/>
      <w:bookmarkStart w:id="296" w:name="_Toc526355340"/>
      <w:bookmarkStart w:id="297" w:name="_Toc526413603"/>
      <w:bookmarkStart w:id="298" w:name="_Toc517097822"/>
      <w:bookmarkStart w:id="299" w:name="_Toc517098728"/>
      <w:bookmarkStart w:id="300" w:name="_Toc517099873"/>
      <w:bookmarkStart w:id="301" w:name="_Toc517184569"/>
      <w:bookmarkStart w:id="302" w:name="_Toc517192073"/>
      <w:bookmarkStart w:id="303" w:name="_Toc518903598"/>
      <w:bookmarkStart w:id="304" w:name="_Toc518922780"/>
      <w:bookmarkStart w:id="305" w:name="_Toc526935120"/>
      <w:r>
        <w:t xml:space="preserve">Third </w:t>
      </w:r>
      <w:r w:rsidR="00C46D0D">
        <w:t>wave</w:t>
      </w:r>
      <w:r>
        <w:t xml:space="preserve">: Macroeconomic management and </w:t>
      </w:r>
      <w:r w:rsidR="00135C07">
        <w:t xml:space="preserve">fiscal </w:t>
      </w:r>
      <w:r>
        <w:t>reforms</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273341E6" w14:textId="040B9032" w:rsidR="00067669" w:rsidRDefault="003B569E" w:rsidP="00067669">
      <w:r>
        <w:t xml:space="preserve">The third </w:t>
      </w:r>
      <w:r w:rsidR="00C46D0D">
        <w:t xml:space="preserve">wave </w:t>
      </w:r>
      <w:r>
        <w:t xml:space="preserve">of reforms </w:t>
      </w:r>
      <w:r w:rsidR="00067669">
        <w:t>included</w:t>
      </w:r>
      <w:r w:rsidR="00067669" w:rsidRPr="00055777">
        <w:t xml:space="preserve"> </w:t>
      </w:r>
      <w:r w:rsidR="00BE4352">
        <w:t>measures to</w:t>
      </w:r>
      <w:r w:rsidR="00067669">
        <w:t xml:space="preserve"> </w:t>
      </w:r>
      <w:r w:rsidR="00067669" w:rsidRPr="00055777">
        <w:t>clarif</w:t>
      </w:r>
      <w:r w:rsidR="00BE4352">
        <w:t>y</w:t>
      </w:r>
      <w:r w:rsidR="00067669" w:rsidRPr="00055777">
        <w:t xml:space="preserve"> the RBA’s role as a macroeconomic manager and </w:t>
      </w:r>
      <w:r w:rsidR="00BE4352">
        <w:t>to</w:t>
      </w:r>
      <w:r w:rsidR="00067669">
        <w:t xml:space="preserve"> put</w:t>
      </w:r>
      <w:r w:rsidR="00067669" w:rsidRPr="00055777">
        <w:t xml:space="preserve"> fiscal management on a more sustainable footing. </w:t>
      </w:r>
      <w:r w:rsidR="00EA0C34">
        <w:t>As with other reforms, t</w:t>
      </w:r>
      <w:r w:rsidR="00067669" w:rsidRPr="00055777">
        <w:t xml:space="preserve">hese </w:t>
      </w:r>
      <w:r w:rsidR="00EA0C34">
        <w:t>changes</w:t>
      </w:r>
      <w:r w:rsidR="00EA0C34" w:rsidRPr="00055777">
        <w:t xml:space="preserve"> </w:t>
      </w:r>
      <w:r w:rsidR="00067669" w:rsidRPr="00055777">
        <w:t>benefited fr</w:t>
      </w:r>
      <w:r w:rsidR="00067669">
        <w:t xml:space="preserve">om </w:t>
      </w:r>
      <w:r w:rsidR="00DB31CD">
        <w:t xml:space="preserve">government-commissioned </w:t>
      </w:r>
      <w:r w:rsidR="00067669">
        <w:t>independent advice or inquiries</w:t>
      </w:r>
      <w:r w:rsidR="00067669" w:rsidRPr="00055777">
        <w:t xml:space="preserve">, were mostly implemented gradually to allow </w:t>
      </w:r>
      <w:r w:rsidR="00EA0C34" w:rsidRPr="00055777">
        <w:t xml:space="preserve">time </w:t>
      </w:r>
      <w:r w:rsidR="00067669" w:rsidRPr="00055777">
        <w:t>for public deb</w:t>
      </w:r>
      <w:r w:rsidR="00067669">
        <w:t>ate and consensus</w:t>
      </w:r>
      <w:r w:rsidR="00EA0C34">
        <w:t>-building,</w:t>
      </w:r>
      <w:r w:rsidR="00067669">
        <w:t xml:space="preserve"> and </w:t>
      </w:r>
      <w:r w:rsidR="003F3A94">
        <w:t>often required</w:t>
      </w:r>
      <w:r w:rsidR="00067669" w:rsidRPr="00055777">
        <w:t xml:space="preserve"> perseverance d</w:t>
      </w:r>
      <w:r w:rsidR="00067669">
        <w:t>uring difficult economic times.</w:t>
      </w:r>
    </w:p>
    <w:p w14:paraId="7473D211" w14:textId="77777777" w:rsidR="004350AC" w:rsidRDefault="004350AC" w:rsidP="00447E63">
      <w:pPr>
        <w:pStyle w:val="Heading3"/>
      </w:pPr>
      <w:bookmarkStart w:id="306" w:name="_Toc525736252"/>
      <w:bookmarkStart w:id="307" w:name="_Toc525743551"/>
      <w:bookmarkStart w:id="308" w:name="_Toc525912231"/>
      <w:bookmarkStart w:id="309" w:name="_Toc525915352"/>
      <w:bookmarkStart w:id="310" w:name="_Toc526355341"/>
      <w:bookmarkStart w:id="311" w:name="_Toc526413604"/>
      <w:bookmarkStart w:id="312" w:name="_Toc526935121"/>
      <w:r>
        <w:t>Monetary Policy</w:t>
      </w:r>
      <w:bookmarkEnd w:id="306"/>
      <w:bookmarkEnd w:id="307"/>
      <w:bookmarkEnd w:id="308"/>
      <w:bookmarkEnd w:id="309"/>
      <w:bookmarkEnd w:id="310"/>
      <w:bookmarkEnd w:id="311"/>
      <w:bookmarkEnd w:id="312"/>
    </w:p>
    <w:p w14:paraId="1A4EDB40" w14:textId="77777777" w:rsidR="00067669" w:rsidRPr="00941E4E" w:rsidRDefault="00067669" w:rsidP="00CE4D9B">
      <w:r>
        <w:t xml:space="preserve">The role and objectives of monetary policy have evolved over time. A number of </w:t>
      </w:r>
      <w:r w:rsidRPr="00941E4E">
        <w:t>approaches to achieving price stability, or other desirable macroeconomic outcomes, were tried and failed</w:t>
      </w:r>
      <w:r w:rsidRPr="002F64B3">
        <w:t xml:space="preserve"> </w:t>
      </w:r>
      <w:r>
        <w:t xml:space="preserve">during the 1970s, 1980s and early </w:t>
      </w:r>
      <w:r w:rsidRPr="00941E4E">
        <w:t xml:space="preserve">1990s. </w:t>
      </w:r>
      <w:r>
        <w:t>Prior to the float of the currency, th</w:t>
      </w:r>
      <w:r w:rsidR="003C25A4">
        <w:t>ese attempts</w:t>
      </w:r>
      <w:r>
        <w:t xml:space="preserve"> reflected the </w:t>
      </w:r>
      <w:r w:rsidR="003C25A4">
        <w:t>challenges presented by</w:t>
      </w:r>
      <w:r>
        <w:t xml:space="preserve"> the Mundell-Fleming trilemma; </w:t>
      </w:r>
      <w:r w:rsidR="003C25A4" w:rsidRPr="00941E4E">
        <w:t xml:space="preserve">as Australian markets became </w:t>
      </w:r>
      <w:r w:rsidR="00EE4488">
        <w:t>more</w:t>
      </w:r>
      <w:r w:rsidR="003C25A4" w:rsidRPr="00941E4E">
        <w:t xml:space="preserve"> </w:t>
      </w:r>
      <w:r w:rsidR="003C25A4">
        <w:t xml:space="preserve">integrated into world markets, </w:t>
      </w:r>
      <w:r w:rsidR="003C25A4" w:rsidRPr="00941E4E">
        <w:t xml:space="preserve">large international capital flows </w:t>
      </w:r>
      <w:r w:rsidR="00EE4488">
        <w:t xml:space="preserve">made it </w:t>
      </w:r>
      <w:r w:rsidRPr="00941E4E">
        <w:t>increasing</w:t>
      </w:r>
      <w:r w:rsidR="00EE4488">
        <w:t>ly</w:t>
      </w:r>
      <w:r w:rsidRPr="00941E4E">
        <w:t xml:space="preserve"> difficult </w:t>
      </w:r>
      <w:r w:rsidR="00EE4488">
        <w:t xml:space="preserve">for authorities to </w:t>
      </w:r>
      <w:r w:rsidRPr="00941E4E">
        <w:t>control domestic monetary conditions</w:t>
      </w:r>
      <w:r w:rsidR="005A7915">
        <w:t xml:space="preserve"> </w:t>
      </w:r>
      <w:r w:rsidR="00AB1C30">
        <w:t xml:space="preserve">and maintain a fixed or pegged </w:t>
      </w:r>
      <w:r w:rsidR="005A7915">
        <w:t>exchange rate</w:t>
      </w:r>
      <w:r w:rsidR="00EE4488">
        <w:t>.</w:t>
      </w:r>
    </w:p>
    <w:p w14:paraId="5E3DF081" w14:textId="77777777" w:rsidR="00067669" w:rsidRPr="00941E4E" w:rsidRDefault="00240EF1" w:rsidP="00CE4D9B">
      <w:r>
        <w:t xml:space="preserve">New monetary policy challenges emerged in the 1980s, as </w:t>
      </w:r>
      <w:r w:rsidR="00067669">
        <w:t xml:space="preserve">financial deregulation led to rapid credit creation and high rates of inflation. The RBA responded </w:t>
      </w:r>
      <w:r w:rsidR="005E4F31">
        <w:t>by</w:t>
      </w:r>
      <w:r w:rsidR="00067669">
        <w:t xml:space="preserve"> substantial</w:t>
      </w:r>
      <w:r w:rsidR="005E4F31">
        <w:t>ly</w:t>
      </w:r>
      <w:r w:rsidR="00067669">
        <w:t xml:space="preserve"> tightening monetary policy, </w:t>
      </w:r>
      <w:r>
        <w:t xml:space="preserve">leading </w:t>
      </w:r>
      <w:r w:rsidR="00067669" w:rsidRPr="00941E4E">
        <w:t xml:space="preserve">the cash rate </w:t>
      </w:r>
      <w:r>
        <w:t xml:space="preserve">to </w:t>
      </w:r>
      <w:r w:rsidR="00067669" w:rsidRPr="00941E4E">
        <w:t>reach 18</w:t>
      </w:r>
      <w:r w:rsidR="00067669">
        <w:t> </w:t>
      </w:r>
      <w:r w:rsidR="00067669" w:rsidRPr="00941E4E">
        <w:t>per ce</w:t>
      </w:r>
      <w:r w:rsidR="00067669">
        <w:t xml:space="preserve">nt in the second half of 1989. The subsequent bust, which led to the failure of a number of financial institutions and the early-1990s recession, </w:t>
      </w:r>
      <w:r w:rsidR="00610503">
        <w:t>sparked debate</w:t>
      </w:r>
      <w:r w:rsidR="00067669" w:rsidRPr="00941E4E">
        <w:t xml:space="preserve"> about whether</w:t>
      </w:r>
      <w:r w:rsidR="00610503">
        <w:t xml:space="preserve"> </w:t>
      </w:r>
      <w:r w:rsidR="00067669" w:rsidRPr="00941E4E">
        <w:t xml:space="preserve">the </w:t>
      </w:r>
      <w:r w:rsidR="00067669">
        <w:t>RBA</w:t>
      </w:r>
      <w:r w:rsidR="00610503">
        <w:t xml:space="preserve"> </w:t>
      </w:r>
      <w:r w:rsidR="00067669">
        <w:t>was at fault</w:t>
      </w:r>
      <w:r w:rsidR="00610503">
        <w:t>. This raised</w:t>
      </w:r>
      <w:r w:rsidR="00067669">
        <w:t xml:space="preserve"> widespread concern about the effectiveness of monetary policy.</w:t>
      </w:r>
    </w:p>
    <w:p w14:paraId="09405EEE" w14:textId="77777777" w:rsidR="002D3429" w:rsidRDefault="00067669" w:rsidP="0075747D">
      <w:pPr>
        <w:keepLines/>
      </w:pPr>
      <w:r>
        <w:t xml:space="preserve">At around the same time, New Zealand moved to what was </w:t>
      </w:r>
      <w:r w:rsidR="002C11A6">
        <w:t>then</w:t>
      </w:r>
      <w:r>
        <w:t xml:space="preserve"> a radical new monetary policy regime – inflation targeting. </w:t>
      </w:r>
      <w:r w:rsidR="002D3429">
        <w:t xml:space="preserve">Under this system, </w:t>
      </w:r>
      <w:r w:rsidR="00AB1C30">
        <w:t xml:space="preserve">the </w:t>
      </w:r>
      <w:r w:rsidR="00610503">
        <w:t>RBNZ would target a stable and low rate of inflation</w:t>
      </w:r>
      <w:r w:rsidR="002D3429">
        <w:t xml:space="preserve"> by</w:t>
      </w:r>
      <w:r w:rsidR="00610503">
        <w:t xml:space="preserve"> </w:t>
      </w:r>
      <w:r>
        <w:t>set</w:t>
      </w:r>
      <w:r w:rsidR="002D3429">
        <w:t>ting</w:t>
      </w:r>
      <w:r>
        <w:t xml:space="preserve"> the interest rate at which banks lend to each other in overnight markets</w:t>
      </w:r>
      <w:r w:rsidR="002D3429">
        <w:t xml:space="preserve"> –</w:t>
      </w:r>
      <w:r>
        <w:t xml:space="preserve"> without resorting to an intermediate target of money or some other combination of indicators</w:t>
      </w:r>
      <w:r w:rsidR="002D3429">
        <w:t>, as</w:t>
      </w:r>
      <w:r>
        <w:t xml:space="preserve"> had been previous practice. The substantial reduction in inflation following the early-1990s recession enabled t</w:t>
      </w:r>
      <w:r w:rsidRPr="00941E4E">
        <w:t xml:space="preserve">he RBA </w:t>
      </w:r>
      <w:r>
        <w:t xml:space="preserve">to adopt a similar </w:t>
      </w:r>
      <w:r w:rsidRPr="00941E4E">
        <w:t>regime</w:t>
      </w:r>
      <w:r w:rsidR="00410464">
        <w:t>.</w:t>
      </w:r>
      <w:r w:rsidR="009453AC">
        <w:rPr>
          <w:rStyle w:val="FootnoteReference"/>
        </w:rPr>
        <w:footnoteReference w:id="83"/>
      </w:r>
      <w:r>
        <w:t xml:space="preserve"> This move, which </w:t>
      </w:r>
      <w:r w:rsidR="005C57BA">
        <w:t>the RBA commenced</w:t>
      </w:r>
      <w:r w:rsidR="005C57BA" w:rsidRPr="00941E4E">
        <w:t xml:space="preserve"> </w:t>
      </w:r>
      <w:r w:rsidRPr="00941E4E">
        <w:t>in 1993, ma</w:t>
      </w:r>
      <w:r>
        <w:t xml:space="preserve">de </w:t>
      </w:r>
      <w:r w:rsidRPr="00941E4E">
        <w:t>Australia one of the first countries to do so after New Zealand, Canada and Sweden. The target</w:t>
      </w:r>
      <w:r w:rsidR="002D3429">
        <w:t>, which</w:t>
      </w:r>
      <w:r w:rsidR="005C57BA">
        <w:t xml:space="preserve"> was</w:t>
      </w:r>
      <w:r>
        <w:t xml:space="preserve"> formalised in the first </w:t>
      </w:r>
      <w:r w:rsidRPr="009772D5">
        <w:rPr>
          <w:i/>
        </w:rPr>
        <w:t>Statement on the Conduct of Monetary Policy</w:t>
      </w:r>
      <w:r>
        <w:t xml:space="preserve"> in 1996 between the then Governor and Treasurer, required</w:t>
      </w:r>
      <w:r w:rsidRPr="00941E4E">
        <w:t xml:space="preserve"> </w:t>
      </w:r>
      <w:r>
        <w:t xml:space="preserve">the </w:t>
      </w:r>
      <w:r w:rsidRPr="00941E4E">
        <w:t>RBA to achieve an inflation rate “of 2</w:t>
      </w:r>
      <w:r>
        <w:t>-</w:t>
      </w:r>
      <w:r w:rsidRPr="00941E4E">
        <w:t xml:space="preserve">3 per cent, on average, over </w:t>
      </w:r>
      <w:r>
        <w:t>the cycle</w:t>
      </w:r>
      <w:r w:rsidRPr="00941E4E">
        <w:t>”</w:t>
      </w:r>
      <w:r w:rsidR="002D3429">
        <w:t xml:space="preserve"> – a form of words</w:t>
      </w:r>
      <w:r>
        <w:t xml:space="preserve"> </w:t>
      </w:r>
      <w:r w:rsidR="002D3429">
        <w:t xml:space="preserve">that </w:t>
      </w:r>
      <w:r w:rsidRPr="00941E4E">
        <w:t>intentionally p</w:t>
      </w:r>
      <w:r>
        <w:t>rovided discretion and a medium-</w:t>
      </w:r>
      <w:r w:rsidR="00A237F9">
        <w:t>term focus.</w:t>
      </w:r>
    </w:p>
    <w:p w14:paraId="058690AE" w14:textId="77777777" w:rsidR="00067669" w:rsidRPr="00941E4E" w:rsidRDefault="005C57BA" w:rsidP="00CE4D9B">
      <w:r w:rsidRPr="00941E4E">
        <w:t>The other important element of Australia’s monetary policy approach is the independence of the central bank fro</w:t>
      </w:r>
      <w:r>
        <w:t>m the government.</w:t>
      </w:r>
      <w:r w:rsidRPr="00941E4E">
        <w:t xml:space="preserve"> </w:t>
      </w:r>
      <w:r w:rsidR="00B04D48">
        <w:t>As with inflation targeting, f</w:t>
      </w:r>
      <w:r w:rsidRPr="00941E4E">
        <w:t xml:space="preserve">ormal recognition of </w:t>
      </w:r>
      <w:r w:rsidRPr="00941E4E" w:rsidDel="002D3429">
        <w:t xml:space="preserve">RBA </w:t>
      </w:r>
      <w:r w:rsidRPr="00941E4E">
        <w:t xml:space="preserve">independence occurred in the </w:t>
      </w:r>
      <w:r>
        <w:t>1996</w:t>
      </w:r>
      <w:r w:rsidRPr="00941E4E">
        <w:t xml:space="preserve"> </w:t>
      </w:r>
      <w:r w:rsidRPr="00941E4E">
        <w:rPr>
          <w:i/>
        </w:rPr>
        <w:t xml:space="preserve">Statement on </w:t>
      </w:r>
      <w:r>
        <w:rPr>
          <w:i/>
        </w:rPr>
        <w:t xml:space="preserve">the Conduct of </w:t>
      </w:r>
      <w:r w:rsidRPr="00941E4E">
        <w:rPr>
          <w:i/>
        </w:rPr>
        <w:t>Monetary Policy</w:t>
      </w:r>
      <w:r>
        <w:t>. New statements are issued when the RBA Governor changes.</w:t>
      </w:r>
    </w:p>
    <w:p w14:paraId="166909E0" w14:textId="77777777" w:rsidR="00067669" w:rsidRDefault="00067669" w:rsidP="00CE4D9B">
      <w:r w:rsidRPr="00941E4E">
        <w:t>When it was introduced</w:t>
      </w:r>
      <w:r w:rsidR="00B04D48">
        <w:t>,</w:t>
      </w:r>
      <w:r w:rsidRPr="00941E4E">
        <w:t xml:space="preserve"> th</w:t>
      </w:r>
      <w:r>
        <w:t>e</w:t>
      </w:r>
      <w:r w:rsidRPr="00941E4E">
        <w:t xml:space="preserve"> discretion </w:t>
      </w:r>
      <w:r>
        <w:t xml:space="preserve">inherent in the wording of the RBA’s inflation target </w:t>
      </w:r>
      <w:r w:rsidRPr="00941E4E">
        <w:t>was widely criticised</w:t>
      </w:r>
      <w:r>
        <w:t>.</w:t>
      </w:r>
      <w:r>
        <w:rPr>
          <w:rStyle w:val="FootnoteReference"/>
        </w:rPr>
        <w:footnoteReference w:id="84"/>
      </w:r>
      <w:r w:rsidRPr="00941E4E">
        <w:t xml:space="preserve"> The OECD and IMF preferred New Zealand’s approach, which expressed its target in much more precise language. But this assessment changed over time. </w:t>
      </w:r>
      <w:r w:rsidR="003649C0">
        <w:t>Australia’s approach</w:t>
      </w:r>
      <w:r w:rsidRPr="00941E4E">
        <w:t xml:space="preserve"> has proven to be resilient to quite substantial changes in the macroeconomic en</w:t>
      </w:r>
      <w:r w:rsidR="00F33714">
        <w:t>vironment, including the Asian financial c</w:t>
      </w:r>
      <w:r w:rsidRPr="00941E4E">
        <w:t xml:space="preserve">risis, introduction of the GST and the </w:t>
      </w:r>
      <w:r w:rsidR="00B2414E">
        <w:t>global financial crisis</w:t>
      </w:r>
      <w:r w:rsidRPr="00941E4E">
        <w:t xml:space="preserve">. Flexibility has come to be seen as a benefit. As such, many countries, including New Zealand, have since switched from a rigid to a flexible </w:t>
      </w:r>
      <w:r>
        <w:t xml:space="preserve">inflation-targeting </w:t>
      </w:r>
      <w:r w:rsidRPr="00941E4E">
        <w:t>regime.</w:t>
      </w:r>
    </w:p>
    <w:p w14:paraId="56ACA5B9" w14:textId="77777777" w:rsidR="00067669" w:rsidRDefault="00067669" w:rsidP="00067669">
      <w:r>
        <w:t xml:space="preserve">Since that time, </w:t>
      </w:r>
      <w:r w:rsidRPr="00C7308C">
        <w:rPr>
          <w:i/>
        </w:rPr>
        <w:t>Statements on the Conduct of Monetary Policy</w:t>
      </w:r>
      <w:r>
        <w:t xml:space="preserve"> have </w:t>
      </w:r>
      <w:r w:rsidR="00B04D48">
        <w:t>changed very little</w:t>
      </w:r>
      <w:r w:rsidR="003B569E">
        <w:t>.</w:t>
      </w:r>
      <w:r>
        <w:t xml:space="preserve"> </w:t>
      </w:r>
      <w:r w:rsidR="003B569E">
        <w:t>T</w:t>
      </w:r>
      <w:r>
        <w:t>he most recent Statement, agreed in 2016, has an inflation target of “2-3 per cent, on average, over time” and explicitly acknowledges the RBA’</w:t>
      </w:r>
      <w:bookmarkStart w:id="313" w:name="_Toc516147544"/>
      <w:r w:rsidR="00A237F9">
        <w:t>s financial stability mandate.</w:t>
      </w:r>
    </w:p>
    <w:p w14:paraId="1F0A9A5E" w14:textId="77777777" w:rsidR="004350AC" w:rsidRPr="00A91473" w:rsidRDefault="004350AC" w:rsidP="00447E63">
      <w:pPr>
        <w:pStyle w:val="Heading3"/>
        <w:rPr>
          <w:rStyle w:val="SubtleEmphasis"/>
          <w:i w:val="0"/>
          <w:iCs w:val="0"/>
          <w:color w:val="auto"/>
        </w:rPr>
      </w:pPr>
      <w:bookmarkStart w:id="314" w:name="_Toc525736253"/>
      <w:bookmarkStart w:id="315" w:name="_Toc525743552"/>
      <w:bookmarkStart w:id="316" w:name="_Toc525912232"/>
      <w:bookmarkStart w:id="317" w:name="_Toc525915353"/>
      <w:bookmarkStart w:id="318" w:name="_Toc526355342"/>
      <w:bookmarkStart w:id="319" w:name="_Toc526413605"/>
      <w:bookmarkStart w:id="320" w:name="_Toc526935122"/>
      <w:r>
        <w:t>Fiscal Policy</w:t>
      </w:r>
      <w:bookmarkEnd w:id="314"/>
      <w:bookmarkEnd w:id="315"/>
      <w:bookmarkEnd w:id="316"/>
      <w:bookmarkEnd w:id="317"/>
      <w:bookmarkEnd w:id="318"/>
      <w:bookmarkEnd w:id="319"/>
      <w:bookmarkEnd w:id="320"/>
    </w:p>
    <w:bookmarkEnd w:id="313"/>
    <w:p w14:paraId="74D0C849" w14:textId="77777777" w:rsidR="00067669" w:rsidRDefault="00067669" w:rsidP="000446E2">
      <w:pPr>
        <w:spacing w:after="200"/>
      </w:pPr>
      <w:r>
        <w:t>As with monetary policy, thinking about</w:t>
      </w:r>
      <w:r w:rsidRPr="00941E4E">
        <w:t xml:space="preserve"> fiscal policy </w:t>
      </w:r>
      <w:r>
        <w:t xml:space="preserve">has evolved to emphasise </w:t>
      </w:r>
      <w:r w:rsidRPr="00941E4E">
        <w:t>a medium-term perspective. While incurring deficits during a recession</w:t>
      </w:r>
      <w:r>
        <w:t xml:space="preserve"> has always been</w:t>
      </w:r>
      <w:r w:rsidRPr="00941E4E">
        <w:t xml:space="preserve"> regarded as sensible policy, </w:t>
      </w:r>
      <w:r>
        <w:t xml:space="preserve">there has been a shift towards </w:t>
      </w:r>
      <w:r w:rsidRPr="00941E4E">
        <w:t xml:space="preserve">offsetting these </w:t>
      </w:r>
      <w:r>
        <w:t xml:space="preserve">deficits </w:t>
      </w:r>
      <w:r w:rsidRPr="00941E4E">
        <w:t>with surpluses</w:t>
      </w:r>
      <w:r>
        <w:t xml:space="preserve"> where possible</w:t>
      </w:r>
      <w:r w:rsidRPr="00941E4E">
        <w:t xml:space="preserve">, </w:t>
      </w:r>
      <w:r>
        <w:t>in line with ensuring that the</w:t>
      </w:r>
      <w:r w:rsidRPr="00941E4E">
        <w:t xml:space="preserve"> government's debt position </w:t>
      </w:r>
      <w:r>
        <w:t xml:space="preserve">is stable </w:t>
      </w:r>
      <w:r w:rsidRPr="00941E4E">
        <w:t xml:space="preserve">in the long run. </w:t>
      </w:r>
      <w:r>
        <w:t xml:space="preserve">This focus on fiscal sustainability was influenced by concerns during </w:t>
      </w:r>
      <w:r w:rsidRPr="00941E4E">
        <w:t>the 19</w:t>
      </w:r>
      <w:r>
        <w:t xml:space="preserve">80s and early </w:t>
      </w:r>
      <w:r w:rsidRPr="00941E4E">
        <w:t>19</w:t>
      </w:r>
      <w:r>
        <w:t>90s about the ballooning current account deficit and external indebtedness.</w:t>
      </w:r>
      <w:r>
        <w:rPr>
          <w:rStyle w:val="FootnoteReference"/>
        </w:rPr>
        <w:footnoteReference w:id="85"/>
      </w:r>
    </w:p>
    <w:p w14:paraId="08A084F2" w14:textId="77777777" w:rsidR="00067669" w:rsidRPr="00941E4E" w:rsidRDefault="00067669" w:rsidP="000446E2">
      <w:pPr>
        <w:spacing w:after="200"/>
      </w:pPr>
      <w:r w:rsidRPr="00941E4E">
        <w:t>In response to what was perce</w:t>
      </w:r>
      <w:r>
        <w:t>ived as a national crisis</w:t>
      </w:r>
      <w:r w:rsidR="00772816">
        <w:t xml:space="preserve"> </w:t>
      </w:r>
      <w:r w:rsidR="001D3014">
        <w:t>– encapsulated in Treasurer Paul Keating’s</w:t>
      </w:r>
      <w:r w:rsidR="00772816">
        <w:t xml:space="preserve"> </w:t>
      </w:r>
      <w:r w:rsidR="001D3014">
        <w:t>“</w:t>
      </w:r>
      <w:r w:rsidR="00772816">
        <w:t>banana republic</w:t>
      </w:r>
      <w:r w:rsidR="001D3014">
        <w:t>”</w:t>
      </w:r>
      <w:r w:rsidR="00772816">
        <w:t xml:space="preserve"> statement</w:t>
      </w:r>
      <w:r w:rsidR="001D3014">
        <w:t xml:space="preserve"> –</w:t>
      </w:r>
      <w:r>
        <w:t xml:space="preserve"> the </w:t>
      </w:r>
      <w:r w:rsidR="00E53860">
        <w:t>g</w:t>
      </w:r>
      <w:r w:rsidRPr="00941E4E">
        <w:t xml:space="preserve">overnment </w:t>
      </w:r>
      <w:r>
        <w:t xml:space="preserve">at the time </w:t>
      </w:r>
      <w:r w:rsidRPr="00941E4E">
        <w:t xml:space="preserve">looked </w:t>
      </w:r>
      <w:r>
        <w:t>for ways to reduce expenditure and increase revenue</w:t>
      </w:r>
      <w:r w:rsidRPr="00941E4E">
        <w:t>. It sought to rein in its expenditure by specif</w:t>
      </w:r>
      <w:r>
        <w:t>ying</w:t>
      </w:r>
      <w:r w:rsidRPr="00941E4E">
        <w:t xml:space="preserve"> a number of fiscal rules</w:t>
      </w:r>
      <w:r>
        <w:rPr>
          <w:rStyle w:val="FootnoteReference"/>
        </w:rPr>
        <w:footnoteReference w:id="86"/>
      </w:r>
      <w:r w:rsidRPr="00941E4E">
        <w:t xml:space="preserve"> known as the ‘trilogy’</w:t>
      </w:r>
      <w:r>
        <w:t>.</w:t>
      </w:r>
      <w:r>
        <w:rPr>
          <w:rStyle w:val="FootnoteReference"/>
        </w:rPr>
        <w:footnoteReference w:id="87"/>
      </w:r>
      <w:r>
        <w:t xml:space="preserve"> Taxation revenue was improved through</w:t>
      </w:r>
      <w:r w:rsidRPr="00941E4E">
        <w:t xml:space="preserve"> better target</w:t>
      </w:r>
      <w:r>
        <w:t>ing and measures to address ‘loopholes’.</w:t>
      </w:r>
      <w:r w:rsidRPr="00941E4E">
        <w:t xml:space="preserve"> </w:t>
      </w:r>
      <w:r>
        <w:t>The measures affected nearly everyone in the community</w:t>
      </w:r>
      <w:r w:rsidR="003B6683">
        <w:t xml:space="preserve">, </w:t>
      </w:r>
      <w:r>
        <w:t>contribut</w:t>
      </w:r>
      <w:r w:rsidR="00634AA1">
        <w:t>ing</w:t>
      </w:r>
      <w:r>
        <w:t xml:space="preserve"> to public acceptance of the</w:t>
      </w:r>
      <w:r w:rsidR="00634AA1">
        <w:t>ir adoption</w:t>
      </w:r>
      <w:r>
        <w:t xml:space="preserve">. </w:t>
      </w:r>
      <w:r w:rsidR="003B6683">
        <w:t>The medium-</w:t>
      </w:r>
      <w:r w:rsidR="003B6683" w:rsidRPr="00941E4E">
        <w:t xml:space="preserve">term role of </w:t>
      </w:r>
      <w:r w:rsidR="003B6683">
        <w:t>fiscal policy became to increase national saving and reduce</w:t>
      </w:r>
      <w:r w:rsidR="003B6683" w:rsidRPr="00941E4E">
        <w:t xml:space="preserve"> recourse to foreign f</w:t>
      </w:r>
      <w:r w:rsidR="003B6683">
        <w:t>inancing of domestic investment. E</w:t>
      </w:r>
      <w:r>
        <w:t>ven during the early-</w:t>
      </w:r>
      <w:r w:rsidRPr="00941E4E">
        <w:t xml:space="preserve">1990s recession, </w:t>
      </w:r>
      <w:r>
        <w:t>whe</w:t>
      </w:r>
      <w:r w:rsidR="003B6683">
        <w:t>n</w:t>
      </w:r>
      <w:r>
        <w:t xml:space="preserve"> </w:t>
      </w:r>
      <w:r w:rsidRPr="00941E4E">
        <w:t xml:space="preserve">the immediate </w:t>
      </w:r>
      <w:r w:rsidR="003B6683">
        <w:t>focus of</w:t>
      </w:r>
      <w:r w:rsidRPr="00941E4E">
        <w:t xml:space="preserve"> fiscal policy </w:t>
      </w:r>
      <w:r w:rsidR="003B6683">
        <w:t xml:space="preserve">shifted </w:t>
      </w:r>
      <w:r w:rsidRPr="00941E4E">
        <w:t>to support</w:t>
      </w:r>
      <w:r w:rsidR="003B6683">
        <w:t>ing</w:t>
      </w:r>
      <w:r w:rsidRPr="00941E4E">
        <w:t xml:space="preserve"> economic recovery</w:t>
      </w:r>
      <w:r>
        <w:t xml:space="preserve">, the </w:t>
      </w:r>
      <w:r w:rsidR="003B6683">
        <w:t>g</w:t>
      </w:r>
      <w:r>
        <w:t xml:space="preserve">overnment maintained </w:t>
      </w:r>
      <w:r w:rsidR="003B6683">
        <w:t>i</w:t>
      </w:r>
      <w:r w:rsidR="00223CFC">
        <w:t xml:space="preserve">ts commitment to </w:t>
      </w:r>
      <w:r w:rsidR="003B6683">
        <w:t>this medium</w:t>
      </w:r>
      <w:r w:rsidR="00F727E9">
        <w:t>-</w:t>
      </w:r>
      <w:r w:rsidR="003B6683">
        <w:t>term goal</w:t>
      </w:r>
      <w:r w:rsidR="00480091">
        <w:t>.</w:t>
      </w:r>
      <w:r w:rsidRPr="00941E4E">
        <w:t xml:space="preserve"> </w:t>
      </w:r>
      <w:r w:rsidR="00223CFC">
        <w:t>To</w:t>
      </w:r>
      <w:r>
        <w:t xml:space="preserve"> help achieve this, </w:t>
      </w:r>
      <w:r w:rsidR="00223CFC">
        <w:t>it</w:t>
      </w:r>
      <w:r w:rsidRPr="00941E4E">
        <w:t xml:space="preserve"> commissioned an independent report on national saving</w:t>
      </w:r>
      <w:r>
        <w:t xml:space="preserve"> which </w:t>
      </w:r>
      <w:r w:rsidRPr="00941E4E">
        <w:t>argued forceful</w:t>
      </w:r>
      <w:r>
        <w:t>ly</w:t>
      </w:r>
      <w:r w:rsidRPr="001E5029">
        <w:t xml:space="preserve"> </w:t>
      </w:r>
      <w:r w:rsidRPr="00941E4E">
        <w:t>that ‘the greatest scope for raising … national saving lies in the public sector.</w:t>
      </w:r>
      <w:r>
        <w:t>’</w:t>
      </w:r>
      <w:r>
        <w:rPr>
          <w:rStyle w:val="FootnoteReference"/>
        </w:rPr>
        <w:footnoteReference w:id="88"/>
      </w:r>
    </w:p>
    <w:p w14:paraId="1118E519" w14:textId="77777777" w:rsidR="00781EC4" w:rsidRDefault="00554B55" w:rsidP="000446E2">
      <w:pPr>
        <w:spacing w:after="200"/>
      </w:pPr>
      <w:r>
        <w:t>As mentioned earlier, during the late 1980s and early 1990s</w:t>
      </w:r>
      <w:r w:rsidRPr="00941E4E">
        <w:t xml:space="preserve"> </w:t>
      </w:r>
      <w:r w:rsidR="00E06400">
        <w:t xml:space="preserve">the idea emerged </w:t>
      </w:r>
      <w:r w:rsidR="00067669" w:rsidRPr="00941E4E">
        <w:t xml:space="preserve">that the </w:t>
      </w:r>
      <w:r w:rsidR="00067669">
        <w:t>current account deficit</w:t>
      </w:r>
      <w:r w:rsidR="00067669" w:rsidRPr="00941E4E">
        <w:t xml:space="preserve"> was </w:t>
      </w:r>
      <w:r w:rsidR="00E06400">
        <w:t xml:space="preserve">not the </w:t>
      </w:r>
      <w:r w:rsidR="00067669" w:rsidRPr="00941E4E">
        <w:t xml:space="preserve">national crisis </w:t>
      </w:r>
      <w:r w:rsidR="00E06400">
        <w:t>it had been made out to be</w:t>
      </w:r>
      <w:r w:rsidR="00067669">
        <w:t>. This is now known as</w:t>
      </w:r>
      <w:r w:rsidR="00067669" w:rsidRPr="00941E4E">
        <w:t xml:space="preserve"> the ‘consenting adults’ </w:t>
      </w:r>
      <w:r w:rsidR="00067669">
        <w:t>view of current account deficits. In this case, academic economists were the independent actors that helped to change public views and influence government policy</w:t>
      </w:r>
      <w:r w:rsidR="00067669" w:rsidRPr="00941E4E">
        <w:t>.</w:t>
      </w:r>
      <w:r w:rsidR="00067669">
        <w:rPr>
          <w:rStyle w:val="FootnoteReference"/>
        </w:rPr>
        <w:footnoteReference w:id="89"/>
      </w:r>
      <w:r w:rsidR="00067669" w:rsidRPr="00941E4E">
        <w:t xml:space="preserve"> </w:t>
      </w:r>
      <w:r w:rsidR="00067669">
        <w:t>Nevertheless, large, sustained current account deficits have provided strong motivation for fiscal restraint since the mid</w:t>
      </w:r>
      <w:r w:rsidR="00CF2505">
        <w:t>-</w:t>
      </w:r>
      <w:r w:rsidR="00067669">
        <w:t>1980s.</w:t>
      </w:r>
      <w:r w:rsidR="00067669">
        <w:rPr>
          <w:rStyle w:val="FootnoteReference"/>
        </w:rPr>
        <w:footnoteReference w:id="90"/>
      </w:r>
    </w:p>
    <w:p w14:paraId="0319B7DE" w14:textId="77777777" w:rsidR="00067669" w:rsidRPr="00102214" w:rsidRDefault="00067669" w:rsidP="0075747D">
      <w:r>
        <w:t xml:space="preserve">By and large, Australia’ fiscal restraint has achieved its aims. Since the 1980s there have been periods of both </w:t>
      </w:r>
      <w:r w:rsidR="00E06400">
        <w:t>b</w:t>
      </w:r>
      <w:r>
        <w:t>udget surpluses and deficits.</w:t>
      </w:r>
      <w:r>
        <w:rPr>
          <w:rStyle w:val="FootnoteReference"/>
        </w:rPr>
        <w:footnoteReference w:id="91"/>
      </w:r>
      <w:r>
        <w:t xml:space="preserve"> Australia’s p</w:t>
      </w:r>
      <w:r w:rsidRPr="00E2125A">
        <w:t xml:space="preserve">ublic debt </w:t>
      </w:r>
      <w:r>
        <w:t>has been</w:t>
      </w:r>
      <w:r w:rsidRPr="00E2125A">
        <w:t xml:space="preserve"> </w:t>
      </w:r>
      <w:r>
        <w:t xml:space="preserve">low by international standards. Indeed, net government debt fell below zero in the mid-2000s following asset sales and a string of budget surpluses – a product of fiscal discipline and surging commodity export revenues. This meant that the </w:t>
      </w:r>
      <w:r w:rsidR="00E06400">
        <w:t>g</w:t>
      </w:r>
      <w:r>
        <w:t xml:space="preserve">overnment was well positioned to </w:t>
      </w:r>
      <w:r w:rsidR="003B569E">
        <w:t xml:space="preserve">withstand the </w:t>
      </w:r>
      <w:r w:rsidR="00E06400">
        <w:t xml:space="preserve">2007-08 </w:t>
      </w:r>
      <w:r w:rsidR="00B2414E">
        <w:t xml:space="preserve">global financial crisis </w:t>
      </w:r>
      <w:r w:rsidR="003B569E">
        <w:t xml:space="preserve">and to </w:t>
      </w:r>
      <w:r w:rsidR="00E06400">
        <w:t xml:space="preserve">respond to it with fiscal stimulus to </w:t>
      </w:r>
      <w:r>
        <w:t xml:space="preserve">support economic activity. </w:t>
      </w:r>
      <w:r w:rsidR="00E06400">
        <w:t>But ongoing deficits have been recorded since</w:t>
      </w:r>
      <w:r w:rsidR="00F727E9">
        <w:t xml:space="preserve"> that time</w:t>
      </w:r>
      <w:r w:rsidR="00E06400">
        <w:t>, reflecting a</w:t>
      </w:r>
      <w:r>
        <w:t xml:space="preserve"> sharp rise in the deficit </w:t>
      </w:r>
      <w:r w:rsidR="00E06400">
        <w:t>during the crisis</w:t>
      </w:r>
      <w:r>
        <w:t xml:space="preserve">, weaker tax revenues </w:t>
      </w:r>
      <w:r w:rsidR="003B569E">
        <w:t>and difficulties in reducing structural spending. A budget balance is now forecast for 2019-20 and</w:t>
      </w:r>
      <w:r>
        <w:t xml:space="preserve"> net debt is expected to peak at 18.6 per cent of GDP in 2017-18</w:t>
      </w:r>
      <w:r w:rsidR="009B6179">
        <w:t xml:space="preserve"> – a</w:t>
      </w:r>
      <w:r w:rsidR="003B569E">
        <w:t xml:space="preserve"> level </w:t>
      </w:r>
      <w:r>
        <w:t>well below the OECD average of over 70 per cent.</w:t>
      </w:r>
      <w:r>
        <w:rPr>
          <w:rStyle w:val="FootnoteReference"/>
        </w:rPr>
        <w:footnoteReference w:id="92"/>
      </w:r>
    </w:p>
    <w:p w14:paraId="0CAF7394" w14:textId="77777777" w:rsidR="00067669" w:rsidRPr="00781EC4" w:rsidRDefault="00067669" w:rsidP="0075747D">
      <w:pPr>
        <w:pStyle w:val="Heading4"/>
      </w:pPr>
      <w:bookmarkStart w:id="321" w:name="_Toc526413606"/>
      <w:r w:rsidRPr="0075747D">
        <w:t>Charter</w:t>
      </w:r>
      <w:r w:rsidRPr="00781EC4">
        <w:t xml:space="preserve"> of Budget Honesty</w:t>
      </w:r>
      <w:bookmarkEnd w:id="321"/>
    </w:p>
    <w:p w14:paraId="41F1A386" w14:textId="77777777" w:rsidR="00067669" w:rsidRDefault="00FD5797" w:rsidP="00CE4D9B">
      <w:r>
        <w:t xml:space="preserve">While </w:t>
      </w:r>
      <w:r w:rsidR="00941B7C">
        <w:t xml:space="preserve">fiscal </w:t>
      </w:r>
      <w:r w:rsidR="007050C9">
        <w:t>policy was</w:t>
      </w:r>
      <w:r>
        <w:t xml:space="preserve"> </w:t>
      </w:r>
      <w:r w:rsidR="00DF171C">
        <w:t>increasingly</w:t>
      </w:r>
      <w:r>
        <w:t xml:space="preserve"> emphasis</w:t>
      </w:r>
      <w:r w:rsidR="00DF171C">
        <w:t>ing</w:t>
      </w:r>
      <w:r>
        <w:t xml:space="preserve"> medium</w:t>
      </w:r>
      <w:r>
        <w:noBreakHyphen/>
        <w:t>term fiscal sustainability and increasing transparency, it was</w:t>
      </w:r>
      <w:r w:rsidR="00AA5CAF">
        <w:t xml:space="preserve"> </w:t>
      </w:r>
      <w:r>
        <w:t>n</w:t>
      </w:r>
      <w:r w:rsidR="00AA5CAF">
        <w:t>o</w:t>
      </w:r>
      <w:r>
        <w:t>t until a</w:t>
      </w:r>
      <w:r w:rsidR="00067669" w:rsidRPr="00FD2521">
        <w:t xml:space="preserve">fter </w:t>
      </w:r>
      <w:r w:rsidR="00067669">
        <w:t>a change in government</w:t>
      </w:r>
      <w:r w:rsidR="00067669" w:rsidRPr="00FD2521">
        <w:t xml:space="preserve"> in </w:t>
      </w:r>
      <w:r w:rsidR="00067669" w:rsidRPr="00F738AC">
        <w:t>1996</w:t>
      </w:r>
      <w:r>
        <w:t xml:space="preserve"> that a</w:t>
      </w:r>
      <w:r w:rsidR="00067669" w:rsidRPr="00F738AC">
        <w:t xml:space="preserve"> </w:t>
      </w:r>
      <w:r w:rsidR="00067669">
        <w:t>Charter of Budget Honesty was introduced</w:t>
      </w:r>
      <w:r>
        <w:t xml:space="preserve"> to </w:t>
      </w:r>
      <w:r w:rsidR="00203A0D">
        <w:t>formalise an approach to</w:t>
      </w:r>
      <w:r w:rsidR="00941B7C">
        <w:t xml:space="preserve"> fiscal </w:t>
      </w:r>
      <w:r w:rsidR="00203A0D">
        <w:t>management</w:t>
      </w:r>
      <w:r w:rsidR="00067669">
        <w:t>. Legislated in 1998 and still in place today, the Charter set out a framework for the conduct of fiscal policy and fiscal reporting, including how estimates should be presented in the budget, mid</w:t>
      </w:r>
      <w:r w:rsidR="0095650A">
        <w:noBreakHyphen/>
      </w:r>
      <w:r w:rsidR="00067669">
        <w:t xml:space="preserve">year update and </w:t>
      </w:r>
      <w:r w:rsidR="00DF171C">
        <w:t>pre-</w:t>
      </w:r>
      <w:r w:rsidR="00067669">
        <w:t xml:space="preserve">election </w:t>
      </w:r>
      <w:r w:rsidR="00DF171C">
        <w:t xml:space="preserve">update </w:t>
      </w:r>
      <w:r w:rsidR="00067669">
        <w:t>(</w:t>
      </w:r>
      <w:r w:rsidR="0095650A">
        <w:t>see</w:t>
      </w:r>
      <w:r w:rsidR="00BC3AEE">
        <w:t> </w:t>
      </w:r>
      <w:r w:rsidR="0095650A">
        <w:t>Box</w:t>
      </w:r>
      <w:r w:rsidR="00FA11A7">
        <w:t> </w:t>
      </w:r>
      <w:r w:rsidR="0095650A">
        <w:t>E</w:t>
      </w:r>
      <w:r w:rsidR="00067669">
        <w:t>). It also requires the budget be set against a medium</w:t>
      </w:r>
      <w:r w:rsidR="0095650A">
        <w:noBreakHyphen/>
      </w:r>
      <w:r w:rsidR="00067669">
        <w:t>term fiscal strategy – mirroring the medium-term monetary framework applied by the RBA. The Charter’s introduction was framed against concerns abo</w:t>
      </w:r>
      <w:r w:rsidR="00480091">
        <w:t>ut the current account deficit;</w:t>
      </w:r>
      <w:r w:rsidR="00067669">
        <w:t xml:space="preserve"> as the 1996-97 </w:t>
      </w:r>
      <w:r w:rsidR="00067669" w:rsidRPr="00384767">
        <w:t>Budget</w:t>
      </w:r>
      <w:r w:rsidR="00DF171C" w:rsidRPr="00DF171C">
        <w:t xml:space="preserve"> </w:t>
      </w:r>
      <w:r w:rsidR="00DF171C">
        <w:t>explained</w:t>
      </w:r>
      <w:r w:rsidR="00067669">
        <w:t xml:space="preserve">, </w:t>
      </w:r>
      <w:r w:rsidR="00DF171C">
        <w:t>“</w:t>
      </w:r>
      <w:r w:rsidR="00067669" w:rsidRPr="00384767">
        <w:t xml:space="preserve">the only sustainable solution to our high structural </w:t>
      </w:r>
      <w:r w:rsidR="00067669">
        <w:t>current account deficit</w:t>
      </w:r>
      <w:r w:rsidR="00067669" w:rsidRPr="00384767">
        <w:t xml:space="preserve"> is to boost significantly our level of national saving. Raising public sector saving and thereby, over time, national saving, is the primary objec</w:t>
      </w:r>
      <w:r w:rsidR="00067669">
        <w:t xml:space="preserve">tive of the </w:t>
      </w:r>
      <w:r w:rsidR="00E53860">
        <w:t>g</w:t>
      </w:r>
      <w:r w:rsidR="00067669">
        <w:t>overnment’s medium-</w:t>
      </w:r>
      <w:r w:rsidR="00067669" w:rsidRPr="00384767">
        <w:t>term fiscal consolidation strategy</w:t>
      </w:r>
      <w:r w:rsidR="00DF171C">
        <w:t>”</w:t>
      </w:r>
      <w:r w:rsidR="00067669">
        <w:t>.</w:t>
      </w:r>
      <w:r w:rsidR="00067669">
        <w:rPr>
          <w:rStyle w:val="FootnoteReference"/>
        </w:rPr>
        <w:footnoteReference w:id="93"/>
      </w:r>
      <w:r w:rsidR="00067669" w:rsidRPr="00944BBA">
        <w:t xml:space="preserve"> </w:t>
      </w:r>
      <w:r w:rsidR="003B569E">
        <w:t>T</w:t>
      </w:r>
      <w:r w:rsidR="00067669">
        <w:t xml:space="preserve">he Charter’s </w:t>
      </w:r>
      <w:r w:rsidR="003B569E">
        <w:t>operational benefits have</w:t>
      </w:r>
      <w:r w:rsidR="00067669">
        <w:t xml:space="preserve"> largely been in terms of budget transparency and accountability.</w:t>
      </w:r>
    </w:p>
    <w:tbl>
      <w:tblPr>
        <w:tblStyle w:val="TableGrid"/>
        <w:tblW w:w="0" w:type="auto"/>
        <w:shd w:val="clear" w:color="auto" w:fill="EAEDF1" w:themeFill="accent4" w:themeFillTint="33"/>
        <w:tblLook w:val="04A0" w:firstRow="1" w:lastRow="0" w:firstColumn="1" w:lastColumn="0" w:noHBand="0" w:noVBand="1"/>
      </w:tblPr>
      <w:tblGrid>
        <w:gridCol w:w="9286"/>
      </w:tblGrid>
      <w:tr w:rsidR="00B77BC7" w14:paraId="340C06FE" w14:textId="77777777" w:rsidTr="005E1970">
        <w:tc>
          <w:tcPr>
            <w:tcW w:w="9286" w:type="dxa"/>
            <w:shd w:val="clear" w:color="auto" w:fill="EAEDF1" w:themeFill="accent4" w:themeFillTint="33"/>
          </w:tcPr>
          <w:p w14:paraId="6E1B2355" w14:textId="77777777" w:rsidR="00B77BC7" w:rsidRPr="00781EC4" w:rsidRDefault="00B77BC7" w:rsidP="00B77BC7">
            <w:pPr>
              <w:pStyle w:val="BoxHeading"/>
            </w:pPr>
            <w:r>
              <w:t>Box E:</w:t>
            </w:r>
            <w:r w:rsidRPr="0039408D">
              <w:t xml:space="preserve"> Summ</w:t>
            </w:r>
            <w:r>
              <w:t>ary: Charter of Budget Honesty</w:t>
            </w:r>
          </w:p>
          <w:p w14:paraId="222778BB" w14:textId="77777777" w:rsidR="00B77BC7" w:rsidRPr="009A12F0" w:rsidRDefault="00B77BC7" w:rsidP="00B77BC7">
            <w:pPr>
              <w:pStyle w:val="BoxText"/>
            </w:pPr>
            <w:r w:rsidRPr="009A12F0">
              <w:t>The Charter imposes a formal</w:t>
            </w:r>
            <w:r>
              <w:t xml:space="preserve"> requirement on the Australian G</w:t>
            </w:r>
            <w:r w:rsidRPr="009A12F0">
              <w:t xml:space="preserve">overnment to set out and report against a medium-term fiscal strategy, which is required to be based on </w:t>
            </w:r>
            <w:r>
              <w:t>“</w:t>
            </w:r>
            <w:r w:rsidRPr="009A12F0">
              <w:t>principles of sound fiscal management</w:t>
            </w:r>
            <w:r>
              <w:t>”</w:t>
            </w:r>
            <w:r w:rsidRPr="009A12F0">
              <w:t xml:space="preserve">. These principles require fiscal policy to have regard to: government debt and the management of financial risks; the state of the economic cycle; the adequacy of national saving; the stability and integrity of the tax base; </w:t>
            </w:r>
            <w:r w:rsidR="00A237F9">
              <w:t>and equity between generations.</w:t>
            </w:r>
          </w:p>
          <w:p w14:paraId="5F4F535B" w14:textId="77777777" w:rsidR="00B77BC7" w:rsidRDefault="00B77BC7" w:rsidP="00B77BC7">
            <w:pPr>
              <w:pStyle w:val="BoxText"/>
            </w:pPr>
            <w:r w:rsidRPr="009A12F0">
              <w:t xml:space="preserve">The primary objective </w:t>
            </w:r>
            <w:r>
              <w:t xml:space="preserve">of the </w:t>
            </w:r>
            <w:r w:rsidRPr="009A12F0">
              <w:t xml:space="preserve">medium-term fiscal strategy is to maintain budget </w:t>
            </w:r>
            <w:r>
              <w:t>surpluses</w:t>
            </w:r>
            <w:r w:rsidRPr="009A12F0">
              <w:t>, on average, over the course of the economic cycle</w:t>
            </w:r>
            <w:r>
              <w:t xml:space="preserve"> (2018-19 Budget)</w:t>
            </w:r>
            <w:r w:rsidRPr="009A12F0">
              <w:t xml:space="preserve">. </w:t>
            </w:r>
            <w:r>
              <w:t>This is underpinned by four policy elements:</w:t>
            </w:r>
          </w:p>
          <w:p w14:paraId="013DB775" w14:textId="77777777" w:rsidR="00B77BC7" w:rsidRPr="004433F9" w:rsidRDefault="00B77BC7" w:rsidP="00B77BC7">
            <w:pPr>
              <w:pStyle w:val="BoxBullet"/>
              <w:rPr>
                <w:spacing w:val="-2"/>
              </w:rPr>
            </w:pPr>
            <w:r w:rsidRPr="004433F9">
              <w:rPr>
                <w:spacing w:val="-2"/>
              </w:rPr>
              <w:t>investing in infrastructure to boost productivity and participation;</w:t>
            </w:r>
          </w:p>
          <w:p w14:paraId="37B3BE79" w14:textId="77777777" w:rsidR="00B77BC7" w:rsidRPr="004433F9" w:rsidRDefault="00B77BC7" w:rsidP="00B77BC7">
            <w:pPr>
              <w:pStyle w:val="BoxBullet"/>
              <w:rPr>
                <w:spacing w:val="-2"/>
              </w:rPr>
            </w:pPr>
            <w:r w:rsidRPr="004433F9">
              <w:rPr>
                <w:spacing w:val="-2"/>
              </w:rPr>
              <w:t>reducing the Government’s share of the economy over t</w:t>
            </w:r>
            <w:r w:rsidR="00A237F9" w:rsidRPr="004433F9">
              <w:rPr>
                <w:spacing w:val="-2"/>
              </w:rPr>
              <w:t>ime by controlling expenditure;</w:t>
            </w:r>
          </w:p>
          <w:p w14:paraId="059EFFEE" w14:textId="77777777" w:rsidR="00B77BC7" w:rsidRPr="004433F9" w:rsidRDefault="00B77BC7" w:rsidP="00B77BC7">
            <w:pPr>
              <w:pStyle w:val="BoxBullet"/>
              <w:rPr>
                <w:spacing w:val="-2"/>
              </w:rPr>
            </w:pPr>
            <w:r w:rsidRPr="004433F9">
              <w:rPr>
                <w:spacing w:val="-2"/>
              </w:rPr>
              <w:t>policies that support revenue growth, while maintaining a tax-to-GDP ratio at or below</w:t>
            </w:r>
            <w:r w:rsidR="000446E2" w:rsidRPr="004433F9">
              <w:rPr>
                <w:spacing w:val="-2"/>
              </w:rPr>
              <w:t xml:space="preserve"> </w:t>
            </w:r>
            <w:r w:rsidRPr="004433F9">
              <w:rPr>
                <w:spacing w:val="-2"/>
              </w:rPr>
              <w:t>23.9 per cent; and</w:t>
            </w:r>
          </w:p>
          <w:p w14:paraId="3FCCEF7B" w14:textId="77777777" w:rsidR="00B77BC7" w:rsidRDefault="00B77BC7" w:rsidP="00B77BC7">
            <w:pPr>
              <w:pStyle w:val="BoxBullet"/>
            </w:pPr>
            <w:r w:rsidRPr="004433F9">
              <w:rPr>
                <w:spacing w:val="-2"/>
              </w:rPr>
              <w:t>strengthening the Australian Government’s net worth over time.</w:t>
            </w:r>
          </w:p>
        </w:tc>
      </w:tr>
    </w:tbl>
    <w:p w14:paraId="4C7518C9" w14:textId="77777777" w:rsidR="009429E8" w:rsidRPr="00B77BC7" w:rsidRDefault="009429E8" w:rsidP="00B77BC7">
      <w:pPr>
        <w:pStyle w:val="SingleParagraph"/>
      </w:pPr>
    </w:p>
    <w:p w14:paraId="4344C10B" w14:textId="77777777" w:rsidR="00067669" w:rsidRDefault="00067669" w:rsidP="00CE4D9B">
      <w:r w:rsidRPr="00E2125A">
        <w:t xml:space="preserve">The notable feature of the </w:t>
      </w:r>
      <w:r>
        <w:t>Charter</w:t>
      </w:r>
      <w:r w:rsidRPr="00E2125A">
        <w:t xml:space="preserve"> is its </w:t>
      </w:r>
      <w:r w:rsidR="003B569E">
        <w:t>principles basis</w:t>
      </w:r>
      <w:r w:rsidRPr="00E2125A">
        <w:t xml:space="preserve">. </w:t>
      </w:r>
      <w:r>
        <w:t>Compared with the trilogy commitments and with frameworks adopted in other countries, the Charter avoids detailing strict fiscal rules and instead sets out principles on which the government’s fiscal strategy must be founded. The fiscal strategy —to “achieve</w:t>
      </w:r>
      <w:r w:rsidRPr="009A12F0">
        <w:t xml:space="preserve"> budget </w:t>
      </w:r>
      <w:r>
        <w:t>surpluses</w:t>
      </w:r>
      <w:r w:rsidRPr="009A12F0">
        <w:t>, on average, over the course of the economic cycle</w:t>
      </w:r>
      <w:r>
        <w:t>” — is described in a way that gives the government ‘constrained discretion’. The medium</w:t>
      </w:r>
      <w:r>
        <w:noBreakHyphen/>
        <w:t xml:space="preserve">term focus and flexibility are consistent with the approach taken in the </w:t>
      </w:r>
      <w:r w:rsidRPr="008F30CD">
        <w:rPr>
          <w:i/>
        </w:rPr>
        <w:t>Statement on the C</w:t>
      </w:r>
      <w:r>
        <w:rPr>
          <w:i/>
        </w:rPr>
        <w:t>onduct of Monetary P</w:t>
      </w:r>
      <w:r w:rsidRPr="008F30CD">
        <w:rPr>
          <w:i/>
        </w:rPr>
        <w:t>olicy</w:t>
      </w:r>
      <w:r>
        <w:t xml:space="preserve">. In the years since the Charter was adopted, governments have had mixed success in achieving their fiscal strategies. But the discretionary nature of the Charter is balanced by a number of transparency requirements including </w:t>
      </w:r>
      <w:r w:rsidRPr="001E2E57">
        <w:t xml:space="preserve">the requirement to publish a pre-election economic and fiscal outlook report once a </w:t>
      </w:r>
      <w:r w:rsidR="00757217">
        <w:t>f</w:t>
      </w:r>
      <w:r w:rsidRPr="001E2E57">
        <w:t>ederal election has been called, and an Intergenerat</w:t>
      </w:r>
      <w:r>
        <w:t>ional Report every five</w:t>
      </w:r>
      <w:r w:rsidR="00687F6D">
        <w:t> </w:t>
      </w:r>
      <w:r>
        <w:t>years.</w:t>
      </w:r>
    </w:p>
    <w:p w14:paraId="3FAE9DA9" w14:textId="77777777" w:rsidR="00067669" w:rsidRDefault="00067669" w:rsidP="00CE4D9B">
      <w:r w:rsidRPr="00E2125A">
        <w:t>The acceptance of the Charter as a bedrock of Australia’s fiscal strategy has occurred alongside a number of other public financial management innovations.</w:t>
      </w:r>
      <w:r>
        <w:t xml:space="preserve"> In the late 1990s, Australia became one</w:t>
      </w:r>
      <w:r w:rsidR="00FA11A7">
        <w:t> </w:t>
      </w:r>
      <w:r>
        <w:t xml:space="preserve">of the first countries to adopt accrual accounting and to shift its budget to a framework based on outcomes </w:t>
      </w:r>
      <w:r w:rsidR="00182FD2">
        <w:t>as well as</w:t>
      </w:r>
      <w:r>
        <w:t xml:space="preserve"> outputs, having previously moved to a multi-year budgeting process during the 1980s. Since 2002, in a requirement enshrined in the Charter, the </w:t>
      </w:r>
      <w:r w:rsidR="00182FD2">
        <w:t>g</w:t>
      </w:r>
      <w:r>
        <w:t xml:space="preserve">overnment has released an Intergenerational Report to </w:t>
      </w:r>
      <w:r w:rsidRPr="001E2E57">
        <w:t>as</w:t>
      </w:r>
      <w:r>
        <w:t>sess sustainability of current g</w:t>
      </w:r>
      <w:r w:rsidRPr="001E2E57">
        <w:t>overnment policies</w:t>
      </w:r>
      <w:r>
        <w:t xml:space="preserve"> over a</w:t>
      </w:r>
      <w:r w:rsidR="00B77BC7">
        <w:br/>
      </w:r>
      <w:r>
        <w:t xml:space="preserve">40-year horizon. In 2005, drawing on lessons from the first </w:t>
      </w:r>
      <w:r w:rsidR="00695EDB">
        <w:t>Intergenerational Report</w:t>
      </w:r>
      <w:r>
        <w:t xml:space="preserve">, the </w:t>
      </w:r>
      <w:r w:rsidR="00182FD2">
        <w:t>g</w:t>
      </w:r>
      <w:r>
        <w:t>overnment established the Future Fund, a sovereign wealth fund with a very specific objective: paying for the unfunded pension liabilities of public servants. And in 2012</w:t>
      </w:r>
      <w:r w:rsidR="00182FD2">
        <w:t>,</w:t>
      </w:r>
      <w:r>
        <w:t xml:space="preserve"> a Parliamentary Budget Office </w:t>
      </w:r>
      <w:r w:rsidR="003B569E">
        <w:t xml:space="preserve">was established </w:t>
      </w:r>
      <w:r>
        <w:t>to provide federal parliamentarians with independent analysis of fiscal and policy issues.</w:t>
      </w:r>
    </w:p>
    <w:p w14:paraId="28E32DFE" w14:textId="77777777" w:rsidR="00067669" w:rsidRPr="00E22DCB" w:rsidRDefault="00067669" w:rsidP="0073028D">
      <w:pPr>
        <w:pStyle w:val="Heading4"/>
      </w:pPr>
      <w:bookmarkStart w:id="322" w:name="_Toc526413607"/>
      <w:r w:rsidRPr="00E22DCB">
        <w:t>Tax and spending measures</w:t>
      </w:r>
      <w:bookmarkEnd w:id="322"/>
    </w:p>
    <w:p w14:paraId="2E683BB2" w14:textId="77777777" w:rsidR="00067669" w:rsidRDefault="00067669" w:rsidP="004433F9">
      <w:pPr>
        <w:spacing w:after="200"/>
      </w:pPr>
      <w:r w:rsidRPr="00E2125A">
        <w:t>Australia is a relat</w:t>
      </w:r>
      <w:r>
        <w:t>ively small-</w:t>
      </w:r>
      <w:r w:rsidRPr="00E2125A">
        <w:t>government economy.</w:t>
      </w:r>
      <w:r w:rsidRPr="006D62FA">
        <w:t xml:space="preserve"> </w:t>
      </w:r>
      <w:r>
        <w:t xml:space="preserve">Tax revenue from all levels of government was 28.2 per cent of GDP in 2015, well below the OECD average of 34 per cent. </w:t>
      </w:r>
      <w:r w:rsidR="009073D5">
        <w:t>It</w:t>
      </w:r>
      <w:r>
        <w:t xml:space="preserve"> has fluctuated but generally been around this level</w:t>
      </w:r>
      <w:r w:rsidR="009073D5" w:rsidRPr="009073D5">
        <w:t xml:space="preserve"> </w:t>
      </w:r>
      <w:r w:rsidR="009073D5">
        <w:t>since the late 1980s, after rising from 21 per cent in the early 1970s</w:t>
      </w:r>
      <w:r>
        <w:t>.</w:t>
      </w:r>
      <w:r w:rsidRPr="00045B3A">
        <w:t xml:space="preserve"> </w:t>
      </w:r>
      <w:r>
        <w:t xml:space="preserve">Spending tells a similar story. In </w:t>
      </w:r>
      <w:r w:rsidR="000D4EF2">
        <w:t>2015</w:t>
      </w:r>
      <w:r w:rsidR="009073D5">
        <w:t>,</w:t>
      </w:r>
      <w:r w:rsidR="000D4EF2">
        <w:t xml:space="preserve"> </w:t>
      </w:r>
      <w:r>
        <w:t>general government spending</w:t>
      </w:r>
      <w:r w:rsidR="00141B01">
        <w:t xml:space="preserve"> across all levels of government</w:t>
      </w:r>
      <w:r>
        <w:t xml:space="preserve"> was 36.2 per cent of GDP,</w:t>
      </w:r>
      <w:r w:rsidR="000D4EF2">
        <w:rPr>
          <w:rStyle w:val="FootnoteReference"/>
        </w:rPr>
        <w:footnoteReference w:id="94"/>
      </w:r>
      <w:r>
        <w:t xml:space="preserve"> making Australia’s government the </w:t>
      </w:r>
      <w:r w:rsidR="000D4EF2">
        <w:t>8</w:t>
      </w:r>
      <w:r w:rsidR="000D4EF2" w:rsidRPr="00C00F9A">
        <w:rPr>
          <w:vertAlign w:val="superscript"/>
        </w:rPr>
        <w:t>th</w:t>
      </w:r>
      <w:r w:rsidR="000D4EF2">
        <w:t xml:space="preserve"> </w:t>
      </w:r>
      <w:r>
        <w:t>smallest among 3</w:t>
      </w:r>
      <w:r w:rsidR="000D4EF2">
        <w:t>4</w:t>
      </w:r>
      <w:r>
        <w:t xml:space="preserve"> OECD nations.</w:t>
      </w:r>
      <w:r>
        <w:rPr>
          <w:rStyle w:val="FootnoteReference"/>
        </w:rPr>
        <w:footnoteReference w:id="95"/>
      </w:r>
      <w:r>
        <w:t xml:space="preserve"> This share has bounced around since the 1980s in response to changes in economic performance and policy, including two periods of especially sharp cuts in discretionary spending in the mid</w:t>
      </w:r>
      <w:r w:rsidR="00DA5712">
        <w:t>-</w:t>
      </w:r>
      <w:r>
        <w:t xml:space="preserve">1980s and the late 1990s. </w:t>
      </w:r>
      <w:r w:rsidR="009073D5">
        <w:t>And d</w:t>
      </w:r>
      <w:r>
        <w:t xml:space="preserve">espite strong safety nets, Australia’s welfare system is generally more targeted than its peers; public social spending </w:t>
      </w:r>
      <w:r w:rsidR="009D6770">
        <w:t>was 19.1 </w:t>
      </w:r>
      <w:r>
        <w:t>per cent of GDP</w:t>
      </w:r>
      <w:r w:rsidR="009073D5">
        <w:t xml:space="preserve"> in 2016</w:t>
      </w:r>
      <w:r>
        <w:t>, below the OECD average of 21</w:t>
      </w:r>
      <w:r w:rsidR="00760BA3">
        <w:t> </w:t>
      </w:r>
      <w:r>
        <w:t>per</w:t>
      </w:r>
      <w:r w:rsidR="00760BA3">
        <w:t> </w:t>
      </w:r>
      <w:r>
        <w:t>cent.</w:t>
      </w:r>
      <w:r>
        <w:rPr>
          <w:rStyle w:val="FootnoteReference"/>
        </w:rPr>
        <w:footnoteReference w:id="96"/>
      </w:r>
    </w:p>
    <w:p w14:paraId="6FC6EE02" w14:textId="77777777" w:rsidR="00067669" w:rsidRDefault="00067669" w:rsidP="004433F9">
      <w:pPr>
        <w:spacing w:after="200"/>
      </w:pPr>
      <w:r w:rsidRPr="00941E4E">
        <w:t xml:space="preserve">Australia’s tax system has undergone substantial reform since the 1970s. </w:t>
      </w:r>
      <w:r>
        <w:t>The overriding goal has been to improve efficiency and fairness,</w:t>
      </w:r>
      <w:r w:rsidRPr="00A63F83">
        <w:t xml:space="preserve"> </w:t>
      </w:r>
      <w:r>
        <w:t xml:space="preserve">with </w:t>
      </w:r>
      <w:r w:rsidRPr="00A63F83">
        <w:t xml:space="preserve">sharp reductions in personal and corporate income tax rates accompanied by </w:t>
      </w:r>
      <w:r>
        <w:t>measures to broaden the base.</w:t>
      </w:r>
      <w:r>
        <w:rPr>
          <w:rStyle w:val="FootnoteReference"/>
        </w:rPr>
        <w:footnoteReference w:id="97"/>
      </w:r>
      <w:r w:rsidRPr="00A63F83">
        <w:t xml:space="preserve"> The top personal income tax rate</w:t>
      </w:r>
      <w:r>
        <w:t xml:space="preserve"> has been cut from 60 per cent to 45 per cent today, while tax brackets have been steadily shifted upwards.</w:t>
      </w:r>
      <w:r w:rsidR="00933C79">
        <w:rPr>
          <w:rStyle w:val="FootnoteReference"/>
        </w:rPr>
        <w:footnoteReference w:id="98"/>
      </w:r>
      <w:r>
        <w:t xml:space="preserve"> The corporate income tax rate has fallen from 49 per cent in 1986 to 27.5 per cent for smaller businesses and 30 per cent for the remainder</w:t>
      </w:r>
      <w:r w:rsidR="00933C79">
        <w:t>, with noticeable step downs in the rate in 1988, 1993</w:t>
      </w:r>
      <w:r w:rsidR="00EF7F6B">
        <w:t>, and 2000-2001. These</w:t>
      </w:r>
      <w:r w:rsidR="00951999">
        <w:t xml:space="preserve"> reductions ensured Australia remain</w:t>
      </w:r>
      <w:r w:rsidR="001B0E1F">
        <w:t>ed</w:t>
      </w:r>
      <w:r w:rsidR="00951999">
        <w:t xml:space="preserve"> competitive with its OECD peers and continue</w:t>
      </w:r>
      <w:r w:rsidR="001B0E1F">
        <w:t>d</w:t>
      </w:r>
      <w:r w:rsidR="00951999">
        <w:t xml:space="preserve"> to attract foreign investment.</w:t>
      </w:r>
    </w:p>
    <w:p w14:paraId="3DA5B478" w14:textId="77777777" w:rsidR="00067669" w:rsidRDefault="00067669" w:rsidP="004433F9">
      <w:pPr>
        <w:spacing w:after="200"/>
      </w:pPr>
      <w:r w:rsidRPr="00941E4E">
        <w:t xml:space="preserve">The 1980s was a period of major tax reform, even if </w:t>
      </w:r>
      <w:r>
        <w:t xml:space="preserve">the </w:t>
      </w:r>
      <w:r w:rsidR="00E63C2A">
        <w:t>g</w:t>
      </w:r>
      <w:r w:rsidRPr="00941E4E">
        <w:t xml:space="preserve">overnment’s ambitions were constrained by its </w:t>
      </w:r>
      <w:r>
        <w:t>desire for</w:t>
      </w:r>
      <w:r w:rsidRPr="00941E4E">
        <w:t xml:space="preserve"> consensus.</w:t>
      </w:r>
      <w:r>
        <w:rPr>
          <w:b/>
        </w:rPr>
        <w:t xml:space="preserve"> </w:t>
      </w:r>
      <w:r>
        <w:t xml:space="preserve">The </w:t>
      </w:r>
      <w:r w:rsidR="00E63C2A">
        <w:t>g</w:t>
      </w:r>
      <w:r>
        <w:t xml:space="preserve">overnment wanted to introduce a broad-based consumption tax to reduce Australia’s heavy reliance on income taxes at that time. However, when it was put forward at the </w:t>
      </w:r>
      <w:r w:rsidR="00E63C2A">
        <w:t>g</w:t>
      </w:r>
      <w:r>
        <w:t xml:space="preserve">overnment’s national tax summit in 1985, the consumption tax proposal was quashed by unions, business and welfare groups. Nonetheless, much of the rest of the reform program was endorsed. Alongside big cuts in personal and corporate income tax, the </w:t>
      </w:r>
      <w:r w:rsidR="00E63C2A">
        <w:t>g</w:t>
      </w:r>
      <w:r>
        <w:t xml:space="preserve">overnment introduced dividend imputation to stop corporate profits being taxed twice: first through company tax on corporate profits, and second through personal income tax on dividends paid to shareholders. And its adoption of a fringe benefits tax and capital gains tax </w:t>
      </w:r>
      <w:r w:rsidR="003B569E">
        <w:t>broadened the tax base</w:t>
      </w:r>
      <w:r w:rsidR="00A237F9">
        <w:t>.</w:t>
      </w:r>
    </w:p>
    <w:p w14:paraId="19092F18" w14:textId="77777777" w:rsidR="00CE1CA0" w:rsidRDefault="00067669" w:rsidP="004433F9">
      <w:pPr>
        <w:spacing w:after="0"/>
      </w:pPr>
      <w:r w:rsidRPr="00941E4E">
        <w:t>A consumption tax would have to wait a</w:t>
      </w:r>
      <w:r w:rsidR="001D3014">
        <w:t>nother</w:t>
      </w:r>
      <w:r w:rsidRPr="00941E4E">
        <w:t xml:space="preserve"> 15 years.</w:t>
      </w:r>
      <w:r>
        <w:rPr>
          <w:b/>
        </w:rPr>
        <w:t xml:space="preserve"> </w:t>
      </w:r>
      <w:r w:rsidRPr="00190816">
        <w:t xml:space="preserve">In </w:t>
      </w:r>
      <w:r w:rsidR="00772816">
        <w:t>1998</w:t>
      </w:r>
      <w:r w:rsidRPr="00190816">
        <w:t>,</w:t>
      </w:r>
      <w:r>
        <w:t xml:space="preserve"> a new </w:t>
      </w:r>
      <w:r w:rsidRPr="000B56CA">
        <w:t xml:space="preserve">government </w:t>
      </w:r>
      <w:r w:rsidR="00C97ED3">
        <w:t>announced</w:t>
      </w:r>
      <w:r w:rsidR="00772816">
        <w:t xml:space="preserve"> </w:t>
      </w:r>
      <w:r w:rsidR="001D3014">
        <w:t>A</w:t>
      </w:r>
      <w:r w:rsidR="0095650A">
        <w:t> </w:t>
      </w:r>
      <w:r w:rsidR="001D3014">
        <w:t xml:space="preserve">New Tax System (ANTS), </w:t>
      </w:r>
      <w:r w:rsidR="00772816">
        <w:t xml:space="preserve">a comprehensive tax reform plan </w:t>
      </w:r>
      <w:r w:rsidR="00483192">
        <w:t>with</w:t>
      </w:r>
      <w:r w:rsidR="00772816" w:rsidRPr="000B56CA">
        <w:t xml:space="preserve"> </w:t>
      </w:r>
      <w:r w:rsidRPr="000B56CA">
        <w:t>a 10 per cent goods and services tax</w:t>
      </w:r>
      <w:r>
        <w:t xml:space="preserve"> (GST) </w:t>
      </w:r>
      <w:r w:rsidR="00483192">
        <w:t xml:space="preserve">as its centrepiece. </w:t>
      </w:r>
      <w:r w:rsidR="003B569E">
        <w:t>E</w:t>
      </w:r>
      <w:r>
        <w:t>xemptions on food and education</w:t>
      </w:r>
      <w:r w:rsidR="00772816">
        <w:t xml:space="preserve"> </w:t>
      </w:r>
      <w:r w:rsidR="00483192">
        <w:t xml:space="preserve">were included to </w:t>
      </w:r>
      <w:r w:rsidR="002D3F19">
        <w:t>ensure</w:t>
      </w:r>
      <w:r w:rsidR="00483192">
        <w:t xml:space="preserve"> support </w:t>
      </w:r>
      <w:r w:rsidR="003A7130">
        <w:t xml:space="preserve">for the GST </w:t>
      </w:r>
      <w:r w:rsidR="00483192">
        <w:t xml:space="preserve">in the parliament. </w:t>
      </w:r>
      <w:r w:rsidR="003B569E">
        <w:t xml:space="preserve">Over time, consumption of tax-exempt items has increased </w:t>
      </w:r>
      <w:r w:rsidR="00F723DE">
        <w:t xml:space="preserve">such that in 2014 </w:t>
      </w:r>
      <w:r w:rsidR="00E63C2A">
        <w:t xml:space="preserve">Australia’s </w:t>
      </w:r>
      <w:r w:rsidR="003B569E">
        <w:t>GST base cover</w:t>
      </w:r>
      <w:r w:rsidR="00F723DE">
        <w:t>ed</w:t>
      </w:r>
      <w:r w:rsidR="003B569E">
        <w:t xml:space="preserve"> </w:t>
      </w:r>
      <w:r w:rsidR="00F723DE">
        <w:t>close to 50</w:t>
      </w:r>
      <w:r w:rsidR="003B569E">
        <w:t xml:space="preserve"> per cent of household expenditure compared</w:t>
      </w:r>
      <w:r w:rsidR="00F723DE">
        <w:t xml:space="preserve"> with 96</w:t>
      </w:r>
      <w:r w:rsidR="00765D57">
        <w:t> </w:t>
      </w:r>
      <w:r w:rsidR="003B569E">
        <w:t>per cent in New Zealand</w:t>
      </w:r>
      <w:r w:rsidR="00F723DE">
        <w:t>.</w:t>
      </w:r>
      <w:r w:rsidR="00997AEA">
        <w:rPr>
          <w:rStyle w:val="FootnoteReference"/>
        </w:rPr>
        <w:footnoteReference w:id="99"/>
      </w:r>
      <w:r w:rsidR="003B569E">
        <w:t xml:space="preserve"> </w:t>
      </w:r>
      <w:r w:rsidR="00483192">
        <w:t xml:space="preserve">The </w:t>
      </w:r>
      <w:r w:rsidR="00E63C2A">
        <w:t xml:space="preserve">GST </w:t>
      </w:r>
      <w:r>
        <w:t xml:space="preserve">replaced a narrow wholesale sales tax and various </w:t>
      </w:r>
      <w:r w:rsidR="00E63C2A">
        <w:t>s</w:t>
      </w:r>
      <w:r>
        <w:t xml:space="preserve">tate-based taxes, </w:t>
      </w:r>
      <w:r w:rsidR="001D3014">
        <w:t>and</w:t>
      </w:r>
      <w:r>
        <w:t xml:space="preserve"> enabled further reductions in personal income taxes.</w:t>
      </w:r>
      <w:r w:rsidRPr="00F51533">
        <w:t xml:space="preserve"> </w:t>
      </w:r>
      <w:r w:rsidR="001B0E1F">
        <w:t>The government also lowered the company tax rate further and broadened its base.</w:t>
      </w:r>
    </w:p>
    <w:p w14:paraId="10607AD9" w14:textId="77777777" w:rsidR="00067669" w:rsidRDefault="00067669" w:rsidP="00CE4D9B">
      <w:r>
        <w:t xml:space="preserve">Up until the most recent personal income tax reforms </w:t>
      </w:r>
      <w:r w:rsidR="003B569E">
        <w:t>legislated after</w:t>
      </w:r>
      <w:r>
        <w:t xml:space="preserve"> the 2018-19 Budget, reforms since have been </w:t>
      </w:r>
      <w:r w:rsidR="001D3014">
        <w:t xml:space="preserve">relatively </w:t>
      </w:r>
      <w:r>
        <w:t>incremental</w:t>
      </w:r>
      <w:r w:rsidR="001D3014">
        <w:t xml:space="preserve"> </w:t>
      </w:r>
      <w:r>
        <w:t>or temporary. Personal income tax brackets have been periodically adjusted up, offsetting the effect of fiscal drag. A carbon tax was introduced in 2011 but repealed three years later</w:t>
      </w:r>
      <w:r w:rsidR="00BE4352">
        <w:t>. A</w:t>
      </w:r>
      <w:r>
        <w:t>nd a</w:t>
      </w:r>
      <w:r w:rsidR="002F5936">
        <w:t xml:space="preserve"> </w:t>
      </w:r>
      <w:r>
        <w:t>rent tax</w:t>
      </w:r>
      <w:r w:rsidR="00BE4352">
        <w:t xml:space="preserve"> on coal and iron ore mining </w:t>
      </w:r>
      <w:r w:rsidR="00587CBD">
        <w:t>w</w:t>
      </w:r>
      <w:r>
        <w:t xml:space="preserve">as introduced for a </w:t>
      </w:r>
      <w:r w:rsidR="00BE4352">
        <w:t>little over</w:t>
      </w:r>
      <w:r>
        <w:t xml:space="preserve"> two years from mid-2012.</w:t>
      </w:r>
    </w:p>
    <w:p w14:paraId="6055831D" w14:textId="77777777" w:rsidR="00067669" w:rsidRDefault="00067669" w:rsidP="00CE4D9B">
      <w:r w:rsidRPr="00941E4E">
        <w:t xml:space="preserve">Australia has achieved its relatively strong fiscal position despite </w:t>
      </w:r>
      <w:r w:rsidR="0071025D">
        <w:t xml:space="preserve">maintaining effective safety nets and </w:t>
      </w:r>
      <w:r w:rsidRPr="00941E4E">
        <w:t>intro</w:t>
      </w:r>
      <w:r>
        <w:t>ducing major government service</w:t>
      </w:r>
      <w:r w:rsidRPr="00941E4E">
        <w:t xml:space="preserve"> initiatives, including in health and education. </w:t>
      </w:r>
      <w:r>
        <w:t xml:space="preserve">A universal public healthcare scheme, called Medicare, was reintroduced in 1983. The Higher Education Contribution Scheme (HECS), introduced in 1989, requires students to start paying for their tertiary education through the tax system once their income </w:t>
      </w:r>
      <w:r w:rsidR="008A549C">
        <w:t xml:space="preserve">exceeds </w:t>
      </w:r>
      <w:r>
        <w:t xml:space="preserve">a threshold. And after a Productivity Commission review highlighted inadequate support for disabled people and their </w:t>
      </w:r>
      <w:proofErr w:type="spellStart"/>
      <w:r>
        <w:t>carers</w:t>
      </w:r>
      <w:proofErr w:type="spellEnd"/>
      <w:r>
        <w:t xml:space="preserve">, the </w:t>
      </w:r>
      <w:r w:rsidR="008A549C">
        <w:t>g</w:t>
      </w:r>
      <w:r>
        <w:t xml:space="preserve">overnment introduced the </w:t>
      </w:r>
      <w:r w:rsidR="00566840">
        <w:t>N</w:t>
      </w:r>
      <w:r>
        <w:t xml:space="preserve">ational Disability Insurance Scheme. Meanwhile, sharp targeting means Australia runs a welfare system </w:t>
      </w:r>
      <w:r w:rsidR="003A7130">
        <w:t>that provides</w:t>
      </w:r>
      <w:r>
        <w:t xml:space="preserve"> strong safety nets</w:t>
      </w:r>
      <w:r w:rsidR="003A7130">
        <w:t xml:space="preserve"> at a lower cost relative to its OECD peers</w:t>
      </w:r>
      <w:r>
        <w:t>.</w:t>
      </w:r>
      <w:r w:rsidR="00997AEA">
        <w:t xml:space="preserve"> </w:t>
      </w:r>
      <w:r w:rsidR="0071025D">
        <w:t>Still, a recent review found the country’s progressive tax system and targeted transfer system work together to significantly reduce income inequality</w:t>
      </w:r>
      <w:r w:rsidR="00F723DE">
        <w:t>.</w:t>
      </w:r>
      <w:r w:rsidR="0071025D">
        <w:rPr>
          <w:rStyle w:val="FootnoteReference"/>
        </w:rPr>
        <w:footnoteReference w:id="100"/>
      </w:r>
    </w:p>
    <w:p w14:paraId="4B93D6C9" w14:textId="77777777" w:rsidR="00067669" w:rsidRDefault="00067669" w:rsidP="00CE4D9B">
      <w:r w:rsidRPr="00941E4E">
        <w:t xml:space="preserve">To take pressure off its public pensions system, Australia </w:t>
      </w:r>
      <w:r w:rsidR="008A549C">
        <w:t xml:space="preserve">since 1992 </w:t>
      </w:r>
      <w:r w:rsidRPr="00941E4E">
        <w:t>has had a compulsory retirement savings scheme</w:t>
      </w:r>
      <w:r>
        <w:t xml:space="preserve"> </w:t>
      </w:r>
      <w:r w:rsidR="008A549C">
        <w:t>known as superannuation</w:t>
      </w:r>
      <w:r w:rsidRPr="00941E4E">
        <w:t>.</w:t>
      </w:r>
      <w:r>
        <w:rPr>
          <w:rStyle w:val="FootnoteReference"/>
        </w:rPr>
        <w:footnoteReference w:id="101"/>
      </w:r>
      <w:r>
        <w:rPr>
          <w:b/>
        </w:rPr>
        <w:t xml:space="preserve"> </w:t>
      </w:r>
      <w:r w:rsidRPr="00EE1B12">
        <w:t>Funded by a mandatory 9</w:t>
      </w:r>
      <w:r>
        <w:t>.5</w:t>
      </w:r>
      <w:r w:rsidRPr="00EE1B12">
        <w:t xml:space="preserve"> per cent levy on wages, the </w:t>
      </w:r>
      <w:r>
        <w:t>retirement saving</w:t>
      </w:r>
      <w:r w:rsidRPr="00EE1B12">
        <w:t xml:space="preserve"> system today has nearly 15 million members</w:t>
      </w:r>
      <w:r>
        <w:rPr>
          <w:rStyle w:val="FootnoteReference"/>
        </w:rPr>
        <w:footnoteReference w:id="102"/>
      </w:r>
      <w:r w:rsidRPr="00EE1B12">
        <w:t xml:space="preserve"> who together own about </w:t>
      </w:r>
      <w:r>
        <w:t>$</w:t>
      </w:r>
      <w:r w:rsidRPr="00EE1B12">
        <w:t>2.6 trillion in assets</w:t>
      </w:r>
      <w:r>
        <w:t>.</w:t>
      </w:r>
      <w:r>
        <w:rPr>
          <w:rStyle w:val="FootnoteReference"/>
        </w:rPr>
        <w:footnoteReference w:id="103"/>
      </w:r>
      <w:r>
        <w:rPr>
          <w:b/>
        </w:rPr>
        <w:t xml:space="preserve"> </w:t>
      </w:r>
      <w:r>
        <w:t xml:space="preserve">This has been transformational for the wealth of individuals, with retirement saving accounts for many Australians growing to be the second largest asset after the family home. This system has also generated a large and sophisticated funds management industry that has arguably led to growth in financial services innovation. </w:t>
      </w:r>
      <w:r w:rsidR="008E7CC7">
        <w:t>But superannuation policy settings have been refined over time, often in response to</w:t>
      </w:r>
      <w:r w:rsidR="0070257D">
        <w:t xml:space="preserve"> government</w:t>
      </w:r>
      <w:r w:rsidR="0070257D">
        <w:noBreakHyphen/>
        <w:t>commissioned</w:t>
      </w:r>
      <w:r w:rsidR="008E7CC7">
        <w:t xml:space="preserve"> independent reviews of the broader financial sector. For instance, the 1997 Wallis inquiry eventually led to changes that </w:t>
      </w:r>
      <w:r w:rsidR="00EB70AE">
        <w:t>gave consumers greater choice about</w:t>
      </w:r>
      <w:r w:rsidR="008E7CC7">
        <w:t xml:space="preserve"> their superannuation fund, </w:t>
      </w:r>
      <w:r w:rsidR="00EB70AE">
        <w:t>including the option of</w:t>
      </w:r>
      <w:r w:rsidR="00A237F9">
        <w:br/>
      </w:r>
      <w:r w:rsidR="00EB70AE">
        <w:t>self-management. Superannuation policy is under renewed scrutiny follow</w:t>
      </w:r>
      <w:r w:rsidR="00566840">
        <w:t>i</w:t>
      </w:r>
      <w:r w:rsidR="00EB70AE">
        <w:t>ng the 2014 M</w:t>
      </w:r>
      <w:r w:rsidR="00A237F9">
        <w:t>urray Financial System Inquiry.</w:t>
      </w:r>
    </w:p>
    <w:p w14:paraId="01A3C267" w14:textId="77777777" w:rsidR="007C5158" w:rsidRDefault="005A5978" w:rsidP="00067669">
      <w:pPr>
        <w:sectPr w:rsidR="007C5158" w:rsidSect="006E0496">
          <w:pgSz w:w="11906" w:h="16838" w:code="9"/>
          <w:pgMar w:top="1418" w:right="1418" w:bottom="1418" w:left="1418" w:header="709" w:footer="709" w:gutter="0"/>
          <w:cols w:space="708"/>
          <w:titlePg/>
          <w:docGrid w:linePitch="360"/>
        </w:sectPr>
      </w:pPr>
      <w:r>
        <w:t xml:space="preserve"> </w:t>
      </w:r>
    </w:p>
    <w:p w14:paraId="026593AE" w14:textId="77777777" w:rsidR="00EF5C24" w:rsidRPr="0063311E" w:rsidRDefault="00EF5C24" w:rsidP="0063311E">
      <w:pPr>
        <w:pStyle w:val="ChartMainHeading-TOC"/>
      </w:pPr>
      <w:bookmarkStart w:id="323" w:name="_Toc526935123"/>
      <w:r w:rsidRPr="0063311E">
        <w:t>Reform Roadmap</w:t>
      </w:r>
      <w:bookmarkEnd w:id="323"/>
    </w:p>
    <w:p w14:paraId="0DDF3EC6" w14:textId="77777777" w:rsidR="00EF5C24" w:rsidRPr="00EF5C24" w:rsidRDefault="00EF5C24" w:rsidP="00EF5C24">
      <w:pPr>
        <w:pStyle w:val="ChartGraphic"/>
        <w:spacing w:after="0"/>
      </w:pPr>
      <w:r>
        <w:rPr>
          <w:noProof/>
        </w:rPr>
        <w:drawing>
          <wp:inline distT="0" distB="0" distL="0" distR="0" wp14:anchorId="37258E4A" wp14:editId="36D0775D">
            <wp:extent cx="8659201" cy="55080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Z:\2018\Reports and Reviews\Australia’s Experience with Economic Reform\reformRoadmap-01-01.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391" t="899" r="1567" b="330"/>
                    <a:stretch/>
                  </pic:blipFill>
                  <pic:spPr bwMode="auto">
                    <a:xfrm>
                      <a:off x="0" y="0"/>
                      <a:ext cx="8659201" cy="5508000"/>
                    </a:xfrm>
                    <a:prstGeom prst="rect">
                      <a:avLst/>
                    </a:prstGeom>
                    <a:noFill/>
                    <a:ln>
                      <a:noFill/>
                    </a:ln>
                    <a:extLst>
                      <a:ext uri="{53640926-AAD7-44D8-BBD7-CCE9431645EC}">
                        <a14:shadowObscured xmlns:a14="http://schemas.microsoft.com/office/drawing/2010/main"/>
                      </a:ext>
                    </a:extLst>
                  </pic:spPr>
                </pic:pic>
              </a:graphicData>
            </a:graphic>
          </wp:inline>
        </w:drawing>
      </w:r>
    </w:p>
    <w:p w14:paraId="4877F89F" w14:textId="77777777" w:rsidR="002050C2" w:rsidRPr="00EF5C24" w:rsidRDefault="002050C2" w:rsidP="00EF5C24">
      <w:pPr>
        <w:pStyle w:val="SingleParagraph"/>
        <w:spacing w:line="240" w:lineRule="auto"/>
        <w:rPr>
          <w:sz w:val="4"/>
        </w:rPr>
      </w:pPr>
    </w:p>
    <w:p w14:paraId="3D89D047" w14:textId="77777777" w:rsidR="007C5158" w:rsidRPr="00EF5C24" w:rsidRDefault="007C5158" w:rsidP="00EF5C24">
      <w:pPr>
        <w:pStyle w:val="SingleParagraph"/>
        <w:spacing w:line="240" w:lineRule="auto"/>
        <w:rPr>
          <w:sz w:val="4"/>
        </w:rPr>
        <w:sectPr w:rsidR="007C5158" w:rsidRPr="00EF5C24" w:rsidSect="006E0496">
          <w:headerReference w:type="first" r:id="rId63"/>
          <w:footerReference w:type="first" r:id="rId64"/>
          <w:pgSz w:w="16839" w:h="11907" w:orient="landscape" w:code="9"/>
          <w:pgMar w:top="1418" w:right="1418" w:bottom="1418" w:left="1418" w:header="709" w:footer="709" w:gutter="0"/>
          <w:cols w:space="708"/>
          <w:titlePg/>
          <w:docGrid w:linePitch="360"/>
        </w:sectPr>
      </w:pPr>
    </w:p>
    <w:p w14:paraId="6B081439" w14:textId="77777777" w:rsidR="006D639D" w:rsidRPr="001D699E" w:rsidRDefault="006D639D" w:rsidP="00E22DCB">
      <w:pPr>
        <w:pStyle w:val="Heading1"/>
      </w:pPr>
      <w:bookmarkStart w:id="324" w:name="_Toc520472203"/>
      <w:bookmarkStart w:id="325" w:name="_Toc520472739"/>
      <w:bookmarkStart w:id="326" w:name="_Toc520812389"/>
      <w:bookmarkStart w:id="327" w:name="_Toc520819483"/>
      <w:bookmarkStart w:id="328" w:name="_Toc525736254"/>
      <w:bookmarkStart w:id="329" w:name="_Toc525743553"/>
      <w:bookmarkStart w:id="330" w:name="_Toc525912233"/>
      <w:bookmarkStart w:id="331" w:name="_Toc525915355"/>
      <w:bookmarkStart w:id="332" w:name="_Toc526355343"/>
      <w:bookmarkStart w:id="333" w:name="_Toc526413608"/>
      <w:bookmarkStart w:id="334" w:name="_Toc526935124"/>
      <w:r w:rsidRPr="001D699E">
        <w:t>References</w:t>
      </w:r>
      <w:bookmarkEnd w:id="324"/>
      <w:bookmarkEnd w:id="325"/>
      <w:bookmarkEnd w:id="326"/>
      <w:bookmarkEnd w:id="327"/>
      <w:bookmarkEnd w:id="328"/>
      <w:bookmarkEnd w:id="329"/>
      <w:bookmarkEnd w:id="330"/>
      <w:bookmarkEnd w:id="331"/>
      <w:bookmarkEnd w:id="332"/>
      <w:bookmarkEnd w:id="333"/>
      <w:bookmarkEnd w:id="334"/>
    </w:p>
    <w:p w14:paraId="2FFCC625" w14:textId="77777777" w:rsidR="00C44FD0" w:rsidRDefault="00C44FD0" w:rsidP="00C44FD0">
      <w:pPr>
        <w:rPr>
          <w:lang w:val="en"/>
        </w:rPr>
      </w:pPr>
      <w:r>
        <w:rPr>
          <w:lang w:val="en"/>
        </w:rPr>
        <w:t xml:space="preserve">Anderson K, Lloyd P and Maclaren D 2007, </w:t>
      </w:r>
      <w:r w:rsidRPr="005E7225">
        <w:rPr>
          <w:i/>
          <w:lang w:val="en"/>
        </w:rPr>
        <w:t>Distortions to Agricultural Incentives in Australia Since World War II</w:t>
      </w:r>
      <w:r>
        <w:rPr>
          <w:lang w:val="en"/>
        </w:rPr>
        <w:t>, The Economic Record, Vo. 8 No. 263, pp 461-482.</w:t>
      </w:r>
    </w:p>
    <w:p w14:paraId="0F4A4173" w14:textId="77777777" w:rsidR="00AD7D7B" w:rsidRDefault="00AD7D7B" w:rsidP="006D639D">
      <w:r>
        <w:rPr>
          <w:lang w:val="en"/>
        </w:rPr>
        <w:t xml:space="preserve">Australia's Future Tax System Review Panel 2010, </w:t>
      </w:r>
      <w:r w:rsidRPr="00587CBD">
        <w:rPr>
          <w:i/>
          <w:lang w:val="en"/>
        </w:rPr>
        <w:t>Australian future tax system: report to the Treasurer</w:t>
      </w:r>
      <w:r>
        <w:rPr>
          <w:lang w:val="en"/>
        </w:rPr>
        <w:t>, The Treasury, Canberra.</w:t>
      </w:r>
    </w:p>
    <w:p w14:paraId="2EBDA19C" w14:textId="77777777" w:rsidR="0095650A" w:rsidRDefault="00C44FD0" w:rsidP="006D639D">
      <w:r>
        <w:t>Gray E, Oss-</w:t>
      </w:r>
      <w:proofErr w:type="spellStart"/>
      <w:r>
        <w:t>Emer</w:t>
      </w:r>
      <w:proofErr w:type="spellEnd"/>
      <w:r>
        <w:t xml:space="preserve"> M and Sheng</w:t>
      </w:r>
      <w:r w:rsidRPr="00C44FD0">
        <w:t xml:space="preserve"> Y 2014, </w:t>
      </w:r>
      <w:r w:rsidRPr="005E7225">
        <w:rPr>
          <w:i/>
        </w:rPr>
        <w:t>Australian agricultural productivity growth: past reforms and future opportunities</w:t>
      </w:r>
      <w:r w:rsidRPr="00C44FD0">
        <w:t>, ABARES research report 14.2, Canberra, February.</w:t>
      </w:r>
    </w:p>
    <w:p w14:paraId="3BEDA66E" w14:textId="77777777" w:rsidR="002F4E77" w:rsidRDefault="002F4E77" w:rsidP="006D639D">
      <w:r>
        <w:t xml:space="preserve">Australian Competition and Consumer Commission 2017, </w:t>
      </w:r>
      <w:r>
        <w:rPr>
          <w:i/>
        </w:rPr>
        <w:t>Submis</w:t>
      </w:r>
      <w:r w:rsidRPr="002F4E77">
        <w:rPr>
          <w:i/>
        </w:rPr>
        <w:t>s</w:t>
      </w:r>
      <w:r>
        <w:rPr>
          <w:i/>
        </w:rPr>
        <w:t>i</w:t>
      </w:r>
      <w:r w:rsidRPr="002F4E77">
        <w:rPr>
          <w:i/>
        </w:rPr>
        <w:t xml:space="preserve">on to Productivity Commission Inquiry into </w:t>
      </w:r>
      <w:r>
        <w:rPr>
          <w:i/>
        </w:rPr>
        <w:t>Competition in the Aust</w:t>
      </w:r>
      <w:r w:rsidRPr="002F4E77">
        <w:rPr>
          <w:i/>
        </w:rPr>
        <w:t>ralian Financial System</w:t>
      </w:r>
      <w:r>
        <w:t>, Canberra, September.</w:t>
      </w:r>
    </w:p>
    <w:p w14:paraId="27168BC0" w14:textId="77777777" w:rsidR="00AD7D7B" w:rsidRDefault="00997AEA" w:rsidP="006D639D">
      <w:r>
        <w:t>Australian Government 2017( 1</w:t>
      </w:r>
      <w:r w:rsidR="00AD7D7B">
        <w:t xml:space="preserve">), </w:t>
      </w:r>
      <w:r w:rsidR="00AD7D7B" w:rsidRPr="00587CBD">
        <w:rPr>
          <w:i/>
        </w:rPr>
        <w:t>Petroleum Resource Rent Tax Review, Final Report</w:t>
      </w:r>
      <w:r w:rsidR="00AD7D7B">
        <w:t>, The Treasury, Canberra.</w:t>
      </w:r>
    </w:p>
    <w:p w14:paraId="26FC0AA9" w14:textId="77777777" w:rsidR="005F4BE9" w:rsidRDefault="005F4BE9" w:rsidP="006D639D">
      <w:r>
        <w:t>Australian Government 2017</w:t>
      </w:r>
      <w:r w:rsidR="00997AEA">
        <w:t xml:space="preserve"> (2</w:t>
      </w:r>
      <w:r w:rsidR="00AD7D7B">
        <w:t>)</w:t>
      </w:r>
      <w:r>
        <w:t xml:space="preserve">, </w:t>
      </w:r>
      <w:r w:rsidRPr="009429E8">
        <w:rPr>
          <w:i/>
        </w:rPr>
        <w:t>Foreign Policy White Paper</w:t>
      </w:r>
      <w:r>
        <w:t>, Canberra.</w:t>
      </w:r>
    </w:p>
    <w:p w14:paraId="2E31BAEE" w14:textId="77777777" w:rsidR="006D639D" w:rsidRDefault="006D639D" w:rsidP="006D639D">
      <w:r>
        <w:t xml:space="preserve">Australian Office of Financial Management 2011, </w:t>
      </w:r>
      <w:r w:rsidRPr="005234D0">
        <w:rPr>
          <w:i/>
        </w:rPr>
        <w:t>Annual Report 2010-11</w:t>
      </w:r>
      <w:r w:rsidR="00032DF4">
        <w:t>, Canberra.</w:t>
      </w:r>
    </w:p>
    <w:p w14:paraId="44DD0584" w14:textId="77777777" w:rsidR="006D639D" w:rsidRDefault="006D639D" w:rsidP="006D639D">
      <w:r>
        <w:t xml:space="preserve">Australian Prudential Regulation Authority 2018, </w:t>
      </w:r>
      <w:r w:rsidRPr="00F80753">
        <w:rPr>
          <w:i/>
        </w:rPr>
        <w:t>APRA releases superannuation statistics for March</w:t>
      </w:r>
      <w:r w:rsidR="00032DF4">
        <w:rPr>
          <w:i/>
        </w:rPr>
        <w:t> </w:t>
      </w:r>
      <w:r w:rsidRPr="00F80753">
        <w:rPr>
          <w:i/>
        </w:rPr>
        <w:t>2018</w:t>
      </w:r>
      <w:r w:rsidR="00032DF4">
        <w:t>, media release 29 May, Sydney.</w:t>
      </w:r>
    </w:p>
    <w:p w14:paraId="6E29769C" w14:textId="77777777" w:rsidR="006D639D" w:rsidRDefault="006D639D" w:rsidP="006D639D">
      <w:r>
        <w:t xml:space="preserve">Australian Taxation Office 2018, </w:t>
      </w:r>
      <w:r w:rsidRPr="00F80753">
        <w:rPr>
          <w:i/>
        </w:rPr>
        <w:t>Super accounts data overview</w:t>
      </w:r>
      <w:r>
        <w:t xml:space="preserve">, Australian Taxation Office, Canberra, viewed 3 August 2018, </w:t>
      </w:r>
      <w:hyperlink r:id="rId65" w:history="1">
        <w:r w:rsidR="00687F6D" w:rsidRPr="00DF31BB">
          <w:rPr>
            <w:rStyle w:val="Hyperlink"/>
          </w:rPr>
          <w:t>https://www.ato.gov.au/About-ATO/Research-and-statistics/In-detail/</w:t>
        </w:r>
        <w:r w:rsidR="00687F6D" w:rsidRPr="00DF31BB">
          <w:rPr>
            <w:rStyle w:val="Hyperlink"/>
          </w:rPr>
          <w:br/>
          <w:t>Super-statistics/Super-accounts-data/Super-accounts-data-overview/</w:t>
        </w:r>
      </w:hyperlink>
      <w:r>
        <w:t>.</w:t>
      </w:r>
    </w:p>
    <w:p w14:paraId="47B840D2" w14:textId="77777777" w:rsidR="006D639D" w:rsidRDefault="006D639D" w:rsidP="006D639D">
      <w:r>
        <w:t xml:space="preserve">Australian Treasury 2017, </w:t>
      </w:r>
      <w:r w:rsidRPr="00921936">
        <w:rPr>
          <w:i/>
        </w:rPr>
        <w:t>Analysis of Wages Growth</w:t>
      </w:r>
      <w:r>
        <w:t>, Information note,</w:t>
      </w:r>
      <w:r w:rsidR="00032DF4">
        <w:t xml:space="preserve"> Australian Treasury, Canberra.</w:t>
      </w:r>
    </w:p>
    <w:p w14:paraId="029BA5C3" w14:textId="77777777" w:rsidR="006D639D" w:rsidRDefault="006D639D" w:rsidP="006D639D">
      <w:r>
        <w:t xml:space="preserve">Ballantyne A, </w:t>
      </w:r>
      <w:proofErr w:type="spellStart"/>
      <w:r>
        <w:t>Hambur</w:t>
      </w:r>
      <w:proofErr w:type="spellEnd"/>
      <w:r>
        <w:t xml:space="preserve"> J, Roberts I, Wright M 2014, </w:t>
      </w:r>
      <w:r w:rsidRPr="00921936">
        <w:rPr>
          <w:i/>
        </w:rPr>
        <w:t>Financial Reform in Australia and China</w:t>
      </w:r>
      <w:r>
        <w:t>, RBA Research Discussion Paper, No. 2014-10.</w:t>
      </w:r>
    </w:p>
    <w:p w14:paraId="2832EBC7" w14:textId="77777777" w:rsidR="006D639D" w:rsidRDefault="006D639D" w:rsidP="006D639D">
      <w:r>
        <w:t xml:space="preserve">Banks G 2005, </w:t>
      </w:r>
      <w:r w:rsidRPr="00921936">
        <w:rPr>
          <w:i/>
        </w:rPr>
        <w:t>Structural Reform Australian-Style: Lessons for Others?,</w:t>
      </w:r>
      <w:r>
        <w:t xml:space="preserve"> Presentation to World Bank, IMF and OECD, May 2005, Productivity Commission.</w:t>
      </w:r>
    </w:p>
    <w:p w14:paraId="448C0524" w14:textId="77777777" w:rsidR="006D639D" w:rsidRDefault="006D639D" w:rsidP="006D639D">
      <w:proofErr w:type="spellStart"/>
      <w:r>
        <w:t>Battellino</w:t>
      </w:r>
      <w:proofErr w:type="spellEnd"/>
      <w:r>
        <w:t xml:space="preserve"> R 2007, </w:t>
      </w:r>
      <w:r w:rsidRPr="00921936">
        <w:rPr>
          <w:i/>
        </w:rPr>
        <w:t>Australia's Experience with Financial Deregulation</w:t>
      </w:r>
      <w:r>
        <w:t>, RBA Speech to China Australia Governance Program, Melbourne, 16 July.</w:t>
      </w:r>
    </w:p>
    <w:p w14:paraId="4AAE0A5F" w14:textId="77777777" w:rsidR="006D639D" w:rsidRDefault="006D639D" w:rsidP="006D639D">
      <w:r>
        <w:t xml:space="preserve">Bean C 2000, </w:t>
      </w:r>
      <w:r w:rsidRPr="00F64EC8">
        <w:rPr>
          <w:i/>
        </w:rPr>
        <w:t>The Australian Economic ‘</w:t>
      </w:r>
      <w:r>
        <w:rPr>
          <w:i/>
        </w:rPr>
        <w:t xml:space="preserve">Miracle’: A View from the </w:t>
      </w:r>
      <w:r w:rsidR="00F64EC8">
        <w:rPr>
          <w:i/>
        </w:rPr>
        <w:t>North</w:t>
      </w:r>
      <w:r>
        <w:t xml:space="preserve">, in D </w:t>
      </w:r>
      <w:proofErr w:type="spellStart"/>
      <w:r>
        <w:t>Gruen</w:t>
      </w:r>
      <w:proofErr w:type="spellEnd"/>
      <w:r>
        <w:t xml:space="preserve"> and S Shrestha (</w:t>
      </w:r>
      <w:proofErr w:type="spellStart"/>
      <w:r>
        <w:t>eds</w:t>
      </w:r>
      <w:proofErr w:type="spellEnd"/>
      <w:r w:rsidRPr="005234D0">
        <w:rPr>
          <w:i/>
        </w:rPr>
        <w:t>), The</w:t>
      </w:r>
      <w:r>
        <w:rPr>
          <w:i/>
        </w:rPr>
        <w:t xml:space="preserve"> Australian Economy in the 1990:</w:t>
      </w:r>
      <w:r w:rsidRPr="005234D0">
        <w:rPr>
          <w:i/>
        </w:rPr>
        <w:t xml:space="preserve"> Proceedings of a Conference</w:t>
      </w:r>
      <w:r>
        <w:t>, Reserve Bank o</w:t>
      </w:r>
      <w:r w:rsidR="00032DF4">
        <w:t>f Australia, Sydney, pp 74–114.</w:t>
      </w:r>
    </w:p>
    <w:p w14:paraId="11D0C59E" w14:textId="77777777" w:rsidR="00566831" w:rsidRPr="00032DF4" w:rsidRDefault="00566831" w:rsidP="00566831">
      <w:r w:rsidRPr="00566831">
        <w:t>Berger-Thomson</w:t>
      </w:r>
      <w:r>
        <w:t xml:space="preserve"> L</w:t>
      </w:r>
      <w:r w:rsidRPr="00566831">
        <w:t xml:space="preserve"> and Chapman</w:t>
      </w:r>
      <w:r>
        <w:t xml:space="preserve"> B 2017, </w:t>
      </w:r>
      <w:r w:rsidRPr="00566831">
        <w:rPr>
          <w:i/>
        </w:rPr>
        <w:t>Foreign Currency Exposure and Hedging in Australia</w:t>
      </w:r>
      <w:r>
        <w:rPr>
          <w:i/>
        </w:rPr>
        <w:t xml:space="preserve">, </w:t>
      </w:r>
      <w:r w:rsidRPr="00566831">
        <w:t>RBA</w:t>
      </w:r>
      <w:r w:rsidR="00EF5C24">
        <w:t> </w:t>
      </w:r>
      <w:r w:rsidRPr="00032DF4">
        <w:t xml:space="preserve">Bulletin, December </w:t>
      </w:r>
      <w:r w:rsidR="00060D18" w:rsidRPr="00032DF4">
        <w:t>q</w:t>
      </w:r>
      <w:r w:rsidRPr="00032DF4">
        <w:t>uarter</w:t>
      </w:r>
      <w:r w:rsidR="00032DF4" w:rsidRPr="00032DF4">
        <w:t>.</w:t>
      </w:r>
    </w:p>
    <w:p w14:paraId="1139EF7B" w14:textId="77777777" w:rsidR="006D639D" w:rsidRDefault="006D639D" w:rsidP="006D639D">
      <w:r>
        <w:t xml:space="preserve">Bishop J and Plumb M 2016, </w:t>
      </w:r>
      <w:r w:rsidRPr="00921936">
        <w:rPr>
          <w:i/>
        </w:rPr>
        <w:t>Cyclical Labour Market Adjustment in Australia</w:t>
      </w:r>
      <w:r>
        <w:t>, RBA Bulletin, March</w:t>
      </w:r>
      <w:r w:rsidR="00687F6D">
        <w:t> </w:t>
      </w:r>
      <w:r>
        <w:t>quarter.</w:t>
      </w:r>
    </w:p>
    <w:p w14:paraId="76A4F42F" w14:textId="77777777" w:rsidR="00225EC9" w:rsidRDefault="00D03C24" w:rsidP="00225EC9">
      <w:r>
        <w:t>Borland J 2014</w:t>
      </w:r>
      <w:r w:rsidR="00225EC9">
        <w:t xml:space="preserve">, </w:t>
      </w:r>
      <w:r>
        <w:rPr>
          <w:i/>
        </w:rPr>
        <w:t>Microeconomic Reform</w:t>
      </w:r>
      <w:r w:rsidR="00225EC9">
        <w:t xml:space="preserve">, </w:t>
      </w:r>
      <w:r>
        <w:t>in S Ville and G Withers, “The Cambridge Economic History of Australia”</w:t>
      </w:r>
      <w:r w:rsidR="00225EC9">
        <w:t xml:space="preserve">, </w:t>
      </w:r>
      <w:r>
        <w:t>Cambridge University Press</w:t>
      </w:r>
      <w:r w:rsidR="003059F1">
        <w:t>, Cambridge</w:t>
      </w:r>
      <w:r w:rsidR="00225EC9">
        <w:t>.</w:t>
      </w:r>
    </w:p>
    <w:p w14:paraId="31389940" w14:textId="77777777" w:rsidR="00636CC2" w:rsidRDefault="00423CCA" w:rsidP="00636CC2">
      <w:r>
        <w:t>Botterill L 200</w:t>
      </w:r>
      <w:r w:rsidR="00636CC2">
        <w:t xml:space="preserve">3, </w:t>
      </w:r>
      <w:r w:rsidR="00636CC2" w:rsidRPr="005E7225">
        <w:rPr>
          <w:i/>
        </w:rPr>
        <w:t>From Black Jack McEwen to the Cairns Group: Reform in Australian agricultural policy</w:t>
      </w:r>
      <w:r w:rsidR="00636CC2">
        <w:t xml:space="preserve">, </w:t>
      </w:r>
      <w:r w:rsidR="00636CC2" w:rsidRPr="00636CC2">
        <w:t>National Europe Centre Paper No. 86</w:t>
      </w:r>
      <w:r w:rsidR="00636CC2">
        <w:t>, ANU, Canberra.</w:t>
      </w:r>
    </w:p>
    <w:p w14:paraId="635BEE8F" w14:textId="77777777" w:rsidR="006D639D" w:rsidRDefault="006D639D" w:rsidP="006D639D">
      <w:r>
        <w:t xml:space="preserve">Button J (Minister for Industry and Commerce) 1983, </w:t>
      </w:r>
      <w:r w:rsidRPr="00E34F16">
        <w:rPr>
          <w:i/>
        </w:rPr>
        <w:t>Steel Industry Plan</w:t>
      </w:r>
      <w:r>
        <w:t>, media release 11 August, Canberra.</w:t>
      </w:r>
    </w:p>
    <w:p w14:paraId="58DBDAA2" w14:textId="77777777" w:rsidR="006D639D" w:rsidRDefault="006D639D" w:rsidP="006D639D">
      <w:r>
        <w:t xml:space="preserve">Campbell S and Withers H 2017, </w:t>
      </w:r>
      <w:r w:rsidRPr="00921936">
        <w:rPr>
          <w:i/>
        </w:rPr>
        <w:t>Australian productivity trends and the effect of structural change</w:t>
      </w:r>
      <w:r>
        <w:t>, Roundup Paper, Australian Treasury, Canberra.</w:t>
      </w:r>
    </w:p>
    <w:p w14:paraId="055F6E45" w14:textId="77777777" w:rsidR="006D639D" w:rsidRDefault="006D639D" w:rsidP="006D639D">
      <w:r>
        <w:t xml:space="preserve">Committee of Inquiry into the Australian Financial System 1981, </w:t>
      </w:r>
      <w:r w:rsidRPr="004F1879">
        <w:rPr>
          <w:i/>
        </w:rPr>
        <w:t>Australian financial system: final report of the Committee of Inquiry (Campbell Report)</w:t>
      </w:r>
      <w:r>
        <w:t>, Australian Government Publishing Service, Canberra.</w:t>
      </w:r>
    </w:p>
    <w:p w14:paraId="3915F262" w14:textId="77777777" w:rsidR="006D639D" w:rsidRDefault="006D639D" w:rsidP="006D639D">
      <w:r>
        <w:t xml:space="preserve">Commonwealth of Australia 1996, </w:t>
      </w:r>
      <w:r w:rsidRPr="000161D6">
        <w:rPr>
          <w:i/>
        </w:rPr>
        <w:t>1996-97 Budget Statement 1</w:t>
      </w:r>
      <w:r>
        <w:t>, Australian Treasury, Canberra.</w:t>
      </w:r>
    </w:p>
    <w:p w14:paraId="1A005E9D" w14:textId="77777777" w:rsidR="006D639D" w:rsidRDefault="006D639D" w:rsidP="006D639D">
      <w:r>
        <w:t xml:space="preserve">Connolly E, </w:t>
      </w:r>
      <w:proofErr w:type="spellStart"/>
      <w:r>
        <w:t>Jääskelä</w:t>
      </w:r>
      <w:proofErr w:type="spellEnd"/>
      <w:r w:rsidR="00AA4801">
        <w:t xml:space="preserve"> </w:t>
      </w:r>
      <w:r>
        <w:t>J and van der Merwe M (2013),</w:t>
      </w:r>
      <w:r w:rsidRPr="00921936">
        <w:rPr>
          <w:i/>
        </w:rPr>
        <w:t xml:space="preserve"> The Performance of Resource-exporting Economies</w:t>
      </w:r>
      <w:r>
        <w:t>, RBA Bulletin,</w:t>
      </w:r>
      <w:r w:rsidR="00032DF4">
        <w:t xml:space="preserve"> September.</w:t>
      </w:r>
    </w:p>
    <w:p w14:paraId="1B3A6BAE" w14:textId="77777777" w:rsidR="005E3945" w:rsidRDefault="005E3945" w:rsidP="006D639D">
      <w:proofErr w:type="spellStart"/>
      <w:r>
        <w:t>Corden</w:t>
      </w:r>
      <w:proofErr w:type="spellEnd"/>
      <w:r>
        <w:t xml:space="preserve"> M 1995, </w:t>
      </w:r>
      <w:r w:rsidRPr="00F64EC8">
        <w:rPr>
          <w:i/>
        </w:rPr>
        <w:t>Protection and Liberalisation in Australian and Abroad</w:t>
      </w:r>
      <w:r>
        <w:t>, Policy Discussion Paper No.95/11, Centre for International Economic Studies.</w:t>
      </w:r>
    </w:p>
    <w:p w14:paraId="2B419FFE" w14:textId="77777777" w:rsidR="006D639D" w:rsidRDefault="006D639D" w:rsidP="006D639D">
      <w:proofErr w:type="spellStart"/>
      <w:r>
        <w:t>Corden</w:t>
      </w:r>
      <w:proofErr w:type="spellEnd"/>
      <w:r>
        <w:t xml:space="preserve"> M 1991, </w:t>
      </w:r>
      <w:r w:rsidRPr="00F64EC8">
        <w:rPr>
          <w:i/>
        </w:rPr>
        <w:t xml:space="preserve">Does the Current Account Matter? The Old View and the </w:t>
      </w:r>
      <w:r w:rsidR="00F64EC8" w:rsidRPr="00F64EC8">
        <w:rPr>
          <w:i/>
        </w:rPr>
        <w:t>New</w:t>
      </w:r>
      <w:r>
        <w:t xml:space="preserve">, </w:t>
      </w:r>
      <w:r w:rsidRPr="004C5B86">
        <w:rPr>
          <w:i/>
        </w:rPr>
        <w:t>Economic Papers</w:t>
      </w:r>
      <w:r>
        <w:t>, Vol. 10 no.3, pp 1-19.</w:t>
      </w:r>
    </w:p>
    <w:p w14:paraId="0FA3AC71" w14:textId="77777777" w:rsidR="006D639D" w:rsidRDefault="006D639D" w:rsidP="006D639D">
      <w:r>
        <w:t xml:space="preserve">Dairy Australia 2018, </w:t>
      </w:r>
      <w:r w:rsidRPr="00921936">
        <w:rPr>
          <w:i/>
        </w:rPr>
        <w:t>History of Australian Dairy Industry Deregulation</w:t>
      </w:r>
      <w:r>
        <w:t>, Dairy Australia, Melbourne, viewed 3 August, &lt;</w:t>
      </w:r>
      <w:r w:rsidRPr="00921936">
        <w:t xml:space="preserve"> </w:t>
      </w:r>
      <w:hyperlink r:id="rId66" w:history="1">
        <w:r w:rsidR="00687F6D" w:rsidRPr="00DF31BB">
          <w:rPr>
            <w:rStyle w:val="Hyperlink"/>
          </w:rPr>
          <w:t>https://www.dairyaustralia.com.au/about-dairy-australia/about-the-industry/</w:t>
        </w:r>
        <w:r w:rsidR="00687F6D" w:rsidRPr="00DF31BB">
          <w:rPr>
            <w:rStyle w:val="Hyperlink"/>
          </w:rPr>
          <w:br/>
          <w:t>history-of-</w:t>
        </w:r>
        <w:proofErr w:type="spellStart"/>
        <w:r w:rsidR="00687F6D" w:rsidRPr="00DF31BB">
          <w:rPr>
            <w:rStyle w:val="Hyperlink"/>
          </w:rPr>
          <w:t>australian</w:t>
        </w:r>
        <w:proofErr w:type="spellEnd"/>
        <w:r w:rsidR="00687F6D" w:rsidRPr="00DF31BB">
          <w:rPr>
            <w:rStyle w:val="Hyperlink"/>
          </w:rPr>
          <w:t>-dairy-industry-deregulation</w:t>
        </w:r>
      </w:hyperlink>
      <w:r>
        <w:t>&gt;.</w:t>
      </w:r>
    </w:p>
    <w:p w14:paraId="151B2460" w14:textId="77777777" w:rsidR="006D639D" w:rsidRDefault="006D639D" w:rsidP="006D639D">
      <w:r>
        <w:t xml:space="preserve">de </w:t>
      </w:r>
      <w:proofErr w:type="spellStart"/>
      <w:r>
        <w:t>Brouwer</w:t>
      </w:r>
      <w:proofErr w:type="spellEnd"/>
      <w:r>
        <w:t xml:space="preserve"> G 1999, </w:t>
      </w:r>
      <w:r w:rsidRPr="00F64EC8">
        <w:rPr>
          <w:i/>
        </w:rPr>
        <w:t>Deregulation and Open Capital Markets: The Australian Experience Before Wallis</w:t>
      </w:r>
      <w:r>
        <w:t xml:space="preserve">, </w:t>
      </w:r>
      <w:r w:rsidRPr="00921936">
        <w:rPr>
          <w:i/>
        </w:rPr>
        <w:t>Agenda</w:t>
      </w:r>
      <w:r>
        <w:t>, Vol. 6 No. 1, pp 51-68.</w:t>
      </w:r>
    </w:p>
    <w:p w14:paraId="4D4F28A0" w14:textId="77777777" w:rsidR="006D639D" w:rsidRDefault="006D639D" w:rsidP="006D639D">
      <w:proofErr w:type="spellStart"/>
      <w:r>
        <w:t>Debelle</w:t>
      </w:r>
      <w:proofErr w:type="spellEnd"/>
      <w:r>
        <w:t xml:space="preserve"> G 2018, </w:t>
      </w:r>
      <w:r w:rsidRPr="00921936">
        <w:rPr>
          <w:i/>
        </w:rPr>
        <w:t>Twenty-five Years of Inflation Targeting in Australia</w:t>
      </w:r>
      <w:r>
        <w:t>, Speech to RBA Con</w:t>
      </w:r>
      <w:r w:rsidR="00032DF4">
        <w:t>ference, Sydney, 12 April 2018.</w:t>
      </w:r>
    </w:p>
    <w:p w14:paraId="70D67357" w14:textId="77777777" w:rsidR="006D639D" w:rsidRDefault="006D639D" w:rsidP="006D639D">
      <w:proofErr w:type="spellStart"/>
      <w:r>
        <w:t>Demura</w:t>
      </w:r>
      <w:proofErr w:type="spellEnd"/>
      <w:r>
        <w:t xml:space="preserve"> P 1995, </w:t>
      </w:r>
      <w:r w:rsidRPr="00F64EC8">
        <w:rPr>
          <w:i/>
        </w:rPr>
        <w:t>Productivity Change in the Australian Steel Industry: BHP Steel 1982–1995</w:t>
      </w:r>
      <w:r>
        <w:t xml:space="preserve">, in </w:t>
      </w:r>
      <w:r w:rsidRPr="00886F42">
        <w:t>P</w:t>
      </w:r>
      <w:r w:rsidR="006F5558">
        <w:t> </w:t>
      </w:r>
      <w:r w:rsidRPr="00886F42">
        <w:t xml:space="preserve">Andersen, J Dwyer and D </w:t>
      </w:r>
      <w:proofErr w:type="spellStart"/>
      <w:r w:rsidRPr="00886F42">
        <w:t>Gruen</w:t>
      </w:r>
      <w:proofErr w:type="spellEnd"/>
      <w:r>
        <w:t xml:space="preserve"> (</w:t>
      </w:r>
      <w:proofErr w:type="spellStart"/>
      <w:r>
        <w:t>eds</w:t>
      </w:r>
      <w:proofErr w:type="spellEnd"/>
      <w:r>
        <w:t xml:space="preserve">), </w:t>
      </w:r>
      <w:r w:rsidRPr="003E619F">
        <w:rPr>
          <w:i/>
        </w:rPr>
        <w:t>Productivity and Growth</w:t>
      </w:r>
      <w:r>
        <w:t>, Proceedings of a Conference, Reserve Bank of Australia, Sydney, pp 172–184.</w:t>
      </w:r>
    </w:p>
    <w:p w14:paraId="6E13BC0D" w14:textId="77777777" w:rsidR="006D639D" w:rsidRDefault="006D639D" w:rsidP="006D639D">
      <w:proofErr w:type="spellStart"/>
      <w:r>
        <w:t>Eyraud</w:t>
      </w:r>
      <w:proofErr w:type="spellEnd"/>
      <w:r>
        <w:t xml:space="preserve"> L</w:t>
      </w:r>
      <w:r w:rsidR="006F5558">
        <w:t xml:space="preserve">, </w:t>
      </w:r>
      <w:proofErr w:type="spellStart"/>
      <w:r w:rsidR="006F5558">
        <w:t>Debrun</w:t>
      </w:r>
      <w:proofErr w:type="spellEnd"/>
      <w:r w:rsidR="006F5558">
        <w:t xml:space="preserve"> X, Hodge A, </w:t>
      </w:r>
      <w:proofErr w:type="spellStart"/>
      <w:r w:rsidR="006F5558">
        <w:t>Lledo</w:t>
      </w:r>
      <w:proofErr w:type="spellEnd"/>
      <w:r w:rsidR="006F5558">
        <w:t xml:space="preserve"> V and </w:t>
      </w:r>
      <w:proofErr w:type="spellStart"/>
      <w:r w:rsidR="006F5558">
        <w:t>Pattillo</w:t>
      </w:r>
      <w:proofErr w:type="spellEnd"/>
      <w:r w:rsidR="006F5558">
        <w:t xml:space="preserve"> C</w:t>
      </w:r>
      <w:r w:rsidRPr="00807AB8">
        <w:t xml:space="preserve"> </w:t>
      </w:r>
      <w:r>
        <w:t xml:space="preserve">2018, </w:t>
      </w:r>
      <w:r w:rsidRPr="00807AB8">
        <w:rPr>
          <w:i/>
        </w:rPr>
        <w:t>Second-Generation Fiscal Rules: Balancing Simplicity, Flexibility, and Enforceability</w:t>
      </w:r>
      <w:r>
        <w:t>, IMF Staff Discussion Note 18/04, Washington DC.</w:t>
      </w:r>
    </w:p>
    <w:p w14:paraId="06222AB3" w14:textId="77777777" w:rsidR="006D639D" w:rsidRDefault="006D639D" w:rsidP="006D639D">
      <w:r>
        <w:t xml:space="preserve">FitzGerald V 1993, </w:t>
      </w:r>
      <w:r w:rsidRPr="00921936">
        <w:rPr>
          <w:i/>
          <w:lang w:val="en"/>
        </w:rPr>
        <w:t>National Saving : A Report to the Treasurer</w:t>
      </w:r>
      <w:r>
        <w:rPr>
          <w:lang w:val="en"/>
        </w:rPr>
        <w:t>, Australian Government Publishing Service, Canberra.</w:t>
      </w:r>
    </w:p>
    <w:p w14:paraId="67CCBEC3" w14:textId="77777777" w:rsidR="006D639D" w:rsidRDefault="006D639D" w:rsidP="006D639D">
      <w:r>
        <w:t xml:space="preserve">Forsyth P 2000, </w:t>
      </w:r>
      <w:r w:rsidRPr="00F64EC8">
        <w:rPr>
          <w:i/>
        </w:rPr>
        <w:t>Microeconomic Policies and Structural Change</w:t>
      </w:r>
      <w:r>
        <w:t xml:space="preserve">, in D </w:t>
      </w:r>
      <w:proofErr w:type="spellStart"/>
      <w:r>
        <w:t>Gruen</w:t>
      </w:r>
      <w:proofErr w:type="spellEnd"/>
      <w:r>
        <w:t xml:space="preserve"> and S Shrestha (</w:t>
      </w:r>
      <w:proofErr w:type="spellStart"/>
      <w:r>
        <w:t>eds</w:t>
      </w:r>
      <w:proofErr w:type="spellEnd"/>
      <w:r>
        <w:t xml:space="preserve">), </w:t>
      </w:r>
      <w:r w:rsidRPr="003E619F">
        <w:rPr>
          <w:i/>
        </w:rPr>
        <w:t>The Australian Economy in the 1990s</w:t>
      </w:r>
      <w:r>
        <w:t>, Proceedings of a Conference, Reserve Bank of Australia, Sydney, pp</w:t>
      </w:r>
      <w:r w:rsidR="00032DF4">
        <w:t> </w:t>
      </w:r>
      <w:r>
        <w:t>235–267.</w:t>
      </w:r>
    </w:p>
    <w:p w14:paraId="34BF1F59" w14:textId="77777777" w:rsidR="006D639D" w:rsidRDefault="006D639D" w:rsidP="006D639D">
      <w:proofErr w:type="spellStart"/>
      <w:r>
        <w:t>Garnaut</w:t>
      </w:r>
      <w:proofErr w:type="spellEnd"/>
      <w:r>
        <w:t xml:space="preserve"> R 2002, </w:t>
      </w:r>
      <w:r w:rsidRPr="00F64EC8">
        <w:rPr>
          <w:i/>
        </w:rPr>
        <w:t>Equity and Australian development: Lessons from the First Century</w:t>
      </w:r>
      <w:r>
        <w:t xml:space="preserve">, </w:t>
      </w:r>
      <w:r w:rsidRPr="00921936">
        <w:rPr>
          <w:i/>
        </w:rPr>
        <w:t>The Australian Economic Review</w:t>
      </w:r>
      <w:r>
        <w:t xml:space="preserve">, vol. 35 no. </w:t>
      </w:r>
      <w:r w:rsidR="00032DF4">
        <w:t>3, pp 227-243.</w:t>
      </w:r>
    </w:p>
    <w:p w14:paraId="23227160" w14:textId="77777777" w:rsidR="006D639D" w:rsidRDefault="006D639D" w:rsidP="006D639D">
      <w:r>
        <w:t xml:space="preserve">Group of Thirty 2008, </w:t>
      </w:r>
      <w:r w:rsidRPr="00921936">
        <w:rPr>
          <w:i/>
        </w:rPr>
        <w:t>The structure of Financial Supervision: Approaches and Challenges in a Global Marketplace,</w:t>
      </w:r>
      <w:r w:rsidR="00687F6D">
        <w:t xml:space="preserve"> Washington DC.</w:t>
      </w:r>
    </w:p>
    <w:p w14:paraId="7B6433C2" w14:textId="77777777" w:rsidR="00D556DC" w:rsidRDefault="00D556DC" w:rsidP="00D556DC">
      <w:proofErr w:type="spellStart"/>
      <w:r>
        <w:t>Gruen</w:t>
      </w:r>
      <w:proofErr w:type="spellEnd"/>
      <w:r>
        <w:t xml:space="preserve"> D and Stevens G 2000,</w:t>
      </w:r>
      <w:r w:rsidRPr="00D556DC">
        <w:t xml:space="preserve"> </w:t>
      </w:r>
      <w:r w:rsidRPr="00F64EC8">
        <w:rPr>
          <w:i/>
        </w:rPr>
        <w:t>Australian Macroeconomic Performance and Policies in the 1990s</w:t>
      </w:r>
      <w:r>
        <w:t>, in</w:t>
      </w:r>
      <w:r w:rsidR="00A237F9">
        <w:t> </w:t>
      </w:r>
      <w:r>
        <w:t>D </w:t>
      </w:r>
      <w:proofErr w:type="spellStart"/>
      <w:r>
        <w:t>Gruen</w:t>
      </w:r>
      <w:proofErr w:type="spellEnd"/>
      <w:r>
        <w:t xml:space="preserve"> and S Shrestha (</w:t>
      </w:r>
      <w:proofErr w:type="spellStart"/>
      <w:r>
        <w:t>eds</w:t>
      </w:r>
      <w:proofErr w:type="spellEnd"/>
      <w:r>
        <w:t xml:space="preserve">), </w:t>
      </w:r>
      <w:r w:rsidRPr="003E619F">
        <w:rPr>
          <w:i/>
        </w:rPr>
        <w:t>The Australian Economy in the 1990s</w:t>
      </w:r>
      <w:r>
        <w:t>, Proceedings of a Conference, Reserve Bank of Australia, Sydney</w:t>
      </w:r>
      <w:r w:rsidR="00032DF4">
        <w:t>.</w:t>
      </w:r>
    </w:p>
    <w:p w14:paraId="4E22890B" w14:textId="77777777" w:rsidR="006D639D" w:rsidRDefault="006D639D" w:rsidP="006D639D">
      <w:proofErr w:type="spellStart"/>
      <w:r>
        <w:t>Gruen</w:t>
      </w:r>
      <w:proofErr w:type="spellEnd"/>
      <w:r>
        <w:t xml:space="preserve"> D and </w:t>
      </w:r>
      <w:proofErr w:type="spellStart"/>
      <w:r>
        <w:t>Sayegh</w:t>
      </w:r>
      <w:proofErr w:type="spellEnd"/>
      <w:r>
        <w:t xml:space="preserve"> A 2005, </w:t>
      </w:r>
      <w:r w:rsidRPr="00921936">
        <w:rPr>
          <w:i/>
        </w:rPr>
        <w:t>The evolution of fiscal policy in Australia</w:t>
      </w:r>
      <w:r>
        <w:t>, Working Paper 2005-04, Australian Treasury, Canberra.</w:t>
      </w:r>
    </w:p>
    <w:p w14:paraId="1DF056AC" w14:textId="77777777" w:rsidR="006D639D" w:rsidRDefault="006D639D" w:rsidP="006D639D">
      <w:r w:rsidRPr="004C5B86">
        <w:t xml:space="preserve">Haldane A 2018, </w:t>
      </w:r>
      <w:r w:rsidRPr="004C5B86">
        <w:rPr>
          <w:i/>
        </w:rPr>
        <w:t>Ideas and Institutions – A Growth Story</w:t>
      </w:r>
      <w:r w:rsidRPr="004C5B86">
        <w:t>, Bank of England speech to the Guild Society, University of Oxford, 23 May.</w:t>
      </w:r>
    </w:p>
    <w:p w14:paraId="2839B8A3" w14:textId="77777777" w:rsidR="00FC3D90" w:rsidRDefault="00FC3D90" w:rsidP="006D639D">
      <w:r>
        <w:t xml:space="preserve">Hawke R 1991, </w:t>
      </w:r>
      <w:r w:rsidRPr="009429E8">
        <w:rPr>
          <w:i/>
        </w:rPr>
        <w:t>Bu</w:t>
      </w:r>
      <w:r w:rsidRPr="00DD5470">
        <w:rPr>
          <w:i/>
        </w:rPr>
        <w:t xml:space="preserve">ilding a </w:t>
      </w:r>
      <w:r>
        <w:rPr>
          <w:i/>
        </w:rPr>
        <w:t>C</w:t>
      </w:r>
      <w:r w:rsidRPr="009429E8">
        <w:rPr>
          <w:i/>
        </w:rPr>
        <w:t>ompetitive Australia</w:t>
      </w:r>
      <w:r>
        <w:t xml:space="preserve">, Parliamentary Statement, 12 March. </w:t>
      </w:r>
      <w:hyperlink r:id="rId67" w:history="1">
        <w:r w:rsidRPr="006E574B">
          <w:rPr>
            <w:rStyle w:val="Hyperlink"/>
          </w:rPr>
          <w:t>https://pmtranscripts.pmc.gov.au/sites/default/files/original/00008270.pdf</w:t>
        </w:r>
      </w:hyperlink>
      <w:r w:rsidR="00A237F9">
        <w:t>.</w:t>
      </w:r>
    </w:p>
    <w:p w14:paraId="496D08E0" w14:textId="77777777" w:rsidR="006D639D" w:rsidRDefault="006D639D" w:rsidP="00687F6D">
      <w:r>
        <w:t xml:space="preserve">Henry K 2001, </w:t>
      </w:r>
      <w:r w:rsidRPr="00807AB8">
        <w:rPr>
          <w:i/>
        </w:rPr>
        <w:t>Australia’s Economic Development</w:t>
      </w:r>
      <w:r>
        <w:t>, Speech to the Committee for the Economic Development, Sydney, 19 November 2001</w:t>
      </w:r>
      <w:r w:rsidR="00032DF4">
        <w:t>.</w:t>
      </w:r>
    </w:p>
    <w:p w14:paraId="76FA5409" w14:textId="77777777" w:rsidR="001D0749" w:rsidRDefault="001D0749" w:rsidP="001D0749">
      <w:r>
        <w:t xml:space="preserve">Henry K 2014, </w:t>
      </w:r>
      <w:r w:rsidR="00F64EC8" w:rsidRPr="00F64EC8">
        <w:rPr>
          <w:i/>
        </w:rPr>
        <w:t>C</w:t>
      </w:r>
      <w:r w:rsidRPr="00F64EC8">
        <w:rPr>
          <w:i/>
        </w:rPr>
        <w:t xml:space="preserve">ompetition policy and deregulation 21 years after </w:t>
      </w:r>
      <w:proofErr w:type="spellStart"/>
      <w:r w:rsidRPr="00F64EC8">
        <w:rPr>
          <w:i/>
        </w:rPr>
        <w:t>Hilmer</w:t>
      </w:r>
      <w:proofErr w:type="spellEnd"/>
      <w:r>
        <w:t xml:space="preserve">, Speech to Crawford School of Public </w:t>
      </w:r>
      <w:r w:rsidR="00032DF4">
        <w:t xml:space="preserve">Policy, ANU, Canberra, 7 March. </w:t>
      </w:r>
      <w:hyperlink r:id="rId68" w:history="1">
        <w:r w:rsidR="00687F6D" w:rsidRPr="00DF31BB">
          <w:rPr>
            <w:rStyle w:val="Hyperlink"/>
          </w:rPr>
          <w:t>https://crawford.anu.edu.au/sites/default/files/events/</w:t>
        </w:r>
        <w:r w:rsidR="00687F6D" w:rsidRPr="00DF31BB">
          <w:rPr>
            <w:rStyle w:val="Hyperlink"/>
          </w:rPr>
          <w:br/>
          <w:t>attachments/2014-03/henry_hilmer_after_21_years.pdf</w:t>
        </w:r>
      </w:hyperlink>
      <w:r w:rsidR="00A237F9">
        <w:t>.</w:t>
      </w:r>
    </w:p>
    <w:p w14:paraId="7C76D53A" w14:textId="77777777" w:rsidR="006D639D" w:rsidRDefault="006D639D" w:rsidP="006D639D">
      <w:r>
        <w:t xml:space="preserve">Independent Committee of Inquiry into Competition Policy in Australia 1993, </w:t>
      </w:r>
      <w:r w:rsidRPr="004665D3">
        <w:rPr>
          <w:i/>
        </w:rPr>
        <w:t>National Competition Policy Review (</w:t>
      </w:r>
      <w:proofErr w:type="spellStart"/>
      <w:r w:rsidRPr="004665D3">
        <w:rPr>
          <w:i/>
        </w:rPr>
        <w:t>Hilmer</w:t>
      </w:r>
      <w:proofErr w:type="spellEnd"/>
      <w:r w:rsidRPr="004665D3">
        <w:rPr>
          <w:i/>
        </w:rPr>
        <w:t xml:space="preserve"> Report)</w:t>
      </w:r>
      <w:r>
        <w:t>, Australian Government Publishing Service, Canberra.</w:t>
      </w:r>
    </w:p>
    <w:p w14:paraId="75DF0AED" w14:textId="77777777" w:rsidR="006D639D" w:rsidRDefault="006D639D" w:rsidP="006D639D">
      <w:r>
        <w:t xml:space="preserve">Industry Commission 1990, </w:t>
      </w:r>
      <w:r w:rsidRPr="00E34F16">
        <w:rPr>
          <w:i/>
        </w:rPr>
        <w:t>The Automotive Industry</w:t>
      </w:r>
      <w:r>
        <w:t xml:space="preserve">, Report No. 5, </w:t>
      </w:r>
      <w:r w:rsidRPr="00E34F16">
        <w:t>Australian Government Publishing Service</w:t>
      </w:r>
      <w:r>
        <w:t>, Canberra.</w:t>
      </w:r>
    </w:p>
    <w:p w14:paraId="08B325DB" w14:textId="77777777" w:rsidR="006D639D" w:rsidRDefault="006D639D" w:rsidP="006D639D">
      <w:r>
        <w:t xml:space="preserve">Kelly P 1992, </w:t>
      </w:r>
      <w:r w:rsidRPr="004665D3">
        <w:rPr>
          <w:i/>
        </w:rPr>
        <w:t>The End of Certainty</w:t>
      </w:r>
      <w:r>
        <w:rPr>
          <w:i/>
        </w:rPr>
        <w:t>: Power, Politics and Business in Australia</w:t>
      </w:r>
      <w:r>
        <w:t>, Allen &amp; Unwin, Sydney.</w:t>
      </w:r>
    </w:p>
    <w:p w14:paraId="5BBFEA7E" w14:textId="77777777" w:rsidR="009453AC" w:rsidRDefault="009453AC" w:rsidP="009453AC">
      <w:r>
        <w:t xml:space="preserve">Macfarlane I 1997, </w:t>
      </w:r>
      <w:r w:rsidRPr="00F64EC8">
        <w:rPr>
          <w:i/>
        </w:rPr>
        <w:t>Monetary Policy Regimes: Past and Present</w:t>
      </w:r>
      <w:r>
        <w:t xml:space="preserve">, RBA </w:t>
      </w:r>
      <w:r w:rsidR="00F64EC8">
        <w:t>Bulletin,</w:t>
      </w:r>
      <w:r>
        <w:t xml:space="preserve"> October 1997.</w:t>
      </w:r>
    </w:p>
    <w:p w14:paraId="6C93DCDB" w14:textId="77777777" w:rsidR="006D639D" w:rsidRDefault="006D639D" w:rsidP="006D639D">
      <w:r>
        <w:t xml:space="preserve">Macfarlane I 2006, </w:t>
      </w:r>
      <w:r w:rsidRPr="004665D3">
        <w:rPr>
          <w:i/>
        </w:rPr>
        <w:t>The Search for Stability</w:t>
      </w:r>
      <w:r>
        <w:t>, Boyer Lectures, ABC Books, Sydney.</w:t>
      </w:r>
    </w:p>
    <w:p w14:paraId="7F8CABC6" w14:textId="77777777" w:rsidR="006D639D" w:rsidRDefault="006D639D" w:rsidP="006D639D">
      <w:r>
        <w:t xml:space="preserve">Newman V, Potter C and Wright M 2011, </w:t>
      </w:r>
      <w:r w:rsidRPr="004665D3">
        <w:rPr>
          <w:i/>
        </w:rPr>
        <w:t>Foreign Exchange Market Intervention</w:t>
      </w:r>
      <w:r>
        <w:t>, RBA Bulletin, December quarter.</w:t>
      </w:r>
    </w:p>
    <w:p w14:paraId="52A6D2A0" w14:textId="77777777" w:rsidR="00997AEA" w:rsidRDefault="00997AEA" w:rsidP="006D639D">
      <w:r>
        <w:t xml:space="preserve">OECD 2016, </w:t>
      </w:r>
      <w:r>
        <w:rPr>
          <w:i/>
          <w:iCs/>
        </w:rPr>
        <w:t>Consumption Tax Trends 2016: VAT/GST and excise rates, trends and policy issues</w:t>
      </w:r>
      <w:r>
        <w:t>, OECD Publishing, Paris.</w:t>
      </w:r>
    </w:p>
    <w:p w14:paraId="64EB1C2A" w14:textId="77777777" w:rsidR="006D639D" w:rsidRDefault="006D639D" w:rsidP="006D639D">
      <w:r>
        <w:t>OECD 2018 (</w:t>
      </w:r>
      <w:r w:rsidR="00F00FB9">
        <w:t>1</w:t>
      </w:r>
      <w:r>
        <w:t xml:space="preserve">), </w:t>
      </w:r>
      <w:r>
        <w:rPr>
          <w:i/>
          <w:iCs/>
        </w:rPr>
        <w:t>OECD Sovereign Borrowing Outlook 2018</w:t>
      </w:r>
      <w:r w:rsidR="00032DF4">
        <w:t>, OECD Publishing, Paris.</w:t>
      </w:r>
    </w:p>
    <w:p w14:paraId="2AA46182" w14:textId="77777777" w:rsidR="00F00FB9" w:rsidRDefault="00F00FB9" w:rsidP="00F00FB9">
      <w:r>
        <w:rPr>
          <w:rStyle w:val="oecd-shared-footercopyright-first"/>
          <w:lang w:val="en"/>
        </w:rPr>
        <w:t>OECD</w:t>
      </w:r>
      <w:r>
        <w:rPr>
          <w:rStyle w:val="oecd-shared-footercopyright-second"/>
          <w:lang w:val="en"/>
        </w:rPr>
        <w:t xml:space="preserve"> 2018 (2), </w:t>
      </w:r>
      <w:r w:rsidRPr="004665D3">
        <w:rPr>
          <w:i/>
          <w:lang w:val="en"/>
        </w:rPr>
        <w:t>General government spending</w:t>
      </w:r>
      <w:r>
        <w:rPr>
          <w:lang w:val="en"/>
        </w:rPr>
        <w:t xml:space="preserve">, OECD, Paris, viewed 3 August 2018, </w:t>
      </w:r>
      <w:hyperlink r:id="rId69" w:history="1">
        <w:r w:rsidR="00A237F9" w:rsidRPr="00DF31BB">
          <w:rPr>
            <w:rStyle w:val="Hyperlink"/>
          </w:rPr>
          <w:t>https://data.</w:t>
        </w:r>
        <w:r w:rsidR="00A237F9" w:rsidRPr="00DF31BB">
          <w:rPr>
            <w:rStyle w:val="Hyperlink"/>
          </w:rPr>
          <w:br/>
          <w:t>oecd.org/</w:t>
        </w:r>
        <w:proofErr w:type="spellStart"/>
        <w:r w:rsidR="00A237F9" w:rsidRPr="00DF31BB">
          <w:rPr>
            <w:rStyle w:val="Hyperlink"/>
          </w:rPr>
          <w:t>gga</w:t>
        </w:r>
        <w:proofErr w:type="spellEnd"/>
        <w:r w:rsidR="00A237F9" w:rsidRPr="00DF31BB">
          <w:rPr>
            <w:rStyle w:val="Hyperlink"/>
          </w:rPr>
          <w:t>/general-government-spending.htm</w:t>
        </w:r>
      </w:hyperlink>
      <w:r>
        <w:t>.</w:t>
      </w:r>
    </w:p>
    <w:p w14:paraId="7F3D816E" w14:textId="77777777" w:rsidR="006D639D" w:rsidRDefault="006D639D" w:rsidP="006D639D">
      <w:r>
        <w:rPr>
          <w:rStyle w:val="oecd-shared-footercopyright-first"/>
          <w:lang w:val="en"/>
        </w:rPr>
        <w:t>OECD</w:t>
      </w:r>
      <w:r>
        <w:rPr>
          <w:rStyle w:val="oecd-shared-footercopyright-second"/>
          <w:lang w:val="en"/>
        </w:rPr>
        <w:t xml:space="preserve"> 2018 (3), </w:t>
      </w:r>
      <w:r>
        <w:rPr>
          <w:i/>
          <w:lang w:val="en"/>
        </w:rPr>
        <w:t xml:space="preserve">Social </w:t>
      </w:r>
      <w:r w:rsidRPr="004665D3">
        <w:rPr>
          <w:i/>
          <w:lang w:val="en"/>
        </w:rPr>
        <w:t>spending</w:t>
      </w:r>
      <w:r>
        <w:rPr>
          <w:lang w:val="en"/>
        </w:rPr>
        <w:t xml:space="preserve">, OECD, Paris, viewed 3 August 2018, </w:t>
      </w:r>
      <w:hyperlink r:id="rId70" w:history="1">
        <w:r w:rsidR="00A237F9" w:rsidRPr="00DF31BB">
          <w:rPr>
            <w:rStyle w:val="Hyperlink"/>
          </w:rPr>
          <w:t>https://data.oecd.org/</w:t>
        </w:r>
        <w:r w:rsidR="00A237F9" w:rsidRPr="00DF31BB">
          <w:rPr>
            <w:rStyle w:val="Hyperlink"/>
          </w:rPr>
          <w:br/>
        </w:r>
        <w:proofErr w:type="spellStart"/>
        <w:r w:rsidR="00A237F9" w:rsidRPr="00DF31BB">
          <w:rPr>
            <w:rStyle w:val="Hyperlink"/>
          </w:rPr>
          <w:t>socialexp</w:t>
        </w:r>
        <w:proofErr w:type="spellEnd"/>
        <w:r w:rsidR="00A237F9" w:rsidRPr="00DF31BB">
          <w:rPr>
            <w:rStyle w:val="Hyperlink"/>
          </w:rPr>
          <w:t>/social-spending.htm</w:t>
        </w:r>
      </w:hyperlink>
      <w:r>
        <w:t>.</w:t>
      </w:r>
    </w:p>
    <w:p w14:paraId="759B448E" w14:textId="77777777" w:rsidR="00A97DAF" w:rsidRDefault="006D639D" w:rsidP="006D639D">
      <w:pPr>
        <w:rPr>
          <w:lang w:val="en"/>
        </w:rPr>
      </w:pPr>
      <w:r w:rsidRPr="00E34F16">
        <w:rPr>
          <w:lang w:val="en"/>
        </w:rPr>
        <w:t xml:space="preserve">Parliament of the Commonwealth of Australia 1987, </w:t>
      </w:r>
      <w:r w:rsidRPr="00E34F16">
        <w:rPr>
          <w:i/>
          <w:lang w:val="en"/>
        </w:rPr>
        <w:t>Australian Iron and Steel Industry: Report Of The House Of Representatives Standing Committee on Finance and Public Administration</w:t>
      </w:r>
      <w:r w:rsidRPr="00E34F16">
        <w:rPr>
          <w:lang w:val="en"/>
        </w:rPr>
        <w:t>, Australian Government Publishing Service, Canberra.</w:t>
      </w:r>
    </w:p>
    <w:p w14:paraId="60A1F57E" w14:textId="77777777" w:rsidR="002448D4" w:rsidRDefault="002448D4" w:rsidP="006D639D">
      <w:r>
        <w:t xml:space="preserve">Productivity Commission 1996, </w:t>
      </w:r>
      <w:r w:rsidRPr="00F64EC8">
        <w:rPr>
          <w:i/>
        </w:rPr>
        <w:t>Stocktake of progress in microeconomic reform</w:t>
      </w:r>
      <w:r>
        <w:t>, Research Paper, Canberra.</w:t>
      </w:r>
    </w:p>
    <w:p w14:paraId="4053D0FE" w14:textId="77777777" w:rsidR="006D639D" w:rsidRDefault="006D639D" w:rsidP="006D639D">
      <w:r w:rsidRPr="006A48FB">
        <w:t>Productivity Comm</w:t>
      </w:r>
      <w:r>
        <w:t>ission 1999,</w:t>
      </w:r>
      <w:r w:rsidRPr="006A48FB">
        <w:t xml:space="preserve"> </w:t>
      </w:r>
      <w:r w:rsidRPr="0067587F">
        <w:rPr>
          <w:i/>
        </w:rPr>
        <w:t>Microeconomic reforms and Australian Productivity: Exploring the Links</w:t>
      </w:r>
      <w:r w:rsidRPr="006A48FB">
        <w:t xml:space="preserve">, Research Paper, </w:t>
      </w:r>
      <w:proofErr w:type="spellStart"/>
      <w:r w:rsidRPr="006A48FB">
        <w:t>AusInfo</w:t>
      </w:r>
      <w:proofErr w:type="spellEnd"/>
      <w:r w:rsidRPr="006A48FB">
        <w:t>, Canberra.</w:t>
      </w:r>
    </w:p>
    <w:p w14:paraId="6A858187" w14:textId="77777777" w:rsidR="006D639D" w:rsidRDefault="006D639D" w:rsidP="006D639D">
      <w:r>
        <w:t xml:space="preserve">Productivity Commission 2005, </w:t>
      </w:r>
      <w:r w:rsidRPr="0067587F">
        <w:rPr>
          <w:i/>
        </w:rPr>
        <w:t>Review of National Competition Policy Reforms</w:t>
      </w:r>
      <w:r w:rsidR="00032DF4">
        <w:t>, Report No. 33, Canberra.</w:t>
      </w:r>
    </w:p>
    <w:p w14:paraId="1EC70F68" w14:textId="77777777" w:rsidR="00194B6E" w:rsidRPr="00CA7292" w:rsidRDefault="00194B6E" w:rsidP="00194B6E">
      <w:r w:rsidRPr="00CA7292">
        <w:t xml:space="preserve">Productivity Commission 2010, </w:t>
      </w:r>
      <w:r w:rsidRPr="00CA7292">
        <w:rPr>
          <w:i/>
        </w:rPr>
        <w:t>Bilateral and Regional Trade Agreements</w:t>
      </w:r>
      <w:r w:rsidRPr="00CA7292">
        <w:t>, Research Report, Canberra.</w:t>
      </w:r>
    </w:p>
    <w:p w14:paraId="55A6C9D1" w14:textId="77777777" w:rsidR="00F41B3B" w:rsidRPr="00CA7292" w:rsidRDefault="00F41B3B" w:rsidP="006D639D">
      <w:r w:rsidRPr="00CA7292">
        <w:t xml:space="preserve">Productivity Commission 2011, </w:t>
      </w:r>
      <w:r w:rsidRPr="00CA7292">
        <w:rPr>
          <w:i/>
        </w:rPr>
        <w:t>Disability Care and Support</w:t>
      </w:r>
      <w:r w:rsidRPr="00CA7292">
        <w:t>, Report no. 54, Canberra.</w:t>
      </w:r>
    </w:p>
    <w:p w14:paraId="7A994A3D" w14:textId="77777777" w:rsidR="00283E39" w:rsidRPr="00CA7292" w:rsidRDefault="00283E39" w:rsidP="006D639D">
      <w:r w:rsidRPr="00CA7292">
        <w:t xml:space="preserve">Productivity Commission 2014, </w:t>
      </w:r>
      <w:r w:rsidRPr="00CA7292">
        <w:rPr>
          <w:i/>
        </w:rPr>
        <w:t>Australia’s Automotive Manufacturing Industry,</w:t>
      </w:r>
      <w:r w:rsidRPr="00CA7292">
        <w:t xml:space="preserve"> Report No. 70, Canberra.</w:t>
      </w:r>
    </w:p>
    <w:p w14:paraId="65C1F4E7" w14:textId="77777777" w:rsidR="004B75C7" w:rsidRPr="00CA7292" w:rsidRDefault="004B75C7" w:rsidP="006D639D">
      <w:r w:rsidRPr="00CA7292">
        <w:t xml:space="preserve">Productivity Commission 2017, </w:t>
      </w:r>
      <w:r w:rsidRPr="00CA7292">
        <w:rPr>
          <w:i/>
        </w:rPr>
        <w:t>Shifting the Dial: 5 Year Productivity Review</w:t>
      </w:r>
      <w:r w:rsidRPr="00CA7292">
        <w:t>, Report No. 84, Canberra.</w:t>
      </w:r>
    </w:p>
    <w:p w14:paraId="5CDD2D97" w14:textId="77777777" w:rsidR="00014DBC" w:rsidRPr="00CA7292" w:rsidRDefault="00014DBC" w:rsidP="006D639D">
      <w:r w:rsidRPr="00CA7292">
        <w:t xml:space="preserve">Productivity Commission 2018 (1), </w:t>
      </w:r>
      <w:r w:rsidRPr="00CA7292">
        <w:rPr>
          <w:i/>
          <w:iCs/>
        </w:rPr>
        <w:t>Competition in the Australian Financial System</w:t>
      </w:r>
      <w:r w:rsidRPr="00CA7292">
        <w:t>, Report no. 89, Canberra.</w:t>
      </w:r>
    </w:p>
    <w:p w14:paraId="2C2AD45F" w14:textId="77777777" w:rsidR="0095650A" w:rsidRPr="00CA7292" w:rsidRDefault="00194B6E" w:rsidP="006D639D">
      <w:r w:rsidRPr="00CA7292">
        <w:t>Productivity Commission 2018</w:t>
      </w:r>
      <w:r w:rsidR="00014DBC" w:rsidRPr="00CA7292">
        <w:t xml:space="preserve"> (2)</w:t>
      </w:r>
      <w:r w:rsidR="00D52902" w:rsidRPr="00CA7292">
        <w:t xml:space="preserve">, </w:t>
      </w:r>
      <w:r w:rsidR="00D52902" w:rsidRPr="00CA7292">
        <w:rPr>
          <w:i/>
          <w:iCs/>
        </w:rPr>
        <w:t xml:space="preserve">Rising inequality? A stocktake of the evidence, </w:t>
      </w:r>
      <w:r w:rsidR="00D52902" w:rsidRPr="00CA7292">
        <w:t>Commission Research Paper, Canberra.</w:t>
      </w:r>
    </w:p>
    <w:p w14:paraId="0222042D" w14:textId="77777777" w:rsidR="006D639D" w:rsidRPr="00CA7292" w:rsidRDefault="006D639D" w:rsidP="006D639D">
      <w:r w:rsidRPr="00CA7292">
        <w:t xml:space="preserve">Reinhardt S and Steel L 2006, </w:t>
      </w:r>
      <w:r w:rsidRPr="00CA7292">
        <w:rPr>
          <w:i/>
        </w:rPr>
        <w:t>A brief history of Australia’s tax system</w:t>
      </w:r>
      <w:r w:rsidRPr="00CA7292">
        <w:t xml:space="preserve">, Australian Treasury paper presented to the 22nd APEC Finance Ministers Technical Working Group Meeting in Khanh </w:t>
      </w:r>
      <w:proofErr w:type="spellStart"/>
      <w:r w:rsidRPr="00CA7292">
        <w:t>Hoa</w:t>
      </w:r>
      <w:proofErr w:type="spellEnd"/>
      <w:r w:rsidRPr="00CA7292">
        <w:t>, Vietnam, 15 June 2006.</w:t>
      </w:r>
    </w:p>
    <w:p w14:paraId="6E06E6A5" w14:textId="77777777" w:rsidR="006D639D" w:rsidRPr="00CA7292" w:rsidRDefault="006D639D" w:rsidP="006D639D">
      <w:r w:rsidRPr="00CA7292">
        <w:t>Reserve Bank of Australia 2010</w:t>
      </w:r>
      <w:r w:rsidRPr="00CA7292">
        <w:rPr>
          <w:i/>
        </w:rPr>
        <w:t>, Submission to Senate Economics References Committee Inquiry into Competition within the Australian Banking Sector</w:t>
      </w:r>
      <w:r w:rsidR="00032DF4" w:rsidRPr="00CA7292">
        <w:t>, RBA, 30 November.</w:t>
      </w:r>
    </w:p>
    <w:p w14:paraId="19CB3FE8" w14:textId="77777777" w:rsidR="006D639D" w:rsidRPr="00CA7292" w:rsidRDefault="006D639D" w:rsidP="006D639D">
      <w:r w:rsidRPr="00CA7292">
        <w:t xml:space="preserve">Reserve Bank of Australia 2012, </w:t>
      </w:r>
      <w:r w:rsidRPr="00CA7292">
        <w:rPr>
          <w:i/>
        </w:rPr>
        <w:t>Annual Report 2012</w:t>
      </w:r>
      <w:r w:rsidRPr="00CA7292">
        <w:t>, RBA, Sydney.</w:t>
      </w:r>
    </w:p>
    <w:p w14:paraId="255F6A58" w14:textId="77777777" w:rsidR="006D639D" w:rsidRDefault="006D639D" w:rsidP="006D639D">
      <w:r>
        <w:t xml:space="preserve">Richardson D 1997, </w:t>
      </w:r>
      <w:r w:rsidRPr="0067587F">
        <w:rPr>
          <w:i/>
        </w:rPr>
        <w:t>Protection in the Motor Vehicle Industry</w:t>
      </w:r>
      <w:r>
        <w:t>, Current Issues Brief No. 22, Australian Parliamentary Library, Canberra.</w:t>
      </w:r>
    </w:p>
    <w:p w14:paraId="587F7B3F" w14:textId="77777777" w:rsidR="006D639D" w:rsidRDefault="006D639D" w:rsidP="006D639D">
      <w:r>
        <w:t xml:space="preserve">Ryan C 2016, </w:t>
      </w:r>
      <w:r w:rsidRPr="0067587F">
        <w:rPr>
          <w:i/>
        </w:rPr>
        <w:t>The Development of Hedging Markets in Asia,</w:t>
      </w:r>
      <w:r>
        <w:t xml:space="preserve"> RBA address to Pan Asian Regulatory Summit, Hong Kong, 8 November.</w:t>
      </w:r>
    </w:p>
    <w:p w14:paraId="2DA81274" w14:textId="77777777" w:rsidR="006D639D" w:rsidRDefault="006D639D" w:rsidP="006D639D">
      <w:proofErr w:type="spellStart"/>
      <w:r>
        <w:t>Schaechter</w:t>
      </w:r>
      <w:proofErr w:type="spellEnd"/>
      <w:r>
        <w:t xml:space="preserve"> A, </w:t>
      </w:r>
      <w:proofErr w:type="spellStart"/>
      <w:r>
        <w:t>Kinda</w:t>
      </w:r>
      <w:proofErr w:type="spellEnd"/>
      <w:r>
        <w:t xml:space="preserve"> T, Nina </w:t>
      </w:r>
      <w:proofErr w:type="spellStart"/>
      <w:r>
        <w:t>Budina</w:t>
      </w:r>
      <w:proofErr w:type="spellEnd"/>
      <w:r>
        <w:t xml:space="preserve"> and Weber A 2012, </w:t>
      </w:r>
      <w:r w:rsidRPr="00807AB8">
        <w:rPr>
          <w:i/>
        </w:rPr>
        <w:t>Fiscal Rules in Response to the Crisis—Toward the “Next-Generation” Rules. A New Dataset</w:t>
      </w:r>
      <w:r>
        <w:t>, IMF Working Paper 12/187, Washington DC.</w:t>
      </w:r>
    </w:p>
    <w:p w14:paraId="23D8BB91" w14:textId="77777777" w:rsidR="006D639D" w:rsidRDefault="006D639D" w:rsidP="006D639D">
      <w:proofErr w:type="spellStart"/>
      <w:r>
        <w:t>Windybank</w:t>
      </w:r>
      <w:proofErr w:type="spellEnd"/>
      <w:r>
        <w:t xml:space="preserve"> S 2003, </w:t>
      </w:r>
      <w:r w:rsidR="00F64EC8" w:rsidRPr="00F64EC8">
        <w:rPr>
          <w:i/>
        </w:rPr>
        <w:t>Can</w:t>
      </w:r>
      <w:r w:rsidRPr="00F64EC8">
        <w:rPr>
          <w:i/>
        </w:rPr>
        <w:t xml:space="preserve"> New Zealand Fly Again</w:t>
      </w:r>
      <w:r w:rsidR="00F64EC8" w:rsidRPr="00F64EC8">
        <w:rPr>
          <w:i/>
        </w:rPr>
        <w:t>?</w:t>
      </w:r>
      <w:r>
        <w:t xml:space="preserve">, </w:t>
      </w:r>
      <w:r w:rsidRPr="00295D82">
        <w:rPr>
          <w:i/>
        </w:rPr>
        <w:t>Policy</w:t>
      </w:r>
      <w:r>
        <w:t>, Vol. 19 No. 2, pp 21-27.</w:t>
      </w:r>
    </w:p>
    <w:p w14:paraId="4CA071D5" w14:textId="77777777" w:rsidR="006D639D" w:rsidRDefault="006D639D" w:rsidP="006D639D">
      <w:r>
        <w:t xml:space="preserve">Wooden M and Sloan J 1998, </w:t>
      </w:r>
      <w:r w:rsidRPr="00F64EC8">
        <w:rPr>
          <w:i/>
        </w:rPr>
        <w:t>Industrial Relations Reform and Labour Market Outcomes: A</w:t>
      </w:r>
      <w:r w:rsidR="00A237F9">
        <w:rPr>
          <w:i/>
        </w:rPr>
        <w:t> </w:t>
      </w:r>
      <w:r w:rsidRPr="00F64EC8">
        <w:rPr>
          <w:i/>
        </w:rPr>
        <w:t>Comparison of Australia, New Zealand and the United Kingdom</w:t>
      </w:r>
      <w:r>
        <w:t xml:space="preserve">, In </w:t>
      </w:r>
      <w:proofErr w:type="spellStart"/>
      <w:r>
        <w:t>Debelle</w:t>
      </w:r>
      <w:proofErr w:type="spellEnd"/>
      <w:r>
        <w:t xml:space="preserve"> G and Borland J (1998) </w:t>
      </w:r>
      <w:r w:rsidRPr="00295D82">
        <w:rPr>
          <w:i/>
        </w:rPr>
        <w:t>Unemployment and the Australian Labour Market: Proceedings of a Conference</w:t>
      </w:r>
      <w:r>
        <w:t>, RBA, Sydney, pp</w:t>
      </w:r>
      <w:r w:rsidR="00687F6D">
        <w:t> </w:t>
      </w:r>
      <w:r>
        <w:t>169-203.</w:t>
      </w:r>
    </w:p>
    <w:p w14:paraId="423BCF25" w14:textId="77777777" w:rsidR="00F012EA" w:rsidRPr="008627B1" w:rsidRDefault="00F012EA" w:rsidP="00695ABC"/>
    <w:sectPr w:rsidR="00F012EA" w:rsidRPr="008627B1" w:rsidSect="006E0496">
      <w:headerReference w:type="first" r:id="rId71"/>
      <w:footerReference w:type="first" r:id="rId72"/>
      <w:pgSz w:w="11906" w:h="16838" w:code="9"/>
      <w:pgMar w:top="1418" w:right="1418" w:bottom="1418" w:left="1418"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BE3860" w14:textId="77777777" w:rsidR="00214500" w:rsidRDefault="00214500" w:rsidP="005F100C">
      <w:pPr>
        <w:spacing w:after="0"/>
      </w:pPr>
      <w:r>
        <w:separator/>
      </w:r>
    </w:p>
  </w:endnote>
  <w:endnote w:type="continuationSeparator" w:id="0">
    <w:p w14:paraId="06D1722D" w14:textId="77777777" w:rsidR="00214500" w:rsidRDefault="00214500" w:rsidP="005F100C">
      <w:pPr>
        <w:spacing w:after="0"/>
      </w:pPr>
      <w:r>
        <w:continuationSeparator/>
      </w:r>
    </w:p>
  </w:endnote>
  <w:endnote w:type="continuationNotice" w:id="1">
    <w:p w14:paraId="5E655666" w14:textId="77777777" w:rsidR="00214500" w:rsidRDefault="0021450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DCAB6" w14:textId="77777777" w:rsidR="00214500" w:rsidRDefault="00214500" w:rsidP="00365C6D">
    <w:pPr>
      <w:pStyle w:val="Footer"/>
      <w:rPr>
        <w:rStyle w:val="PageNumber"/>
      </w:rPr>
    </w:pPr>
    <w:r w:rsidRPr="00365C6D">
      <w:rPr>
        <w:rStyle w:val="PageNumber"/>
      </w:rPr>
      <w:fldChar w:fldCharType="begin"/>
    </w:r>
    <w:r w:rsidRPr="00365C6D">
      <w:rPr>
        <w:rStyle w:val="PageNumber"/>
      </w:rPr>
      <w:instrText xml:space="preserve"> PAGE   \* MERGEFORMAT </w:instrText>
    </w:r>
    <w:r w:rsidRPr="00365C6D">
      <w:rPr>
        <w:rStyle w:val="PageNumber"/>
      </w:rPr>
      <w:fldChar w:fldCharType="separate"/>
    </w:r>
    <w:r>
      <w:rPr>
        <w:rStyle w:val="PageNumber"/>
        <w:noProof/>
      </w:rPr>
      <w:t>2</w:t>
    </w:r>
    <w:r w:rsidRPr="00365C6D">
      <w:rPr>
        <w:rStyle w:val="PageNumber"/>
      </w:rPr>
      <w:fldChar w:fldCharType="end"/>
    </w:r>
  </w:p>
  <w:p w14:paraId="4316796A" w14:textId="77777777" w:rsidR="00214500" w:rsidRDefault="00214500" w:rsidP="00F60530">
    <w:pPr>
      <w:pStyle w:val="SecurityClassificationFooter"/>
    </w:pPr>
  </w:p>
  <w:p w14:paraId="503CB46B" w14:textId="77777777" w:rsidR="00214500" w:rsidRPr="00365C6D" w:rsidRDefault="0075747D" w:rsidP="000954F0">
    <w:pPr>
      <w:pStyle w:val="SecurityClassificationFooter"/>
    </w:pPr>
    <w:fldSimple w:instr=" DOCPROPERTY WorkingDocStatus \* MERGEFORMAT ">
      <w:r w:rsidR="00214500">
        <w:t>DRAFT WORKING DOCUMENT</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87645" w14:textId="77777777" w:rsidR="00214500" w:rsidRDefault="00214500" w:rsidP="00365C6D">
    <w:pPr>
      <w:pStyle w:val="Footer"/>
      <w:rPr>
        <w:rStyle w:val="PageNumber"/>
      </w:rPr>
    </w:pPr>
    <w:r w:rsidRPr="00365C6D">
      <w:rPr>
        <w:rStyle w:val="PageNumber"/>
      </w:rPr>
      <w:fldChar w:fldCharType="begin"/>
    </w:r>
    <w:r w:rsidRPr="00365C6D">
      <w:rPr>
        <w:rStyle w:val="PageNumber"/>
      </w:rPr>
      <w:instrText xml:space="preserve"> PAGE   \* MERGEFORMAT </w:instrText>
    </w:r>
    <w:r w:rsidRPr="00365C6D">
      <w:rPr>
        <w:rStyle w:val="PageNumber"/>
      </w:rPr>
      <w:fldChar w:fldCharType="separate"/>
    </w:r>
    <w:r>
      <w:rPr>
        <w:rStyle w:val="PageNumber"/>
        <w:noProof/>
      </w:rPr>
      <w:t>3</w:t>
    </w:r>
    <w:r w:rsidRPr="00365C6D">
      <w:rPr>
        <w:rStyle w:val="PageNumber"/>
      </w:rPr>
      <w:fldChar w:fldCharType="end"/>
    </w:r>
  </w:p>
  <w:p w14:paraId="317E12A7" w14:textId="77777777" w:rsidR="00214500" w:rsidRDefault="00214500" w:rsidP="00F60530">
    <w:pPr>
      <w:pStyle w:val="SecurityClassification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315298"/>
      <w:docPartObj>
        <w:docPartGallery w:val="Page Numbers (Bottom of Page)"/>
        <w:docPartUnique/>
      </w:docPartObj>
    </w:sdtPr>
    <w:sdtEndPr>
      <w:rPr>
        <w:noProof/>
      </w:rPr>
    </w:sdtEndPr>
    <w:sdtContent>
      <w:p w14:paraId="73B5A617" w14:textId="77777777" w:rsidR="00214500" w:rsidRPr="006E0496" w:rsidRDefault="00214500" w:rsidP="006E0496">
        <w:pPr>
          <w:pStyle w:val="FooterEven"/>
        </w:pPr>
        <w:r>
          <w:fldChar w:fldCharType="begin"/>
        </w:r>
        <w:r>
          <w:instrText xml:space="preserve"> PAGE   \* MERGEFORMAT </w:instrText>
        </w:r>
        <w:r>
          <w:fldChar w:fldCharType="separate"/>
        </w:r>
        <w:r w:rsidR="00973D9E">
          <w:rPr>
            <w:noProof/>
          </w:rPr>
          <w:t>42</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5184177"/>
      <w:docPartObj>
        <w:docPartGallery w:val="Page Numbers (Bottom of Page)"/>
        <w:docPartUnique/>
      </w:docPartObj>
    </w:sdtPr>
    <w:sdtEndPr>
      <w:rPr>
        <w:noProof/>
      </w:rPr>
    </w:sdtEndPr>
    <w:sdtContent>
      <w:p w14:paraId="2E915294" w14:textId="77777777" w:rsidR="00214500" w:rsidRDefault="00214500" w:rsidP="006E0496">
        <w:pPr>
          <w:pStyle w:val="FooterOdd"/>
        </w:pPr>
        <w:r>
          <w:fldChar w:fldCharType="begin"/>
        </w:r>
        <w:r>
          <w:instrText xml:space="preserve"> PAGE   \* MERGEFORMAT </w:instrText>
        </w:r>
        <w:r>
          <w:fldChar w:fldCharType="separate"/>
        </w:r>
        <w:r w:rsidR="00973D9E">
          <w:rPr>
            <w:noProof/>
          </w:rPr>
          <w:t>43</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4EC6C" w14:textId="77777777" w:rsidR="00214500" w:rsidRPr="006E0496" w:rsidRDefault="00214500" w:rsidP="006E049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4497392"/>
      <w:docPartObj>
        <w:docPartGallery w:val="Page Numbers (Bottom of Page)"/>
        <w:docPartUnique/>
      </w:docPartObj>
    </w:sdtPr>
    <w:sdtEndPr>
      <w:rPr>
        <w:noProof/>
      </w:rPr>
    </w:sdtEndPr>
    <w:sdtContent>
      <w:p w14:paraId="3F981B64" w14:textId="77777777" w:rsidR="00214500" w:rsidRPr="00A36D80" w:rsidRDefault="00214500" w:rsidP="006232E8">
        <w:pPr>
          <w:pStyle w:val="FooterOdd"/>
        </w:pPr>
        <w:r>
          <w:fldChar w:fldCharType="begin"/>
        </w:r>
        <w:r>
          <w:instrText xml:space="preserve"> PAGE   \* MERGEFORMAT </w:instrText>
        </w:r>
        <w:r>
          <w:fldChar w:fldCharType="separate"/>
        </w:r>
        <w:r w:rsidR="00973D9E">
          <w:rPr>
            <w:noProof/>
          </w:rPr>
          <w:t>21</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810AF" w14:textId="77777777" w:rsidR="00214500" w:rsidRPr="00A36D80" w:rsidRDefault="00214500" w:rsidP="00A36D8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33CD5" w14:textId="77777777" w:rsidR="00214500" w:rsidRPr="00A237F9" w:rsidRDefault="00214500" w:rsidP="00A237F9">
    <w:pPr>
      <w:pStyle w:val="FooterEven"/>
      <w:rPr>
        <w:rStyle w:val="PageNumber"/>
        <w:rFonts w:ascii="Arial" w:hAnsi="Arial"/>
        <w:color w:val="003157"/>
        <w:sz w:val="18"/>
      </w:rPr>
    </w:pPr>
    <w:r w:rsidRPr="00A237F9">
      <w:rPr>
        <w:rStyle w:val="PageNumber"/>
        <w:rFonts w:ascii="Arial" w:hAnsi="Arial"/>
        <w:color w:val="003157"/>
        <w:sz w:val="18"/>
      </w:rPr>
      <w:fldChar w:fldCharType="begin"/>
    </w:r>
    <w:r w:rsidRPr="00A237F9">
      <w:rPr>
        <w:rStyle w:val="PageNumber"/>
        <w:rFonts w:ascii="Arial" w:hAnsi="Arial"/>
        <w:color w:val="003157"/>
        <w:sz w:val="18"/>
      </w:rPr>
      <w:instrText xml:space="preserve"> PAGE   \* MERGEFORMAT </w:instrText>
    </w:r>
    <w:r w:rsidRPr="00A237F9">
      <w:rPr>
        <w:rStyle w:val="PageNumber"/>
        <w:rFonts w:ascii="Arial" w:hAnsi="Arial"/>
        <w:color w:val="003157"/>
        <w:sz w:val="18"/>
      </w:rPr>
      <w:fldChar w:fldCharType="separate"/>
    </w:r>
    <w:r w:rsidR="00973D9E">
      <w:rPr>
        <w:rStyle w:val="PageNumber"/>
        <w:rFonts w:ascii="Arial" w:hAnsi="Arial"/>
        <w:noProof/>
        <w:color w:val="003157"/>
        <w:sz w:val="18"/>
      </w:rPr>
      <w:t>40</w:t>
    </w:r>
    <w:r w:rsidRPr="00A237F9">
      <w:rPr>
        <w:rStyle w:val="PageNumber"/>
        <w:rFonts w:ascii="Arial" w:hAnsi="Arial"/>
        <w:color w:val="003157"/>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C74296" w14:textId="77777777" w:rsidR="00214500" w:rsidRDefault="00214500" w:rsidP="00DE366D">
      <w:pPr>
        <w:spacing w:after="60" w:line="240" w:lineRule="auto"/>
      </w:pPr>
      <w:r>
        <w:separator/>
      </w:r>
    </w:p>
  </w:footnote>
  <w:footnote w:type="continuationSeparator" w:id="0">
    <w:p w14:paraId="20D706A3" w14:textId="77777777" w:rsidR="00214500" w:rsidRDefault="00214500" w:rsidP="005F100C">
      <w:pPr>
        <w:spacing w:after="0"/>
      </w:pPr>
      <w:r>
        <w:continuationSeparator/>
      </w:r>
    </w:p>
  </w:footnote>
  <w:footnote w:type="continuationNotice" w:id="1">
    <w:p w14:paraId="01B613A7" w14:textId="77777777" w:rsidR="00214500" w:rsidRDefault="00214500">
      <w:pPr>
        <w:spacing w:after="0"/>
      </w:pPr>
    </w:p>
  </w:footnote>
  <w:footnote w:id="2">
    <w:p w14:paraId="6EC4B990" w14:textId="77777777" w:rsidR="00214500" w:rsidRPr="00DE366D" w:rsidRDefault="00214500" w:rsidP="00CD1BCC">
      <w:pPr>
        <w:pStyle w:val="FootnoteText"/>
        <w:rPr>
          <w:rStyle w:val="FootnoteReference"/>
          <w:sz w:val="18"/>
          <w:szCs w:val="18"/>
          <w:vertAlign w:val="baseline"/>
        </w:rPr>
      </w:pPr>
      <w:r w:rsidRPr="00DE366D">
        <w:rPr>
          <w:rStyle w:val="FootnoteReference"/>
          <w:sz w:val="18"/>
          <w:szCs w:val="18"/>
          <w:vertAlign w:val="baseline"/>
        </w:rPr>
        <w:footnoteRef/>
      </w:r>
      <w:r w:rsidRPr="00DE366D">
        <w:rPr>
          <w:rStyle w:val="FootnoteReference"/>
          <w:sz w:val="18"/>
          <w:szCs w:val="18"/>
          <w:vertAlign w:val="baseline"/>
        </w:rPr>
        <w:t xml:space="preserve"> </w:t>
      </w:r>
      <w:r w:rsidRPr="00DE366D">
        <w:rPr>
          <w:rStyle w:val="FootnoteReference"/>
          <w:sz w:val="18"/>
          <w:szCs w:val="18"/>
          <w:vertAlign w:val="baseline"/>
        </w:rPr>
        <w:tab/>
        <w:t>The authors are from the Macroeconomic Group, The Treasury, Langton Crescent, Parkes ACT 2600, Australia.</w:t>
      </w:r>
    </w:p>
    <w:p w14:paraId="0C0FC553" w14:textId="57341F53" w:rsidR="00214500" w:rsidRPr="00DE366D" w:rsidRDefault="00214500" w:rsidP="00CD1BCC">
      <w:pPr>
        <w:pStyle w:val="FootnoteText"/>
        <w:rPr>
          <w:rStyle w:val="FootnoteReference"/>
          <w:sz w:val="18"/>
          <w:szCs w:val="18"/>
          <w:vertAlign w:val="baseline"/>
        </w:rPr>
      </w:pPr>
      <w:r w:rsidRPr="00DE366D">
        <w:rPr>
          <w:rStyle w:val="FootnoteReference"/>
          <w:sz w:val="18"/>
          <w:szCs w:val="18"/>
          <w:vertAlign w:val="baseline"/>
        </w:rPr>
        <w:tab/>
        <w:t xml:space="preserve">Correspondence: Laura Berger-Thomson, </w:t>
      </w:r>
      <w:hyperlink r:id="rId1" w:history="1">
        <w:r w:rsidRPr="00DE366D">
          <w:rPr>
            <w:rStyle w:val="Hyperlink"/>
            <w:szCs w:val="18"/>
          </w:rPr>
          <w:t>laura.berger-thomson@treasury.gov.au</w:t>
        </w:r>
      </w:hyperlink>
      <w:r w:rsidRPr="00DE366D">
        <w:rPr>
          <w:rStyle w:val="FootnoteReference"/>
          <w:sz w:val="18"/>
          <w:szCs w:val="18"/>
          <w:vertAlign w:val="baseline"/>
        </w:rPr>
        <w:t xml:space="preserve">. We thank Cassandra </w:t>
      </w:r>
      <w:proofErr w:type="spellStart"/>
      <w:r w:rsidRPr="00DE366D">
        <w:rPr>
          <w:rStyle w:val="FootnoteReference"/>
          <w:sz w:val="18"/>
          <w:szCs w:val="18"/>
          <w:vertAlign w:val="baseline"/>
        </w:rPr>
        <w:t>Switaj</w:t>
      </w:r>
      <w:proofErr w:type="spellEnd"/>
      <w:r w:rsidRPr="00DE366D">
        <w:rPr>
          <w:rStyle w:val="FootnoteReference"/>
          <w:sz w:val="18"/>
          <w:szCs w:val="18"/>
          <w:vertAlign w:val="baseline"/>
        </w:rPr>
        <w:t xml:space="preserve"> and Karen</w:t>
      </w:r>
      <w:r>
        <w:rPr>
          <w:rStyle w:val="FootnoteReference"/>
          <w:sz w:val="18"/>
          <w:szCs w:val="18"/>
          <w:vertAlign w:val="baseline"/>
        </w:rPr>
        <w:t> </w:t>
      </w:r>
      <w:r w:rsidRPr="00DE366D">
        <w:rPr>
          <w:rStyle w:val="FootnoteReference"/>
          <w:sz w:val="18"/>
          <w:szCs w:val="18"/>
          <w:vertAlign w:val="baseline"/>
        </w:rPr>
        <w:t xml:space="preserve">Moorcroft for excellent research assistance, participants at a number of seminars at The Treasury, the Reserve Bank of Australia, Nigel Ray and other referees for their useful comments. </w:t>
      </w:r>
      <w:r w:rsidRPr="00FB137B">
        <w:rPr>
          <w:szCs w:val="18"/>
        </w:rPr>
        <w:t xml:space="preserve">This paper has also benefited greatly from feedback from academics and </w:t>
      </w:r>
      <w:r>
        <w:rPr>
          <w:szCs w:val="18"/>
        </w:rPr>
        <w:t xml:space="preserve">senior </w:t>
      </w:r>
      <w:r w:rsidRPr="00FB137B">
        <w:rPr>
          <w:szCs w:val="18"/>
        </w:rPr>
        <w:t>policy</w:t>
      </w:r>
      <w:r>
        <w:rPr>
          <w:szCs w:val="18"/>
        </w:rPr>
        <w:t xml:space="preserve"> advisers, including </w:t>
      </w:r>
      <w:r w:rsidRPr="00FB137B">
        <w:rPr>
          <w:szCs w:val="18"/>
        </w:rPr>
        <w:t>some with first-hand experience of the reform process and its effects</w:t>
      </w:r>
      <w:r>
        <w:rPr>
          <w:szCs w:val="18"/>
        </w:rPr>
        <w:t>.</w:t>
      </w:r>
      <w:r w:rsidRPr="00FB137B">
        <w:rPr>
          <w:rStyle w:val="FootnoteReference"/>
          <w:sz w:val="18"/>
          <w:szCs w:val="18"/>
          <w:vertAlign w:val="baseline"/>
        </w:rPr>
        <w:t xml:space="preserve"> </w:t>
      </w:r>
      <w:r w:rsidRPr="00DE366D">
        <w:rPr>
          <w:rStyle w:val="FootnoteReference"/>
          <w:sz w:val="18"/>
          <w:szCs w:val="18"/>
          <w:vertAlign w:val="baseline"/>
        </w:rPr>
        <w:t>The views expressed in this paper are those of the authors and do not necessarily reflect those of The Australian Treasury or the Australian Government.</w:t>
      </w:r>
    </w:p>
  </w:footnote>
  <w:footnote w:id="3">
    <w:p w14:paraId="5411A5F1"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The government provides free public hospital treatment and subsidises out-of-hospital medical treatment.</w:t>
      </w:r>
    </w:p>
  </w:footnote>
  <w:footnote w:id="4">
    <w:p w14:paraId="4417EF82" w14:textId="77777777" w:rsidR="00214500" w:rsidRPr="00DE366D" w:rsidRDefault="00214500" w:rsidP="00CD1BCC">
      <w:pPr>
        <w:pStyle w:val="FootnoteText"/>
        <w:rPr>
          <w:szCs w:val="18"/>
        </w:rPr>
      </w:pPr>
      <w:r w:rsidRPr="00DE366D">
        <w:rPr>
          <w:szCs w:val="18"/>
        </w:rPr>
        <w:footnoteRef/>
      </w:r>
      <w:r w:rsidRPr="00DE366D">
        <w:rPr>
          <w:szCs w:val="18"/>
        </w:rPr>
        <w:t xml:space="preserve"> </w:t>
      </w:r>
      <w:r w:rsidRPr="00DE366D">
        <w:rPr>
          <w:szCs w:val="18"/>
        </w:rPr>
        <w:tab/>
        <w:t>For a more detailed description of reform in the agriculture sector, see Box B.</w:t>
      </w:r>
    </w:p>
  </w:footnote>
  <w:footnote w:id="5">
    <w:p w14:paraId="654C29B6"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In his 1991 industry statement, then Prime Minister Bob Hawke said: “[Tariff cuts] will also make our exporters and our import competing sector more competitive by lowering the cost of their inputs. The overall impact of the reforms will be a net gain in employment, although jobs will be lost in declining industries.”</w:t>
      </w:r>
    </w:p>
  </w:footnote>
  <w:footnote w:id="6">
    <w:p w14:paraId="35E92301"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See Productivity Commission 1996 for a stocktake of progress in microeconomic reform.</w:t>
      </w:r>
    </w:p>
  </w:footnote>
  <w:footnote w:id="7">
    <w:p w14:paraId="4BF0A8D1" w14:textId="77777777" w:rsidR="00214500" w:rsidRDefault="00214500">
      <w:pPr>
        <w:pStyle w:val="FootnoteText"/>
      </w:pPr>
      <w:r w:rsidRPr="008E1096">
        <w:rPr>
          <w:rStyle w:val="FootnoteReference"/>
          <w:sz w:val="18"/>
          <w:szCs w:val="18"/>
          <w:vertAlign w:val="baseline"/>
        </w:rPr>
        <w:footnoteRef/>
      </w:r>
      <w:r w:rsidRPr="008E1096">
        <w:rPr>
          <w:rStyle w:val="FootnoteReference"/>
          <w:sz w:val="18"/>
          <w:szCs w:val="18"/>
          <w:vertAlign w:val="baseline"/>
        </w:rPr>
        <w:t xml:space="preserve"> </w:t>
      </w:r>
      <w:r w:rsidRPr="008E1096">
        <w:rPr>
          <w:rStyle w:val="FootnoteReference"/>
          <w:sz w:val="18"/>
          <w:szCs w:val="18"/>
          <w:vertAlign w:val="baseline"/>
        </w:rPr>
        <w:tab/>
        <w:t>There are some sectors that have some pricing regulation, for example most state governments regulate electricity or gas retail prices</w:t>
      </w:r>
      <w:r>
        <w:t>.</w:t>
      </w:r>
    </w:p>
  </w:footnote>
  <w:footnote w:id="8">
    <w:p w14:paraId="6A893064"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Implementation of pro-competition reforms took many years and was aided by cooperation among key political leaders, both within federal parliament and between different levels of government.</w:t>
      </w:r>
    </w:p>
  </w:footnote>
  <w:footnote w:id="9">
    <w:p w14:paraId="2C125DB2"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See, for instance, Henry 2014 and Productivity Commission 2005.</w:t>
      </w:r>
    </w:p>
  </w:footnote>
  <w:footnote w:id="10">
    <w:p w14:paraId="57A148AF"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It should however be noted that comparing the composition of Australian Government taxes over a number of decades reveals no substantial overall change in composition between the broad categories of indirect taxes (including the GST post-2000), corporate and personal income taxes.</w:t>
      </w:r>
    </w:p>
  </w:footnote>
  <w:footnote w:id="11">
    <w:p w14:paraId="616E454D"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r>
      <w:r w:rsidRPr="00DE366D">
        <w:rPr>
          <w:szCs w:val="18"/>
          <w:lang w:val="en"/>
        </w:rPr>
        <w:t>Australia's Future Tax System Review Panel 2010.</w:t>
      </w:r>
    </w:p>
  </w:footnote>
  <w:footnote w:id="12">
    <w:p w14:paraId="5E65921B"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Australian Government 2017 (1).</w:t>
      </w:r>
    </w:p>
  </w:footnote>
  <w:footnote w:id="13">
    <w:p w14:paraId="79A30EAA"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In the 1970s, there were three technical recessions but only one of these occurred in trend terms.</w:t>
      </w:r>
    </w:p>
  </w:footnote>
  <w:footnote w:id="14">
    <w:p w14:paraId="7F768F6F"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The last time the RBA intervened was in late 2008 (see Reserve Bank of Australia 2012).</w:t>
      </w:r>
    </w:p>
  </w:footnote>
  <w:footnote w:id="15">
    <w:p w14:paraId="026982F3"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This raised the real consumer wage above the real producer wage. See Australian Treasury, 2017, p 18.</w:t>
      </w:r>
    </w:p>
  </w:footnote>
  <w:footnote w:id="16">
    <w:p w14:paraId="24D14DDD"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Berger-Thomson and Chapman 2017.</w:t>
      </w:r>
    </w:p>
  </w:footnote>
  <w:footnote w:id="17">
    <w:p w14:paraId="0CA4E9DD"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Bishop and Plumb 2016.</w:t>
      </w:r>
    </w:p>
  </w:footnote>
  <w:footnote w:id="18">
    <w:p w14:paraId="2DAC6DD9"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Australian Treasury 2017.</w:t>
      </w:r>
    </w:p>
  </w:footnote>
  <w:footnote w:id="19">
    <w:p w14:paraId="4AFED7E7"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Connolly et al. 2013.</w:t>
      </w:r>
    </w:p>
  </w:footnote>
  <w:footnote w:id="20">
    <w:p w14:paraId="2DAD89FE"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See Haldane 2018 for a discussion of the role of downturns in long-run economic growth.</w:t>
      </w:r>
    </w:p>
  </w:footnote>
  <w:footnote w:id="21">
    <w:p w14:paraId="75939D47"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Henry 2001.</w:t>
      </w:r>
    </w:p>
  </w:footnote>
  <w:footnote w:id="22">
    <w:p w14:paraId="3B059BFD"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As the P</w:t>
      </w:r>
      <w:r>
        <w:rPr>
          <w:szCs w:val="18"/>
        </w:rPr>
        <w:t>roductivity Commission (2018(2)</w:t>
      </w:r>
      <w:r w:rsidRPr="00DE366D">
        <w:rPr>
          <w:szCs w:val="18"/>
        </w:rPr>
        <w:t>) found: “While growth is no guarantee against a widening disparity between rich and poor, we show that it has delivered for the average Australian household in every income decile significantly improved living standards. This is in contrast with the United States (which had a similar rate of increase in income inequality as Australia) where the distribution is much more uneven, with income growth in the lower deciles about a quarter of that for Australian households.”</w:t>
      </w:r>
    </w:p>
  </w:footnote>
  <w:footnote w:id="23">
    <w:p w14:paraId="613E01AA"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See Campbell and Withers 2017 for a discussion of productivity growth.</w:t>
      </w:r>
    </w:p>
  </w:footnote>
  <w:footnote w:id="24">
    <w:p w14:paraId="22D2BEE9"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Productivity Commission 1999.</w:t>
      </w:r>
    </w:p>
  </w:footnote>
  <w:footnote w:id="25">
    <w:p w14:paraId="09F2B68E"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 xml:space="preserve">For discussions of reforms and productivity growth, see </w:t>
      </w:r>
      <w:proofErr w:type="spellStart"/>
      <w:r w:rsidRPr="00DE366D">
        <w:rPr>
          <w:szCs w:val="18"/>
        </w:rPr>
        <w:t>Gruen</w:t>
      </w:r>
      <w:proofErr w:type="spellEnd"/>
      <w:r w:rsidRPr="00DE366D">
        <w:rPr>
          <w:szCs w:val="18"/>
        </w:rPr>
        <w:t xml:space="preserve"> and Stevens 2000, Forsyth 2000, Henry 2001, Productivity Commission 1999, </w:t>
      </w:r>
      <w:r w:rsidRPr="00DE366D">
        <w:rPr>
          <w:rFonts w:cs="Tahoma"/>
          <w:color w:val="000000"/>
          <w:szCs w:val="18"/>
          <w:lang w:val="en"/>
        </w:rPr>
        <w:t>Bean 2000 and Borland 2014.</w:t>
      </w:r>
    </w:p>
  </w:footnote>
  <w:footnote w:id="26">
    <w:p w14:paraId="3F522B1F"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 xml:space="preserve">See, for example, </w:t>
      </w:r>
      <w:r w:rsidRPr="00DE366D">
        <w:rPr>
          <w:szCs w:val="18"/>
          <w:lang w:val="en"/>
        </w:rPr>
        <w:t>Forsyth 2000 and Productivity Commission 1999.</w:t>
      </w:r>
    </w:p>
  </w:footnote>
  <w:footnote w:id="27">
    <w:p w14:paraId="4E4D0D51"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For a similar discussion, see Banks 2005.</w:t>
      </w:r>
    </w:p>
  </w:footnote>
  <w:footnote w:id="28">
    <w:p w14:paraId="7D04BA15"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For example, in the passenger motor vehicle industry, the tariff on imported passenger vehicles was reduced from 45</w:t>
      </w:r>
      <w:r>
        <w:rPr>
          <w:szCs w:val="18"/>
        </w:rPr>
        <w:t> </w:t>
      </w:r>
      <w:r w:rsidRPr="00DE366D">
        <w:rPr>
          <w:szCs w:val="18"/>
        </w:rPr>
        <w:t>to 33.75 per cent as part of the across-the-board tariff cuts. However, during 1974 imports increased rapidly and demand for locally produced passenger motor vehicles weakened leading to manufacturers foreshadowing job losses. In response to increased imports, the tariff was increased back to 45 per cent and from January 1975 import quotas were used to restrict imports to 20 per cent of the market.</w:t>
      </w:r>
    </w:p>
  </w:footnote>
  <w:footnote w:id="29">
    <w:p w14:paraId="3963B9C8"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Canada floated its currency and removed exchange rate controls in the early 1950s, well before it began to open up other markets. The United States floated its dollar and began to open capital markets in the early 1970s, before it began deregulating key sectoral markets in the 1980s.</w:t>
      </w:r>
    </w:p>
  </w:footnote>
  <w:footnote w:id="30">
    <w:p w14:paraId="41DAF4C3"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These institutional settings were together commonly known as the ‘Australian settlement’ (Kelly 1992) and involved high real wages that were set centrally, significant trade protection that supported inefficient domestic industry, substantial government regulation and ownership, and a pegged exchange rate.</w:t>
      </w:r>
    </w:p>
  </w:footnote>
  <w:footnote w:id="31">
    <w:p w14:paraId="07ECC525"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There are other countries that have taken a different approach. In the early 1980s, New Zealand adopted a big bang approach to reform characterised by the following quote from Roger Douglas, the Minister of Finance at the time: “It is uncertainty not speed that endangers the success of a structural reform programme. Speed is an essential ingredient in keeping uncertainty down to the lowest possible level” (</w:t>
      </w:r>
      <w:proofErr w:type="spellStart"/>
      <w:r w:rsidRPr="00DE366D">
        <w:rPr>
          <w:szCs w:val="18"/>
        </w:rPr>
        <w:t>Windybank</w:t>
      </w:r>
      <w:proofErr w:type="spellEnd"/>
      <w:r w:rsidRPr="00DE366D">
        <w:rPr>
          <w:szCs w:val="18"/>
        </w:rPr>
        <w:t xml:space="preserve"> 2003).</w:t>
      </w:r>
    </w:p>
  </w:footnote>
  <w:footnote w:id="32">
    <w:p w14:paraId="2153C9ED"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See, for instance, Cordon 1995.</w:t>
      </w:r>
    </w:p>
  </w:footnote>
  <w:footnote w:id="33">
    <w:p w14:paraId="26764664"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The government won the 1998 election by securing a majority of electorates but not a majority of two-party preferred votes.</w:t>
      </w:r>
    </w:p>
  </w:footnote>
  <w:footnote w:id="34">
    <w:p w14:paraId="22773422"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 xml:space="preserve">As noted in footnote </w:t>
      </w:r>
      <w:r>
        <w:rPr>
          <w:szCs w:val="18"/>
        </w:rPr>
        <w:t>30</w:t>
      </w:r>
      <w:r w:rsidRPr="00DE366D">
        <w:rPr>
          <w:szCs w:val="18"/>
        </w:rPr>
        <w:t>, New Zealand chose to fast track a wide ranging reform agenda as a means of avoiding the potentially negative impact of uncertainty. The UK’s approach was to push through unpopular reforms. Australia’s approach is closer to that of the United States which also undertook a slower pace of reform.</w:t>
      </w:r>
    </w:p>
  </w:footnote>
  <w:footnote w:id="35">
    <w:p w14:paraId="5217D2F8"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Banks 2005.</w:t>
      </w:r>
    </w:p>
  </w:footnote>
  <w:footnote w:id="36">
    <w:p w14:paraId="77054D08"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 xml:space="preserve">The US, for example, was also careful to introduce social adjustment measures to support workers affected by reform. The 1962 </w:t>
      </w:r>
      <w:hyperlink r:id="rId2" w:history="1">
        <w:r w:rsidRPr="00DE366D">
          <w:rPr>
            <w:szCs w:val="18"/>
          </w:rPr>
          <w:t>Manpower Development and Training Act</w:t>
        </w:r>
      </w:hyperlink>
      <w:r w:rsidRPr="00DE366D">
        <w:rPr>
          <w:szCs w:val="18"/>
        </w:rPr>
        <w:t xml:space="preserve"> was introduced to provide income support and re-employment services for workers displaced by trade agreement concessions and then amended in 1971 to soften the impact on workers of the US moving away from the gold standard.</w:t>
      </w:r>
    </w:p>
  </w:footnote>
  <w:footnote w:id="37">
    <w:p w14:paraId="21691D0D"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Notably in Canada where major commissions have included: (1) the 1933 Royal Commission on Banking and Currency, which led to establishment of Royal Bank of Canada; (2) the 1957 Royal Commission on Canada’s Economic Prospects, which reviewed the policy of allowing foreign interests to purchase control of Canada's natural resources and other business enterprises; (3) the 1968 Task Force on Foreign Ownership and the Structure of Canadian Investment, which recommended strict regulation of foreign investment in Canada; (4) the 1964 Royal Commission on Banking and Finance, which made a range of recommendations to reduce regulation in the banking sector; and (5) the 1984 Royal Commission on Economic Union and Development Prospects for Canada, which recommended greater reliance on market mechanisms and a free trade agreement with the United States and reform of the welfare state model.</w:t>
      </w:r>
    </w:p>
  </w:footnote>
  <w:footnote w:id="38">
    <w:p w14:paraId="588C39D6"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Despite the independence of the institutions and the reviews/inquiries, it is important to note that the government has discretion in appointing the chairs and other senior executives.</w:t>
      </w:r>
    </w:p>
  </w:footnote>
  <w:footnote w:id="39">
    <w:p w14:paraId="1693B6D6"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Other countries have also taken this path. In Canada, the recommendations of the Macdonald Commission were a significant factor in garnering support for the 1988 Canada-US Free Trade Agreement.</w:t>
      </w:r>
    </w:p>
  </w:footnote>
  <w:footnote w:id="40">
    <w:p w14:paraId="3BD9FF64"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Note this is different to the Martin Committee commissioned by the government in 1983, with the 1983 committee led by Vic Martin and the 1990 committee led by Stephen Martin.</w:t>
      </w:r>
    </w:p>
  </w:footnote>
  <w:footnote w:id="41">
    <w:p w14:paraId="35277C64"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Committee of Inquiry into the Australian Financial System 1981.</w:t>
      </w:r>
    </w:p>
  </w:footnote>
  <w:footnote w:id="42">
    <w:p w14:paraId="46DBD2BB"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Productivity Commission 2011.</w:t>
      </w:r>
    </w:p>
  </w:footnote>
  <w:footnote w:id="43">
    <w:p w14:paraId="7A3037EE"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The Commission’s first report identified health, education and cities as areas where fresh reforms could deliver significant productivity gains (Productivity Commission 2017).</w:t>
      </w:r>
    </w:p>
  </w:footnote>
  <w:footnote w:id="44">
    <w:p w14:paraId="26DEAA29"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See, for instance, Macfarlane 2006, who also acknowledges the central bank’s role in that recession.</w:t>
      </w:r>
    </w:p>
  </w:footnote>
  <w:footnote w:id="45">
    <w:p w14:paraId="4732B4BF" w14:textId="77777777" w:rsidR="00214500" w:rsidRPr="00DE366D" w:rsidRDefault="00214500" w:rsidP="00BA7D47">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Dairy Australia 2018.</w:t>
      </w:r>
    </w:p>
  </w:footnote>
  <w:footnote w:id="46">
    <w:p w14:paraId="7F4CD2A8" w14:textId="77777777" w:rsidR="00214500" w:rsidRPr="00DE366D" w:rsidRDefault="00214500" w:rsidP="00BA7D47">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Industry Commission 1990 p 12, See also discussion in Richardson 1997.</w:t>
      </w:r>
    </w:p>
  </w:footnote>
  <w:footnote w:id="47">
    <w:p w14:paraId="413A7DFA" w14:textId="77777777" w:rsidR="00214500" w:rsidRPr="00DE366D" w:rsidRDefault="00214500" w:rsidP="00BA7D47">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r>
      <w:r w:rsidRPr="00DE366D">
        <w:rPr>
          <w:szCs w:val="18"/>
          <w:lang w:val="en"/>
        </w:rPr>
        <w:t>Parliament of the Commonwealth of Australia 1987.</w:t>
      </w:r>
    </w:p>
  </w:footnote>
  <w:footnote w:id="48">
    <w:p w14:paraId="7BFFBEE7" w14:textId="77777777" w:rsidR="00214500" w:rsidRPr="00DE366D" w:rsidRDefault="00214500" w:rsidP="00BA7D47">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Button 1983.</w:t>
      </w:r>
    </w:p>
  </w:footnote>
  <w:footnote w:id="49">
    <w:p w14:paraId="1D4B9104" w14:textId="77777777" w:rsidR="00214500" w:rsidRPr="00DE366D" w:rsidRDefault="00214500" w:rsidP="00BA7D47">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r>
      <w:hyperlink r:id="rId3" w:history="1">
        <w:proofErr w:type="spellStart"/>
        <w:r w:rsidRPr="00DE366D">
          <w:rPr>
            <w:szCs w:val="18"/>
          </w:rPr>
          <w:t>Demura</w:t>
        </w:r>
        <w:proofErr w:type="spellEnd"/>
      </w:hyperlink>
      <w:r w:rsidRPr="00DE366D">
        <w:rPr>
          <w:szCs w:val="18"/>
        </w:rPr>
        <w:t xml:space="preserve"> 1995.</w:t>
      </w:r>
    </w:p>
  </w:footnote>
  <w:footnote w:id="50">
    <w:p w14:paraId="77070BE9" w14:textId="77777777" w:rsidR="00214500" w:rsidRPr="00DE366D" w:rsidRDefault="00214500" w:rsidP="00BA7D47">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Botterill 2003.</w:t>
      </w:r>
    </w:p>
  </w:footnote>
  <w:footnote w:id="51">
    <w:p w14:paraId="6460D218" w14:textId="77777777" w:rsidR="00214500" w:rsidRPr="00DE366D" w:rsidRDefault="00214500" w:rsidP="00BA7D47">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Anderson et al 2007.</w:t>
      </w:r>
    </w:p>
  </w:footnote>
  <w:footnote w:id="52">
    <w:p w14:paraId="7168C47F" w14:textId="77777777" w:rsidR="00214500" w:rsidRPr="00DE366D" w:rsidRDefault="00214500" w:rsidP="00BA7D47">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Gray et al 2014.</w:t>
      </w:r>
    </w:p>
  </w:footnote>
  <w:footnote w:id="53">
    <w:p w14:paraId="5B473DE9"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Ballantyne et al 2014.</w:t>
      </w:r>
    </w:p>
  </w:footnote>
  <w:footnote w:id="54">
    <w:p w14:paraId="571F048F"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 xml:space="preserve">See Australian Office of Financial Management 2011 and de </w:t>
      </w:r>
      <w:proofErr w:type="spellStart"/>
      <w:r w:rsidRPr="00DE366D">
        <w:rPr>
          <w:szCs w:val="18"/>
        </w:rPr>
        <w:t>Brouwer</w:t>
      </w:r>
      <w:proofErr w:type="spellEnd"/>
      <w:r w:rsidRPr="00DE366D">
        <w:rPr>
          <w:szCs w:val="18"/>
        </w:rPr>
        <w:t xml:space="preserve"> 1999.</w:t>
      </w:r>
    </w:p>
  </w:footnote>
  <w:footnote w:id="55">
    <w:p w14:paraId="5BFED7E3"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Newman et al 2011.</w:t>
      </w:r>
    </w:p>
  </w:footnote>
  <w:footnote w:id="56">
    <w:p w14:paraId="5AACF58E"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Ballantyne et al 2014.</w:t>
      </w:r>
    </w:p>
  </w:footnote>
  <w:footnote w:id="57">
    <w:p w14:paraId="38553D7A"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Ryan 2016.</w:t>
      </w:r>
    </w:p>
  </w:footnote>
  <w:footnote w:id="58">
    <w:p w14:paraId="39243295"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Reserve Bank of Australia 2010.</w:t>
      </w:r>
    </w:p>
  </w:footnote>
  <w:footnote w:id="59">
    <w:p w14:paraId="3CB55FFC"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r>
      <w:proofErr w:type="spellStart"/>
      <w:r w:rsidRPr="00DE366D">
        <w:rPr>
          <w:szCs w:val="18"/>
        </w:rPr>
        <w:t>Battellino</w:t>
      </w:r>
      <w:proofErr w:type="spellEnd"/>
      <w:r w:rsidRPr="00DE366D">
        <w:rPr>
          <w:szCs w:val="18"/>
        </w:rPr>
        <w:t xml:space="preserve"> 2007.</w:t>
      </w:r>
    </w:p>
  </w:footnote>
  <w:footnote w:id="60">
    <w:p w14:paraId="153028EE"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 xml:space="preserve">Four Pillars is contentious. Independent agencies such as the Productivity Commission </w:t>
      </w:r>
      <w:r>
        <w:rPr>
          <w:szCs w:val="18"/>
        </w:rPr>
        <w:t xml:space="preserve">(2018(1)) </w:t>
      </w:r>
      <w:r w:rsidRPr="00DE366D">
        <w:rPr>
          <w:szCs w:val="18"/>
        </w:rPr>
        <w:t>and the Australian Competition</w:t>
      </w:r>
      <w:r>
        <w:rPr>
          <w:szCs w:val="18"/>
        </w:rPr>
        <w:t xml:space="preserve"> and Consumer Commission (2017) have warned it potentially stifles competition  </w:t>
      </w:r>
      <w:r w:rsidRPr="00DE366D">
        <w:rPr>
          <w:szCs w:val="18"/>
        </w:rPr>
        <w:t>– an example of the freedom those agencies enjoy to challenge government policy. On the other hand, some observers believe Four Pillars helped Australia’s banks avoid the risky investments that derailed many overseas banks during the 2007</w:t>
      </w:r>
      <w:r w:rsidRPr="00DE366D">
        <w:rPr>
          <w:szCs w:val="18"/>
        </w:rPr>
        <w:noBreakHyphen/>
        <w:t>08 global financial crisis. For instance, former RBA governor Ian Macfarlane has argued that without the threat of takeover, Australia’s large banks did not feel pressure to chase higher returns by pursuing risky overseas investments.</w:t>
      </w:r>
    </w:p>
  </w:footnote>
  <w:footnote w:id="61">
    <w:p w14:paraId="739EF8E4"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Group of Thirty 2008.</w:t>
      </w:r>
    </w:p>
  </w:footnote>
  <w:footnote w:id="62">
    <w:p w14:paraId="34BF3924"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Henry 2001.</w:t>
      </w:r>
    </w:p>
  </w:footnote>
  <w:footnote w:id="63">
    <w:p w14:paraId="26FFECBA"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The agreement was struck before the election and it was only once the new government was in power that it came into effect.</w:t>
      </w:r>
    </w:p>
  </w:footnote>
  <w:footnote w:id="64">
    <w:p w14:paraId="43295C75"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Wooden and Sloan 1998.</w:t>
      </w:r>
    </w:p>
  </w:footnote>
  <w:footnote w:id="65">
    <w:p w14:paraId="24CCD9E2"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 xml:space="preserve">See for instance Kelly 1992, de </w:t>
      </w:r>
      <w:proofErr w:type="spellStart"/>
      <w:r w:rsidRPr="00DE366D">
        <w:rPr>
          <w:szCs w:val="18"/>
        </w:rPr>
        <w:t>Brouwer</w:t>
      </w:r>
      <w:proofErr w:type="spellEnd"/>
      <w:r w:rsidRPr="00DE366D">
        <w:rPr>
          <w:szCs w:val="18"/>
        </w:rPr>
        <w:t xml:space="preserve"> 1999, Macfarlane 2006.</w:t>
      </w:r>
    </w:p>
  </w:footnote>
  <w:footnote w:id="66">
    <w:p w14:paraId="61CF83B9"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Henry 2001.</w:t>
      </w:r>
    </w:p>
  </w:footnote>
  <w:footnote w:id="67">
    <w:p w14:paraId="70FD3B21"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In the 1980s, the US and Canada undertook deregulation of key industries, privatized public sector assets and signed a free trade agreement that led to the creation of NAFTA. Similarly, the UK also deregulated key industries, privatized government assets, reformed the labour market and reformed its financial sector.</w:t>
      </w:r>
    </w:p>
  </w:footnote>
  <w:footnote w:id="68">
    <w:p w14:paraId="3DD2428C"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Henry 2001.</w:t>
      </w:r>
    </w:p>
  </w:footnote>
  <w:footnote w:id="69">
    <w:p w14:paraId="464FBB5E"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Henry 2001.</w:t>
      </w:r>
    </w:p>
  </w:footnote>
  <w:footnote w:id="70">
    <w:p w14:paraId="7BD3DC10"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Productivity Commission 2014.</w:t>
      </w:r>
    </w:p>
  </w:footnote>
  <w:footnote w:id="71">
    <w:p w14:paraId="09AE46A1"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 xml:space="preserve">Particularly in the absence of a social safety net. See, for example, </w:t>
      </w:r>
      <w:proofErr w:type="spellStart"/>
      <w:r w:rsidRPr="00DE366D">
        <w:rPr>
          <w:szCs w:val="18"/>
        </w:rPr>
        <w:t>Garnaut</w:t>
      </w:r>
      <w:proofErr w:type="spellEnd"/>
      <w:r w:rsidRPr="00DE366D">
        <w:rPr>
          <w:szCs w:val="18"/>
        </w:rPr>
        <w:t xml:space="preserve"> 2002.</w:t>
      </w:r>
    </w:p>
  </w:footnote>
  <w:footnote w:id="72">
    <w:p w14:paraId="7DD848DB"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 xml:space="preserve">See, for instance, </w:t>
      </w:r>
      <w:r>
        <w:rPr>
          <w:szCs w:val="18"/>
        </w:rPr>
        <w:t>Productivity Commission 2010</w:t>
      </w:r>
      <w:r w:rsidRPr="00DE366D">
        <w:rPr>
          <w:szCs w:val="18"/>
        </w:rPr>
        <w:t>.</w:t>
      </w:r>
    </w:p>
  </w:footnote>
  <w:footnote w:id="73">
    <w:p w14:paraId="6D6FE680"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Australian Government 2017 (2).</w:t>
      </w:r>
    </w:p>
  </w:footnote>
  <w:footnote w:id="74">
    <w:p w14:paraId="78EAC0BF"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These were not insubstantial parts of the economy. At the time, government businesses accounted for</w:t>
      </w:r>
      <w:r w:rsidRPr="00DE366D">
        <w:rPr>
          <w:szCs w:val="18"/>
        </w:rPr>
        <w:br/>
        <w:t>10 per cent of Australia’s GDP and rail, electricity, gas and water accounted for almost another 5 per cent of GDP (Independent Committee of Inquiry into Competition Policy in Australia 1993 p 11).</w:t>
      </w:r>
    </w:p>
  </w:footnote>
  <w:footnote w:id="75">
    <w:p w14:paraId="60F15027"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 xml:space="preserve">See footnote </w:t>
      </w:r>
      <w:r>
        <w:rPr>
          <w:szCs w:val="18"/>
        </w:rPr>
        <w:t>30</w:t>
      </w:r>
      <w:r w:rsidRPr="00DE366D">
        <w:rPr>
          <w:szCs w:val="18"/>
        </w:rPr>
        <w:t>.</w:t>
      </w:r>
    </w:p>
  </w:footnote>
  <w:footnote w:id="76">
    <w:p w14:paraId="249CD03F"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See for example Kelly 1992.</w:t>
      </w:r>
    </w:p>
  </w:footnote>
  <w:footnote w:id="77">
    <w:p w14:paraId="2EEDBFD4" w14:textId="77777777" w:rsidR="00214500" w:rsidRPr="00DE366D" w:rsidRDefault="00214500" w:rsidP="00B77BC7">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Independent Committee of Inquiry into Competition Policy in Australia 1993.</w:t>
      </w:r>
    </w:p>
  </w:footnote>
  <w:footnote w:id="78">
    <w:p w14:paraId="71E4F1AB" w14:textId="77777777" w:rsidR="00214500" w:rsidRPr="00DE366D" w:rsidRDefault="00214500" w:rsidP="0073028D">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Productivity Commission 2005.</w:t>
      </w:r>
    </w:p>
  </w:footnote>
  <w:footnote w:id="79">
    <w:p w14:paraId="72FD5870"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Productivity Commission 2005.</w:t>
      </w:r>
    </w:p>
  </w:footnote>
  <w:footnote w:id="80">
    <w:p w14:paraId="7C36B127"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A more detailed discussion of productivity growth benefits may be found in Section 3.</w:t>
      </w:r>
    </w:p>
  </w:footnote>
  <w:footnote w:id="81">
    <w:p w14:paraId="593717BB"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Productivity Commission 2017.</w:t>
      </w:r>
    </w:p>
  </w:footnote>
  <w:footnote w:id="82">
    <w:p w14:paraId="319656CC"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The UK Government in particular faced strong opposition from unions and workers in its efforts to deregulate the UK labour market and privatize nationalised industries in the 1980s. Estimates suggest the UK lost 27 million working days in 1984 due to strike action.</w:t>
      </w:r>
    </w:p>
  </w:footnote>
  <w:footnote w:id="83">
    <w:p w14:paraId="6F8C9F3B"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Macfarlane 1997.</w:t>
      </w:r>
    </w:p>
  </w:footnote>
  <w:footnote w:id="84">
    <w:p w14:paraId="00C59372"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r>
      <w:proofErr w:type="spellStart"/>
      <w:r w:rsidRPr="00DE366D">
        <w:rPr>
          <w:szCs w:val="18"/>
        </w:rPr>
        <w:t>Debelle</w:t>
      </w:r>
      <w:proofErr w:type="spellEnd"/>
      <w:r w:rsidRPr="00DE366D">
        <w:rPr>
          <w:szCs w:val="18"/>
        </w:rPr>
        <w:t xml:space="preserve"> 2018.</w:t>
      </w:r>
    </w:p>
  </w:footnote>
  <w:footnote w:id="85">
    <w:p w14:paraId="36B63D61"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The arguments that large deficits were a cause for public policy concern and that fiscal policy had a role to play in raising national saving were expressed clearly and repeatedly in the Government’s budget documents at that time.</w:t>
      </w:r>
    </w:p>
  </w:footnote>
  <w:footnote w:id="86">
    <w:p w14:paraId="085D783A"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Fiscal rules have become an increasingly popular fiscal management tool, increasing from only five countries in 1990 —Germany, Indonesia, Japan, Luxembourg, and the United States—to over 90 countries in 2018 (</w:t>
      </w:r>
      <w:proofErr w:type="spellStart"/>
      <w:r w:rsidRPr="00DE366D">
        <w:rPr>
          <w:szCs w:val="18"/>
        </w:rPr>
        <w:t>Schaechter</w:t>
      </w:r>
      <w:proofErr w:type="spellEnd"/>
      <w:r w:rsidRPr="00DE366D">
        <w:rPr>
          <w:szCs w:val="18"/>
        </w:rPr>
        <w:t xml:space="preserve"> et al 2012 and </w:t>
      </w:r>
      <w:proofErr w:type="spellStart"/>
      <w:r w:rsidRPr="00DE366D">
        <w:rPr>
          <w:szCs w:val="18"/>
        </w:rPr>
        <w:t>Eyraud</w:t>
      </w:r>
      <w:proofErr w:type="spellEnd"/>
      <w:r w:rsidRPr="00DE366D">
        <w:rPr>
          <w:szCs w:val="18"/>
        </w:rPr>
        <w:t xml:space="preserve"> et al 2018).</w:t>
      </w:r>
    </w:p>
  </w:footnote>
  <w:footnote w:id="87">
    <w:p w14:paraId="04D9FAAD"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That is, in the three</w:t>
      </w:r>
      <w:r w:rsidRPr="00DE366D">
        <w:rPr>
          <w:szCs w:val="18"/>
        </w:rPr>
        <w:softHyphen/>
        <w:t>-year life of the parliament it would not raise tax revenue, government expenditures or the budget deficit as a share of GDP.</w:t>
      </w:r>
    </w:p>
  </w:footnote>
  <w:footnote w:id="88">
    <w:p w14:paraId="39727BC4"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FitzGerald 1993, p 16.</w:t>
      </w:r>
    </w:p>
  </w:footnote>
  <w:footnote w:id="89">
    <w:p w14:paraId="7802DB87"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 xml:space="preserve">See, for example, </w:t>
      </w:r>
      <w:proofErr w:type="spellStart"/>
      <w:r w:rsidRPr="00DE366D">
        <w:rPr>
          <w:szCs w:val="18"/>
        </w:rPr>
        <w:t>Corden</w:t>
      </w:r>
      <w:proofErr w:type="spellEnd"/>
      <w:r w:rsidRPr="00DE366D">
        <w:rPr>
          <w:szCs w:val="18"/>
        </w:rPr>
        <w:t xml:space="preserve"> 1991.</w:t>
      </w:r>
    </w:p>
  </w:footnote>
  <w:footnote w:id="90">
    <w:p w14:paraId="20ACB545"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r>
      <w:proofErr w:type="spellStart"/>
      <w:r w:rsidRPr="00DE366D">
        <w:rPr>
          <w:szCs w:val="18"/>
        </w:rPr>
        <w:t>Gruen</w:t>
      </w:r>
      <w:proofErr w:type="spellEnd"/>
      <w:r w:rsidRPr="00DE366D">
        <w:rPr>
          <w:szCs w:val="18"/>
        </w:rPr>
        <w:t xml:space="preserve"> and </w:t>
      </w:r>
      <w:proofErr w:type="spellStart"/>
      <w:r w:rsidRPr="00DE366D">
        <w:rPr>
          <w:szCs w:val="18"/>
        </w:rPr>
        <w:t>Sayegh</w:t>
      </w:r>
      <w:proofErr w:type="spellEnd"/>
      <w:r w:rsidRPr="00DE366D">
        <w:rPr>
          <w:szCs w:val="18"/>
        </w:rPr>
        <w:t xml:space="preserve"> 2005.</w:t>
      </w:r>
    </w:p>
  </w:footnote>
  <w:footnote w:id="91">
    <w:p w14:paraId="1CB2C8D9"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Budget surpluses were broadly achieved in two periods – the late 1980s and the late 1990s to the</w:t>
      </w:r>
      <w:r>
        <w:rPr>
          <w:szCs w:val="18"/>
        </w:rPr>
        <w:t xml:space="preserve"> </w:t>
      </w:r>
      <w:r w:rsidRPr="00DE366D">
        <w:rPr>
          <w:szCs w:val="18"/>
        </w:rPr>
        <w:t>mid-2000s. Deficits occurred in the wake of the early-1980s recession, the early-1990s recession and in the decade since the 2007-08 global financial crisis.</w:t>
      </w:r>
    </w:p>
  </w:footnote>
  <w:footnote w:id="92">
    <w:p w14:paraId="11CFE9D4"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OECD 2018 (1)</w:t>
      </w:r>
      <w:r>
        <w:rPr>
          <w:szCs w:val="18"/>
        </w:rPr>
        <w:t>.</w:t>
      </w:r>
    </w:p>
  </w:footnote>
  <w:footnote w:id="93">
    <w:p w14:paraId="704A17F2"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Commonwealth of Australia 1996, p 1-9.</w:t>
      </w:r>
    </w:p>
  </w:footnote>
  <w:footnote w:id="94">
    <w:p w14:paraId="65858603"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The statistics incorporate the revenue and spending of all three levels of government in Australia. In order to calculate an aggregate deficit across all levels of government, tax and non-tax sources of revenue need to be taken into account.</w:t>
      </w:r>
    </w:p>
  </w:footnote>
  <w:footnote w:id="95">
    <w:p w14:paraId="4E731EE5"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OECD 2018 (2).</w:t>
      </w:r>
    </w:p>
  </w:footnote>
  <w:footnote w:id="96">
    <w:p w14:paraId="3175100F"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OECD 2018 (3).</w:t>
      </w:r>
    </w:p>
  </w:footnote>
  <w:footnote w:id="97">
    <w:p w14:paraId="72F5D342"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A more detailed discussion on tax reform can be found in Reinhardt and Steel 2006.</w:t>
      </w:r>
    </w:p>
  </w:footnote>
  <w:footnote w:id="98">
    <w:p w14:paraId="5BB67393"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Income tax thresholds in Australia are not automatically indexed to inflation.</w:t>
      </w:r>
    </w:p>
  </w:footnote>
  <w:footnote w:id="99">
    <w:p w14:paraId="017CBE20"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sidRPr="00DE366D">
        <w:rPr>
          <w:szCs w:val="18"/>
        </w:rPr>
        <w:tab/>
        <w:t>OECD 2016.</w:t>
      </w:r>
    </w:p>
  </w:footnote>
  <w:footnote w:id="100">
    <w:p w14:paraId="29967E6F" w14:textId="77777777" w:rsidR="00214500" w:rsidRPr="00DE366D" w:rsidRDefault="00214500" w:rsidP="00CD1BCC">
      <w:pPr>
        <w:pStyle w:val="FootnoteText"/>
        <w:rPr>
          <w:szCs w:val="18"/>
        </w:rPr>
      </w:pPr>
      <w:r w:rsidRPr="00DE366D">
        <w:rPr>
          <w:rStyle w:val="FootnoteReference"/>
          <w:sz w:val="18"/>
          <w:szCs w:val="18"/>
          <w:vertAlign w:val="baseline"/>
        </w:rPr>
        <w:footnoteRef/>
      </w:r>
      <w:r w:rsidRPr="00DE366D">
        <w:rPr>
          <w:szCs w:val="18"/>
        </w:rPr>
        <w:t xml:space="preserve"> </w:t>
      </w:r>
      <w:r>
        <w:rPr>
          <w:szCs w:val="18"/>
        </w:rPr>
        <w:t xml:space="preserve">  Productivity Commission 2018</w:t>
      </w:r>
      <w:r w:rsidRPr="00DE366D">
        <w:rPr>
          <w:szCs w:val="18"/>
        </w:rPr>
        <w:t>.</w:t>
      </w:r>
    </w:p>
  </w:footnote>
  <w:footnote w:id="101">
    <w:p w14:paraId="0D7D33A2" w14:textId="77777777" w:rsidR="00214500" w:rsidRPr="00DE366D" w:rsidRDefault="00214500" w:rsidP="00410464">
      <w:pPr>
        <w:pStyle w:val="FootnoteText"/>
        <w:tabs>
          <w:tab w:val="clear" w:pos="312"/>
          <w:tab w:val="left" w:pos="426"/>
        </w:tabs>
        <w:ind w:left="426" w:hanging="426"/>
        <w:rPr>
          <w:szCs w:val="18"/>
        </w:rPr>
      </w:pPr>
      <w:r w:rsidRPr="00DE366D">
        <w:rPr>
          <w:rStyle w:val="FootnoteReference"/>
          <w:sz w:val="18"/>
          <w:szCs w:val="18"/>
          <w:vertAlign w:val="baseline"/>
        </w:rPr>
        <w:footnoteRef/>
      </w:r>
      <w:r w:rsidRPr="00DE366D">
        <w:rPr>
          <w:szCs w:val="18"/>
        </w:rPr>
        <w:t xml:space="preserve"> </w:t>
      </w:r>
      <w:r w:rsidRPr="00DE366D">
        <w:rPr>
          <w:szCs w:val="18"/>
        </w:rPr>
        <w:tab/>
        <w:t>The Commonwealth regulatory framework for retirement saving system dates back to the 1970s. But it received a boost in 1985 when, under the second Accord, unions agreed to help limit inflation by directing a 3 per cent pay rise into superannuation rather than wages.</w:t>
      </w:r>
    </w:p>
  </w:footnote>
  <w:footnote w:id="102">
    <w:p w14:paraId="17327B86" w14:textId="77777777" w:rsidR="00214500" w:rsidRPr="00DE366D" w:rsidRDefault="00214500" w:rsidP="00410464">
      <w:pPr>
        <w:pStyle w:val="FootnoteText"/>
        <w:tabs>
          <w:tab w:val="clear" w:pos="312"/>
          <w:tab w:val="left" w:pos="426"/>
        </w:tabs>
        <w:ind w:left="426" w:hanging="426"/>
        <w:rPr>
          <w:szCs w:val="18"/>
        </w:rPr>
      </w:pPr>
      <w:r w:rsidRPr="00DE366D">
        <w:rPr>
          <w:rStyle w:val="FootnoteReference"/>
          <w:sz w:val="18"/>
          <w:szCs w:val="18"/>
          <w:vertAlign w:val="baseline"/>
        </w:rPr>
        <w:footnoteRef/>
      </w:r>
      <w:r w:rsidRPr="00DE366D">
        <w:rPr>
          <w:szCs w:val="18"/>
        </w:rPr>
        <w:t xml:space="preserve"> </w:t>
      </w:r>
      <w:r w:rsidRPr="00DE366D">
        <w:rPr>
          <w:szCs w:val="18"/>
        </w:rPr>
        <w:tab/>
        <w:t>Australian Taxation Office 2018.</w:t>
      </w:r>
    </w:p>
  </w:footnote>
  <w:footnote w:id="103">
    <w:p w14:paraId="06B97F37" w14:textId="77777777" w:rsidR="00214500" w:rsidRPr="00DE366D" w:rsidRDefault="00214500" w:rsidP="00410464">
      <w:pPr>
        <w:pStyle w:val="FootnoteText"/>
        <w:tabs>
          <w:tab w:val="clear" w:pos="312"/>
          <w:tab w:val="left" w:pos="426"/>
        </w:tabs>
        <w:ind w:left="426" w:hanging="426"/>
        <w:rPr>
          <w:szCs w:val="18"/>
        </w:rPr>
      </w:pPr>
      <w:r w:rsidRPr="00DE366D">
        <w:rPr>
          <w:rStyle w:val="FootnoteReference"/>
          <w:sz w:val="18"/>
          <w:szCs w:val="18"/>
          <w:vertAlign w:val="baseline"/>
        </w:rPr>
        <w:footnoteRef/>
      </w:r>
      <w:r w:rsidRPr="00DE366D">
        <w:rPr>
          <w:szCs w:val="18"/>
        </w:rPr>
        <w:t xml:space="preserve"> </w:t>
      </w:r>
      <w:r w:rsidRPr="00DE366D">
        <w:rPr>
          <w:szCs w:val="18"/>
        </w:rPr>
        <w:tab/>
        <w:t>Australian Prudential Regulation Authority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D6227" w14:textId="77777777" w:rsidR="00214500" w:rsidRDefault="0075747D" w:rsidP="000954F0">
    <w:pPr>
      <w:pStyle w:val="SecurityClassificationHeader"/>
    </w:pPr>
    <w:fldSimple w:instr=" DOCPROPERTY WorkingDocStatus \* MERGEFORMAT ">
      <w:r w:rsidR="00214500">
        <w:t>DRAFT WORKING DOCUMENT</w:t>
      </w:r>
    </w:fldSimple>
  </w:p>
  <w:p w14:paraId="332B474A" w14:textId="77777777" w:rsidR="00214500" w:rsidRDefault="00214500" w:rsidP="00F60530">
    <w:pPr>
      <w:pStyle w:val="SecurityClassificationHeader"/>
    </w:pPr>
  </w:p>
  <w:p w14:paraId="1E5AA28C" w14:textId="77777777" w:rsidR="00214500" w:rsidRDefault="00214500" w:rsidP="009429E8">
    <w:pPr>
      <w:pStyle w:val="SecurityClassification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58ADE" w14:textId="77777777" w:rsidR="00214500" w:rsidRDefault="00214500" w:rsidP="00F60530">
    <w:pPr>
      <w:pStyle w:val="SecurityClassificationHeader"/>
    </w:pPr>
  </w:p>
  <w:p w14:paraId="61ED2A15" w14:textId="77777777" w:rsidR="00214500" w:rsidRDefault="00214500" w:rsidP="009429E8">
    <w:pPr>
      <w:pStyle w:val="SecurityClassification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8378F" w14:textId="77777777" w:rsidR="00214500" w:rsidRPr="00F012EA" w:rsidRDefault="00214500" w:rsidP="009429E8">
    <w:pPr>
      <w:pStyle w:val="SecurityClassificationHeader"/>
    </w:pPr>
    <w:r>
      <w:rPr>
        <w:noProof/>
      </w:rPr>
      <w:drawing>
        <wp:anchor distT="0" distB="0" distL="114300" distR="114300" simplePos="0" relativeHeight="251658240" behindDoc="1" locked="0" layoutInCell="1" allowOverlap="1" wp14:anchorId="60B00872" wp14:editId="5C40EF87">
          <wp:simplePos x="828136" y="612475"/>
          <wp:positionH relativeFrom="page">
            <wp:align>center</wp:align>
          </wp:positionH>
          <wp:positionV relativeFrom="page">
            <wp:posOffset>180340</wp:posOffset>
          </wp:positionV>
          <wp:extent cx="7200000" cy="99972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header_15mm marg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99972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7E28E" w14:textId="77777777" w:rsidR="00214500" w:rsidRPr="006E0496" w:rsidRDefault="00214500" w:rsidP="006E049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484A1" w14:textId="77777777" w:rsidR="00214500" w:rsidRPr="006E2D1F" w:rsidRDefault="00214500" w:rsidP="006E2D1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362AE" w14:textId="77777777" w:rsidR="00214500" w:rsidRPr="006E0496" w:rsidRDefault="00214500" w:rsidP="006E049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1DB17" w14:textId="77777777" w:rsidR="00214500" w:rsidRPr="006E0496" w:rsidRDefault="00214500" w:rsidP="006E0496">
    <w:pPr>
      <w:pStyle w:val="Header"/>
    </w:pPr>
    <w:r>
      <w:rPr>
        <w:noProof/>
        <w:lang w:eastAsia="en-AU"/>
      </w:rPr>
      <mc:AlternateContent>
        <mc:Choice Requires="wps">
          <w:drawing>
            <wp:anchor distT="0" distB="0" distL="114300" distR="114300" simplePos="0" relativeHeight="251658241" behindDoc="0" locked="0" layoutInCell="1" allowOverlap="1" wp14:anchorId="42320062" wp14:editId="1345907D">
              <wp:simplePos x="0" y="0"/>
              <wp:positionH relativeFrom="column">
                <wp:posOffset>-2683523</wp:posOffset>
              </wp:positionH>
              <wp:positionV relativeFrom="paragraph">
                <wp:posOffset>2721927</wp:posOffset>
              </wp:positionV>
              <wp:extent cx="5778875" cy="1403985"/>
              <wp:effectExtent l="0" t="0" r="4763"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778875" cy="1403985"/>
                      </a:xfrm>
                      <a:prstGeom prst="rect">
                        <a:avLst/>
                      </a:prstGeom>
                      <a:noFill/>
                      <a:ln w="9525">
                        <a:noFill/>
                        <a:miter lim="800000"/>
                        <a:headEnd/>
                        <a:tailEnd/>
                      </a:ln>
                    </wps:spPr>
                    <wps:txbx>
                      <w:txbxContent>
                        <w:sdt>
                          <w:sdtPr>
                            <w:id w:val="1813984054"/>
                            <w:docPartObj>
                              <w:docPartGallery w:val="Page Numbers (Bottom of Page)"/>
                              <w:docPartUnique/>
                            </w:docPartObj>
                          </w:sdtPr>
                          <w:sdtEndPr>
                            <w:rPr>
                              <w:noProof/>
                            </w:rPr>
                          </w:sdtEndPr>
                          <w:sdtContent>
                            <w:p w14:paraId="07D51A88" w14:textId="77777777" w:rsidR="00214500" w:rsidRDefault="00214500" w:rsidP="00A36D80">
                              <w:pPr>
                                <w:pStyle w:val="FooterOdd"/>
                              </w:pPr>
                              <w:r>
                                <w:fldChar w:fldCharType="begin"/>
                              </w:r>
                              <w:r>
                                <w:instrText xml:space="preserve"> PAGE   \* MERGEFORMAT </w:instrText>
                              </w:r>
                              <w:r>
                                <w:fldChar w:fldCharType="separate"/>
                              </w:r>
                              <w:r w:rsidR="00973D9E">
                                <w:rPr>
                                  <w:noProof/>
                                </w:rPr>
                                <w:t>39</w:t>
                              </w:r>
                              <w:r>
                                <w:rPr>
                                  <w:noProof/>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1.3pt;margin-top:214.3pt;width:455.05pt;height:110.55pt;rotation:90;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" filled="f" stroked="f">
              <v:textbox style="mso-fit-shape-to-text:t">
                <w:txbxContent>
                  <w:sdt>
                    <w:sdtPr>
                      <w:id w:val="1813984054"/>
                      <w:docPartObj>
                        <w:docPartGallery w:val="Page Numbers (Bottom of Page)"/>
                        <w:docPartUnique/>
                      </w:docPartObj>
                    </w:sdtPr>
                    <w:sdtEndPr>
                      <w:rPr>
                        <w:noProof/>
                      </w:rPr>
                    </w:sdtEndPr>
                    <w:sdtContent>
                      <w:p w14:paraId="07D51A88" w14:textId="77777777" w:rsidR="00214500" w:rsidRDefault="00214500" w:rsidP="00A36D80">
                        <w:pPr>
                          <w:pStyle w:val="FooterOdd"/>
                        </w:pPr>
                        <w:r>
                          <w:fldChar w:fldCharType="begin"/>
                        </w:r>
                        <w:r>
                          <w:instrText xml:space="preserve"> PAGE   \* MERGEFORMAT </w:instrText>
                        </w:r>
                        <w:r>
                          <w:fldChar w:fldCharType="separate"/>
                        </w:r>
                        <w:r w:rsidR="00973D9E">
                          <w:rPr>
                            <w:noProof/>
                          </w:rPr>
                          <w:t>39</w:t>
                        </w:r>
                        <w:r>
                          <w:rPr>
                            <w:noProof/>
                          </w:rPr>
                          <w:fldChar w:fldCharType="end"/>
                        </w:r>
                      </w:p>
                    </w:sdtContent>
                  </w:sdt>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D73C5" w14:textId="77777777" w:rsidR="00214500" w:rsidRDefault="00214500" w:rsidP="00A57848">
    <w:pPr>
      <w:pStyle w:val="SecurityClassification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5E83F44"/>
    <w:lvl w:ilvl="0">
      <w:start w:val="1"/>
      <w:numFmt w:val="decimal"/>
      <w:lvlText w:val="%1."/>
      <w:lvlJc w:val="left"/>
      <w:pPr>
        <w:tabs>
          <w:tab w:val="num" w:pos="1492"/>
        </w:tabs>
        <w:ind w:left="1492" w:hanging="360"/>
      </w:pPr>
    </w:lvl>
  </w:abstractNum>
  <w:abstractNum w:abstractNumId="1">
    <w:nsid w:val="FFFFFF7D"/>
    <w:multiLevelType w:val="singleLevel"/>
    <w:tmpl w:val="E76E24C6"/>
    <w:lvl w:ilvl="0">
      <w:start w:val="1"/>
      <w:numFmt w:val="decimal"/>
      <w:lvlText w:val="%1."/>
      <w:lvlJc w:val="left"/>
      <w:pPr>
        <w:tabs>
          <w:tab w:val="num" w:pos="1209"/>
        </w:tabs>
        <w:ind w:left="1209" w:hanging="360"/>
      </w:pPr>
    </w:lvl>
  </w:abstractNum>
  <w:abstractNum w:abstractNumId="2">
    <w:nsid w:val="FFFFFF7E"/>
    <w:multiLevelType w:val="singleLevel"/>
    <w:tmpl w:val="D8E0BAAC"/>
    <w:lvl w:ilvl="0">
      <w:start w:val="1"/>
      <w:numFmt w:val="decimal"/>
      <w:lvlText w:val="%1."/>
      <w:lvlJc w:val="left"/>
      <w:pPr>
        <w:tabs>
          <w:tab w:val="num" w:pos="926"/>
        </w:tabs>
        <w:ind w:left="926" w:hanging="360"/>
      </w:pPr>
    </w:lvl>
  </w:abstractNum>
  <w:abstractNum w:abstractNumId="3">
    <w:nsid w:val="FFFFFF7F"/>
    <w:multiLevelType w:val="singleLevel"/>
    <w:tmpl w:val="E3524D10"/>
    <w:lvl w:ilvl="0">
      <w:start w:val="1"/>
      <w:numFmt w:val="decimal"/>
      <w:lvlText w:val="%1."/>
      <w:lvlJc w:val="left"/>
      <w:pPr>
        <w:tabs>
          <w:tab w:val="num" w:pos="643"/>
        </w:tabs>
        <w:ind w:left="643" w:hanging="360"/>
      </w:pPr>
    </w:lvl>
  </w:abstractNum>
  <w:abstractNum w:abstractNumId="4">
    <w:nsid w:val="FFFFFF80"/>
    <w:multiLevelType w:val="singleLevel"/>
    <w:tmpl w:val="902A27A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A76E28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C30F69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B42407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59AF198"/>
    <w:lvl w:ilvl="0">
      <w:start w:val="1"/>
      <w:numFmt w:val="decimal"/>
      <w:lvlText w:val="%1."/>
      <w:lvlJc w:val="left"/>
      <w:pPr>
        <w:tabs>
          <w:tab w:val="num" w:pos="360"/>
        </w:tabs>
        <w:ind w:left="360" w:hanging="360"/>
      </w:pPr>
    </w:lvl>
  </w:abstractNum>
  <w:abstractNum w:abstractNumId="9">
    <w:nsid w:val="FFFFFF89"/>
    <w:multiLevelType w:val="singleLevel"/>
    <w:tmpl w:val="8F66B7D2"/>
    <w:lvl w:ilvl="0">
      <w:start w:val="1"/>
      <w:numFmt w:val="bullet"/>
      <w:lvlText w:val=""/>
      <w:lvlJc w:val="left"/>
      <w:pPr>
        <w:tabs>
          <w:tab w:val="num" w:pos="360"/>
        </w:tabs>
        <w:ind w:left="360" w:hanging="360"/>
      </w:pPr>
      <w:rPr>
        <w:rFonts w:ascii="Symbol" w:hAnsi="Symbol" w:hint="default"/>
      </w:rPr>
    </w:lvl>
  </w:abstractNum>
  <w:abstractNum w:abstractNumId="10">
    <w:nsid w:val="02C742D1"/>
    <w:multiLevelType w:val="hybridMultilevel"/>
    <w:tmpl w:val="4FECA856"/>
    <w:lvl w:ilvl="0" w:tplc="9C2857D0">
      <w:start w:val="1"/>
      <w:numFmt w:val="decimal"/>
      <w:pStyle w:val="Heading1-Numbered"/>
      <w:lvlText w:val="%1."/>
      <w:lvlJc w:val="left"/>
      <w:pPr>
        <w:ind w:left="720" w:hanging="360"/>
      </w:pPr>
      <w:rPr>
        <w:rFonts w:ascii="Arial Bold" w:hAnsi="Arial Bold" w:hint="default"/>
        <w:b/>
        <w:i w:val="0"/>
        <w:color w:val="003157"/>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7CB28C4"/>
    <w:multiLevelType w:val="multilevel"/>
    <w:tmpl w:val="FB966738"/>
    <w:lvl w:ilvl="0">
      <w:start w:val="1"/>
      <w:numFmt w:val="upperLetter"/>
      <w:lvlRestart w:val="0"/>
      <w:pStyle w:val="AppendixHeadingNotNumbered"/>
      <w:suff w:val="nothing"/>
      <w:lvlText w:val=""/>
      <w:lvlJc w:val="left"/>
      <w:pPr>
        <w:ind w:left="0" w:firstLine="0"/>
      </w:pPr>
      <w:rPr>
        <w:rFonts w:hint="default"/>
        <w:b w:val="0"/>
        <w:i w:val="0"/>
        <w:color w:val="000000"/>
      </w:rPr>
    </w:lvl>
    <w:lvl w:ilvl="1">
      <w:start w:val="1"/>
      <w:numFmt w:val="decimal"/>
      <w:pStyle w:val="AppendixHeadingLevel2"/>
      <w:lvlText w:val="%1.%2"/>
      <w:lvlJc w:val="left"/>
      <w:pPr>
        <w:tabs>
          <w:tab w:val="num" w:pos="1134"/>
        </w:tabs>
        <w:ind w:left="0" w:firstLine="0"/>
      </w:pPr>
      <w:rPr>
        <w:rFonts w:ascii="Arial Bold" w:hAnsi="Arial Bold" w:cs="Arial" w:hint="default"/>
        <w:b/>
        <w:i w:val="0"/>
        <w:color w:val="003157"/>
      </w:rPr>
    </w:lvl>
    <w:lvl w:ilvl="2">
      <w:start w:val="1"/>
      <w:numFmt w:val="decimal"/>
      <w:pStyle w:val="AppendixHeadingLevel3"/>
      <w:lvlText w:val="%1.%2.%3"/>
      <w:lvlJc w:val="left"/>
      <w:pPr>
        <w:tabs>
          <w:tab w:val="num" w:pos="1134"/>
        </w:tabs>
        <w:ind w:left="0" w:firstLine="0"/>
      </w:pPr>
      <w:rPr>
        <w:rFonts w:ascii="Arial Bold" w:hAnsi="Arial Bold" w:cs="Arial" w:hint="default"/>
        <w:b/>
        <w:i w:val="0"/>
        <w:color w:val="003157"/>
      </w:rPr>
    </w:lvl>
    <w:lvl w:ilvl="3">
      <w:start w:val="1"/>
      <w:numFmt w:val="decimal"/>
      <w:pStyle w:val="AppendixHeadingLevel4"/>
      <w:lvlText w:val="%1.%2.%3.%4"/>
      <w:lvlJc w:val="left"/>
      <w:pPr>
        <w:tabs>
          <w:tab w:val="num" w:pos="1135"/>
        </w:tabs>
        <w:ind w:left="1" w:hanging="1"/>
      </w:pPr>
      <w:rPr>
        <w:rFonts w:ascii="Arial" w:hAnsi="Arial" w:cs="Arial" w:hint="default"/>
        <w:b w:val="0"/>
        <w:i w:val="0"/>
        <w:color w:val="003157"/>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12">
    <w:nsid w:val="07ED3FC7"/>
    <w:multiLevelType w:val="multilevel"/>
    <w:tmpl w:val="F8BE2F76"/>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3">
    <w:nsid w:val="090B0DB0"/>
    <w:multiLevelType w:val="multilevel"/>
    <w:tmpl w:val="D9A8A212"/>
    <w:styleLink w:val="RomanNumeralList"/>
    <w:lvl w:ilvl="0">
      <w:start w:val="1"/>
      <w:numFmt w:val="lowerRoman"/>
      <w:pStyle w:val="Romannumeral"/>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16CC4E5D"/>
    <w:multiLevelType w:val="multilevel"/>
    <w:tmpl w:val="D10E9CF6"/>
    <w:numStyleLink w:val="OneLevelList"/>
  </w:abstractNum>
  <w:abstractNum w:abstractNumId="16">
    <w:nsid w:val="1E6B29F1"/>
    <w:multiLevelType w:val="multilevel"/>
    <w:tmpl w:val="EDEE4FB6"/>
    <w:styleLink w:val="RecommendationBulletList"/>
    <w:lvl w:ilvl="0">
      <w:start w:val="1"/>
      <w:numFmt w:val="bullet"/>
      <w:pStyle w:val="RecommendationBullet"/>
      <w:lvlText w:val="•"/>
      <w:lvlJc w:val="left"/>
      <w:pPr>
        <w:tabs>
          <w:tab w:val="num" w:pos="284"/>
        </w:tabs>
        <w:ind w:left="284" w:hanging="284"/>
      </w:pPr>
      <w:rPr>
        <w:rFonts w:ascii="Times New Roman" w:hAnsi="Times New Roman" w:cs="Times New Roman" w:hint="default"/>
      </w:rPr>
    </w:lvl>
    <w:lvl w:ilvl="1">
      <w:start w:val="1"/>
      <w:numFmt w:val="bullet"/>
      <w:pStyle w:val="RecommendationDash"/>
      <w:lvlText w:val=":"/>
      <w:lvlJc w:val="left"/>
      <w:pPr>
        <w:tabs>
          <w:tab w:val="num" w:pos="567"/>
        </w:tabs>
        <w:ind w:left="567" w:hanging="283"/>
      </w:pPr>
      <w:rPr>
        <w:rFonts w:hint="default"/>
      </w:rPr>
    </w:lvl>
    <w:lvl w:ilvl="2">
      <w:start w:val="1"/>
      <w:numFmt w:val="bullet"/>
      <w:pStyle w:val="RecommendationDoubleDot"/>
      <w:lvlText w:val="–"/>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24E65059"/>
    <w:multiLevelType w:val="multilevel"/>
    <w:tmpl w:val="0AE8E19A"/>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5EA2A0F"/>
    <w:multiLevelType w:val="multilevel"/>
    <w:tmpl w:val="18BC553E"/>
    <w:styleLink w:val="TableTextBulletList"/>
    <w:lvl w:ilvl="0">
      <w:start w:val="1"/>
      <w:numFmt w:val="bullet"/>
      <w:pStyle w:val="TableTextBullet"/>
      <w:lvlText w:val="•"/>
      <w:lvlJc w:val="left"/>
      <w:pPr>
        <w:tabs>
          <w:tab w:val="num" w:pos="284"/>
        </w:tabs>
        <w:ind w:left="284" w:hanging="284"/>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278D78E7"/>
    <w:multiLevelType w:val="multilevel"/>
    <w:tmpl w:val="227083C4"/>
    <w:name w:val="OneLevelRomanNumeralList"/>
    <w:lvl w:ilvl="0">
      <w:start w:val="1"/>
      <w:numFmt w:val="lowerRoman"/>
      <w:lvlRestart w:val="0"/>
      <w:lvlText w:val="(%1)"/>
      <w:lvlJc w:val="left"/>
      <w:pPr>
        <w:tabs>
          <w:tab w:val="num" w:pos="567"/>
        </w:tabs>
        <w:ind w:left="567" w:hanging="567"/>
      </w:pPr>
      <w:rPr>
        <w:b w:val="0"/>
        <w:i w:val="0"/>
        <w:color w:val="00000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0">
    <w:nsid w:val="2E676638"/>
    <w:multiLevelType w:val="multilevel"/>
    <w:tmpl w:val="32F2C594"/>
    <w:lvl w:ilvl="0">
      <w:start w:val="1"/>
      <w:numFmt w:val="bullet"/>
      <w:pStyle w:val="Bullet"/>
      <w:lvlText w:val="•"/>
      <w:lvlJc w:val="left"/>
      <w:pPr>
        <w:tabs>
          <w:tab w:val="num" w:pos="614"/>
        </w:tabs>
        <w:ind w:left="614" w:hanging="614"/>
      </w:pPr>
      <w:rPr>
        <w:rFonts w:ascii="Times New Roman" w:hAnsi="Times New Roman" w:cs="Times New Roman"/>
      </w:rPr>
    </w:lvl>
    <w:lvl w:ilvl="1">
      <w:start w:val="1"/>
      <w:numFmt w:val="bullet"/>
      <w:pStyle w:val="Dash"/>
      <w:lvlText w:val="–"/>
      <w:lvlJc w:val="left"/>
      <w:pPr>
        <w:tabs>
          <w:tab w:val="num" w:pos="1228"/>
        </w:tabs>
        <w:ind w:left="1228" w:hanging="614"/>
      </w:pPr>
      <w:rPr>
        <w:rFonts w:ascii="Times New Roman" w:hAnsi="Times New Roman" w:cs="Times New Roman"/>
      </w:rPr>
    </w:lvl>
    <w:lvl w:ilvl="2">
      <w:start w:val="1"/>
      <w:numFmt w:val="bullet"/>
      <w:pStyle w:val="DoubleDot"/>
      <w:lvlText w:val=":"/>
      <w:lvlJc w:val="left"/>
      <w:pPr>
        <w:tabs>
          <w:tab w:val="num" w:pos="1842"/>
        </w:tabs>
        <w:ind w:left="1842" w:hanging="614"/>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08C2710"/>
    <w:multiLevelType w:val="multilevel"/>
    <w:tmpl w:val="72940280"/>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2">
    <w:nsid w:val="3238442C"/>
    <w:multiLevelType w:val="multilevel"/>
    <w:tmpl w:val="4DAA0B3E"/>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3B0A369A"/>
    <w:multiLevelType w:val="hybridMultilevel"/>
    <w:tmpl w:val="332203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3CF41562"/>
    <w:multiLevelType w:val="singleLevel"/>
    <w:tmpl w:val="EB5E137A"/>
    <w:lvl w:ilvl="0">
      <w:start w:val="1"/>
      <w:numFmt w:val="bullet"/>
      <w:pStyle w:val="ExampleBullet"/>
      <w:lvlText w:val=""/>
      <w:lvlJc w:val="left"/>
      <w:pPr>
        <w:tabs>
          <w:tab w:val="num" w:pos="360"/>
        </w:tabs>
        <w:ind w:left="284" w:hanging="284"/>
      </w:pPr>
      <w:rPr>
        <w:rFonts w:ascii="Wingdings" w:hAnsi="Wingdings" w:hint="default"/>
        <w:sz w:val="10"/>
      </w:rPr>
    </w:lvl>
  </w:abstractNum>
  <w:abstractNum w:abstractNumId="26">
    <w:nsid w:val="41021F54"/>
    <w:multiLevelType w:val="hybridMultilevel"/>
    <w:tmpl w:val="358E0ABE"/>
    <w:lvl w:ilvl="0" w:tplc="548A9F96">
      <w:start w:val="1"/>
      <w:numFmt w:val="lowerRoman"/>
      <w:pStyle w:val="Alphanumbered"/>
      <w:lvlText w:val="(%1)"/>
      <w:lvlJc w:val="left"/>
      <w:pPr>
        <w:tabs>
          <w:tab w:val="num" w:pos="357"/>
        </w:tabs>
        <w:ind w:left="357" w:hanging="35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nsid w:val="445B0A7E"/>
    <w:multiLevelType w:val="multilevel"/>
    <w:tmpl w:val="EDEE4FB6"/>
    <w:numStyleLink w:val="RecommendationBulletList"/>
  </w:abstractNum>
  <w:abstractNum w:abstractNumId="28">
    <w:nsid w:val="483E25F6"/>
    <w:multiLevelType w:val="multilevel"/>
    <w:tmpl w:val="2D022FDA"/>
    <w:styleLink w:val="AlphaParagraphList"/>
    <w:lvl w:ilvl="0">
      <w:start w:val="1"/>
      <w:numFmt w:val="lowerLetter"/>
      <w:pStyle w:val="AlphaParagraph"/>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510D2021"/>
    <w:multiLevelType w:val="multilevel"/>
    <w:tmpl w:val="72F8140E"/>
    <w:numStyleLink w:val="OutlineList"/>
  </w:abstractNum>
  <w:abstractNum w:abstractNumId="30">
    <w:nsid w:val="55AB4DA1"/>
    <w:multiLevelType w:val="multilevel"/>
    <w:tmpl w:val="7E40BB68"/>
    <w:styleLink w:val="TableTestBulletList"/>
    <w:lvl w:ilvl="0">
      <w:start w:val="1"/>
      <w:numFmt w:val="bullet"/>
      <w:lvlText w:val="•"/>
      <w:lvlJc w:val="left"/>
      <w:pPr>
        <w:tabs>
          <w:tab w:val="num" w:pos="284"/>
        </w:tabs>
        <w:ind w:left="284" w:hanging="284"/>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55F73129"/>
    <w:multiLevelType w:val="multilevel"/>
    <w:tmpl w:val="D9A8A212"/>
    <w:numStyleLink w:val="RomanNumeralList"/>
  </w:abstractNum>
  <w:abstractNum w:abstractNumId="32">
    <w:nsid w:val="620F35A3"/>
    <w:multiLevelType w:val="hybridMultilevel"/>
    <w:tmpl w:val="332203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6022277"/>
    <w:multiLevelType w:val="singleLevel"/>
    <w:tmpl w:val="9ECEC236"/>
    <w:name w:val="AlphaChartTableFootnoteList"/>
    <w:lvl w:ilvl="0">
      <w:start w:val="1"/>
      <w:numFmt w:val="lowerLetter"/>
      <w:pStyle w:val="CaptionandTableFootnoteAlpha"/>
      <w:lvlText w:val="(%1)"/>
      <w:lvlJc w:val="left"/>
      <w:pPr>
        <w:ind w:left="360" w:hanging="360"/>
      </w:pPr>
      <w:rPr>
        <w:rFonts w:ascii="Calibri" w:hAnsi="Calibri" w:cs="Arial" w:hint="default"/>
        <w:b w:val="0"/>
        <w:i w:val="0"/>
        <w:color w:val="000000"/>
        <w:sz w:val="20"/>
      </w:rPr>
    </w:lvl>
  </w:abstractNum>
  <w:abstractNum w:abstractNumId="34">
    <w:nsid w:val="6A5F7B24"/>
    <w:multiLevelType w:val="multilevel"/>
    <w:tmpl w:val="7100A6B2"/>
    <w:lvl w:ilvl="0">
      <w:start w:val="1"/>
      <w:numFmt w:val="decimal"/>
      <w:lvlRestart w:val="0"/>
      <w:lvlText w:val="%1."/>
      <w:lvlJc w:val="left"/>
      <w:pPr>
        <w:tabs>
          <w:tab w:val="num" w:pos="850"/>
        </w:tabs>
        <w:ind w:left="0" w:firstLine="0"/>
      </w:pPr>
      <w:rPr>
        <w:rFonts w:ascii="Arial Bold" w:hAnsi="Arial Bold" w:cs="Arial" w:hint="default"/>
        <w:b/>
        <w:i w:val="0"/>
        <w:color w:val="003157"/>
      </w:rPr>
    </w:lvl>
    <w:lvl w:ilvl="1">
      <w:start w:val="1"/>
      <w:numFmt w:val="decimal"/>
      <w:lvlText w:val="%1.%2"/>
      <w:lvlJc w:val="left"/>
      <w:pPr>
        <w:tabs>
          <w:tab w:val="num" w:pos="-4254"/>
        </w:tabs>
        <w:ind w:left="-5104" w:firstLine="0"/>
      </w:pPr>
      <w:rPr>
        <w:rFonts w:ascii="Arial Bold" w:hAnsi="Arial Bold" w:cs="Arial" w:hint="default"/>
        <w:b/>
        <w:i w:val="0"/>
        <w:color w:val="003157"/>
      </w:rPr>
    </w:lvl>
    <w:lvl w:ilvl="2">
      <w:start w:val="1"/>
      <w:numFmt w:val="none"/>
      <w:lvlText w:val=""/>
      <w:lvlJc w:val="left"/>
      <w:pPr>
        <w:tabs>
          <w:tab w:val="num" w:pos="-5104"/>
        </w:tabs>
        <w:ind w:left="-5104" w:firstLine="0"/>
      </w:pPr>
      <w:rPr>
        <w:rFonts w:ascii="Arial" w:hAnsi="Arial" w:cs="Arial" w:hint="default"/>
        <w:b w:val="0"/>
        <w:i w:val="0"/>
        <w:color w:val="003157"/>
      </w:rPr>
    </w:lvl>
    <w:lvl w:ilvl="3">
      <w:start w:val="1"/>
      <w:numFmt w:val="decimal"/>
      <w:lvlText w:val="%4"/>
      <w:lvlJc w:val="left"/>
      <w:pPr>
        <w:tabs>
          <w:tab w:val="num" w:pos="-2836"/>
        </w:tabs>
        <w:ind w:left="-2836" w:hanging="567"/>
      </w:pPr>
      <w:rPr>
        <w:rFonts w:hint="default"/>
        <w:b w:val="0"/>
        <w:i w:val="0"/>
        <w:color w:val="000000"/>
      </w:rPr>
    </w:lvl>
    <w:lvl w:ilvl="4">
      <w:start w:val="1"/>
      <w:numFmt w:val="decimal"/>
      <w:lvlText w:val="%5"/>
      <w:lvlJc w:val="left"/>
      <w:pPr>
        <w:tabs>
          <w:tab w:val="num" w:pos="-2269"/>
        </w:tabs>
        <w:ind w:left="-2269" w:hanging="567"/>
      </w:pPr>
      <w:rPr>
        <w:rFonts w:hint="default"/>
        <w:b w:val="0"/>
        <w:i w:val="0"/>
        <w:color w:val="000000"/>
      </w:rPr>
    </w:lvl>
    <w:lvl w:ilvl="5">
      <w:start w:val="1"/>
      <w:numFmt w:val="decimal"/>
      <w:lvlText w:val="%6"/>
      <w:lvlJc w:val="left"/>
      <w:pPr>
        <w:tabs>
          <w:tab w:val="num" w:pos="-1702"/>
        </w:tabs>
        <w:ind w:left="-1702" w:hanging="567"/>
      </w:pPr>
      <w:rPr>
        <w:rFonts w:hint="default"/>
        <w:b w:val="0"/>
        <w:i w:val="0"/>
        <w:color w:val="000000"/>
      </w:rPr>
    </w:lvl>
    <w:lvl w:ilvl="6">
      <w:start w:val="1"/>
      <w:numFmt w:val="decimal"/>
      <w:lvlText w:val="%7"/>
      <w:lvlJc w:val="left"/>
      <w:pPr>
        <w:tabs>
          <w:tab w:val="num" w:pos="-1135"/>
        </w:tabs>
        <w:ind w:left="-1135" w:hanging="567"/>
      </w:pPr>
      <w:rPr>
        <w:rFonts w:hint="default"/>
        <w:b w:val="0"/>
        <w:i w:val="0"/>
        <w:color w:val="000000"/>
      </w:rPr>
    </w:lvl>
    <w:lvl w:ilvl="7">
      <w:start w:val="1"/>
      <w:numFmt w:val="decimal"/>
      <w:lvlText w:val="%8"/>
      <w:lvlJc w:val="left"/>
      <w:pPr>
        <w:tabs>
          <w:tab w:val="num" w:pos="-568"/>
        </w:tabs>
        <w:ind w:left="-568" w:hanging="567"/>
      </w:pPr>
      <w:rPr>
        <w:rFonts w:hint="default"/>
        <w:b w:val="0"/>
        <w:i w:val="0"/>
        <w:color w:val="000000"/>
      </w:rPr>
    </w:lvl>
    <w:lvl w:ilvl="8">
      <w:start w:val="1"/>
      <w:numFmt w:val="decimal"/>
      <w:lvlText w:val="%9"/>
      <w:lvlJc w:val="left"/>
      <w:pPr>
        <w:tabs>
          <w:tab w:val="num" w:pos="-1"/>
        </w:tabs>
        <w:ind w:left="-1" w:hanging="567"/>
      </w:pPr>
      <w:rPr>
        <w:rFonts w:hint="default"/>
        <w:b w:val="0"/>
        <w:i w:val="0"/>
        <w:color w:val="000000"/>
      </w:rPr>
    </w:lvl>
  </w:abstractNum>
  <w:abstractNum w:abstractNumId="35">
    <w:nsid w:val="703156AC"/>
    <w:multiLevelType w:val="hybridMultilevel"/>
    <w:tmpl w:val="DB02990C"/>
    <w:lvl w:ilvl="0" w:tplc="DD606940">
      <w:start w:val="1"/>
      <w:numFmt w:val="decimal"/>
      <w:pStyle w:val="NumberedParagraph"/>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F857200"/>
    <w:multiLevelType w:val="multilevel"/>
    <w:tmpl w:val="4A9CD722"/>
    <w:name w:val="StandardNumberedList"/>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1"/>
  </w:num>
  <w:num w:numId="2">
    <w:abstractNumId w:val="12"/>
  </w:num>
  <w:num w:numId="3">
    <w:abstractNumId w:val="28"/>
  </w:num>
  <w:num w:numId="4">
    <w:abstractNumId w:val="23"/>
  </w:num>
  <w:num w:numId="5">
    <w:abstractNumId w:val="14"/>
  </w:num>
  <w:num w:numId="6">
    <w:abstractNumId w:val="16"/>
  </w:num>
  <w:num w:numId="7">
    <w:abstractNumId w:val="13"/>
  </w:num>
  <w:num w:numId="8">
    <w:abstractNumId w:val="15"/>
  </w:num>
  <w:num w:numId="9">
    <w:abstractNumId w:val="29"/>
  </w:num>
  <w:num w:numId="10">
    <w:abstractNumId w:val="27"/>
  </w:num>
  <w:num w:numId="11">
    <w:abstractNumId w:val="31"/>
  </w:num>
  <w:num w:numId="12">
    <w:abstractNumId w:val="22"/>
  </w:num>
  <w:num w:numId="13">
    <w:abstractNumId w:val="30"/>
  </w:num>
  <w:num w:numId="14">
    <w:abstractNumId w:val="18"/>
  </w:num>
  <w:num w:numId="15">
    <w:abstractNumId w:val="18"/>
  </w:num>
  <w:num w:numId="16">
    <w:abstractNumId w:val="26"/>
  </w:num>
  <w:num w:numId="17">
    <w:abstractNumId w:val="11"/>
  </w:num>
  <w:num w:numId="18">
    <w:abstractNumId w:val="33"/>
  </w:num>
  <w:num w:numId="19">
    <w:abstractNumId w:val="20"/>
  </w:num>
  <w:num w:numId="20">
    <w:abstractNumId w:val="25"/>
  </w:num>
  <w:num w:numId="21">
    <w:abstractNumId w:val="34"/>
  </w:num>
  <w:num w:numId="22">
    <w:abstractNumId w:val="35"/>
  </w:num>
  <w:num w:numId="23">
    <w:abstractNumId w:val="17"/>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4"/>
  </w:num>
  <w:num w:numId="27">
    <w:abstractNumId w:val="32"/>
  </w:num>
  <w:num w:numId="28">
    <w:abstractNumId w:val="10"/>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10"/>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noTabHangInd/>
    <w:noColumnBalance/>
    <w:suppressBottomSpacing/>
    <w:suppressTopSpacing/>
    <w:suppressSpBfAfterPgBrk/>
    <w:noSpaceRaiseLower/>
    <w:doNotUseHTMLParagraphAutoSpacing/>
    <w:growAutofi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OIClassificationInHeader" w:val="True"/>
    <w:docVar w:name="SecurityClassificationInHeader" w:val="False"/>
    <w:docVar w:name="SecurityDLMInHeader" w:val="False"/>
  </w:docVars>
  <w:rsids>
    <w:rsidRoot w:val="00067669"/>
    <w:rsid w:val="00003ACD"/>
    <w:rsid w:val="00003C4C"/>
    <w:rsid w:val="00003FF3"/>
    <w:rsid w:val="00004CF7"/>
    <w:rsid w:val="00005186"/>
    <w:rsid w:val="00005638"/>
    <w:rsid w:val="00007B6F"/>
    <w:rsid w:val="00007CDE"/>
    <w:rsid w:val="00011DD6"/>
    <w:rsid w:val="00014DBC"/>
    <w:rsid w:val="000167A9"/>
    <w:rsid w:val="00023616"/>
    <w:rsid w:val="0002485F"/>
    <w:rsid w:val="00031F0A"/>
    <w:rsid w:val="00031F30"/>
    <w:rsid w:val="00032520"/>
    <w:rsid w:val="00032BD1"/>
    <w:rsid w:val="00032DF4"/>
    <w:rsid w:val="00033260"/>
    <w:rsid w:val="0003370E"/>
    <w:rsid w:val="00034C4F"/>
    <w:rsid w:val="000365DF"/>
    <w:rsid w:val="00036AA9"/>
    <w:rsid w:val="00042DC7"/>
    <w:rsid w:val="00043519"/>
    <w:rsid w:val="000446E2"/>
    <w:rsid w:val="00044E8B"/>
    <w:rsid w:val="000464B6"/>
    <w:rsid w:val="00046904"/>
    <w:rsid w:val="00047349"/>
    <w:rsid w:val="00050B52"/>
    <w:rsid w:val="000512F0"/>
    <w:rsid w:val="00051C46"/>
    <w:rsid w:val="00054A98"/>
    <w:rsid w:val="0005655E"/>
    <w:rsid w:val="00056D25"/>
    <w:rsid w:val="000600C1"/>
    <w:rsid w:val="00060D18"/>
    <w:rsid w:val="00061EA2"/>
    <w:rsid w:val="000622B2"/>
    <w:rsid w:val="00063F83"/>
    <w:rsid w:val="0006521E"/>
    <w:rsid w:val="00067119"/>
    <w:rsid w:val="00067669"/>
    <w:rsid w:val="00072988"/>
    <w:rsid w:val="00076D73"/>
    <w:rsid w:val="00077D52"/>
    <w:rsid w:val="00080C58"/>
    <w:rsid w:val="00080E0F"/>
    <w:rsid w:val="000824CF"/>
    <w:rsid w:val="000850E9"/>
    <w:rsid w:val="00087EF4"/>
    <w:rsid w:val="00091054"/>
    <w:rsid w:val="000954F0"/>
    <w:rsid w:val="00095870"/>
    <w:rsid w:val="00095C3F"/>
    <w:rsid w:val="000A0DAF"/>
    <w:rsid w:val="000A64E7"/>
    <w:rsid w:val="000A6F05"/>
    <w:rsid w:val="000A7535"/>
    <w:rsid w:val="000B4AD8"/>
    <w:rsid w:val="000B5118"/>
    <w:rsid w:val="000B7B22"/>
    <w:rsid w:val="000C38A6"/>
    <w:rsid w:val="000C7CDA"/>
    <w:rsid w:val="000D0623"/>
    <w:rsid w:val="000D1DD3"/>
    <w:rsid w:val="000D33F0"/>
    <w:rsid w:val="000D4EF2"/>
    <w:rsid w:val="000D4F4F"/>
    <w:rsid w:val="000D788A"/>
    <w:rsid w:val="000E010E"/>
    <w:rsid w:val="000E19FC"/>
    <w:rsid w:val="000E2746"/>
    <w:rsid w:val="000E57F0"/>
    <w:rsid w:val="000E6058"/>
    <w:rsid w:val="000E79D5"/>
    <w:rsid w:val="000F0F7C"/>
    <w:rsid w:val="000F10DA"/>
    <w:rsid w:val="000F1A44"/>
    <w:rsid w:val="000F2065"/>
    <w:rsid w:val="000F2C24"/>
    <w:rsid w:val="000F5A73"/>
    <w:rsid w:val="000F6741"/>
    <w:rsid w:val="0010021B"/>
    <w:rsid w:val="00105864"/>
    <w:rsid w:val="00106929"/>
    <w:rsid w:val="0011191F"/>
    <w:rsid w:val="00114987"/>
    <w:rsid w:val="00114D5F"/>
    <w:rsid w:val="00115DC1"/>
    <w:rsid w:val="00121212"/>
    <w:rsid w:val="00124F7C"/>
    <w:rsid w:val="00125AD9"/>
    <w:rsid w:val="00125D1E"/>
    <w:rsid w:val="001312D2"/>
    <w:rsid w:val="00132646"/>
    <w:rsid w:val="001337AD"/>
    <w:rsid w:val="0013456C"/>
    <w:rsid w:val="00135C07"/>
    <w:rsid w:val="001364AD"/>
    <w:rsid w:val="00141B01"/>
    <w:rsid w:val="00141DDF"/>
    <w:rsid w:val="001420E1"/>
    <w:rsid w:val="001426D0"/>
    <w:rsid w:val="00142704"/>
    <w:rsid w:val="001429DB"/>
    <w:rsid w:val="00147046"/>
    <w:rsid w:val="0015137A"/>
    <w:rsid w:val="0015179D"/>
    <w:rsid w:val="00152305"/>
    <w:rsid w:val="00154802"/>
    <w:rsid w:val="0015550E"/>
    <w:rsid w:val="00156D78"/>
    <w:rsid w:val="00157E94"/>
    <w:rsid w:val="001629A4"/>
    <w:rsid w:val="0016638A"/>
    <w:rsid w:val="00171670"/>
    <w:rsid w:val="0017188F"/>
    <w:rsid w:val="00171D6E"/>
    <w:rsid w:val="0017251D"/>
    <w:rsid w:val="001728C4"/>
    <w:rsid w:val="00174D0E"/>
    <w:rsid w:val="001757D0"/>
    <w:rsid w:val="001759E9"/>
    <w:rsid w:val="00175C0E"/>
    <w:rsid w:val="00180959"/>
    <w:rsid w:val="00180C0C"/>
    <w:rsid w:val="00181701"/>
    <w:rsid w:val="00182FD2"/>
    <w:rsid w:val="0018329E"/>
    <w:rsid w:val="001839EF"/>
    <w:rsid w:val="00184E2E"/>
    <w:rsid w:val="00187312"/>
    <w:rsid w:val="00190202"/>
    <w:rsid w:val="00191A3D"/>
    <w:rsid w:val="0019345E"/>
    <w:rsid w:val="00194B6E"/>
    <w:rsid w:val="001A1A0E"/>
    <w:rsid w:val="001A36E1"/>
    <w:rsid w:val="001A37B4"/>
    <w:rsid w:val="001A420D"/>
    <w:rsid w:val="001A5D8B"/>
    <w:rsid w:val="001B0E1F"/>
    <w:rsid w:val="001B1863"/>
    <w:rsid w:val="001B2D26"/>
    <w:rsid w:val="001B51C2"/>
    <w:rsid w:val="001B6293"/>
    <w:rsid w:val="001B723C"/>
    <w:rsid w:val="001C0593"/>
    <w:rsid w:val="001C1C75"/>
    <w:rsid w:val="001C211E"/>
    <w:rsid w:val="001C5D78"/>
    <w:rsid w:val="001C5E4B"/>
    <w:rsid w:val="001C7267"/>
    <w:rsid w:val="001C7B16"/>
    <w:rsid w:val="001D0381"/>
    <w:rsid w:val="001D0749"/>
    <w:rsid w:val="001D1F48"/>
    <w:rsid w:val="001D231A"/>
    <w:rsid w:val="001D3014"/>
    <w:rsid w:val="001D3E01"/>
    <w:rsid w:val="001D699E"/>
    <w:rsid w:val="001D6F68"/>
    <w:rsid w:val="001D7CD5"/>
    <w:rsid w:val="001E02C1"/>
    <w:rsid w:val="001E1D66"/>
    <w:rsid w:val="001E1D9E"/>
    <w:rsid w:val="001E37B0"/>
    <w:rsid w:val="001E4239"/>
    <w:rsid w:val="001E4B84"/>
    <w:rsid w:val="001E5FA1"/>
    <w:rsid w:val="001E664D"/>
    <w:rsid w:val="001E680C"/>
    <w:rsid w:val="001E6D7A"/>
    <w:rsid w:val="001E72B5"/>
    <w:rsid w:val="001F05DE"/>
    <w:rsid w:val="001F21E7"/>
    <w:rsid w:val="001F3965"/>
    <w:rsid w:val="002015AB"/>
    <w:rsid w:val="00201EDA"/>
    <w:rsid w:val="002031B4"/>
    <w:rsid w:val="00203A0D"/>
    <w:rsid w:val="00204DEC"/>
    <w:rsid w:val="002050C2"/>
    <w:rsid w:val="00205BBA"/>
    <w:rsid w:val="00205E7B"/>
    <w:rsid w:val="002060B1"/>
    <w:rsid w:val="00210424"/>
    <w:rsid w:val="00211545"/>
    <w:rsid w:val="002128BC"/>
    <w:rsid w:val="00212E9F"/>
    <w:rsid w:val="0021420B"/>
    <w:rsid w:val="00214500"/>
    <w:rsid w:val="00214C8D"/>
    <w:rsid w:val="00223CFC"/>
    <w:rsid w:val="002249D2"/>
    <w:rsid w:val="00225EC9"/>
    <w:rsid w:val="002271BB"/>
    <w:rsid w:val="002276B5"/>
    <w:rsid w:val="00231415"/>
    <w:rsid w:val="002330AC"/>
    <w:rsid w:val="002358A2"/>
    <w:rsid w:val="00235F70"/>
    <w:rsid w:val="0023698B"/>
    <w:rsid w:val="002369A3"/>
    <w:rsid w:val="002406D8"/>
    <w:rsid w:val="00240EF1"/>
    <w:rsid w:val="00242199"/>
    <w:rsid w:val="0024355C"/>
    <w:rsid w:val="002448D4"/>
    <w:rsid w:val="00244DE0"/>
    <w:rsid w:val="00246C83"/>
    <w:rsid w:val="00246DE4"/>
    <w:rsid w:val="00247259"/>
    <w:rsid w:val="00251DDB"/>
    <w:rsid w:val="00253AB8"/>
    <w:rsid w:val="00254DEE"/>
    <w:rsid w:val="0025510D"/>
    <w:rsid w:val="002556B6"/>
    <w:rsid w:val="00255FDA"/>
    <w:rsid w:val="00256F71"/>
    <w:rsid w:val="00257A2D"/>
    <w:rsid w:val="00260B04"/>
    <w:rsid w:val="00262A5F"/>
    <w:rsid w:val="00263910"/>
    <w:rsid w:val="00263C42"/>
    <w:rsid w:val="0026491E"/>
    <w:rsid w:val="0027055E"/>
    <w:rsid w:val="00270B21"/>
    <w:rsid w:val="002760DB"/>
    <w:rsid w:val="0027646B"/>
    <w:rsid w:val="002768B3"/>
    <w:rsid w:val="002808C4"/>
    <w:rsid w:val="00280D28"/>
    <w:rsid w:val="002824D3"/>
    <w:rsid w:val="00283E39"/>
    <w:rsid w:val="00286A98"/>
    <w:rsid w:val="0029127A"/>
    <w:rsid w:val="0029171E"/>
    <w:rsid w:val="00291937"/>
    <w:rsid w:val="002933FE"/>
    <w:rsid w:val="0029600D"/>
    <w:rsid w:val="00296721"/>
    <w:rsid w:val="00296F3A"/>
    <w:rsid w:val="00297C46"/>
    <w:rsid w:val="002A177E"/>
    <w:rsid w:val="002A1CEE"/>
    <w:rsid w:val="002A2ADE"/>
    <w:rsid w:val="002A4400"/>
    <w:rsid w:val="002B051B"/>
    <w:rsid w:val="002B065F"/>
    <w:rsid w:val="002B14E6"/>
    <w:rsid w:val="002B2C51"/>
    <w:rsid w:val="002B3358"/>
    <w:rsid w:val="002B53E2"/>
    <w:rsid w:val="002B6B7F"/>
    <w:rsid w:val="002C06F5"/>
    <w:rsid w:val="002C0A72"/>
    <w:rsid w:val="002C11A6"/>
    <w:rsid w:val="002C192C"/>
    <w:rsid w:val="002C3075"/>
    <w:rsid w:val="002C3379"/>
    <w:rsid w:val="002C5398"/>
    <w:rsid w:val="002C5E82"/>
    <w:rsid w:val="002C6020"/>
    <w:rsid w:val="002C73C4"/>
    <w:rsid w:val="002D316D"/>
    <w:rsid w:val="002D3429"/>
    <w:rsid w:val="002D3F19"/>
    <w:rsid w:val="002D40D5"/>
    <w:rsid w:val="002D45AB"/>
    <w:rsid w:val="002D64A3"/>
    <w:rsid w:val="002E16C9"/>
    <w:rsid w:val="002E21BE"/>
    <w:rsid w:val="002E2562"/>
    <w:rsid w:val="002E29E6"/>
    <w:rsid w:val="002E3FBE"/>
    <w:rsid w:val="002E5349"/>
    <w:rsid w:val="002E5703"/>
    <w:rsid w:val="002E5F5C"/>
    <w:rsid w:val="002E7527"/>
    <w:rsid w:val="002E7BDD"/>
    <w:rsid w:val="002E7DE9"/>
    <w:rsid w:val="002F0883"/>
    <w:rsid w:val="002F2B2D"/>
    <w:rsid w:val="002F3D3A"/>
    <w:rsid w:val="002F3DFC"/>
    <w:rsid w:val="002F4E77"/>
    <w:rsid w:val="002F520E"/>
    <w:rsid w:val="002F5936"/>
    <w:rsid w:val="002F601B"/>
    <w:rsid w:val="002F73DF"/>
    <w:rsid w:val="0030008B"/>
    <w:rsid w:val="00301A52"/>
    <w:rsid w:val="00302AA6"/>
    <w:rsid w:val="00304D70"/>
    <w:rsid w:val="003054BA"/>
    <w:rsid w:val="003059F1"/>
    <w:rsid w:val="003111FD"/>
    <w:rsid w:val="00313A65"/>
    <w:rsid w:val="00313C88"/>
    <w:rsid w:val="00314458"/>
    <w:rsid w:val="00317601"/>
    <w:rsid w:val="00320808"/>
    <w:rsid w:val="00321797"/>
    <w:rsid w:val="003218A2"/>
    <w:rsid w:val="003224A0"/>
    <w:rsid w:val="00323365"/>
    <w:rsid w:val="003315B4"/>
    <w:rsid w:val="003326C6"/>
    <w:rsid w:val="003329B0"/>
    <w:rsid w:val="003334E1"/>
    <w:rsid w:val="00334335"/>
    <w:rsid w:val="00334979"/>
    <w:rsid w:val="003406DF"/>
    <w:rsid w:val="003406F2"/>
    <w:rsid w:val="00342E7C"/>
    <w:rsid w:val="00342EF9"/>
    <w:rsid w:val="003431D3"/>
    <w:rsid w:val="00347456"/>
    <w:rsid w:val="00352E87"/>
    <w:rsid w:val="00352F26"/>
    <w:rsid w:val="00355246"/>
    <w:rsid w:val="00355AC0"/>
    <w:rsid w:val="00360D1C"/>
    <w:rsid w:val="003641BA"/>
    <w:rsid w:val="003649C0"/>
    <w:rsid w:val="00365C6D"/>
    <w:rsid w:val="00365F6F"/>
    <w:rsid w:val="0037014F"/>
    <w:rsid w:val="00371BAE"/>
    <w:rsid w:val="00371C42"/>
    <w:rsid w:val="00376120"/>
    <w:rsid w:val="00376325"/>
    <w:rsid w:val="003809EA"/>
    <w:rsid w:val="00380FFE"/>
    <w:rsid w:val="003814C9"/>
    <w:rsid w:val="00381AF1"/>
    <w:rsid w:val="003820BB"/>
    <w:rsid w:val="003833C5"/>
    <w:rsid w:val="0038773E"/>
    <w:rsid w:val="003879F7"/>
    <w:rsid w:val="00390529"/>
    <w:rsid w:val="00391464"/>
    <w:rsid w:val="00391F86"/>
    <w:rsid w:val="003932A6"/>
    <w:rsid w:val="003939F3"/>
    <w:rsid w:val="00395008"/>
    <w:rsid w:val="00396423"/>
    <w:rsid w:val="003A1A88"/>
    <w:rsid w:val="003A1F08"/>
    <w:rsid w:val="003A406E"/>
    <w:rsid w:val="003A40A8"/>
    <w:rsid w:val="003A46A1"/>
    <w:rsid w:val="003A55E8"/>
    <w:rsid w:val="003A7130"/>
    <w:rsid w:val="003B0501"/>
    <w:rsid w:val="003B160C"/>
    <w:rsid w:val="003B4BD3"/>
    <w:rsid w:val="003B569E"/>
    <w:rsid w:val="003B6683"/>
    <w:rsid w:val="003C25A4"/>
    <w:rsid w:val="003C3258"/>
    <w:rsid w:val="003C3490"/>
    <w:rsid w:val="003C36A2"/>
    <w:rsid w:val="003C4864"/>
    <w:rsid w:val="003C6228"/>
    <w:rsid w:val="003C720F"/>
    <w:rsid w:val="003D0D1B"/>
    <w:rsid w:val="003D27B3"/>
    <w:rsid w:val="003D296C"/>
    <w:rsid w:val="003D3DC9"/>
    <w:rsid w:val="003D5DB9"/>
    <w:rsid w:val="003E04AD"/>
    <w:rsid w:val="003E087E"/>
    <w:rsid w:val="003E0E7B"/>
    <w:rsid w:val="003E3374"/>
    <w:rsid w:val="003E6B90"/>
    <w:rsid w:val="003E74CD"/>
    <w:rsid w:val="003E7830"/>
    <w:rsid w:val="003F1E71"/>
    <w:rsid w:val="003F2643"/>
    <w:rsid w:val="003F2F41"/>
    <w:rsid w:val="003F3A94"/>
    <w:rsid w:val="003F3D88"/>
    <w:rsid w:val="003F4B0C"/>
    <w:rsid w:val="003F54E3"/>
    <w:rsid w:val="003F5854"/>
    <w:rsid w:val="003F7879"/>
    <w:rsid w:val="003F7F24"/>
    <w:rsid w:val="00400C26"/>
    <w:rsid w:val="004051B2"/>
    <w:rsid w:val="00406016"/>
    <w:rsid w:val="004066A9"/>
    <w:rsid w:val="00410464"/>
    <w:rsid w:val="00411121"/>
    <w:rsid w:val="00412A23"/>
    <w:rsid w:val="00413C4A"/>
    <w:rsid w:val="0041649C"/>
    <w:rsid w:val="00416E7C"/>
    <w:rsid w:val="00417203"/>
    <w:rsid w:val="004217CD"/>
    <w:rsid w:val="00423CCA"/>
    <w:rsid w:val="00423DEE"/>
    <w:rsid w:val="00424EDD"/>
    <w:rsid w:val="00426B95"/>
    <w:rsid w:val="00426CC1"/>
    <w:rsid w:val="0043006C"/>
    <w:rsid w:val="004341FE"/>
    <w:rsid w:val="00434BB4"/>
    <w:rsid w:val="00434F9E"/>
    <w:rsid w:val="004350AC"/>
    <w:rsid w:val="00435DC7"/>
    <w:rsid w:val="00436C09"/>
    <w:rsid w:val="004370F4"/>
    <w:rsid w:val="004411EF"/>
    <w:rsid w:val="00442A45"/>
    <w:rsid w:val="004433F9"/>
    <w:rsid w:val="00444C0D"/>
    <w:rsid w:val="00447847"/>
    <w:rsid w:val="00447D57"/>
    <w:rsid w:val="00447E63"/>
    <w:rsid w:val="0045129A"/>
    <w:rsid w:val="004513CC"/>
    <w:rsid w:val="0045269E"/>
    <w:rsid w:val="00454E60"/>
    <w:rsid w:val="004550DF"/>
    <w:rsid w:val="004552AF"/>
    <w:rsid w:val="00457271"/>
    <w:rsid w:val="00457AC1"/>
    <w:rsid w:val="00460338"/>
    <w:rsid w:val="00460A29"/>
    <w:rsid w:val="00460BD5"/>
    <w:rsid w:val="00460C65"/>
    <w:rsid w:val="00461392"/>
    <w:rsid w:val="004644F0"/>
    <w:rsid w:val="00465B79"/>
    <w:rsid w:val="0046679B"/>
    <w:rsid w:val="0046756B"/>
    <w:rsid w:val="00472D0F"/>
    <w:rsid w:val="0047303F"/>
    <w:rsid w:val="00480091"/>
    <w:rsid w:val="00483192"/>
    <w:rsid w:val="00487016"/>
    <w:rsid w:val="00492391"/>
    <w:rsid w:val="0049314A"/>
    <w:rsid w:val="004933CB"/>
    <w:rsid w:val="004942A1"/>
    <w:rsid w:val="00494DE6"/>
    <w:rsid w:val="004960F5"/>
    <w:rsid w:val="0049671F"/>
    <w:rsid w:val="00496B51"/>
    <w:rsid w:val="004973AA"/>
    <w:rsid w:val="004A3E3B"/>
    <w:rsid w:val="004A409B"/>
    <w:rsid w:val="004A74C0"/>
    <w:rsid w:val="004B07A5"/>
    <w:rsid w:val="004B0E0A"/>
    <w:rsid w:val="004B12F6"/>
    <w:rsid w:val="004B3400"/>
    <w:rsid w:val="004B517F"/>
    <w:rsid w:val="004B75C7"/>
    <w:rsid w:val="004C131E"/>
    <w:rsid w:val="004C167F"/>
    <w:rsid w:val="004C1969"/>
    <w:rsid w:val="004C2FAB"/>
    <w:rsid w:val="004C50AE"/>
    <w:rsid w:val="004C7C97"/>
    <w:rsid w:val="004C7D88"/>
    <w:rsid w:val="004D3FFB"/>
    <w:rsid w:val="004D6257"/>
    <w:rsid w:val="004D7CBB"/>
    <w:rsid w:val="004E3030"/>
    <w:rsid w:val="004E3C60"/>
    <w:rsid w:val="004E4C85"/>
    <w:rsid w:val="004F04B0"/>
    <w:rsid w:val="004F0747"/>
    <w:rsid w:val="004F0DAE"/>
    <w:rsid w:val="004F4EE7"/>
    <w:rsid w:val="00500704"/>
    <w:rsid w:val="00501F6B"/>
    <w:rsid w:val="005033BB"/>
    <w:rsid w:val="00503F0E"/>
    <w:rsid w:val="0050627F"/>
    <w:rsid w:val="00506486"/>
    <w:rsid w:val="00506FDE"/>
    <w:rsid w:val="005070D3"/>
    <w:rsid w:val="00510F97"/>
    <w:rsid w:val="00511FEE"/>
    <w:rsid w:val="00512031"/>
    <w:rsid w:val="0051251F"/>
    <w:rsid w:val="005169B5"/>
    <w:rsid w:val="005170A7"/>
    <w:rsid w:val="005204DB"/>
    <w:rsid w:val="005227DF"/>
    <w:rsid w:val="00523550"/>
    <w:rsid w:val="0052609A"/>
    <w:rsid w:val="00527CEF"/>
    <w:rsid w:val="0053073E"/>
    <w:rsid w:val="00530C7F"/>
    <w:rsid w:val="00532CF2"/>
    <w:rsid w:val="005339AA"/>
    <w:rsid w:val="00533CE1"/>
    <w:rsid w:val="00534626"/>
    <w:rsid w:val="00535677"/>
    <w:rsid w:val="00535BC0"/>
    <w:rsid w:val="00536EEC"/>
    <w:rsid w:val="0054071B"/>
    <w:rsid w:val="0054085D"/>
    <w:rsid w:val="00541B33"/>
    <w:rsid w:val="005441DE"/>
    <w:rsid w:val="00545084"/>
    <w:rsid w:val="0054524D"/>
    <w:rsid w:val="00545FC4"/>
    <w:rsid w:val="0055047B"/>
    <w:rsid w:val="0055119C"/>
    <w:rsid w:val="00552598"/>
    <w:rsid w:val="00552AC6"/>
    <w:rsid w:val="00553367"/>
    <w:rsid w:val="00554B55"/>
    <w:rsid w:val="0055529A"/>
    <w:rsid w:val="00555B0A"/>
    <w:rsid w:val="00555DFE"/>
    <w:rsid w:val="00556AF6"/>
    <w:rsid w:val="00556D7B"/>
    <w:rsid w:val="005615F4"/>
    <w:rsid w:val="005628D2"/>
    <w:rsid w:val="00562EFB"/>
    <w:rsid w:val="0056355C"/>
    <w:rsid w:val="0056397E"/>
    <w:rsid w:val="00565477"/>
    <w:rsid w:val="00566831"/>
    <w:rsid w:val="00566840"/>
    <w:rsid w:val="00566D68"/>
    <w:rsid w:val="00567593"/>
    <w:rsid w:val="0057074A"/>
    <w:rsid w:val="0057380E"/>
    <w:rsid w:val="005738F2"/>
    <w:rsid w:val="00576699"/>
    <w:rsid w:val="00576ED5"/>
    <w:rsid w:val="005847D7"/>
    <w:rsid w:val="00587CBD"/>
    <w:rsid w:val="005904CD"/>
    <w:rsid w:val="005948A9"/>
    <w:rsid w:val="00596A85"/>
    <w:rsid w:val="00596BD9"/>
    <w:rsid w:val="005A13AE"/>
    <w:rsid w:val="005A287F"/>
    <w:rsid w:val="005A5978"/>
    <w:rsid w:val="005A65D8"/>
    <w:rsid w:val="005A76A5"/>
    <w:rsid w:val="005A7915"/>
    <w:rsid w:val="005B02B5"/>
    <w:rsid w:val="005B0DAA"/>
    <w:rsid w:val="005B1C08"/>
    <w:rsid w:val="005B470D"/>
    <w:rsid w:val="005B47D8"/>
    <w:rsid w:val="005B52C6"/>
    <w:rsid w:val="005B5800"/>
    <w:rsid w:val="005B7153"/>
    <w:rsid w:val="005B7846"/>
    <w:rsid w:val="005C0903"/>
    <w:rsid w:val="005C1F8A"/>
    <w:rsid w:val="005C4175"/>
    <w:rsid w:val="005C485F"/>
    <w:rsid w:val="005C57BA"/>
    <w:rsid w:val="005C6B16"/>
    <w:rsid w:val="005C7CED"/>
    <w:rsid w:val="005D3F73"/>
    <w:rsid w:val="005D4498"/>
    <w:rsid w:val="005D5C46"/>
    <w:rsid w:val="005E1970"/>
    <w:rsid w:val="005E2151"/>
    <w:rsid w:val="005E3945"/>
    <w:rsid w:val="005E4D1B"/>
    <w:rsid w:val="005E4F31"/>
    <w:rsid w:val="005E7225"/>
    <w:rsid w:val="005F100C"/>
    <w:rsid w:val="005F20A3"/>
    <w:rsid w:val="005F2ED9"/>
    <w:rsid w:val="005F3390"/>
    <w:rsid w:val="005F39A2"/>
    <w:rsid w:val="005F4BE9"/>
    <w:rsid w:val="005F5653"/>
    <w:rsid w:val="005F6633"/>
    <w:rsid w:val="005F66EC"/>
    <w:rsid w:val="005F6C0C"/>
    <w:rsid w:val="005F6EA2"/>
    <w:rsid w:val="005F7C1D"/>
    <w:rsid w:val="006006C1"/>
    <w:rsid w:val="00600F4D"/>
    <w:rsid w:val="0060187F"/>
    <w:rsid w:val="006045AC"/>
    <w:rsid w:val="00607871"/>
    <w:rsid w:val="00610503"/>
    <w:rsid w:val="00613A6C"/>
    <w:rsid w:val="00613D96"/>
    <w:rsid w:val="006143B4"/>
    <w:rsid w:val="00614BAC"/>
    <w:rsid w:val="006172D8"/>
    <w:rsid w:val="006204FB"/>
    <w:rsid w:val="006212A7"/>
    <w:rsid w:val="006218F2"/>
    <w:rsid w:val="006229E8"/>
    <w:rsid w:val="00622E7F"/>
    <w:rsid w:val="006232E8"/>
    <w:rsid w:val="00623A58"/>
    <w:rsid w:val="006250AA"/>
    <w:rsid w:val="00625176"/>
    <w:rsid w:val="006253B7"/>
    <w:rsid w:val="0062632A"/>
    <w:rsid w:val="0062704A"/>
    <w:rsid w:val="00627BBE"/>
    <w:rsid w:val="00630543"/>
    <w:rsid w:val="00630993"/>
    <w:rsid w:val="00631F8C"/>
    <w:rsid w:val="00632117"/>
    <w:rsid w:val="0063237E"/>
    <w:rsid w:val="0063255C"/>
    <w:rsid w:val="0063277C"/>
    <w:rsid w:val="0063311E"/>
    <w:rsid w:val="00634AA1"/>
    <w:rsid w:val="00636316"/>
    <w:rsid w:val="00636CC2"/>
    <w:rsid w:val="00637CC6"/>
    <w:rsid w:val="0064008E"/>
    <w:rsid w:val="006457CC"/>
    <w:rsid w:val="00646A6B"/>
    <w:rsid w:val="0064796E"/>
    <w:rsid w:val="00652344"/>
    <w:rsid w:val="00655EE3"/>
    <w:rsid w:val="00660B9D"/>
    <w:rsid w:val="0066466C"/>
    <w:rsid w:val="00665D17"/>
    <w:rsid w:val="00672387"/>
    <w:rsid w:val="00676B7F"/>
    <w:rsid w:val="00681155"/>
    <w:rsid w:val="00681B96"/>
    <w:rsid w:val="0068535F"/>
    <w:rsid w:val="006860CB"/>
    <w:rsid w:val="00686695"/>
    <w:rsid w:val="00687F6D"/>
    <w:rsid w:val="00690282"/>
    <w:rsid w:val="00690ED1"/>
    <w:rsid w:val="00691FF0"/>
    <w:rsid w:val="00695ABC"/>
    <w:rsid w:val="00695EDB"/>
    <w:rsid w:val="006A1B40"/>
    <w:rsid w:val="006A2FD8"/>
    <w:rsid w:val="006A30A5"/>
    <w:rsid w:val="006A4B36"/>
    <w:rsid w:val="006A66CD"/>
    <w:rsid w:val="006A6816"/>
    <w:rsid w:val="006A7393"/>
    <w:rsid w:val="006B24D5"/>
    <w:rsid w:val="006B53A0"/>
    <w:rsid w:val="006B5AD1"/>
    <w:rsid w:val="006B6C55"/>
    <w:rsid w:val="006B6E91"/>
    <w:rsid w:val="006C1706"/>
    <w:rsid w:val="006C1A5F"/>
    <w:rsid w:val="006C2DFA"/>
    <w:rsid w:val="006C3747"/>
    <w:rsid w:val="006C41A6"/>
    <w:rsid w:val="006D01B0"/>
    <w:rsid w:val="006D1064"/>
    <w:rsid w:val="006D21D2"/>
    <w:rsid w:val="006D2A32"/>
    <w:rsid w:val="006D6023"/>
    <w:rsid w:val="006D639D"/>
    <w:rsid w:val="006D65ED"/>
    <w:rsid w:val="006D6C8F"/>
    <w:rsid w:val="006D7CAF"/>
    <w:rsid w:val="006E0496"/>
    <w:rsid w:val="006E2D1F"/>
    <w:rsid w:val="006E3B96"/>
    <w:rsid w:val="006E41E1"/>
    <w:rsid w:val="006E4318"/>
    <w:rsid w:val="006E6C03"/>
    <w:rsid w:val="006E783B"/>
    <w:rsid w:val="006F1AD3"/>
    <w:rsid w:val="006F28B4"/>
    <w:rsid w:val="006F3E0E"/>
    <w:rsid w:val="006F42A1"/>
    <w:rsid w:val="006F5558"/>
    <w:rsid w:val="006F5959"/>
    <w:rsid w:val="006F7448"/>
    <w:rsid w:val="007001F8"/>
    <w:rsid w:val="00700885"/>
    <w:rsid w:val="00701BCC"/>
    <w:rsid w:val="0070257D"/>
    <w:rsid w:val="00702BAF"/>
    <w:rsid w:val="007041AC"/>
    <w:rsid w:val="007050C9"/>
    <w:rsid w:val="00705BAC"/>
    <w:rsid w:val="00706913"/>
    <w:rsid w:val="00707DBA"/>
    <w:rsid w:val="0071025D"/>
    <w:rsid w:val="00714153"/>
    <w:rsid w:val="00714E09"/>
    <w:rsid w:val="007163F7"/>
    <w:rsid w:val="00716753"/>
    <w:rsid w:val="00720B3B"/>
    <w:rsid w:val="0072368F"/>
    <w:rsid w:val="007246EC"/>
    <w:rsid w:val="00724EC5"/>
    <w:rsid w:val="0073028D"/>
    <w:rsid w:val="00732087"/>
    <w:rsid w:val="00735910"/>
    <w:rsid w:val="0073661B"/>
    <w:rsid w:val="0073794E"/>
    <w:rsid w:val="00740324"/>
    <w:rsid w:val="00741DFF"/>
    <w:rsid w:val="007444A8"/>
    <w:rsid w:val="00745711"/>
    <w:rsid w:val="00747434"/>
    <w:rsid w:val="007509D5"/>
    <w:rsid w:val="00750C1E"/>
    <w:rsid w:val="00752350"/>
    <w:rsid w:val="00756F3D"/>
    <w:rsid w:val="00757217"/>
    <w:rsid w:val="0075747D"/>
    <w:rsid w:val="00760224"/>
    <w:rsid w:val="0076076C"/>
    <w:rsid w:val="00760BA3"/>
    <w:rsid w:val="007639E7"/>
    <w:rsid w:val="00765CEC"/>
    <w:rsid w:val="00765D57"/>
    <w:rsid w:val="00767F36"/>
    <w:rsid w:val="0077017C"/>
    <w:rsid w:val="00772816"/>
    <w:rsid w:val="00772C2B"/>
    <w:rsid w:val="00774EEA"/>
    <w:rsid w:val="0077685D"/>
    <w:rsid w:val="00780632"/>
    <w:rsid w:val="00781EC4"/>
    <w:rsid w:val="00782573"/>
    <w:rsid w:val="0078304B"/>
    <w:rsid w:val="007832ED"/>
    <w:rsid w:val="007869C6"/>
    <w:rsid w:val="00787D02"/>
    <w:rsid w:val="00794E3D"/>
    <w:rsid w:val="0079682F"/>
    <w:rsid w:val="00796BCB"/>
    <w:rsid w:val="00797C3F"/>
    <w:rsid w:val="007A165F"/>
    <w:rsid w:val="007A21DC"/>
    <w:rsid w:val="007A2ACB"/>
    <w:rsid w:val="007A2B61"/>
    <w:rsid w:val="007B0515"/>
    <w:rsid w:val="007B0C23"/>
    <w:rsid w:val="007B1297"/>
    <w:rsid w:val="007B1B86"/>
    <w:rsid w:val="007B214F"/>
    <w:rsid w:val="007B55B2"/>
    <w:rsid w:val="007C0835"/>
    <w:rsid w:val="007C3D13"/>
    <w:rsid w:val="007C414F"/>
    <w:rsid w:val="007C48F0"/>
    <w:rsid w:val="007C5158"/>
    <w:rsid w:val="007C5466"/>
    <w:rsid w:val="007C6895"/>
    <w:rsid w:val="007C6B3F"/>
    <w:rsid w:val="007C72C6"/>
    <w:rsid w:val="007D0FB0"/>
    <w:rsid w:val="007D1B9D"/>
    <w:rsid w:val="007D1CD2"/>
    <w:rsid w:val="007D2E6B"/>
    <w:rsid w:val="007D373C"/>
    <w:rsid w:val="007D419E"/>
    <w:rsid w:val="007D41A5"/>
    <w:rsid w:val="007D4B28"/>
    <w:rsid w:val="007D5231"/>
    <w:rsid w:val="007D60EA"/>
    <w:rsid w:val="007D6C86"/>
    <w:rsid w:val="007E038D"/>
    <w:rsid w:val="007E2FCE"/>
    <w:rsid w:val="007E7A69"/>
    <w:rsid w:val="007E7FF5"/>
    <w:rsid w:val="007F195C"/>
    <w:rsid w:val="007F20A9"/>
    <w:rsid w:val="007F2BC5"/>
    <w:rsid w:val="00802B1D"/>
    <w:rsid w:val="00803B2A"/>
    <w:rsid w:val="00806AFA"/>
    <w:rsid w:val="008071DC"/>
    <w:rsid w:val="00812433"/>
    <w:rsid w:val="008125C6"/>
    <w:rsid w:val="00812DFA"/>
    <w:rsid w:val="008135F7"/>
    <w:rsid w:val="00813F4E"/>
    <w:rsid w:val="00815122"/>
    <w:rsid w:val="00815447"/>
    <w:rsid w:val="0081565A"/>
    <w:rsid w:val="00817F57"/>
    <w:rsid w:val="0082097D"/>
    <w:rsid w:val="00824E27"/>
    <w:rsid w:val="00826B89"/>
    <w:rsid w:val="00831AF8"/>
    <w:rsid w:val="00833945"/>
    <w:rsid w:val="0083487E"/>
    <w:rsid w:val="00836FA1"/>
    <w:rsid w:val="00837081"/>
    <w:rsid w:val="00840A01"/>
    <w:rsid w:val="00840B1A"/>
    <w:rsid w:val="00842957"/>
    <w:rsid w:val="00842FD5"/>
    <w:rsid w:val="00843962"/>
    <w:rsid w:val="00843B18"/>
    <w:rsid w:val="008444A0"/>
    <w:rsid w:val="008452D1"/>
    <w:rsid w:val="0084672E"/>
    <w:rsid w:val="00846E76"/>
    <w:rsid w:val="00847C56"/>
    <w:rsid w:val="00852E71"/>
    <w:rsid w:val="00853090"/>
    <w:rsid w:val="00853512"/>
    <w:rsid w:val="00854696"/>
    <w:rsid w:val="008568C2"/>
    <w:rsid w:val="008575A0"/>
    <w:rsid w:val="008579D9"/>
    <w:rsid w:val="008605E2"/>
    <w:rsid w:val="008627B1"/>
    <w:rsid w:val="008633EB"/>
    <w:rsid w:val="008645BC"/>
    <w:rsid w:val="008647D4"/>
    <w:rsid w:val="00864D1D"/>
    <w:rsid w:val="00865A74"/>
    <w:rsid w:val="008662B2"/>
    <w:rsid w:val="00871C1A"/>
    <w:rsid w:val="00872F08"/>
    <w:rsid w:val="008744DF"/>
    <w:rsid w:val="00880799"/>
    <w:rsid w:val="00880ADB"/>
    <w:rsid w:val="00881188"/>
    <w:rsid w:val="00882D3E"/>
    <w:rsid w:val="00883662"/>
    <w:rsid w:val="008847CC"/>
    <w:rsid w:val="00884DFC"/>
    <w:rsid w:val="008852FE"/>
    <w:rsid w:val="00890EC9"/>
    <w:rsid w:val="0089210C"/>
    <w:rsid w:val="00892110"/>
    <w:rsid w:val="0089213F"/>
    <w:rsid w:val="00892189"/>
    <w:rsid w:val="00892B57"/>
    <w:rsid w:val="00892BC6"/>
    <w:rsid w:val="008A1B02"/>
    <w:rsid w:val="008A4186"/>
    <w:rsid w:val="008A468D"/>
    <w:rsid w:val="008A4C78"/>
    <w:rsid w:val="008A549C"/>
    <w:rsid w:val="008A5843"/>
    <w:rsid w:val="008A6460"/>
    <w:rsid w:val="008A6581"/>
    <w:rsid w:val="008A7CB4"/>
    <w:rsid w:val="008A7EDB"/>
    <w:rsid w:val="008B1EE2"/>
    <w:rsid w:val="008B3FC1"/>
    <w:rsid w:val="008B4032"/>
    <w:rsid w:val="008C0793"/>
    <w:rsid w:val="008C1101"/>
    <w:rsid w:val="008C18E7"/>
    <w:rsid w:val="008C2C12"/>
    <w:rsid w:val="008C3DC1"/>
    <w:rsid w:val="008C735D"/>
    <w:rsid w:val="008D08BE"/>
    <w:rsid w:val="008D4166"/>
    <w:rsid w:val="008D4C7A"/>
    <w:rsid w:val="008D54FA"/>
    <w:rsid w:val="008E1096"/>
    <w:rsid w:val="008E2C37"/>
    <w:rsid w:val="008E4673"/>
    <w:rsid w:val="008E52F6"/>
    <w:rsid w:val="008E736E"/>
    <w:rsid w:val="008E7CC7"/>
    <w:rsid w:val="008F0232"/>
    <w:rsid w:val="008F1ACC"/>
    <w:rsid w:val="008F373B"/>
    <w:rsid w:val="008F7F1A"/>
    <w:rsid w:val="00902547"/>
    <w:rsid w:val="00902C22"/>
    <w:rsid w:val="0090339D"/>
    <w:rsid w:val="009073D5"/>
    <w:rsid w:val="009112EC"/>
    <w:rsid w:val="00912CF9"/>
    <w:rsid w:val="00913197"/>
    <w:rsid w:val="00913CE6"/>
    <w:rsid w:val="0091410F"/>
    <w:rsid w:val="009154A0"/>
    <w:rsid w:val="00915D40"/>
    <w:rsid w:val="00916843"/>
    <w:rsid w:val="0092354D"/>
    <w:rsid w:val="00925AC7"/>
    <w:rsid w:val="00927731"/>
    <w:rsid w:val="0093154F"/>
    <w:rsid w:val="00932F15"/>
    <w:rsid w:val="00933863"/>
    <w:rsid w:val="00933C79"/>
    <w:rsid w:val="00936238"/>
    <w:rsid w:val="009371CD"/>
    <w:rsid w:val="00937E9A"/>
    <w:rsid w:val="00940426"/>
    <w:rsid w:val="00940867"/>
    <w:rsid w:val="00940FF7"/>
    <w:rsid w:val="00941B55"/>
    <w:rsid w:val="00941B7C"/>
    <w:rsid w:val="00941C4A"/>
    <w:rsid w:val="009429E8"/>
    <w:rsid w:val="009453AC"/>
    <w:rsid w:val="00950429"/>
    <w:rsid w:val="00951999"/>
    <w:rsid w:val="0095562B"/>
    <w:rsid w:val="00955F84"/>
    <w:rsid w:val="0095650A"/>
    <w:rsid w:val="009623BB"/>
    <w:rsid w:val="00962B58"/>
    <w:rsid w:val="00963F0F"/>
    <w:rsid w:val="009647F3"/>
    <w:rsid w:val="00964DAB"/>
    <w:rsid w:val="0096534B"/>
    <w:rsid w:val="00967C58"/>
    <w:rsid w:val="00971405"/>
    <w:rsid w:val="0097280B"/>
    <w:rsid w:val="0097342F"/>
    <w:rsid w:val="00973D9E"/>
    <w:rsid w:val="00975402"/>
    <w:rsid w:val="00975C57"/>
    <w:rsid w:val="009802B9"/>
    <w:rsid w:val="009829F9"/>
    <w:rsid w:val="00983149"/>
    <w:rsid w:val="0098411F"/>
    <w:rsid w:val="0098462A"/>
    <w:rsid w:val="009862D1"/>
    <w:rsid w:val="009868C9"/>
    <w:rsid w:val="00986C3E"/>
    <w:rsid w:val="009914EC"/>
    <w:rsid w:val="0099306B"/>
    <w:rsid w:val="0099680E"/>
    <w:rsid w:val="00997AEA"/>
    <w:rsid w:val="009A06E2"/>
    <w:rsid w:val="009A0AD2"/>
    <w:rsid w:val="009A1F14"/>
    <w:rsid w:val="009A3193"/>
    <w:rsid w:val="009A3BC4"/>
    <w:rsid w:val="009B0557"/>
    <w:rsid w:val="009B1BBE"/>
    <w:rsid w:val="009B33DB"/>
    <w:rsid w:val="009B47B8"/>
    <w:rsid w:val="009B47F0"/>
    <w:rsid w:val="009B5C8F"/>
    <w:rsid w:val="009B6179"/>
    <w:rsid w:val="009C1116"/>
    <w:rsid w:val="009C3E81"/>
    <w:rsid w:val="009C47D4"/>
    <w:rsid w:val="009C57C2"/>
    <w:rsid w:val="009C7E17"/>
    <w:rsid w:val="009D0790"/>
    <w:rsid w:val="009D19C4"/>
    <w:rsid w:val="009D320E"/>
    <w:rsid w:val="009D4080"/>
    <w:rsid w:val="009D5689"/>
    <w:rsid w:val="009D604D"/>
    <w:rsid w:val="009D6770"/>
    <w:rsid w:val="009D7283"/>
    <w:rsid w:val="009E0F97"/>
    <w:rsid w:val="009E1958"/>
    <w:rsid w:val="009E2877"/>
    <w:rsid w:val="009E647D"/>
    <w:rsid w:val="009F0605"/>
    <w:rsid w:val="009F3BDD"/>
    <w:rsid w:val="009F65DA"/>
    <w:rsid w:val="009F7AEC"/>
    <w:rsid w:val="00A03276"/>
    <w:rsid w:val="00A03EB4"/>
    <w:rsid w:val="00A040EE"/>
    <w:rsid w:val="00A06188"/>
    <w:rsid w:val="00A07086"/>
    <w:rsid w:val="00A1360F"/>
    <w:rsid w:val="00A13A9D"/>
    <w:rsid w:val="00A13BF6"/>
    <w:rsid w:val="00A14CD9"/>
    <w:rsid w:val="00A155CD"/>
    <w:rsid w:val="00A1645B"/>
    <w:rsid w:val="00A1658C"/>
    <w:rsid w:val="00A16D17"/>
    <w:rsid w:val="00A20993"/>
    <w:rsid w:val="00A228CE"/>
    <w:rsid w:val="00A232E4"/>
    <w:rsid w:val="00A237F9"/>
    <w:rsid w:val="00A2599E"/>
    <w:rsid w:val="00A27B55"/>
    <w:rsid w:val="00A30DA8"/>
    <w:rsid w:val="00A338AA"/>
    <w:rsid w:val="00A3513E"/>
    <w:rsid w:val="00A356C7"/>
    <w:rsid w:val="00A36D80"/>
    <w:rsid w:val="00A40BA2"/>
    <w:rsid w:val="00A40C00"/>
    <w:rsid w:val="00A41383"/>
    <w:rsid w:val="00A42860"/>
    <w:rsid w:val="00A42DAF"/>
    <w:rsid w:val="00A42F49"/>
    <w:rsid w:val="00A44201"/>
    <w:rsid w:val="00A468BF"/>
    <w:rsid w:val="00A4745C"/>
    <w:rsid w:val="00A537E0"/>
    <w:rsid w:val="00A54F95"/>
    <w:rsid w:val="00A569D4"/>
    <w:rsid w:val="00A57848"/>
    <w:rsid w:val="00A57E67"/>
    <w:rsid w:val="00A61A1D"/>
    <w:rsid w:val="00A62344"/>
    <w:rsid w:val="00A626F0"/>
    <w:rsid w:val="00A63944"/>
    <w:rsid w:val="00A647EF"/>
    <w:rsid w:val="00A6574A"/>
    <w:rsid w:val="00A65C51"/>
    <w:rsid w:val="00A67F6B"/>
    <w:rsid w:val="00A71546"/>
    <w:rsid w:val="00A726CD"/>
    <w:rsid w:val="00A7354C"/>
    <w:rsid w:val="00A756AC"/>
    <w:rsid w:val="00A75F04"/>
    <w:rsid w:val="00A804AE"/>
    <w:rsid w:val="00A82364"/>
    <w:rsid w:val="00A82D9A"/>
    <w:rsid w:val="00A91221"/>
    <w:rsid w:val="00A92A34"/>
    <w:rsid w:val="00A94778"/>
    <w:rsid w:val="00A9490A"/>
    <w:rsid w:val="00A9572D"/>
    <w:rsid w:val="00A97DAF"/>
    <w:rsid w:val="00AA0D05"/>
    <w:rsid w:val="00AA116A"/>
    <w:rsid w:val="00AA4528"/>
    <w:rsid w:val="00AA4801"/>
    <w:rsid w:val="00AA5CAF"/>
    <w:rsid w:val="00AA650F"/>
    <w:rsid w:val="00AA66C7"/>
    <w:rsid w:val="00AA7112"/>
    <w:rsid w:val="00AA7D96"/>
    <w:rsid w:val="00AB1C30"/>
    <w:rsid w:val="00AB3690"/>
    <w:rsid w:val="00AB525B"/>
    <w:rsid w:val="00AB5882"/>
    <w:rsid w:val="00AB5D3B"/>
    <w:rsid w:val="00AB6B6B"/>
    <w:rsid w:val="00AB6C0F"/>
    <w:rsid w:val="00AC1289"/>
    <w:rsid w:val="00AC3189"/>
    <w:rsid w:val="00AC4E1D"/>
    <w:rsid w:val="00AC7F19"/>
    <w:rsid w:val="00AD27DF"/>
    <w:rsid w:val="00AD362A"/>
    <w:rsid w:val="00AD5D49"/>
    <w:rsid w:val="00AD6192"/>
    <w:rsid w:val="00AD6488"/>
    <w:rsid w:val="00AD688D"/>
    <w:rsid w:val="00AD70C5"/>
    <w:rsid w:val="00AD79C3"/>
    <w:rsid w:val="00AD7D7B"/>
    <w:rsid w:val="00AE082E"/>
    <w:rsid w:val="00AE1DAE"/>
    <w:rsid w:val="00AE2729"/>
    <w:rsid w:val="00AE2738"/>
    <w:rsid w:val="00AE535D"/>
    <w:rsid w:val="00AF2383"/>
    <w:rsid w:val="00AF3482"/>
    <w:rsid w:val="00AF37A1"/>
    <w:rsid w:val="00AF389B"/>
    <w:rsid w:val="00AF483A"/>
    <w:rsid w:val="00AF59EF"/>
    <w:rsid w:val="00AF7B3F"/>
    <w:rsid w:val="00B00C92"/>
    <w:rsid w:val="00B01649"/>
    <w:rsid w:val="00B0168E"/>
    <w:rsid w:val="00B018F9"/>
    <w:rsid w:val="00B02098"/>
    <w:rsid w:val="00B0315A"/>
    <w:rsid w:val="00B031D8"/>
    <w:rsid w:val="00B04520"/>
    <w:rsid w:val="00B04D48"/>
    <w:rsid w:val="00B05FBC"/>
    <w:rsid w:val="00B1025E"/>
    <w:rsid w:val="00B10482"/>
    <w:rsid w:val="00B10804"/>
    <w:rsid w:val="00B120F3"/>
    <w:rsid w:val="00B137C9"/>
    <w:rsid w:val="00B13F95"/>
    <w:rsid w:val="00B14D2E"/>
    <w:rsid w:val="00B16684"/>
    <w:rsid w:val="00B16DAB"/>
    <w:rsid w:val="00B175C5"/>
    <w:rsid w:val="00B208D4"/>
    <w:rsid w:val="00B2413B"/>
    <w:rsid w:val="00B2414E"/>
    <w:rsid w:val="00B247BF"/>
    <w:rsid w:val="00B25503"/>
    <w:rsid w:val="00B30454"/>
    <w:rsid w:val="00B312D9"/>
    <w:rsid w:val="00B337FF"/>
    <w:rsid w:val="00B347C8"/>
    <w:rsid w:val="00B350E1"/>
    <w:rsid w:val="00B37FBC"/>
    <w:rsid w:val="00B413A7"/>
    <w:rsid w:val="00B453C6"/>
    <w:rsid w:val="00B45C88"/>
    <w:rsid w:val="00B50681"/>
    <w:rsid w:val="00B52FE8"/>
    <w:rsid w:val="00B53EED"/>
    <w:rsid w:val="00B54D66"/>
    <w:rsid w:val="00B54D73"/>
    <w:rsid w:val="00B55137"/>
    <w:rsid w:val="00B55302"/>
    <w:rsid w:val="00B55ECD"/>
    <w:rsid w:val="00B5687D"/>
    <w:rsid w:val="00B6016A"/>
    <w:rsid w:val="00B620F3"/>
    <w:rsid w:val="00B6435E"/>
    <w:rsid w:val="00B643D9"/>
    <w:rsid w:val="00B719EC"/>
    <w:rsid w:val="00B725B9"/>
    <w:rsid w:val="00B73C58"/>
    <w:rsid w:val="00B755B0"/>
    <w:rsid w:val="00B76284"/>
    <w:rsid w:val="00B76EBF"/>
    <w:rsid w:val="00B77BC7"/>
    <w:rsid w:val="00B804EF"/>
    <w:rsid w:val="00B80AF1"/>
    <w:rsid w:val="00B81BC4"/>
    <w:rsid w:val="00B81DDA"/>
    <w:rsid w:val="00B84D88"/>
    <w:rsid w:val="00B865E1"/>
    <w:rsid w:val="00B9280E"/>
    <w:rsid w:val="00B929AE"/>
    <w:rsid w:val="00B93D28"/>
    <w:rsid w:val="00B9483A"/>
    <w:rsid w:val="00B953C8"/>
    <w:rsid w:val="00BA0A38"/>
    <w:rsid w:val="00BA160F"/>
    <w:rsid w:val="00BA19B9"/>
    <w:rsid w:val="00BA222B"/>
    <w:rsid w:val="00BA4A2B"/>
    <w:rsid w:val="00BA57FA"/>
    <w:rsid w:val="00BA6BF3"/>
    <w:rsid w:val="00BA7D47"/>
    <w:rsid w:val="00BA7F33"/>
    <w:rsid w:val="00BB03B3"/>
    <w:rsid w:val="00BB1917"/>
    <w:rsid w:val="00BB3278"/>
    <w:rsid w:val="00BB33C7"/>
    <w:rsid w:val="00BC3AEE"/>
    <w:rsid w:val="00BC4ADF"/>
    <w:rsid w:val="00BC5A10"/>
    <w:rsid w:val="00BC6527"/>
    <w:rsid w:val="00BC6A8E"/>
    <w:rsid w:val="00BC77BF"/>
    <w:rsid w:val="00BD491D"/>
    <w:rsid w:val="00BD7AB6"/>
    <w:rsid w:val="00BE02AD"/>
    <w:rsid w:val="00BE04D6"/>
    <w:rsid w:val="00BE221F"/>
    <w:rsid w:val="00BE4352"/>
    <w:rsid w:val="00BE59DB"/>
    <w:rsid w:val="00BE758B"/>
    <w:rsid w:val="00BF035F"/>
    <w:rsid w:val="00BF0D5B"/>
    <w:rsid w:val="00BF1C54"/>
    <w:rsid w:val="00BF3573"/>
    <w:rsid w:val="00BF408D"/>
    <w:rsid w:val="00BF4B9A"/>
    <w:rsid w:val="00BF5830"/>
    <w:rsid w:val="00BF5F18"/>
    <w:rsid w:val="00BF6D99"/>
    <w:rsid w:val="00BF6DB5"/>
    <w:rsid w:val="00BF70D7"/>
    <w:rsid w:val="00C00F9A"/>
    <w:rsid w:val="00C00FE0"/>
    <w:rsid w:val="00C011E9"/>
    <w:rsid w:val="00C029F7"/>
    <w:rsid w:val="00C0321D"/>
    <w:rsid w:val="00C038F1"/>
    <w:rsid w:val="00C07F31"/>
    <w:rsid w:val="00C07F94"/>
    <w:rsid w:val="00C13422"/>
    <w:rsid w:val="00C13EDB"/>
    <w:rsid w:val="00C14AE1"/>
    <w:rsid w:val="00C15CC7"/>
    <w:rsid w:val="00C2046D"/>
    <w:rsid w:val="00C21A26"/>
    <w:rsid w:val="00C24538"/>
    <w:rsid w:val="00C26351"/>
    <w:rsid w:val="00C265EA"/>
    <w:rsid w:val="00C34851"/>
    <w:rsid w:val="00C35FAF"/>
    <w:rsid w:val="00C37A6F"/>
    <w:rsid w:val="00C40BFE"/>
    <w:rsid w:val="00C43647"/>
    <w:rsid w:val="00C43A97"/>
    <w:rsid w:val="00C44FD0"/>
    <w:rsid w:val="00C453AA"/>
    <w:rsid w:val="00C4614B"/>
    <w:rsid w:val="00C46D0D"/>
    <w:rsid w:val="00C47180"/>
    <w:rsid w:val="00C47986"/>
    <w:rsid w:val="00C50978"/>
    <w:rsid w:val="00C52650"/>
    <w:rsid w:val="00C53DA6"/>
    <w:rsid w:val="00C53EE5"/>
    <w:rsid w:val="00C53FD6"/>
    <w:rsid w:val="00C55DAC"/>
    <w:rsid w:val="00C55E3A"/>
    <w:rsid w:val="00C564FB"/>
    <w:rsid w:val="00C633A3"/>
    <w:rsid w:val="00C63763"/>
    <w:rsid w:val="00C659D0"/>
    <w:rsid w:val="00C676A0"/>
    <w:rsid w:val="00C67A9A"/>
    <w:rsid w:val="00C72880"/>
    <w:rsid w:val="00C7325A"/>
    <w:rsid w:val="00C73790"/>
    <w:rsid w:val="00C77544"/>
    <w:rsid w:val="00C77C51"/>
    <w:rsid w:val="00C81410"/>
    <w:rsid w:val="00C82BFE"/>
    <w:rsid w:val="00C83BA1"/>
    <w:rsid w:val="00C83FC6"/>
    <w:rsid w:val="00C840BB"/>
    <w:rsid w:val="00C843B7"/>
    <w:rsid w:val="00C85776"/>
    <w:rsid w:val="00C85EDE"/>
    <w:rsid w:val="00C86465"/>
    <w:rsid w:val="00C871FA"/>
    <w:rsid w:val="00C8767F"/>
    <w:rsid w:val="00C87D5C"/>
    <w:rsid w:val="00C909ED"/>
    <w:rsid w:val="00C911C1"/>
    <w:rsid w:val="00C91287"/>
    <w:rsid w:val="00C916C0"/>
    <w:rsid w:val="00C91D2B"/>
    <w:rsid w:val="00C93A68"/>
    <w:rsid w:val="00C943E3"/>
    <w:rsid w:val="00C94A31"/>
    <w:rsid w:val="00C95475"/>
    <w:rsid w:val="00C960B2"/>
    <w:rsid w:val="00C97181"/>
    <w:rsid w:val="00C9722E"/>
    <w:rsid w:val="00C97ECE"/>
    <w:rsid w:val="00C97ED3"/>
    <w:rsid w:val="00CA1862"/>
    <w:rsid w:val="00CA1BBF"/>
    <w:rsid w:val="00CA3098"/>
    <w:rsid w:val="00CA490F"/>
    <w:rsid w:val="00CA5C00"/>
    <w:rsid w:val="00CA5E14"/>
    <w:rsid w:val="00CA7292"/>
    <w:rsid w:val="00CA7B2E"/>
    <w:rsid w:val="00CB0B51"/>
    <w:rsid w:val="00CB1E5D"/>
    <w:rsid w:val="00CB2127"/>
    <w:rsid w:val="00CB224A"/>
    <w:rsid w:val="00CB38BE"/>
    <w:rsid w:val="00CB42EE"/>
    <w:rsid w:val="00CB6AA7"/>
    <w:rsid w:val="00CB7135"/>
    <w:rsid w:val="00CB7EE4"/>
    <w:rsid w:val="00CC086B"/>
    <w:rsid w:val="00CC0BEA"/>
    <w:rsid w:val="00CC1A8A"/>
    <w:rsid w:val="00CC67EF"/>
    <w:rsid w:val="00CC704C"/>
    <w:rsid w:val="00CC755F"/>
    <w:rsid w:val="00CD1BCC"/>
    <w:rsid w:val="00CE072F"/>
    <w:rsid w:val="00CE1076"/>
    <w:rsid w:val="00CE1CA0"/>
    <w:rsid w:val="00CE3966"/>
    <w:rsid w:val="00CE4978"/>
    <w:rsid w:val="00CE4D9B"/>
    <w:rsid w:val="00CE5110"/>
    <w:rsid w:val="00CE52FA"/>
    <w:rsid w:val="00CF0660"/>
    <w:rsid w:val="00CF0A5A"/>
    <w:rsid w:val="00CF2505"/>
    <w:rsid w:val="00CF3C9C"/>
    <w:rsid w:val="00CF4636"/>
    <w:rsid w:val="00CF6213"/>
    <w:rsid w:val="00CF6DA5"/>
    <w:rsid w:val="00D02696"/>
    <w:rsid w:val="00D02D10"/>
    <w:rsid w:val="00D038BD"/>
    <w:rsid w:val="00D03C24"/>
    <w:rsid w:val="00D06F15"/>
    <w:rsid w:val="00D10990"/>
    <w:rsid w:val="00D1130D"/>
    <w:rsid w:val="00D11517"/>
    <w:rsid w:val="00D1268E"/>
    <w:rsid w:val="00D12E42"/>
    <w:rsid w:val="00D136FF"/>
    <w:rsid w:val="00D157D8"/>
    <w:rsid w:val="00D17307"/>
    <w:rsid w:val="00D2317B"/>
    <w:rsid w:val="00D26C24"/>
    <w:rsid w:val="00D279DF"/>
    <w:rsid w:val="00D30458"/>
    <w:rsid w:val="00D3069C"/>
    <w:rsid w:val="00D30F41"/>
    <w:rsid w:val="00D34368"/>
    <w:rsid w:val="00D346BF"/>
    <w:rsid w:val="00D349A8"/>
    <w:rsid w:val="00D4005D"/>
    <w:rsid w:val="00D41C29"/>
    <w:rsid w:val="00D46334"/>
    <w:rsid w:val="00D475CA"/>
    <w:rsid w:val="00D507F0"/>
    <w:rsid w:val="00D51193"/>
    <w:rsid w:val="00D52034"/>
    <w:rsid w:val="00D52902"/>
    <w:rsid w:val="00D52CF2"/>
    <w:rsid w:val="00D55156"/>
    <w:rsid w:val="00D556DC"/>
    <w:rsid w:val="00D5686F"/>
    <w:rsid w:val="00D607A4"/>
    <w:rsid w:val="00D61667"/>
    <w:rsid w:val="00D61DCD"/>
    <w:rsid w:val="00D6257B"/>
    <w:rsid w:val="00D63B6F"/>
    <w:rsid w:val="00D65A12"/>
    <w:rsid w:val="00D65EAF"/>
    <w:rsid w:val="00D70037"/>
    <w:rsid w:val="00D70526"/>
    <w:rsid w:val="00D73B03"/>
    <w:rsid w:val="00D74479"/>
    <w:rsid w:val="00D80E5B"/>
    <w:rsid w:val="00D83627"/>
    <w:rsid w:val="00D83735"/>
    <w:rsid w:val="00D84DD7"/>
    <w:rsid w:val="00D859D1"/>
    <w:rsid w:val="00D85F31"/>
    <w:rsid w:val="00D91D42"/>
    <w:rsid w:val="00D955FE"/>
    <w:rsid w:val="00DA0B2E"/>
    <w:rsid w:val="00DA106D"/>
    <w:rsid w:val="00DA3287"/>
    <w:rsid w:val="00DA411E"/>
    <w:rsid w:val="00DA5712"/>
    <w:rsid w:val="00DA72D7"/>
    <w:rsid w:val="00DA7521"/>
    <w:rsid w:val="00DB2A6A"/>
    <w:rsid w:val="00DB31CD"/>
    <w:rsid w:val="00DB37B3"/>
    <w:rsid w:val="00DB5A04"/>
    <w:rsid w:val="00DB73FE"/>
    <w:rsid w:val="00DB7C58"/>
    <w:rsid w:val="00DC0EE8"/>
    <w:rsid w:val="00DC1648"/>
    <w:rsid w:val="00DC1840"/>
    <w:rsid w:val="00DC2F1A"/>
    <w:rsid w:val="00DC43AD"/>
    <w:rsid w:val="00DC6201"/>
    <w:rsid w:val="00DC6C2D"/>
    <w:rsid w:val="00DC6EF7"/>
    <w:rsid w:val="00DC7DC8"/>
    <w:rsid w:val="00DD1441"/>
    <w:rsid w:val="00DD1BE2"/>
    <w:rsid w:val="00DD5470"/>
    <w:rsid w:val="00DD6248"/>
    <w:rsid w:val="00DD6875"/>
    <w:rsid w:val="00DD6F0E"/>
    <w:rsid w:val="00DD7D7D"/>
    <w:rsid w:val="00DE2B14"/>
    <w:rsid w:val="00DE30F5"/>
    <w:rsid w:val="00DE3532"/>
    <w:rsid w:val="00DE366D"/>
    <w:rsid w:val="00DE4C4D"/>
    <w:rsid w:val="00DE4E87"/>
    <w:rsid w:val="00DE6403"/>
    <w:rsid w:val="00DF171C"/>
    <w:rsid w:val="00DF4F94"/>
    <w:rsid w:val="00DF6C52"/>
    <w:rsid w:val="00DF7612"/>
    <w:rsid w:val="00DF7A2D"/>
    <w:rsid w:val="00E00833"/>
    <w:rsid w:val="00E01CB1"/>
    <w:rsid w:val="00E0202A"/>
    <w:rsid w:val="00E0302C"/>
    <w:rsid w:val="00E054D3"/>
    <w:rsid w:val="00E06400"/>
    <w:rsid w:val="00E07509"/>
    <w:rsid w:val="00E10420"/>
    <w:rsid w:val="00E104B9"/>
    <w:rsid w:val="00E10E6F"/>
    <w:rsid w:val="00E13170"/>
    <w:rsid w:val="00E13B71"/>
    <w:rsid w:val="00E150F1"/>
    <w:rsid w:val="00E177C9"/>
    <w:rsid w:val="00E2039C"/>
    <w:rsid w:val="00E2142E"/>
    <w:rsid w:val="00E2227E"/>
    <w:rsid w:val="00E22DCB"/>
    <w:rsid w:val="00E23409"/>
    <w:rsid w:val="00E2425F"/>
    <w:rsid w:val="00E249B0"/>
    <w:rsid w:val="00E26B25"/>
    <w:rsid w:val="00E3016F"/>
    <w:rsid w:val="00E3413F"/>
    <w:rsid w:val="00E34D11"/>
    <w:rsid w:val="00E35F6F"/>
    <w:rsid w:val="00E36E7B"/>
    <w:rsid w:val="00E37FBE"/>
    <w:rsid w:val="00E40D4C"/>
    <w:rsid w:val="00E410B1"/>
    <w:rsid w:val="00E431A2"/>
    <w:rsid w:val="00E44260"/>
    <w:rsid w:val="00E449F9"/>
    <w:rsid w:val="00E50F49"/>
    <w:rsid w:val="00E51AA8"/>
    <w:rsid w:val="00E524B4"/>
    <w:rsid w:val="00E52AE3"/>
    <w:rsid w:val="00E53860"/>
    <w:rsid w:val="00E54BA2"/>
    <w:rsid w:val="00E54DB4"/>
    <w:rsid w:val="00E55EEB"/>
    <w:rsid w:val="00E56BCE"/>
    <w:rsid w:val="00E60F94"/>
    <w:rsid w:val="00E60FFA"/>
    <w:rsid w:val="00E61202"/>
    <w:rsid w:val="00E63C2A"/>
    <w:rsid w:val="00E63DB0"/>
    <w:rsid w:val="00E65F73"/>
    <w:rsid w:val="00E6694A"/>
    <w:rsid w:val="00E66B30"/>
    <w:rsid w:val="00E72F01"/>
    <w:rsid w:val="00E751F1"/>
    <w:rsid w:val="00E83859"/>
    <w:rsid w:val="00E8580C"/>
    <w:rsid w:val="00E913FC"/>
    <w:rsid w:val="00E92755"/>
    <w:rsid w:val="00E92AA9"/>
    <w:rsid w:val="00E94016"/>
    <w:rsid w:val="00E96C21"/>
    <w:rsid w:val="00E97758"/>
    <w:rsid w:val="00EA043C"/>
    <w:rsid w:val="00EA07DD"/>
    <w:rsid w:val="00EA0C34"/>
    <w:rsid w:val="00EA19A7"/>
    <w:rsid w:val="00EA490C"/>
    <w:rsid w:val="00EA60C7"/>
    <w:rsid w:val="00EA6171"/>
    <w:rsid w:val="00EA6581"/>
    <w:rsid w:val="00EA666C"/>
    <w:rsid w:val="00EA6E89"/>
    <w:rsid w:val="00EA7FE8"/>
    <w:rsid w:val="00EB169C"/>
    <w:rsid w:val="00EB23C2"/>
    <w:rsid w:val="00EB2505"/>
    <w:rsid w:val="00EB3919"/>
    <w:rsid w:val="00EB70AE"/>
    <w:rsid w:val="00EB7F04"/>
    <w:rsid w:val="00EC2BF1"/>
    <w:rsid w:val="00EC3097"/>
    <w:rsid w:val="00EC31CD"/>
    <w:rsid w:val="00EC7C0D"/>
    <w:rsid w:val="00ED1BC2"/>
    <w:rsid w:val="00ED1DFC"/>
    <w:rsid w:val="00ED26BC"/>
    <w:rsid w:val="00ED2C8F"/>
    <w:rsid w:val="00ED2E78"/>
    <w:rsid w:val="00ED3791"/>
    <w:rsid w:val="00ED3818"/>
    <w:rsid w:val="00ED4F3F"/>
    <w:rsid w:val="00ED5544"/>
    <w:rsid w:val="00ED5DC8"/>
    <w:rsid w:val="00ED79B9"/>
    <w:rsid w:val="00ED7C27"/>
    <w:rsid w:val="00EE0214"/>
    <w:rsid w:val="00EE0EAE"/>
    <w:rsid w:val="00EE1CB2"/>
    <w:rsid w:val="00EE2CBB"/>
    <w:rsid w:val="00EE4488"/>
    <w:rsid w:val="00EE6011"/>
    <w:rsid w:val="00EE6D23"/>
    <w:rsid w:val="00EE6D94"/>
    <w:rsid w:val="00EE6F94"/>
    <w:rsid w:val="00EE7CA4"/>
    <w:rsid w:val="00EF0172"/>
    <w:rsid w:val="00EF25F0"/>
    <w:rsid w:val="00EF3372"/>
    <w:rsid w:val="00EF3E90"/>
    <w:rsid w:val="00EF5C24"/>
    <w:rsid w:val="00EF5D56"/>
    <w:rsid w:val="00EF6454"/>
    <w:rsid w:val="00EF7F6B"/>
    <w:rsid w:val="00F00FB9"/>
    <w:rsid w:val="00F012EA"/>
    <w:rsid w:val="00F026D5"/>
    <w:rsid w:val="00F033F7"/>
    <w:rsid w:val="00F036EF"/>
    <w:rsid w:val="00F0458B"/>
    <w:rsid w:val="00F04FCB"/>
    <w:rsid w:val="00F05516"/>
    <w:rsid w:val="00F0690F"/>
    <w:rsid w:val="00F10822"/>
    <w:rsid w:val="00F109F7"/>
    <w:rsid w:val="00F11E44"/>
    <w:rsid w:val="00F13985"/>
    <w:rsid w:val="00F16585"/>
    <w:rsid w:val="00F173F9"/>
    <w:rsid w:val="00F17F67"/>
    <w:rsid w:val="00F22455"/>
    <w:rsid w:val="00F22A1E"/>
    <w:rsid w:val="00F22C37"/>
    <w:rsid w:val="00F22E4A"/>
    <w:rsid w:val="00F231AC"/>
    <w:rsid w:val="00F26186"/>
    <w:rsid w:val="00F264DD"/>
    <w:rsid w:val="00F27525"/>
    <w:rsid w:val="00F30A35"/>
    <w:rsid w:val="00F327C5"/>
    <w:rsid w:val="00F33714"/>
    <w:rsid w:val="00F33A6A"/>
    <w:rsid w:val="00F33BC2"/>
    <w:rsid w:val="00F33DCE"/>
    <w:rsid w:val="00F34BF3"/>
    <w:rsid w:val="00F35AFA"/>
    <w:rsid w:val="00F36052"/>
    <w:rsid w:val="00F37736"/>
    <w:rsid w:val="00F41B3B"/>
    <w:rsid w:val="00F41E30"/>
    <w:rsid w:val="00F45AE6"/>
    <w:rsid w:val="00F526CB"/>
    <w:rsid w:val="00F52834"/>
    <w:rsid w:val="00F5317B"/>
    <w:rsid w:val="00F5393E"/>
    <w:rsid w:val="00F54577"/>
    <w:rsid w:val="00F57F3F"/>
    <w:rsid w:val="00F60530"/>
    <w:rsid w:val="00F64D8A"/>
    <w:rsid w:val="00F64EC8"/>
    <w:rsid w:val="00F67F58"/>
    <w:rsid w:val="00F703DE"/>
    <w:rsid w:val="00F723DE"/>
    <w:rsid w:val="00F727E9"/>
    <w:rsid w:val="00F73064"/>
    <w:rsid w:val="00F73E73"/>
    <w:rsid w:val="00F73F37"/>
    <w:rsid w:val="00F74714"/>
    <w:rsid w:val="00F7622E"/>
    <w:rsid w:val="00F778E7"/>
    <w:rsid w:val="00F805AB"/>
    <w:rsid w:val="00F81046"/>
    <w:rsid w:val="00F83117"/>
    <w:rsid w:val="00F8524E"/>
    <w:rsid w:val="00F8675B"/>
    <w:rsid w:val="00F86A83"/>
    <w:rsid w:val="00F87048"/>
    <w:rsid w:val="00F87695"/>
    <w:rsid w:val="00F90417"/>
    <w:rsid w:val="00F913A3"/>
    <w:rsid w:val="00F915ED"/>
    <w:rsid w:val="00F93C0A"/>
    <w:rsid w:val="00F94C7D"/>
    <w:rsid w:val="00F94DF8"/>
    <w:rsid w:val="00F95891"/>
    <w:rsid w:val="00F95B9B"/>
    <w:rsid w:val="00F978EE"/>
    <w:rsid w:val="00FA0D2B"/>
    <w:rsid w:val="00FA0FDD"/>
    <w:rsid w:val="00FA11A7"/>
    <w:rsid w:val="00FA14C6"/>
    <w:rsid w:val="00FA1EC2"/>
    <w:rsid w:val="00FA72C6"/>
    <w:rsid w:val="00FA7A82"/>
    <w:rsid w:val="00FA7DF6"/>
    <w:rsid w:val="00FB137B"/>
    <w:rsid w:val="00FB280D"/>
    <w:rsid w:val="00FB3C40"/>
    <w:rsid w:val="00FB3E9D"/>
    <w:rsid w:val="00FB3FED"/>
    <w:rsid w:val="00FB5041"/>
    <w:rsid w:val="00FB59AE"/>
    <w:rsid w:val="00FC079E"/>
    <w:rsid w:val="00FC080F"/>
    <w:rsid w:val="00FC0B70"/>
    <w:rsid w:val="00FC1062"/>
    <w:rsid w:val="00FC3D90"/>
    <w:rsid w:val="00FC4966"/>
    <w:rsid w:val="00FC55D3"/>
    <w:rsid w:val="00FC58A8"/>
    <w:rsid w:val="00FC6BE9"/>
    <w:rsid w:val="00FD5797"/>
    <w:rsid w:val="00FE18AB"/>
    <w:rsid w:val="00FE1932"/>
    <w:rsid w:val="00FE27A2"/>
    <w:rsid w:val="00FE2CAB"/>
    <w:rsid w:val="00FE4325"/>
    <w:rsid w:val="00FF4FD6"/>
    <w:rsid w:val="00FF60BA"/>
    <w:rsid w:val="00FF6106"/>
    <w:rsid w:val="00FF61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BBED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index heading" w:uiPriority="0"/>
    <w:lsdException w:name="caption" w:uiPriority="0" w:qFormat="1"/>
    <w:lsdException w:name="table of figures"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16A"/>
    <w:pPr>
      <w:spacing w:after="220" w:line="270" w:lineRule="exact"/>
    </w:pPr>
    <w:rPr>
      <w:rFonts w:ascii="Calibri" w:hAnsi="Calibri"/>
      <w:color w:val="000000" w:themeColor="text1"/>
    </w:rPr>
  </w:style>
  <w:style w:type="paragraph" w:styleId="Heading1">
    <w:name w:val="heading 1"/>
    <w:basedOn w:val="HeadingBaseStyle"/>
    <w:next w:val="Normal"/>
    <w:link w:val="Heading1Char"/>
    <w:autoRedefine/>
    <w:qFormat/>
    <w:rsid w:val="0098411F"/>
    <w:pPr>
      <w:spacing w:after="480" w:line="240" w:lineRule="auto"/>
      <w:jc w:val="center"/>
      <w:outlineLvl w:val="0"/>
    </w:pPr>
    <w:rPr>
      <w:rFonts w:ascii="Arial Bold" w:hAnsi="Arial Bold"/>
      <w:b/>
      <w:smallCaps/>
      <w:sz w:val="36"/>
    </w:rPr>
  </w:style>
  <w:style w:type="paragraph" w:styleId="Heading2">
    <w:name w:val="heading 2"/>
    <w:basedOn w:val="HeadingBaseStyle"/>
    <w:next w:val="Normal"/>
    <w:link w:val="Heading2Char"/>
    <w:uiPriority w:val="9"/>
    <w:qFormat/>
    <w:rsid w:val="00CE4D9B"/>
    <w:pPr>
      <w:widowControl w:val="0"/>
      <w:tabs>
        <w:tab w:val="left" w:pos="426"/>
      </w:tabs>
      <w:adjustRightInd w:val="0"/>
      <w:spacing w:before="120" w:after="240" w:line="240" w:lineRule="auto"/>
      <w:textAlignment w:val="baseline"/>
      <w:outlineLvl w:val="1"/>
    </w:pPr>
    <w:rPr>
      <w:rFonts w:ascii="Arial Bold" w:hAnsi="Arial Bold"/>
      <w:b/>
      <w:smallCaps/>
      <w:sz w:val="32"/>
    </w:rPr>
  </w:style>
  <w:style w:type="paragraph" w:styleId="Heading3">
    <w:name w:val="heading 3"/>
    <w:basedOn w:val="Normal"/>
    <w:next w:val="Normal"/>
    <w:link w:val="Heading3Char"/>
    <w:autoRedefine/>
    <w:uiPriority w:val="9"/>
    <w:qFormat/>
    <w:rsid w:val="00447E63"/>
    <w:pPr>
      <w:keepNext/>
      <w:widowControl w:val="0"/>
      <w:tabs>
        <w:tab w:val="left" w:pos="0"/>
      </w:tabs>
      <w:adjustRightInd w:val="0"/>
      <w:spacing w:after="160" w:line="240" w:lineRule="auto"/>
      <w:textAlignment w:val="baseline"/>
      <w:outlineLvl w:val="2"/>
    </w:pPr>
    <w:rPr>
      <w:rFonts w:ascii="Arial" w:eastAsia="Times New Roman" w:hAnsi="Arial" w:cs="Times New Roman"/>
      <w:color w:val="002B54" w:themeColor="accent1"/>
      <w:sz w:val="30"/>
      <w:szCs w:val="20"/>
      <w:lang w:val="en-US" w:eastAsia="en-AU"/>
    </w:rPr>
  </w:style>
  <w:style w:type="paragraph" w:styleId="Heading4">
    <w:name w:val="heading 4"/>
    <w:basedOn w:val="HeadingBaseStyle"/>
    <w:next w:val="Normal"/>
    <w:link w:val="Heading4Char"/>
    <w:autoRedefine/>
    <w:uiPriority w:val="9"/>
    <w:qFormat/>
    <w:rsid w:val="0075747D"/>
    <w:pPr>
      <w:tabs>
        <w:tab w:val="left" w:pos="680"/>
      </w:tabs>
      <w:spacing w:after="180" w:line="240" w:lineRule="auto"/>
      <w:outlineLvl w:val="3"/>
    </w:pPr>
    <w:rPr>
      <w:i/>
      <w:sz w:val="28"/>
    </w:rPr>
  </w:style>
  <w:style w:type="paragraph" w:styleId="Heading5">
    <w:name w:val="heading 5"/>
    <w:basedOn w:val="HeadingBaseStyle"/>
    <w:next w:val="Normal"/>
    <w:link w:val="Heading5Char"/>
    <w:autoRedefine/>
    <w:rsid w:val="00F73064"/>
    <w:pPr>
      <w:spacing w:after="240"/>
      <w:outlineLvl w:val="4"/>
    </w:pPr>
    <w:rPr>
      <w:i/>
    </w:rPr>
  </w:style>
  <w:style w:type="paragraph" w:styleId="Heading6">
    <w:name w:val="heading 6"/>
    <w:basedOn w:val="HeadingBaseStyle"/>
    <w:next w:val="Normal"/>
    <w:link w:val="Heading6Char"/>
    <w:rsid w:val="00F73064"/>
    <w:pPr>
      <w:widowControl w:val="0"/>
      <w:spacing w:after="60"/>
      <w:outlineLvl w:val="5"/>
    </w:pPr>
    <w:rPr>
      <w:snapToGrid w:val="0"/>
      <w:sz w:val="19"/>
    </w:rPr>
  </w:style>
  <w:style w:type="paragraph" w:styleId="Heading7">
    <w:name w:val="heading 7"/>
    <w:basedOn w:val="Normal"/>
    <w:next w:val="Normal"/>
    <w:link w:val="Heading7Char"/>
    <w:rsid w:val="00F73064"/>
    <w:pPr>
      <w:spacing w:after="0"/>
      <w:outlineLvl w:val="6"/>
    </w:pPr>
    <w:rPr>
      <w:rFonts w:ascii="Arial" w:hAnsi="Arial"/>
      <w:color w:val="000080"/>
      <w:sz w:val="19"/>
      <w:u w:val="single"/>
    </w:rPr>
  </w:style>
  <w:style w:type="paragraph" w:styleId="Heading8">
    <w:name w:val="heading 8"/>
    <w:basedOn w:val="Normal"/>
    <w:next w:val="Normal"/>
    <w:link w:val="Heading8Char"/>
    <w:rsid w:val="00F73064"/>
    <w:pPr>
      <w:keepNext/>
      <w:spacing w:before="120" w:after="60" w:line="0" w:lineRule="atLeast"/>
      <w:outlineLvl w:val="7"/>
    </w:pPr>
    <w:rPr>
      <w:b/>
      <w:color w:val="000080"/>
    </w:rPr>
  </w:style>
  <w:style w:type="paragraph" w:styleId="Heading9">
    <w:name w:val="heading 9"/>
    <w:basedOn w:val="Normal"/>
    <w:next w:val="Normal"/>
    <w:link w:val="Heading9Char"/>
    <w:uiPriority w:val="9"/>
    <w:qFormat/>
    <w:rsid w:val="00F73064"/>
    <w:pPr>
      <w:spacing w:before="240" w:after="60"/>
      <w:outlineLvl w:val="8"/>
    </w:pPr>
    <w:rPr>
      <w:color w:val="00008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next w:val="Normal"/>
    <w:rsid w:val="000464B6"/>
    <w:pPr>
      <w:keepNext/>
      <w:spacing w:after="0" w:line="240" w:lineRule="auto"/>
    </w:pPr>
    <w:rPr>
      <w:rFonts w:asciiTheme="majorHAnsi" w:eastAsia="Times New Roman" w:hAnsiTheme="majorHAnsi" w:cs="Times New Roman"/>
      <w:color w:val="003057"/>
      <w:sz w:val="20"/>
      <w:szCs w:val="20"/>
      <w:lang w:eastAsia="en-AU"/>
    </w:rPr>
  </w:style>
  <w:style w:type="character" w:customStyle="1" w:styleId="Heading1Char">
    <w:name w:val="Heading 1 Char"/>
    <w:basedOn w:val="DefaultParagraphFont"/>
    <w:link w:val="Heading1"/>
    <w:rsid w:val="0098411F"/>
    <w:rPr>
      <w:rFonts w:ascii="Arial Bold" w:hAnsi="Arial Bold"/>
      <w:b/>
      <w:smallCaps/>
      <w:color w:val="003157"/>
      <w:sz w:val="36"/>
    </w:rPr>
  </w:style>
  <w:style w:type="character" w:customStyle="1" w:styleId="Heading2Char">
    <w:name w:val="Heading 2 Char"/>
    <w:basedOn w:val="DefaultParagraphFont"/>
    <w:link w:val="Heading2"/>
    <w:uiPriority w:val="9"/>
    <w:rsid w:val="00CE4D9B"/>
    <w:rPr>
      <w:rFonts w:ascii="Arial Bold" w:hAnsi="Arial Bold"/>
      <w:b/>
      <w:smallCaps/>
      <w:color w:val="003157"/>
      <w:sz w:val="32"/>
    </w:rPr>
  </w:style>
  <w:style w:type="character" w:customStyle="1" w:styleId="Heading3Char">
    <w:name w:val="Heading 3 Char"/>
    <w:basedOn w:val="DefaultParagraphFont"/>
    <w:link w:val="Heading3"/>
    <w:uiPriority w:val="9"/>
    <w:rsid w:val="00447E63"/>
    <w:rPr>
      <w:rFonts w:ascii="Arial" w:eastAsia="Times New Roman" w:hAnsi="Arial" w:cs="Times New Roman"/>
      <w:color w:val="002B54" w:themeColor="accent1"/>
      <w:sz w:val="30"/>
      <w:szCs w:val="20"/>
      <w:lang w:val="en-US" w:eastAsia="en-AU"/>
    </w:rPr>
  </w:style>
  <w:style w:type="character" w:customStyle="1" w:styleId="Heading4Char">
    <w:name w:val="Heading 4 Char"/>
    <w:basedOn w:val="DefaultParagraphFont"/>
    <w:link w:val="Heading4"/>
    <w:uiPriority w:val="9"/>
    <w:rsid w:val="0075747D"/>
    <w:rPr>
      <w:rFonts w:ascii="Arial" w:hAnsi="Arial"/>
      <w:i/>
      <w:color w:val="003157"/>
      <w:sz w:val="28"/>
    </w:rPr>
  </w:style>
  <w:style w:type="character" w:customStyle="1" w:styleId="Heading5Char">
    <w:name w:val="Heading 5 Char"/>
    <w:basedOn w:val="DefaultParagraphFont"/>
    <w:link w:val="Heading5"/>
    <w:rsid w:val="00F73064"/>
    <w:rPr>
      <w:rFonts w:ascii="Arial" w:hAnsi="Arial"/>
      <w:i/>
      <w:color w:val="003157"/>
    </w:rPr>
  </w:style>
  <w:style w:type="character" w:customStyle="1" w:styleId="Heading6Char">
    <w:name w:val="Heading 6 Char"/>
    <w:basedOn w:val="DefaultParagraphFont"/>
    <w:link w:val="Heading6"/>
    <w:rsid w:val="00A537E0"/>
    <w:rPr>
      <w:rFonts w:ascii="Arial" w:hAnsi="Arial"/>
      <w:snapToGrid w:val="0"/>
      <w:color w:val="003157"/>
      <w:sz w:val="19"/>
    </w:rPr>
  </w:style>
  <w:style w:type="character" w:customStyle="1" w:styleId="Heading7Char">
    <w:name w:val="Heading 7 Char"/>
    <w:basedOn w:val="DefaultParagraphFont"/>
    <w:link w:val="Heading7"/>
    <w:rsid w:val="00BB3278"/>
    <w:rPr>
      <w:rFonts w:ascii="Arial" w:hAnsi="Arial"/>
      <w:color w:val="000080"/>
      <w:sz w:val="19"/>
      <w:u w:val="single"/>
    </w:rPr>
  </w:style>
  <w:style w:type="character" w:customStyle="1" w:styleId="Heading8Char">
    <w:name w:val="Heading 8 Char"/>
    <w:basedOn w:val="DefaultParagraphFont"/>
    <w:link w:val="Heading8"/>
    <w:rsid w:val="00BB3278"/>
    <w:rPr>
      <w:b/>
      <w:color w:val="000080"/>
    </w:rPr>
  </w:style>
  <w:style w:type="character" w:customStyle="1" w:styleId="Heading9Char">
    <w:name w:val="Heading 9 Char"/>
    <w:basedOn w:val="DefaultParagraphFont"/>
    <w:link w:val="Heading9"/>
    <w:uiPriority w:val="9"/>
    <w:rsid w:val="00BB3278"/>
    <w:rPr>
      <w:color w:val="000080"/>
      <w:u w:val="single"/>
    </w:rPr>
  </w:style>
  <w:style w:type="paragraph" w:customStyle="1" w:styleId="ChartGraphic">
    <w:name w:val="Chart Graphic"/>
    <w:basedOn w:val="HeadingBase"/>
    <w:next w:val="Normal"/>
    <w:link w:val="ChartGraphicChar"/>
    <w:rsid w:val="005E1970"/>
    <w:pPr>
      <w:spacing w:after="80"/>
      <w:jc w:val="center"/>
    </w:pPr>
  </w:style>
  <w:style w:type="paragraph" w:customStyle="1" w:styleId="TableGraphic">
    <w:name w:val="Table Graphic"/>
    <w:basedOn w:val="HeadingBase"/>
    <w:next w:val="Normal"/>
    <w:rsid w:val="00B55137"/>
  </w:style>
  <w:style w:type="paragraph" w:customStyle="1" w:styleId="AlphaParagraph">
    <w:name w:val="Alpha Paragraph"/>
    <w:basedOn w:val="Normal"/>
    <w:qFormat/>
    <w:rsid w:val="009D0790"/>
    <w:pPr>
      <w:numPr>
        <w:numId w:val="3"/>
      </w:numPr>
    </w:pPr>
  </w:style>
  <w:style w:type="paragraph" w:customStyle="1" w:styleId="AppendixHeading">
    <w:name w:val="Appendix Heading"/>
    <w:basedOn w:val="Heading1"/>
    <w:next w:val="Normal"/>
    <w:rsid w:val="0073028D"/>
    <w:pPr>
      <w:spacing w:after="600"/>
      <w:jc w:val="right"/>
    </w:pPr>
    <w:rPr>
      <w:rFonts w:ascii="Arial Narrow" w:hAnsi="Arial Narrow"/>
      <w:b w:val="0"/>
    </w:rPr>
  </w:style>
  <w:style w:type="paragraph" w:styleId="BalloonText">
    <w:name w:val="Balloon Text"/>
    <w:basedOn w:val="Normal"/>
    <w:link w:val="BalloonTextChar"/>
    <w:uiPriority w:val="99"/>
    <w:rsid w:val="00F73064"/>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73064"/>
    <w:rPr>
      <w:rFonts w:ascii="Tahoma" w:hAnsi="Tahoma" w:cs="Tahoma"/>
      <w:sz w:val="16"/>
      <w:szCs w:val="16"/>
    </w:rPr>
  </w:style>
  <w:style w:type="character" w:customStyle="1" w:styleId="Bold">
    <w:name w:val="Bold"/>
    <w:basedOn w:val="DefaultParagraphFont"/>
    <w:rsid w:val="00B55137"/>
    <w:rPr>
      <w:b/>
    </w:rPr>
  </w:style>
  <w:style w:type="paragraph" w:customStyle="1" w:styleId="BoxTextBase">
    <w:name w:val="Box Text Base"/>
    <w:basedOn w:val="Normal"/>
    <w:rsid w:val="00B55137"/>
  </w:style>
  <w:style w:type="paragraph" w:customStyle="1" w:styleId="BoxBullet">
    <w:name w:val="Box Bullet"/>
    <w:basedOn w:val="BoxTextBase"/>
    <w:rsid w:val="0073028D"/>
    <w:pPr>
      <w:numPr>
        <w:numId w:val="2"/>
      </w:numPr>
      <w:tabs>
        <w:tab w:val="clear" w:pos="283"/>
        <w:tab w:val="left" w:pos="425"/>
      </w:tabs>
      <w:spacing w:after="120" w:line="260" w:lineRule="exact"/>
      <w:ind w:left="425" w:right="57" w:hanging="425"/>
      <w:jc w:val="both"/>
    </w:pPr>
    <w:rPr>
      <w:rFonts w:ascii="Arial" w:hAnsi="Arial"/>
      <w:color w:val="002B54"/>
      <w:sz w:val="19"/>
    </w:rPr>
  </w:style>
  <w:style w:type="paragraph" w:customStyle="1" w:styleId="BoxDash">
    <w:name w:val="Box Dash"/>
    <w:basedOn w:val="Normal"/>
    <w:rsid w:val="005F5653"/>
    <w:pPr>
      <w:numPr>
        <w:ilvl w:val="1"/>
        <w:numId w:val="2"/>
      </w:numPr>
    </w:pPr>
  </w:style>
  <w:style w:type="paragraph" w:customStyle="1" w:styleId="BoxDoubleDot">
    <w:name w:val="Box Double Dot"/>
    <w:basedOn w:val="BoxTextBase"/>
    <w:rsid w:val="005F5653"/>
    <w:pPr>
      <w:numPr>
        <w:ilvl w:val="2"/>
        <w:numId w:val="2"/>
      </w:numPr>
    </w:pPr>
  </w:style>
  <w:style w:type="paragraph" w:customStyle="1" w:styleId="BoxHeading">
    <w:name w:val="Box Heading"/>
    <w:basedOn w:val="HeadingBaseStyle"/>
    <w:next w:val="Normal"/>
    <w:rsid w:val="00BA7D47"/>
    <w:pPr>
      <w:spacing w:before="120" w:after="120" w:line="240" w:lineRule="auto"/>
    </w:pPr>
    <w:rPr>
      <w:rFonts w:ascii="Arial Bold" w:hAnsi="Arial Bold"/>
      <w:b/>
      <w:caps/>
      <w:color w:val="002B54"/>
    </w:rPr>
  </w:style>
  <w:style w:type="paragraph" w:customStyle="1" w:styleId="BoxText">
    <w:name w:val="Box Text"/>
    <w:basedOn w:val="BoxTextBase"/>
    <w:rsid w:val="0073028D"/>
    <w:pPr>
      <w:spacing w:after="120" w:line="260" w:lineRule="exact"/>
      <w:ind w:right="57"/>
      <w:jc w:val="both"/>
    </w:pPr>
    <w:rPr>
      <w:rFonts w:ascii="Arial" w:hAnsi="Arial"/>
      <w:color w:val="002B54"/>
      <w:sz w:val="19"/>
    </w:rPr>
  </w:style>
  <w:style w:type="paragraph" w:customStyle="1" w:styleId="Bullet">
    <w:name w:val="Bullet"/>
    <w:basedOn w:val="Normal"/>
    <w:link w:val="BulletChar"/>
    <w:rsid w:val="00F73064"/>
    <w:pPr>
      <w:keepNext/>
      <w:numPr>
        <w:numId w:val="19"/>
      </w:numPr>
    </w:pPr>
  </w:style>
  <w:style w:type="paragraph" w:styleId="NormalIndent">
    <w:name w:val="Normal Indent"/>
    <w:basedOn w:val="Normal"/>
    <w:rsid w:val="00F73064"/>
    <w:pPr>
      <w:ind w:left="567"/>
    </w:pPr>
    <w:rPr>
      <w:rFonts w:ascii="Book Antiqua" w:hAnsi="Book Antiqua"/>
      <w:sz w:val="20"/>
    </w:rPr>
  </w:style>
  <w:style w:type="paragraph" w:customStyle="1" w:styleId="ChartandTableFootnoteAlpha">
    <w:name w:val="Chart and Table Footnote Alpha"/>
    <w:rsid w:val="009862D1"/>
    <w:pPr>
      <w:numPr>
        <w:numId w:val="12"/>
      </w:numPr>
      <w:spacing w:after="0" w:line="240" w:lineRule="auto"/>
      <w:jc w:val="both"/>
    </w:pPr>
    <w:rPr>
      <w:rFonts w:ascii="Arial" w:eastAsia="Times New Roman" w:hAnsi="Arial" w:cs="Times New Roman"/>
      <w:color w:val="000000"/>
      <w:sz w:val="16"/>
      <w:szCs w:val="16"/>
      <w:lang w:eastAsia="en-AU"/>
    </w:rPr>
  </w:style>
  <w:style w:type="paragraph" w:customStyle="1" w:styleId="ChartMainHeading">
    <w:name w:val="Chart Main Heading"/>
    <w:basedOn w:val="HeadingBase"/>
    <w:next w:val="ChartGraphic"/>
    <w:rsid w:val="006232E8"/>
    <w:pPr>
      <w:spacing w:after="60"/>
      <w:jc w:val="center"/>
    </w:pPr>
    <w:rPr>
      <w:rFonts w:ascii="Arial" w:hAnsi="Arial"/>
      <w:b/>
      <w:caps/>
      <w:sz w:val="19"/>
    </w:rPr>
  </w:style>
  <w:style w:type="paragraph" w:customStyle="1" w:styleId="ChartorTableNote">
    <w:name w:val="Chart or Table Note"/>
    <w:next w:val="Normal"/>
    <w:rsid w:val="0029127A"/>
    <w:pPr>
      <w:spacing w:after="60" w:line="240" w:lineRule="auto"/>
      <w:jc w:val="both"/>
    </w:pPr>
    <w:rPr>
      <w:rFonts w:ascii="Arial" w:eastAsia="Times New Roman" w:hAnsi="Arial" w:cs="Times New Roman"/>
      <w:color w:val="000000"/>
      <w:sz w:val="16"/>
      <w:szCs w:val="20"/>
      <w:lang w:eastAsia="en-AU"/>
    </w:rPr>
  </w:style>
  <w:style w:type="paragraph" w:customStyle="1" w:styleId="ChartSecondHeading">
    <w:name w:val="Chart Second Heading"/>
    <w:basedOn w:val="HeadingBase"/>
    <w:next w:val="ChartGraphic"/>
    <w:rsid w:val="00B55137"/>
    <w:pPr>
      <w:spacing w:after="20"/>
      <w:jc w:val="center"/>
    </w:pPr>
  </w:style>
  <w:style w:type="paragraph" w:customStyle="1" w:styleId="Classification">
    <w:name w:val="Classification"/>
    <w:basedOn w:val="HeadingBase"/>
    <w:next w:val="Footer"/>
    <w:rsid w:val="00B55137"/>
    <w:pPr>
      <w:spacing w:after="120"/>
      <w:jc w:val="center"/>
    </w:pPr>
    <w:rPr>
      <w:b/>
      <w:smallCaps/>
    </w:rPr>
  </w:style>
  <w:style w:type="paragraph" w:styleId="Footer">
    <w:name w:val="footer"/>
    <w:basedOn w:val="Normal"/>
    <w:link w:val="FooterChar"/>
    <w:uiPriority w:val="99"/>
    <w:rsid w:val="00F73064"/>
    <w:pPr>
      <w:tabs>
        <w:tab w:val="right" w:pos="5670"/>
      </w:tabs>
      <w:spacing w:after="0"/>
      <w:jc w:val="right"/>
    </w:pPr>
    <w:rPr>
      <w:rFonts w:ascii="Arial" w:hAnsi="Arial"/>
      <w:color w:val="003157"/>
      <w:sz w:val="18"/>
    </w:rPr>
  </w:style>
  <w:style w:type="character" w:customStyle="1" w:styleId="FooterChar">
    <w:name w:val="Footer Char"/>
    <w:basedOn w:val="DefaultParagraphFont"/>
    <w:link w:val="Footer"/>
    <w:uiPriority w:val="99"/>
    <w:rsid w:val="00F73064"/>
    <w:rPr>
      <w:rFonts w:ascii="Arial" w:hAnsi="Arial"/>
      <w:color w:val="003157"/>
      <w:sz w:val="18"/>
    </w:rPr>
  </w:style>
  <w:style w:type="paragraph" w:customStyle="1" w:styleId="ContentsHeading">
    <w:name w:val="Contents Heading"/>
    <w:basedOn w:val="Normal"/>
    <w:next w:val="Normal"/>
    <w:rsid w:val="00F73064"/>
    <w:pPr>
      <w:spacing w:after="360"/>
      <w:jc w:val="center"/>
    </w:pPr>
    <w:rPr>
      <w:rFonts w:ascii="Arial Bold" w:hAnsi="Arial Bold"/>
      <w:b/>
      <w:smallCaps/>
      <w:color w:val="003157"/>
      <w:kern w:val="28"/>
      <w:sz w:val="36"/>
    </w:rPr>
  </w:style>
  <w:style w:type="paragraph" w:customStyle="1" w:styleId="CoverTitleSub">
    <w:name w:val="Cover Title Sub"/>
    <w:basedOn w:val="HeadingBase"/>
    <w:rsid w:val="00B55137"/>
    <w:pPr>
      <w:spacing w:after="360"/>
      <w:jc w:val="center"/>
    </w:pPr>
    <w:rPr>
      <w:sz w:val="36"/>
    </w:rPr>
  </w:style>
  <w:style w:type="paragraph" w:customStyle="1" w:styleId="Covertitlelevel3">
    <w:name w:val="Cover title level 3"/>
    <w:basedOn w:val="CoverTitleSub"/>
    <w:rsid w:val="00BB3278"/>
    <w:pPr>
      <w:spacing w:after="120"/>
    </w:pPr>
    <w:rPr>
      <w:sz w:val="28"/>
      <w:szCs w:val="28"/>
    </w:rPr>
  </w:style>
  <w:style w:type="paragraph" w:customStyle="1" w:styleId="CoverTitleMain">
    <w:name w:val="Cover Title Main"/>
    <w:basedOn w:val="HeadingBase"/>
    <w:next w:val="Normal"/>
    <w:rsid w:val="00B55137"/>
    <w:pPr>
      <w:spacing w:after="480"/>
      <w:jc w:val="center"/>
    </w:pPr>
    <w:rPr>
      <w:b/>
      <w:sz w:val="48"/>
    </w:rPr>
  </w:style>
  <w:style w:type="paragraph" w:customStyle="1" w:styleId="Dash">
    <w:name w:val="Dash"/>
    <w:basedOn w:val="Normal"/>
    <w:link w:val="DashChar"/>
    <w:rsid w:val="00F73064"/>
    <w:pPr>
      <w:numPr>
        <w:ilvl w:val="1"/>
        <w:numId w:val="19"/>
      </w:numPr>
    </w:pPr>
  </w:style>
  <w:style w:type="paragraph" w:customStyle="1" w:styleId="DoubleDot">
    <w:name w:val="Double Dot"/>
    <w:basedOn w:val="Dash"/>
    <w:link w:val="DoubleDotChar"/>
    <w:rsid w:val="00F73064"/>
    <w:pPr>
      <w:numPr>
        <w:ilvl w:val="2"/>
      </w:numPr>
    </w:pPr>
  </w:style>
  <w:style w:type="paragraph" w:customStyle="1" w:styleId="Figuregraphic">
    <w:name w:val="Figure graphic"/>
    <w:basedOn w:val="Normal"/>
    <w:rsid w:val="00BB3278"/>
    <w:pPr>
      <w:jc w:val="center"/>
    </w:pPr>
  </w:style>
  <w:style w:type="paragraph" w:customStyle="1" w:styleId="FigureHeading">
    <w:name w:val="Figure Heading"/>
    <w:basedOn w:val="HeadingBase"/>
    <w:next w:val="Figuregraphic"/>
    <w:rsid w:val="00BB3278"/>
    <w:pPr>
      <w:spacing w:after="20"/>
      <w:jc w:val="center"/>
    </w:pPr>
    <w:rPr>
      <w:rFonts w:ascii="Arial Bold" w:hAnsi="Arial Bold"/>
      <w:b/>
      <w:sz w:val="22"/>
      <w:szCs w:val="22"/>
    </w:rPr>
  </w:style>
  <w:style w:type="paragraph" w:customStyle="1" w:styleId="FigureSecondHeading">
    <w:name w:val="Figure Second Heading"/>
    <w:basedOn w:val="HeadingBase"/>
    <w:next w:val="Figuregraphic"/>
    <w:rsid w:val="00BB3278"/>
    <w:pPr>
      <w:spacing w:after="20"/>
      <w:jc w:val="center"/>
    </w:pPr>
  </w:style>
  <w:style w:type="paragraph" w:customStyle="1" w:styleId="TableMainHeading">
    <w:name w:val="Table Main Heading"/>
    <w:basedOn w:val="HeadingBase"/>
    <w:next w:val="TableGraphic"/>
    <w:rsid w:val="00B55137"/>
    <w:pPr>
      <w:spacing w:after="20"/>
    </w:pPr>
    <w:rPr>
      <w:b/>
      <w:sz w:val="22"/>
    </w:rPr>
  </w:style>
  <w:style w:type="paragraph" w:customStyle="1" w:styleId="FooterCentered">
    <w:name w:val="Footer Centered"/>
    <w:basedOn w:val="Footer"/>
    <w:rsid w:val="00B55137"/>
    <w:pPr>
      <w:jc w:val="center"/>
    </w:pPr>
  </w:style>
  <w:style w:type="paragraph" w:customStyle="1" w:styleId="FooterEven">
    <w:name w:val="Footer Even"/>
    <w:basedOn w:val="Footer"/>
    <w:rsid w:val="006E0496"/>
    <w:pPr>
      <w:spacing w:line="240" w:lineRule="auto"/>
      <w:jc w:val="left"/>
    </w:pPr>
  </w:style>
  <w:style w:type="paragraph" w:customStyle="1" w:styleId="FooterOdd">
    <w:name w:val="Footer Odd"/>
    <w:basedOn w:val="Footer"/>
    <w:rsid w:val="006E0496"/>
    <w:pPr>
      <w:spacing w:line="240" w:lineRule="auto"/>
    </w:pPr>
  </w:style>
  <w:style w:type="character" w:styleId="FootnoteReference">
    <w:name w:val="footnote reference"/>
    <w:basedOn w:val="DefaultParagraphFont"/>
    <w:uiPriority w:val="99"/>
    <w:rsid w:val="006D6C8F"/>
    <w:rPr>
      <w:sz w:val="20"/>
      <w:vertAlign w:val="superscript"/>
    </w:rPr>
  </w:style>
  <w:style w:type="paragraph" w:styleId="FootnoteText">
    <w:name w:val="footnote text"/>
    <w:basedOn w:val="Normal"/>
    <w:link w:val="FootnoteTextChar"/>
    <w:rsid w:val="00DE366D"/>
    <w:pPr>
      <w:tabs>
        <w:tab w:val="left" w:pos="312"/>
      </w:tabs>
      <w:spacing w:after="0" w:line="240" w:lineRule="auto"/>
      <w:ind w:left="312" w:hanging="312"/>
    </w:pPr>
    <w:rPr>
      <w:spacing w:val="-2"/>
      <w:sz w:val="18"/>
    </w:rPr>
  </w:style>
  <w:style w:type="character" w:customStyle="1" w:styleId="FootnoteTextChar">
    <w:name w:val="Footnote Text Char"/>
    <w:basedOn w:val="DefaultParagraphFont"/>
    <w:link w:val="FootnoteText"/>
    <w:rsid w:val="00DE366D"/>
    <w:rPr>
      <w:rFonts w:ascii="Calibri" w:hAnsi="Calibri"/>
      <w:color w:val="000000" w:themeColor="text1"/>
      <w:spacing w:val="-2"/>
      <w:sz w:val="18"/>
    </w:rPr>
  </w:style>
  <w:style w:type="character" w:customStyle="1" w:styleId="FramedFooter">
    <w:name w:val="Framed Footer"/>
    <w:rsid w:val="00B55137"/>
    <w:rPr>
      <w:rFonts w:ascii="Arial" w:hAnsi="Arial"/>
      <w:sz w:val="18"/>
    </w:rPr>
  </w:style>
  <w:style w:type="character" w:customStyle="1" w:styleId="FramedHeader">
    <w:name w:val="Framed Header"/>
    <w:basedOn w:val="DefaultParagraphFont"/>
    <w:rsid w:val="00B55137"/>
    <w:rPr>
      <w:rFonts w:ascii="Arial" w:hAnsi="Arial"/>
      <w:dstrike w:val="0"/>
      <w:color w:val="auto"/>
      <w:sz w:val="18"/>
      <w:vertAlign w:val="baseline"/>
    </w:rPr>
  </w:style>
  <w:style w:type="paragraph" w:styleId="Header">
    <w:name w:val="header"/>
    <w:basedOn w:val="HeadingBaseStyle"/>
    <w:link w:val="HeaderChar"/>
    <w:uiPriority w:val="99"/>
    <w:rsid w:val="00F73064"/>
    <w:pPr>
      <w:jc w:val="center"/>
    </w:pPr>
    <w:rPr>
      <w:sz w:val="18"/>
    </w:rPr>
  </w:style>
  <w:style w:type="character" w:customStyle="1" w:styleId="HeaderChar">
    <w:name w:val="Header Char"/>
    <w:basedOn w:val="DefaultParagraphFont"/>
    <w:link w:val="Header"/>
    <w:uiPriority w:val="99"/>
    <w:rsid w:val="00460338"/>
    <w:rPr>
      <w:rFonts w:ascii="Arial" w:hAnsi="Arial"/>
      <w:color w:val="003157"/>
      <w:sz w:val="18"/>
    </w:rPr>
  </w:style>
  <w:style w:type="paragraph" w:customStyle="1" w:styleId="HeaderEven">
    <w:name w:val="Header Even"/>
    <w:basedOn w:val="Header"/>
    <w:rsid w:val="00E54DB4"/>
  </w:style>
  <w:style w:type="paragraph" w:customStyle="1" w:styleId="HeaderOdd">
    <w:name w:val="Header Odd"/>
    <w:basedOn w:val="Header"/>
    <w:rsid w:val="00B55137"/>
    <w:pPr>
      <w:jc w:val="right"/>
    </w:pPr>
  </w:style>
  <w:style w:type="character" w:styleId="Hyperlink">
    <w:name w:val="Hyperlink"/>
    <w:basedOn w:val="DefaultParagraphFont"/>
    <w:uiPriority w:val="99"/>
    <w:rsid w:val="00D83735"/>
    <w:rPr>
      <w:b/>
      <w:color w:val="003157"/>
      <w:u w:val="none"/>
    </w:rPr>
  </w:style>
  <w:style w:type="character" w:customStyle="1" w:styleId="italic">
    <w:name w:val="italic"/>
    <w:basedOn w:val="DefaultParagraphFont"/>
    <w:rsid w:val="00B55137"/>
    <w:rPr>
      <w:i/>
    </w:rPr>
  </w:style>
  <w:style w:type="paragraph" w:styleId="NormalWeb">
    <w:name w:val="Normal (Web)"/>
    <w:basedOn w:val="Normal"/>
    <w:uiPriority w:val="99"/>
    <w:unhideWhenUsed/>
    <w:rsid w:val="00F73064"/>
    <w:pPr>
      <w:spacing w:before="100" w:beforeAutospacing="1" w:after="100" w:afterAutospacing="1"/>
    </w:pPr>
    <w:rPr>
      <w:rFonts w:ascii="Times New Roman" w:hAnsi="Times New Roman"/>
      <w:szCs w:val="24"/>
    </w:rPr>
  </w:style>
  <w:style w:type="paragraph" w:customStyle="1" w:styleId="NormalIndentItalics">
    <w:name w:val="Normal Indent Italics"/>
    <w:basedOn w:val="NormalIndent"/>
    <w:rsid w:val="00D46334"/>
    <w:rPr>
      <w:i/>
    </w:rPr>
  </w:style>
  <w:style w:type="paragraph" w:customStyle="1" w:styleId="OutlineNumbered1">
    <w:name w:val="Outline Numbered 1"/>
    <w:basedOn w:val="Normal"/>
    <w:link w:val="OutlineNumbered1Char"/>
    <w:rsid w:val="003E0E7B"/>
    <w:pPr>
      <w:numPr>
        <w:numId w:val="9"/>
      </w:numPr>
    </w:pPr>
  </w:style>
  <w:style w:type="paragraph" w:customStyle="1" w:styleId="OneLevelNumberedParagraph">
    <w:name w:val="One Level Numbered Paragraph"/>
    <w:basedOn w:val="Normal"/>
    <w:rsid w:val="003E0E7B"/>
    <w:pPr>
      <w:numPr>
        <w:numId w:val="8"/>
      </w:numPr>
    </w:pPr>
  </w:style>
  <w:style w:type="paragraph" w:customStyle="1" w:styleId="OutlineNumbered2">
    <w:name w:val="Outline Numbered 2"/>
    <w:basedOn w:val="Normal"/>
    <w:link w:val="OutlineNumbered2Char"/>
    <w:rsid w:val="003E0E7B"/>
    <w:pPr>
      <w:numPr>
        <w:ilvl w:val="1"/>
        <w:numId w:val="9"/>
      </w:numPr>
    </w:pPr>
  </w:style>
  <w:style w:type="paragraph" w:customStyle="1" w:styleId="OutlineNumbered3">
    <w:name w:val="Outline Numbered 3"/>
    <w:basedOn w:val="Normal"/>
    <w:link w:val="OutlineNumbered3Char"/>
    <w:rsid w:val="003E0E7B"/>
    <w:pPr>
      <w:numPr>
        <w:ilvl w:val="2"/>
        <w:numId w:val="9"/>
      </w:numPr>
    </w:pPr>
  </w:style>
  <w:style w:type="character" w:styleId="PageNumber">
    <w:name w:val="page number"/>
    <w:basedOn w:val="DefaultParagraphFont"/>
    <w:rsid w:val="00365C6D"/>
    <w:rPr>
      <w:rFonts w:asciiTheme="minorHAnsi" w:hAnsiTheme="minorHAnsi"/>
      <w:color w:val="003057"/>
      <w:sz w:val="22"/>
    </w:rPr>
  </w:style>
  <w:style w:type="paragraph" w:customStyle="1" w:styleId="Principle">
    <w:name w:val="Principle"/>
    <w:basedOn w:val="Normal"/>
    <w:rsid w:val="00EE6F94"/>
    <w:pPr>
      <w:keepNext/>
      <w:spacing w:after="60"/>
      <w:ind w:left="573"/>
    </w:pPr>
    <w:rPr>
      <w:rFonts w:ascii="Book Antiqua" w:hAnsi="Book Antiqua"/>
      <w:i/>
      <w:sz w:val="20"/>
    </w:rPr>
  </w:style>
  <w:style w:type="paragraph" w:customStyle="1" w:styleId="RecommendationTextBase">
    <w:name w:val="Recommendation Text Base"/>
    <w:basedOn w:val="Normal"/>
    <w:rsid w:val="00B55137"/>
    <w:rPr>
      <w:i/>
    </w:rPr>
  </w:style>
  <w:style w:type="paragraph" w:customStyle="1" w:styleId="RecommendationBullet">
    <w:name w:val="Recommendation Bullet"/>
    <w:basedOn w:val="RecommendationTextBase"/>
    <w:rsid w:val="00301A52"/>
    <w:pPr>
      <w:numPr>
        <w:numId w:val="10"/>
      </w:numPr>
    </w:pPr>
  </w:style>
  <w:style w:type="paragraph" w:customStyle="1" w:styleId="RecommendationDash">
    <w:name w:val="Recommendation Dash"/>
    <w:basedOn w:val="RecommendationTextBase"/>
    <w:rsid w:val="00301A52"/>
    <w:pPr>
      <w:numPr>
        <w:ilvl w:val="1"/>
        <w:numId w:val="10"/>
      </w:numPr>
    </w:pPr>
  </w:style>
  <w:style w:type="paragraph" w:customStyle="1" w:styleId="RecommendationDoubleDot">
    <w:name w:val="Recommendation Double Dot"/>
    <w:basedOn w:val="RecommendationTextBase"/>
    <w:rsid w:val="00301A52"/>
    <w:pPr>
      <w:numPr>
        <w:ilvl w:val="2"/>
        <w:numId w:val="10"/>
      </w:numPr>
    </w:pPr>
  </w:style>
  <w:style w:type="paragraph" w:customStyle="1" w:styleId="RecommendationHeading">
    <w:name w:val="Recommendation Heading"/>
    <w:basedOn w:val="HeadingBase"/>
    <w:next w:val="Normal"/>
    <w:rsid w:val="00B55137"/>
    <w:pPr>
      <w:spacing w:before="120" w:after="240"/>
    </w:pPr>
    <w:rPr>
      <w:b/>
      <w:sz w:val="22"/>
    </w:rPr>
  </w:style>
  <w:style w:type="paragraph" w:customStyle="1" w:styleId="RecommendationText">
    <w:name w:val="Recommendation Text"/>
    <w:basedOn w:val="RecommendationTextBase"/>
    <w:rsid w:val="00B55137"/>
  </w:style>
  <w:style w:type="paragraph" w:customStyle="1" w:styleId="Romannumeral">
    <w:name w:val="Roman numeral"/>
    <w:basedOn w:val="Normal"/>
    <w:rsid w:val="009C7E17"/>
    <w:pPr>
      <w:numPr>
        <w:numId w:val="11"/>
      </w:numPr>
    </w:pPr>
  </w:style>
  <w:style w:type="paragraph" w:customStyle="1" w:styleId="SingleParagraph">
    <w:name w:val="Single Paragraph"/>
    <w:basedOn w:val="Normal"/>
    <w:rsid w:val="00F73064"/>
    <w:pPr>
      <w:spacing w:after="0"/>
    </w:pPr>
  </w:style>
  <w:style w:type="paragraph" w:customStyle="1" w:styleId="SingleParagraphIndent">
    <w:name w:val="Single Paragraph Indent"/>
    <w:basedOn w:val="SingleParagraph"/>
    <w:rsid w:val="00BB3278"/>
    <w:pPr>
      <w:ind w:left="567"/>
    </w:pPr>
  </w:style>
  <w:style w:type="paragraph" w:customStyle="1" w:styleId="TableSecondHeading">
    <w:name w:val="Table Second Heading"/>
    <w:basedOn w:val="HeadingBase"/>
    <w:next w:val="TableGraphic"/>
    <w:rsid w:val="00B55137"/>
    <w:pPr>
      <w:spacing w:after="20"/>
    </w:pPr>
  </w:style>
  <w:style w:type="paragraph" w:customStyle="1" w:styleId="TableTextBase">
    <w:name w:val="Table Text Base"/>
    <w:rsid w:val="00F73064"/>
    <w:pPr>
      <w:spacing w:before="40" w:after="40" w:line="240" w:lineRule="auto"/>
    </w:pPr>
    <w:rPr>
      <w:rFonts w:eastAsia="Times New Roman" w:cs="Times New Roman"/>
      <w:sz w:val="20"/>
      <w:szCs w:val="20"/>
      <w:lang w:eastAsia="en-AU"/>
    </w:rPr>
  </w:style>
  <w:style w:type="paragraph" w:customStyle="1" w:styleId="TableColumnHeadingCentred">
    <w:name w:val="Table Column Heading Centred"/>
    <w:basedOn w:val="TableTextBase"/>
    <w:rsid w:val="00F73064"/>
    <w:pPr>
      <w:tabs>
        <w:tab w:val="left" w:pos="1987"/>
      </w:tabs>
      <w:jc w:val="center"/>
    </w:pPr>
    <w:rPr>
      <w:rFonts w:ascii="Arial Bold" w:hAnsi="Arial Bold"/>
      <w:b/>
    </w:rPr>
  </w:style>
  <w:style w:type="paragraph" w:customStyle="1" w:styleId="TableColumnHeadingBase">
    <w:name w:val="Table Column Heading Base"/>
    <w:basedOn w:val="Normal"/>
    <w:rsid w:val="00EE6F94"/>
    <w:pPr>
      <w:spacing w:before="40" w:after="40"/>
    </w:pPr>
    <w:rPr>
      <w:rFonts w:ascii="Arial" w:hAnsi="Arial"/>
      <w:b/>
      <w:sz w:val="16"/>
    </w:rPr>
  </w:style>
  <w:style w:type="paragraph" w:customStyle="1" w:styleId="TableColumnHeadingLeft">
    <w:name w:val="Table Column Heading Left"/>
    <w:basedOn w:val="TableTextBase"/>
    <w:rsid w:val="00F73064"/>
    <w:rPr>
      <w:b/>
    </w:rPr>
  </w:style>
  <w:style w:type="paragraph" w:customStyle="1" w:styleId="TableColumnHeadingRight">
    <w:name w:val="Table Column Heading Right"/>
    <w:basedOn w:val="TableTextBase"/>
    <w:rsid w:val="00F73064"/>
    <w:pPr>
      <w:jc w:val="right"/>
    </w:pPr>
    <w:rPr>
      <w:b/>
    </w:rPr>
  </w:style>
  <w:style w:type="table" w:styleId="TableGrid">
    <w:name w:val="Table Grid"/>
    <w:basedOn w:val="TableNormal"/>
    <w:uiPriority w:val="59"/>
    <w:rsid w:val="00F7306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MainHeadingContd">
    <w:name w:val="Table Main Heading Contd"/>
    <w:basedOn w:val="HeadingBase"/>
    <w:next w:val="TableGraphic"/>
    <w:rsid w:val="00B55137"/>
    <w:pPr>
      <w:pageBreakBefore/>
      <w:spacing w:after="20"/>
    </w:pPr>
    <w:rPr>
      <w:b/>
      <w:sz w:val="22"/>
    </w:rPr>
  </w:style>
  <w:style w:type="paragraph" w:customStyle="1" w:styleId="TableTextCentered">
    <w:name w:val="Table Text Centered"/>
    <w:basedOn w:val="TableTextBase"/>
    <w:rsid w:val="00B55137"/>
    <w:pPr>
      <w:jc w:val="center"/>
    </w:pPr>
  </w:style>
  <w:style w:type="paragraph" w:customStyle="1" w:styleId="TableTextIndented">
    <w:name w:val="Table Text Indented"/>
    <w:basedOn w:val="TableTextBase"/>
    <w:rsid w:val="00B55137"/>
    <w:pPr>
      <w:ind w:left="284"/>
    </w:pPr>
  </w:style>
  <w:style w:type="paragraph" w:customStyle="1" w:styleId="TableTextLeft">
    <w:name w:val="Table Text Left"/>
    <w:basedOn w:val="TableTextBase"/>
    <w:rsid w:val="00BC4ADF"/>
  </w:style>
  <w:style w:type="paragraph" w:customStyle="1" w:styleId="TableTextRight">
    <w:name w:val="Table Text Right"/>
    <w:basedOn w:val="TableTextBase"/>
    <w:rsid w:val="00F73064"/>
    <w:pPr>
      <w:jc w:val="right"/>
    </w:pPr>
  </w:style>
  <w:style w:type="paragraph" w:styleId="TOC1">
    <w:name w:val="toc 1"/>
    <w:basedOn w:val="Normal"/>
    <w:next w:val="Normal"/>
    <w:uiPriority w:val="39"/>
    <w:qFormat/>
    <w:rsid w:val="00447E63"/>
    <w:pPr>
      <w:widowControl w:val="0"/>
      <w:tabs>
        <w:tab w:val="left" w:pos="567"/>
        <w:tab w:val="right" w:leader="dot" w:pos="9072"/>
      </w:tabs>
      <w:adjustRightInd w:val="0"/>
      <w:spacing w:before="240" w:after="0" w:line="240" w:lineRule="auto"/>
      <w:ind w:right="567"/>
      <w:textAlignment w:val="baseline"/>
    </w:pPr>
    <w:rPr>
      <w:rFonts w:ascii="Arial Bold" w:hAnsi="Arial Bold"/>
      <w:b/>
      <w:bCs/>
      <w:caps/>
      <w:noProof/>
      <w:color w:val="003157"/>
      <w:sz w:val="20"/>
    </w:rPr>
  </w:style>
  <w:style w:type="paragraph" w:styleId="TOC2">
    <w:name w:val="toc 2"/>
    <w:basedOn w:val="Normal"/>
    <w:next w:val="Normal"/>
    <w:uiPriority w:val="39"/>
    <w:qFormat/>
    <w:rsid w:val="00447E63"/>
    <w:pPr>
      <w:widowControl w:val="0"/>
      <w:tabs>
        <w:tab w:val="right" w:leader="dot" w:pos="9072"/>
      </w:tabs>
      <w:adjustRightInd w:val="0"/>
      <w:spacing w:before="120" w:after="0" w:line="240" w:lineRule="auto"/>
      <w:ind w:left="567" w:right="567"/>
      <w:textAlignment w:val="baseline"/>
    </w:pPr>
    <w:rPr>
      <w:rFonts w:ascii="Arial" w:hAnsi="Arial"/>
      <w:sz w:val="20"/>
    </w:rPr>
  </w:style>
  <w:style w:type="paragraph" w:styleId="TOC3">
    <w:name w:val="toc 3"/>
    <w:basedOn w:val="Normal"/>
    <w:next w:val="Normal"/>
    <w:autoRedefine/>
    <w:uiPriority w:val="39"/>
    <w:qFormat/>
    <w:rsid w:val="00447E63"/>
    <w:pPr>
      <w:tabs>
        <w:tab w:val="left" w:pos="2268"/>
        <w:tab w:val="right" w:leader="dot" w:pos="9072"/>
      </w:tabs>
      <w:spacing w:before="120" w:after="0" w:line="240" w:lineRule="auto"/>
      <w:ind w:left="851" w:right="567"/>
    </w:pPr>
    <w:rPr>
      <w:rFonts w:ascii="Arial" w:hAnsi="Arial"/>
      <w:i/>
      <w:noProof/>
      <w:sz w:val="20"/>
    </w:rPr>
  </w:style>
  <w:style w:type="paragraph" w:styleId="TOC4">
    <w:name w:val="toc 4"/>
    <w:basedOn w:val="Normal"/>
    <w:next w:val="Normal"/>
    <w:autoRedefine/>
    <w:rsid w:val="00F73064"/>
    <w:pPr>
      <w:tabs>
        <w:tab w:val="left" w:pos="1531"/>
        <w:tab w:val="right" w:leader="dot" w:pos="7711"/>
      </w:tabs>
      <w:spacing w:after="120"/>
      <w:ind w:left="1560" w:hanging="959"/>
    </w:pPr>
    <w:rPr>
      <w:noProof/>
    </w:rPr>
  </w:style>
  <w:style w:type="paragraph" w:styleId="BodyTextIndent2">
    <w:name w:val="Body Text Indent 2"/>
    <w:basedOn w:val="Normal"/>
    <w:link w:val="BodyTextIndent2Char"/>
    <w:rsid w:val="00B55137"/>
    <w:pPr>
      <w:spacing w:after="120" w:line="480" w:lineRule="auto"/>
      <w:ind w:left="283"/>
    </w:pPr>
  </w:style>
  <w:style w:type="character" w:customStyle="1" w:styleId="BodyTextIndent2Char">
    <w:name w:val="Body Text Indent 2 Char"/>
    <w:basedOn w:val="DefaultParagraphFont"/>
    <w:link w:val="BodyTextIndent2"/>
    <w:rsid w:val="00B55137"/>
    <w:rPr>
      <w:rFonts w:ascii="Calibri" w:eastAsia="Times New Roman" w:hAnsi="Calibri" w:cs="Times New Roman"/>
      <w:color w:val="000000"/>
      <w:szCs w:val="20"/>
      <w:lang w:eastAsia="en-AU"/>
    </w:rPr>
  </w:style>
  <w:style w:type="character" w:customStyle="1" w:styleId="BoldandItalic">
    <w:name w:val="Bold and Italic"/>
    <w:basedOn w:val="DefaultParagraphFont"/>
    <w:rsid w:val="00B55137"/>
    <w:rPr>
      <w:rFonts w:ascii="Arial" w:hAnsi="Arial"/>
      <w:b/>
      <w:i/>
    </w:rPr>
  </w:style>
  <w:style w:type="paragraph" w:styleId="Caption">
    <w:name w:val="caption"/>
    <w:basedOn w:val="Normal"/>
    <w:next w:val="Normal"/>
    <w:unhideWhenUsed/>
    <w:rsid w:val="00F73064"/>
    <w:rPr>
      <w:b/>
      <w:bCs/>
      <w:color w:val="003157"/>
      <w:sz w:val="18"/>
      <w:szCs w:val="18"/>
    </w:rPr>
  </w:style>
  <w:style w:type="character" w:styleId="CommentReference">
    <w:name w:val="annotation reference"/>
    <w:basedOn w:val="DefaultParagraphFont"/>
    <w:uiPriority w:val="99"/>
    <w:rsid w:val="00F73064"/>
    <w:rPr>
      <w:sz w:val="16"/>
      <w:szCs w:val="16"/>
    </w:rPr>
  </w:style>
  <w:style w:type="paragraph" w:styleId="CommentText">
    <w:name w:val="annotation text"/>
    <w:basedOn w:val="Normal"/>
    <w:link w:val="CommentTextChar"/>
    <w:uiPriority w:val="99"/>
    <w:rsid w:val="00F73064"/>
    <w:rPr>
      <w:sz w:val="20"/>
    </w:rPr>
  </w:style>
  <w:style w:type="character" w:customStyle="1" w:styleId="CommentTextChar">
    <w:name w:val="Comment Text Char"/>
    <w:basedOn w:val="DefaultParagraphFont"/>
    <w:link w:val="CommentText"/>
    <w:uiPriority w:val="99"/>
    <w:rsid w:val="00F73064"/>
    <w:rPr>
      <w:sz w:val="20"/>
    </w:rPr>
  </w:style>
  <w:style w:type="paragraph" w:styleId="CommentSubject">
    <w:name w:val="annotation subject"/>
    <w:basedOn w:val="CommentText"/>
    <w:next w:val="CommentText"/>
    <w:link w:val="CommentSubjectChar"/>
    <w:uiPriority w:val="99"/>
    <w:rsid w:val="00F73064"/>
    <w:rPr>
      <w:b/>
      <w:bCs/>
    </w:rPr>
  </w:style>
  <w:style w:type="character" w:customStyle="1" w:styleId="CommentSubjectChar">
    <w:name w:val="Comment Subject Char"/>
    <w:basedOn w:val="CommentTextChar"/>
    <w:link w:val="CommentSubject"/>
    <w:uiPriority w:val="99"/>
    <w:rsid w:val="00F73064"/>
    <w:rPr>
      <w:b/>
      <w:bCs/>
      <w:sz w:val="20"/>
    </w:rPr>
  </w:style>
  <w:style w:type="paragraph" w:styleId="DocumentMap">
    <w:name w:val="Document Map"/>
    <w:basedOn w:val="Normal"/>
    <w:link w:val="DocumentMapChar"/>
    <w:semiHidden/>
    <w:rsid w:val="00B55137"/>
    <w:pPr>
      <w:shd w:val="clear" w:color="auto" w:fill="00CCFF"/>
    </w:pPr>
    <w:rPr>
      <w:rFonts w:ascii="Tahoma" w:hAnsi="Tahoma" w:cs="Tahoma"/>
    </w:rPr>
  </w:style>
  <w:style w:type="character" w:customStyle="1" w:styleId="DocumentMapChar">
    <w:name w:val="Document Map Char"/>
    <w:basedOn w:val="DefaultParagraphFont"/>
    <w:link w:val="DocumentMap"/>
    <w:semiHidden/>
    <w:rsid w:val="00B55137"/>
    <w:rPr>
      <w:rFonts w:ascii="Tahoma" w:eastAsia="Times New Roman" w:hAnsi="Tahoma" w:cs="Tahoma"/>
      <w:color w:val="000000"/>
      <w:szCs w:val="20"/>
      <w:shd w:val="clear" w:color="auto" w:fill="00CCFF"/>
      <w:lang w:eastAsia="en-AU"/>
    </w:rPr>
  </w:style>
  <w:style w:type="character" w:styleId="EndnoteReference">
    <w:name w:val="endnote reference"/>
    <w:basedOn w:val="DefaultParagraphFont"/>
    <w:rsid w:val="00F73064"/>
    <w:rPr>
      <w:vertAlign w:val="superscript"/>
    </w:rPr>
  </w:style>
  <w:style w:type="paragraph" w:styleId="EndnoteText">
    <w:name w:val="endnote text"/>
    <w:basedOn w:val="Normal"/>
    <w:link w:val="EndnoteTextChar"/>
    <w:rsid w:val="00F73064"/>
    <w:pPr>
      <w:spacing w:after="0"/>
    </w:pPr>
    <w:rPr>
      <w:sz w:val="20"/>
    </w:rPr>
  </w:style>
  <w:style w:type="character" w:customStyle="1" w:styleId="EndnoteTextChar">
    <w:name w:val="Endnote Text Char"/>
    <w:basedOn w:val="DefaultParagraphFont"/>
    <w:link w:val="EndnoteText"/>
    <w:rsid w:val="00F73064"/>
    <w:rPr>
      <w:sz w:val="20"/>
    </w:rPr>
  </w:style>
  <w:style w:type="character" w:styleId="FollowedHyperlink">
    <w:name w:val="FollowedHyperlink"/>
    <w:basedOn w:val="DefaultParagraphFont"/>
    <w:uiPriority w:val="99"/>
    <w:rsid w:val="00B55137"/>
    <w:rPr>
      <w:color w:val="auto"/>
      <w:u w:val="none"/>
    </w:rPr>
  </w:style>
  <w:style w:type="paragraph" w:styleId="Index1">
    <w:name w:val="index 1"/>
    <w:basedOn w:val="Normal"/>
    <w:next w:val="Normal"/>
    <w:autoRedefine/>
    <w:semiHidden/>
    <w:rsid w:val="00F73064"/>
    <w:pPr>
      <w:spacing w:after="0"/>
      <w:ind w:left="238" w:hanging="238"/>
    </w:pPr>
  </w:style>
  <w:style w:type="paragraph" w:styleId="Index2">
    <w:name w:val="index 2"/>
    <w:basedOn w:val="Normal"/>
    <w:next w:val="Normal"/>
    <w:autoRedefine/>
    <w:semiHidden/>
    <w:rsid w:val="00F73064"/>
    <w:pPr>
      <w:spacing w:after="0"/>
      <w:ind w:left="480" w:hanging="240"/>
    </w:pPr>
    <w:rPr>
      <w:sz w:val="20"/>
    </w:rPr>
  </w:style>
  <w:style w:type="paragraph" w:styleId="Index3">
    <w:name w:val="index 3"/>
    <w:basedOn w:val="Normal"/>
    <w:next w:val="Normal"/>
    <w:autoRedefine/>
    <w:semiHidden/>
    <w:rsid w:val="00B55137"/>
    <w:pPr>
      <w:ind w:left="600" w:hanging="200"/>
    </w:pPr>
  </w:style>
  <w:style w:type="paragraph" w:styleId="Index4">
    <w:name w:val="index 4"/>
    <w:basedOn w:val="Normal"/>
    <w:next w:val="Normal"/>
    <w:autoRedefine/>
    <w:semiHidden/>
    <w:rsid w:val="00B55137"/>
    <w:pPr>
      <w:ind w:left="800" w:hanging="200"/>
    </w:pPr>
  </w:style>
  <w:style w:type="paragraph" w:styleId="Index5">
    <w:name w:val="index 5"/>
    <w:basedOn w:val="Normal"/>
    <w:next w:val="Normal"/>
    <w:autoRedefine/>
    <w:semiHidden/>
    <w:rsid w:val="00B55137"/>
    <w:pPr>
      <w:ind w:left="1000" w:hanging="200"/>
    </w:pPr>
  </w:style>
  <w:style w:type="paragraph" w:styleId="Index6">
    <w:name w:val="index 6"/>
    <w:basedOn w:val="Normal"/>
    <w:next w:val="Normal"/>
    <w:autoRedefine/>
    <w:semiHidden/>
    <w:rsid w:val="00B55137"/>
    <w:pPr>
      <w:ind w:left="1200" w:hanging="200"/>
    </w:pPr>
  </w:style>
  <w:style w:type="paragraph" w:styleId="Index7">
    <w:name w:val="index 7"/>
    <w:basedOn w:val="Normal"/>
    <w:next w:val="Normal"/>
    <w:autoRedefine/>
    <w:semiHidden/>
    <w:rsid w:val="00B55137"/>
    <w:pPr>
      <w:ind w:left="1400" w:hanging="200"/>
    </w:pPr>
  </w:style>
  <w:style w:type="paragraph" w:styleId="Index8">
    <w:name w:val="index 8"/>
    <w:basedOn w:val="Normal"/>
    <w:next w:val="Normal"/>
    <w:autoRedefine/>
    <w:semiHidden/>
    <w:rsid w:val="00B55137"/>
    <w:pPr>
      <w:ind w:left="1600" w:hanging="200"/>
    </w:pPr>
  </w:style>
  <w:style w:type="paragraph" w:styleId="Index9">
    <w:name w:val="index 9"/>
    <w:basedOn w:val="Normal"/>
    <w:next w:val="Normal"/>
    <w:autoRedefine/>
    <w:semiHidden/>
    <w:rsid w:val="00B55137"/>
    <w:pPr>
      <w:ind w:left="1800" w:hanging="200"/>
    </w:pPr>
  </w:style>
  <w:style w:type="paragraph" w:styleId="IndexHeading">
    <w:name w:val="index heading"/>
    <w:basedOn w:val="Normal"/>
    <w:next w:val="Index1"/>
    <w:semiHidden/>
    <w:rsid w:val="00F73064"/>
    <w:pPr>
      <w:pBdr>
        <w:top w:val="single" w:sz="12" w:space="0" w:color="auto"/>
      </w:pBdr>
      <w:spacing w:before="360"/>
    </w:pPr>
    <w:rPr>
      <w:rFonts w:ascii="Times New Roman" w:hAnsi="Times New Roman"/>
      <w:b/>
      <w:i/>
    </w:rPr>
  </w:style>
  <w:style w:type="paragraph" w:styleId="MacroText">
    <w:name w:val="macro"/>
    <w:link w:val="MacroTextChar"/>
    <w:semiHidden/>
    <w:rsid w:val="00B55137"/>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B55137"/>
    <w:rPr>
      <w:rFonts w:ascii="Courier New" w:eastAsia="Times New Roman" w:hAnsi="Courier New" w:cs="Courier New"/>
      <w:color w:val="000000"/>
      <w:sz w:val="20"/>
      <w:szCs w:val="20"/>
      <w:lang w:eastAsia="en-AU"/>
    </w:rPr>
  </w:style>
  <w:style w:type="numbering" w:customStyle="1" w:styleId="OutlineList">
    <w:name w:val="OutlineList"/>
    <w:uiPriority w:val="99"/>
    <w:rsid w:val="003E0E7B"/>
    <w:pPr>
      <w:numPr>
        <w:numId w:val="5"/>
      </w:numPr>
    </w:pPr>
  </w:style>
  <w:style w:type="paragraph" w:customStyle="1" w:styleId="PictureCentred">
    <w:name w:val="Picture Centred"/>
    <w:basedOn w:val="Normal"/>
    <w:rsid w:val="00B55137"/>
    <w:pPr>
      <w:spacing w:before="120" w:line="240" w:lineRule="atLeast"/>
      <w:jc w:val="center"/>
    </w:pPr>
  </w:style>
  <w:style w:type="paragraph" w:customStyle="1" w:styleId="PictureLeft">
    <w:name w:val="Picture Left"/>
    <w:basedOn w:val="PictureCentred"/>
    <w:rsid w:val="00B55137"/>
    <w:pPr>
      <w:jc w:val="left"/>
    </w:pPr>
  </w:style>
  <w:style w:type="paragraph" w:customStyle="1" w:styleId="PictureIndent">
    <w:name w:val="Picture Indent"/>
    <w:basedOn w:val="PictureLeft"/>
    <w:rsid w:val="00B55137"/>
    <w:pPr>
      <w:ind w:left="284"/>
    </w:pPr>
  </w:style>
  <w:style w:type="paragraph" w:styleId="TableofAuthorities">
    <w:name w:val="table of authorities"/>
    <w:basedOn w:val="Normal"/>
    <w:next w:val="Normal"/>
    <w:rsid w:val="00B55137"/>
    <w:pPr>
      <w:ind w:left="200" w:hanging="200"/>
    </w:pPr>
  </w:style>
  <w:style w:type="paragraph" w:styleId="TableofFigures">
    <w:name w:val="table of figures"/>
    <w:basedOn w:val="Normal"/>
    <w:next w:val="Normal"/>
    <w:rsid w:val="00B55137"/>
  </w:style>
  <w:style w:type="paragraph" w:styleId="TOAHeading">
    <w:name w:val="toa heading"/>
    <w:basedOn w:val="Normal"/>
    <w:next w:val="Normal"/>
    <w:semiHidden/>
    <w:rsid w:val="00B55137"/>
    <w:pPr>
      <w:spacing w:before="120"/>
    </w:pPr>
    <w:rPr>
      <w:rFonts w:ascii="Arial" w:hAnsi="Arial" w:cs="Arial"/>
      <w:b/>
      <w:bCs/>
      <w:sz w:val="24"/>
      <w:szCs w:val="24"/>
    </w:rPr>
  </w:style>
  <w:style w:type="paragraph" w:styleId="TOC5">
    <w:name w:val="toc 5"/>
    <w:basedOn w:val="Normal"/>
    <w:next w:val="Normal"/>
    <w:autoRedefine/>
    <w:semiHidden/>
    <w:rsid w:val="00F73064"/>
    <w:pPr>
      <w:ind w:left="1040"/>
    </w:pPr>
  </w:style>
  <w:style w:type="paragraph" w:styleId="TOC6">
    <w:name w:val="toc 6"/>
    <w:basedOn w:val="Normal"/>
    <w:next w:val="Normal"/>
    <w:autoRedefine/>
    <w:semiHidden/>
    <w:rsid w:val="00F73064"/>
    <w:pPr>
      <w:ind w:left="1300"/>
    </w:pPr>
  </w:style>
  <w:style w:type="paragraph" w:styleId="TOC7">
    <w:name w:val="toc 7"/>
    <w:basedOn w:val="Normal"/>
    <w:next w:val="Normal"/>
    <w:autoRedefine/>
    <w:semiHidden/>
    <w:rsid w:val="00F73064"/>
    <w:pPr>
      <w:tabs>
        <w:tab w:val="right" w:leader="dot" w:pos="7711"/>
      </w:tabs>
      <w:spacing w:before="240" w:after="0"/>
    </w:pPr>
    <w:rPr>
      <w:rFonts w:ascii="Arial" w:hAnsi="Arial"/>
      <w:smallCaps/>
      <w:color w:val="808000"/>
      <w:sz w:val="24"/>
    </w:rPr>
  </w:style>
  <w:style w:type="paragraph" w:styleId="TOC8">
    <w:name w:val="toc 8"/>
    <w:basedOn w:val="Normal"/>
    <w:next w:val="Normal"/>
    <w:autoRedefine/>
    <w:semiHidden/>
    <w:rsid w:val="00F73064"/>
    <w:pPr>
      <w:tabs>
        <w:tab w:val="right" w:leader="dot" w:pos="7711"/>
      </w:tabs>
      <w:spacing w:after="0"/>
      <w:ind w:left="1134"/>
    </w:pPr>
    <w:rPr>
      <w:noProof/>
    </w:rPr>
  </w:style>
  <w:style w:type="paragraph" w:styleId="TOC9">
    <w:name w:val="toc 9"/>
    <w:basedOn w:val="Normal"/>
    <w:next w:val="Normal"/>
    <w:autoRedefine/>
    <w:semiHidden/>
    <w:rsid w:val="00F73064"/>
    <w:pPr>
      <w:ind w:left="2080"/>
    </w:pPr>
  </w:style>
  <w:style w:type="numbering" w:customStyle="1" w:styleId="BulletedList">
    <w:name w:val="Bulleted List"/>
    <w:uiPriority w:val="99"/>
    <w:rsid w:val="005F5653"/>
    <w:pPr>
      <w:numPr>
        <w:numId w:val="1"/>
      </w:numPr>
    </w:pPr>
  </w:style>
  <w:style w:type="numbering" w:customStyle="1" w:styleId="BoxBulletedList">
    <w:name w:val="Box Bulleted List"/>
    <w:uiPriority w:val="99"/>
    <w:rsid w:val="005F5653"/>
    <w:pPr>
      <w:numPr>
        <w:numId w:val="2"/>
      </w:numPr>
    </w:pPr>
  </w:style>
  <w:style w:type="numbering" w:customStyle="1" w:styleId="AlphaParagraphList">
    <w:name w:val="Alpha Paragraph List"/>
    <w:uiPriority w:val="99"/>
    <w:rsid w:val="009D0790"/>
    <w:pPr>
      <w:numPr>
        <w:numId w:val="3"/>
      </w:numPr>
    </w:pPr>
  </w:style>
  <w:style w:type="numbering" w:customStyle="1" w:styleId="OneLevelList">
    <w:name w:val="OneLevelList"/>
    <w:uiPriority w:val="99"/>
    <w:rsid w:val="003E0E7B"/>
    <w:pPr>
      <w:numPr>
        <w:numId w:val="4"/>
      </w:numPr>
    </w:pPr>
  </w:style>
  <w:style w:type="numbering" w:customStyle="1" w:styleId="RecommendationBulletList">
    <w:name w:val="RecommendationBulletList"/>
    <w:uiPriority w:val="99"/>
    <w:rsid w:val="00301A52"/>
    <w:pPr>
      <w:numPr>
        <w:numId w:val="6"/>
      </w:numPr>
    </w:pPr>
  </w:style>
  <w:style w:type="numbering" w:customStyle="1" w:styleId="RomanNumeralList">
    <w:name w:val="RomanNumeralList"/>
    <w:uiPriority w:val="99"/>
    <w:rsid w:val="009C7E17"/>
    <w:pPr>
      <w:numPr>
        <w:numId w:val="7"/>
      </w:numPr>
    </w:pPr>
  </w:style>
  <w:style w:type="numbering" w:customStyle="1" w:styleId="ChartandTableFootnoteAlphaList">
    <w:name w:val="ChartandTableFootnoteAlphaList"/>
    <w:uiPriority w:val="99"/>
    <w:rsid w:val="009862D1"/>
    <w:pPr>
      <w:numPr>
        <w:numId w:val="12"/>
      </w:numPr>
    </w:pPr>
  </w:style>
  <w:style w:type="paragraph" w:customStyle="1" w:styleId="TableTextBullet">
    <w:name w:val="Table Text Bullet"/>
    <w:basedOn w:val="TableTextBase"/>
    <w:rsid w:val="002271BB"/>
    <w:pPr>
      <w:numPr>
        <w:numId w:val="15"/>
      </w:numPr>
    </w:pPr>
  </w:style>
  <w:style w:type="numbering" w:customStyle="1" w:styleId="TableTestBulletList">
    <w:name w:val="Table Test Bullet List"/>
    <w:uiPriority w:val="99"/>
    <w:rsid w:val="00E177C9"/>
    <w:pPr>
      <w:numPr>
        <w:numId w:val="13"/>
      </w:numPr>
    </w:pPr>
  </w:style>
  <w:style w:type="numbering" w:customStyle="1" w:styleId="TableTextBulletList">
    <w:name w:val="Table Text Bullet List"/>
    <w:uiPriority w:val="99"/>
    <w:rsid w:val="005F3390"/>
    <w:pPr>
      <w:numPr>
        <w:numId w:val="14"/>
      </w:numPr>
    </w:pPr>
  </w:style>
  <w:style w:type="paragraph" w:customStyle="1" w:styleId="StyleTableTextBulletLinespacingExactly13pt">
    <w:name w:val="Style Table Text Bullet + Line spacing:  Exactly 13 pt"/>
    <w:basedOn w:val="TableTextBullet"/>
    <w:rsid w:val="002271BB"/>
    <w:pPr>
      <w:numPr>
        <w:numId w:val="0"/>
      </w:numPr>
      <w:spacing w:after="80" w:line="260" w:lineRule="exact"/>
    </w:pPr>
  </w:style>
  <w:style w:type="paragraph" w:customStyle="1" w:styleId="SecurityClassificationHeader">
    <w:name w:val="Security Classification Header"/>
    <w:link w:val="SecurityClassificationHeaderChar"/>
    <w:rsid w:val="00A57848"/>
    <w:pPr>
      <w:spacing w:before="60" w:after="60" w:line="240" w:lineRule="auto"/>
      <w:jc w:val="center"/>
    </w:pPr>
    <w:rPr>
      <w:rFonts w:eastAsia="Times New Roman" w:cs="Times New Roman"/>
      <w:b/>
      <w:caps/>
      <w:color w:val="002B54" w:themeColor="accent1"/>
      <w:sz w:val="24"/>
      <w:szCs w:val="20"/>
      <w:lang w:eastAsia="en-AU"/>
    </w:rPr>
  </w:style>
  <w:style w:type="character" w:customStyle="1" w:styleId="SecurityClassificationHeaderChar">
    <w:name w:val="Security Classification Header Char"/>
    <w:basedOn w:val="HeaderChar"/>
    <w:link w:val="SecurityClassificationHeader"/>
    <w:rsid w:val="00A57848"/>
    <w:rPr>
      <w:rFonts w:ascii="Arial" w:eastAsia="Times New Roman" w:hAnsi="Arial" w:cs="Times New Roman"/>
      <w:b/>
      <w:caps/>
      <w:color w:val="002B54" w:themeColor="accent1"/>
      <w:sz w:val="24"/>
      <w:szCs w:val="20"/>
      <w:lang w:eastAsia="en-AU"/>
    </w:rPr>
  </w:style>
  <w:style w:type="paragraph" w:customStyle="1" w:styleId="SecurityClassificationFooter">
    <w:name w:val="Security Classification Footer"/>
    <w:link w:val="SecurityClassificationFooterChar"/>
    <w:rsid w:val="00A57848"/>
    <w:pPr>
      <w:spacing w:before="60" w:after="40" w:line="240" w:lineRule="auto"/>
      <w:jc w:val="center"/>
    </w:pPr>
    <w:rPr>
      <w:rFonts w:eastAsia="Times New Roman" w:cs="Times New Roman"/>
      <w:b/>
      <w:caps/>
      <w:color w:val="002B54" w:themeColor="accent1"/>
      <w:sz w:val="24"/>
      <w:szCs w:val="20"/>
      <w:lang w:eastAsia="en-AU"/>
    </w:rPr>
  </w:style>
  <w:style w:type="character" w:customStyle="1" w:styleId="SecurityClassificationFooterChar">
    <w:name w:val="Security Classification Footer Char"/>
    <w:basedOn w:val="HeaderChar"/>
    <w:link w:val="SecurityClassificationFooter"/>
    <w:rsid w:val="00A57848"/>
    <w:rPr>
      <w:rFonts w:ascii="Arial" w:eastAsia="Times New Roman" w:hAnsi="Arial" w:cs="Times New Roman"/>
      <w:b/>
      <w:caps/>
      <w:color w:val="002B54" w:themeColor="accent1"/>
      <w:sz w:val="24"/>
      <w:szCs w:val="20"/>
      <w:lang w:eastAsia="en-AU"/>
    </w:rPr>
  </w:style>
  <w:style w:type="paragraph" w:customStyle="1" w:styleId="DLMSecurityHeader">
    <w:name w:val="DLM Security Header"/>
    <w:link w:val="DLMSecurityHeaderChar"/>
    <w:rsid w:val="00F012EA"/>
    <w:pPr>
      <w:spacing w:before="60" w:after="240"/>
      <w:jc w:val="center"/>
    </w:pPr>
    <w:rPr>
      <w:rFonts w:ascii="Times New Roman" w:eastAsia="Times New Roman" w:hAnsi="Times New Roman" w:cs="Times New Roman"/>
      <w:b/>
      <w:caps/>
      <w:color w:val="002B54" w:themeColor="accent1"/>
      <w:sz w:val="24"/>
      <w:szCs w:val="20"/>
      <w:lang w:eastAsia="en-AU"/>
    </w:rPr>
  </w:style>
  <w:style w:type="character" w:customStyle="1" w:styleId="DLMSecurityHeaderChar">
    <w:name w:val="DLM Security Header Char"/>
    <w:basedOn w:val="HeaderChar"/>
    <w:link w:val="DLMSecurityHeader"/>
    <w:rsid w:val="00F012EA"/>
    <w:rPr>
      <w:rFonts w:ascii="Times New Roman" w:eastAsia="Times New Roman" w:hAnsi="Times New Roman" w:cs="Times New Roman"/>
      <w:b/>
      <w:caps/>
      <w:color w:val="002B54" w:themeColor="accent1"/>
      <w:sz w:val="24"/>
      <w:szCs w:val="20"/>
      <w:lang w:eastAsia="en-AU"/>
    </w:rPr>
  </w:style>
  <w:style w:type="paragraph" w:customStyle="1" w:styleId="DLMSecurityFooter">
    <w:name w:val="DLM Security Footer"/>
    <w:link w:val="DLMSecurityFooterChar"/>
    <w:rsid w:val="00F012EA"/>
    <w:pPr>
      <w:spacing w:before="240" w:after="60"/>
      <w:jc w:val="center"/>
    </w:pPr>
    <w:rPr>
      <w:rFonts w:ascii="Times New Roman" w:eastAsia="Times New Roman" w:hAnsi="Times New Roman" w:cs="Times New Roman"/>
      <w:b/>
      <w:caps/>
      <w:color w:val="002B54" w:themeColor="accent1"/>
      <w:sz w:val="24"/>
      <w:szCs w:val="20"/>
      <w:lang w:eastAsia="en-AU"/>
    </w:rPr>
  </w:style>
  <w:style w:type="character" w:customStyle="1" w:styleId="DLMSecurityFooterChar">
    <w:name w:val="DLM Security Footer Char"/>
    <w:basedOn w:val="HeaderChar"/>
    <w:link w:val="DLMSecurityFooter"/>
    <w:rsid w:val="00F012EA"/>
    <w:rPr>
      <w:rFonts w:ascii="Times New Roman" w:eastAsia="Times New Roman" w:hAnsi="Times New Roman" w:cs="Times New Roman"/>
      <w:b/>
      <w:caps/>
      <w:color w:val="002B54" w:themeColor="accent1"/>
      <w:sz w:val="24"/>
      <w:szCs w:val="20"/>
      <w:lang w:eastAsia="en-AU"/>
    </w:rPr>
  </w:style>
  <w:style w:type="paragraph" w:customStyle="1" w:styleId="AuthorName">
    <w:name w:val="Author Name"/>
    <w:basedOn w:val="Normal"/>
    <w:rsid w:val="00032DF4"/>
    <w:pPr>
      <w:spacing w:before="120" w:after="120" w:line="240" w:lineRule="auto"/>
      <w:jc w:val="center"/>
    </w:pPr>
    <w:rPr>
      <w:rFonts w:ascii="Arial Bold" w:hAnsi="Arial Bold"/>
      <w:b/>
      <w:sz w:val="24"/>
    </w:rPr>
  </w:style>
  <w:style w:type="paragraph" w:styleId="Title">
    <w:name w:val="Title"/>
    <w:basedOn w:val="HeadingBaseStyle"/>
    <w:link w:val="TitleChar"/>
    <w:autoRedefine/>
    <w:qFormat/>
    <w:rsid w:val="00DC2F1A"/>
    <w:pPr>
      <w:spacing w:before="3720" w:after="480" w:line="240" w:lineRule="auto"/>
      <w:jc w:val="center"/>
    </w:pPr>
    <w:rPr>
      <w:rFonts w:ascii="Arial Bold" w:hAnsi="Arial Bold"/>
      <w:b/>
      <w:smallCaps/>
      <w:kern w:val="28"/>
      <w:sz w:val="56"/>
    </w:rPr>
  </w:style>
  <w:style w:type="character" w:customStyle="1" w:styleId="TitleChar">
    <w:name w:val="Title Char"/>
    <w:basedOn w:val="DefaultParagraphFont"/>
    <w:link w:val="Title"/>
    <w:rsid w:val="00DC2F1A"/>
    <w:rPr>
      <w:rFonts w:ascii="Arial Bold" w:hAnsi="Arial Bold"/>
      <w:b/>
      <w:smallCaps/>
      <w:color w:val="003157"/>
      <w:kern w:val="28"/>
      <w:sz w:val="56"/>
    </w:rPr>
  </w:style>
  <w:style w:type="paragraph" w:styleId="Subtitle">
    <w:name w:val="Subtitle"/>
    <w:basedOn w:val="Normal"/>
    <w:link w:val="SubtitleChar"/>
    <w:uiPriority w:val="11"/>
    <w:qFormat/>
    <w:rsid w:val="00032DF4"/>
    <w:pPr>
      <w:spacing w:line="240" w:lineRule="auto"/>
      <w:jc w:val="center"/>
    </w:pPr>
    <w:rPr>
      <w:b/>
      <w:sz w:val="40"/>
      <w:szCs w:val="40"/>
    </w:rPr>
  </w:style>
  <w:style w:type="character" w:customStyle="1" w:styleId="SubtitleChar">
    <w:name w:val="Subtitle Char"/>
    <w:basedOn w:val="DefaultParagraphFont"/>
    <w:link w:val="Subtitle"/>
    <w:uiPriority w:val="11"/>
    <w:rsid w:val="00032DF4"/>
    <w:rPr>
      <w:rFonts w:ascii="Calibri" w:hAnsi="Calibri"/>
      <w:b/>
      <w:color w:val="000000" w:themeColor="text1"/>
      <w:sz w:val="40"/>
      <w:szCs w:val="40"/>
    </w:rPr>
  </w:style>
  <w:style w:type="paragraph" w:customStyle="1" w:styleId="SeriesNumber">
    <w:name w:val="Series Number"/>
    <w:basedOn w:val="HeadingBaseStyle"/>
    <w:rsid w:val="00F73064"/>
    <w:pPr>
      <w:spacing w:after="300"/>
      <w:jc w:val="center"/>
    </w:pPr>
    <w:rPr>
      <w:rFonts w:ascii="Arial Bold" w:hAnsi="Arial Bold"/>
      <w:b/>
      <w:color w:val="auto"/>
      <w:sz w:val="32"/>
    </w:rPr>
  </w:style>
  <w:style w:type="character" w:customStyle="1" w:styleId="A5">
    <w:name w:val="A5"/>
    <w:uiPriority w:val="99"/>
    <w:rsid w:val="00F73064"/>
    <w:rPr>
      <w:rFonts w:cs="Swiss 721 BT"/>
      <w:color w:val="000000"/>
      <w:sz w:val="20"/>
      <w:szCs w:val="20"/>
    </w:rPr>
  </w:style>
  <w:style w:type="paragraph" w:customStyle="1" w:styleId="Abstract">
    <w:name w:val="Abstract"/>
    <w:basedOn w:val="Normal"/>
    <w:link w:val="AbstractChar"/>
    <w:qFormat/>
    <w:rsid w:val="00F73064"/>
  </w:style>
  <w:style w:type="character" w:customStyle="1" w:styleId="AbstractChar">
    <w:name w:val="Abstract Char"/>
    <w:basedOn w:val="DefaultParagraphFont"/>
    <w:link w:val="Abstract"/>
    <w:rsid w:val="00F73064"/>
  </w:style>
  <w:style w:type="paragraph" w:customStyle="1" w:styleId="AppendixHeadingLevel2NotNumbered">
    <w:name w:val="Appendix Heading Level 2 Not Numbered"/>
    <w:basedOn w:val="Normal"/>
    <w:qFormat/>
    <w:rsid w:val="00F73064"/>
    <w:pPr>
      <w:spacing w:before="480" w:after="320"/>
    </w:pPr>
    <w:rPr>
      <w:rFonts w:ascii="Arial Bold" w:hAnsi="Arial Bold" w:cs="Arial"/>
      <w:b/>
      <w:smallCaps/>
      <w:color w:val="003157"/>
      <w:sz w:val="32"/>
      <w:szCs w:val="32"/>
    </w:rPr>
  </w:style>
  <w:style w:type="paragraph" w:customStyle="1" w:styleId="Acknowledgement">
    <w:name w:val="Acknowledgement"/>
    <w:basedOn w:val="Normal"/>
    <w:rsid w:val="00F73064"/>
    <w:pPr>
      <w:spacing w:after="0"/>
    </w:pPr>
  </w:style>
  <w:style w:type="paragraph" w:customStyle="1" w:styleId="Alphanumbered">
    <w:name w:val="Alpha numbered"/>
    <w:basedOn w:val="Normal"/>
    <w:rsid w:val="00F73064"/>
    <w:pPr>
      <w:numPr>
        <w:numId w:val="16"/>
      </w:numPr>
    </w:pPr>
  </w:style>
  <w:style w:type="paragraph" w:customStyle="1" w:styleId="HeadingBaseStyle">
    <w:name w:val="HeadingBaseStyle"/>
    <w:basedOn w:val="Normal"/>
    <w:rsid w:val="00F73064"/>
    <w:pPr>
      <w:keepNext/>
      <w:spacing w:after="0"/>
    </w:pPr>
    <w:rPr>
      <w:rFonts w:ascii="Arial" w:hAnsi="Arial"/>
      <w:color w:val="003157"/>
    </w:rPr>
  </w:style>
  <w:style w:type="paragraph" w:customStyle="1" w:styleId="AppendixHeadingNotNumbered">
    <w:name w:val="Appendix Heading Not Numbered"/>
    <w:basedOn w:val="HeadingBaseStyle"/>
    <w:rsid w:val="00F73064"/>
    <w:pPr>
      <w:numPr>
        <w:numId w:val="17"/>
      </w:numPr>
      <w:spacing w:before="480" w:after="320"/>
    </w:pPr>
    <w:rPr>
      <w:b/>
      <w:smallCaps/>
      <w:sz w:val="32"/>
      <w:szCs w:val="28"/>
    </w:rPr>
  </w:style>
  <w:style w:type="paragraph" w:customStyle="1" w:styleId="AppendixHeadingLevel2">
    <w:name w:val="Appendix Heading Level 2"/>
    <w:basedOn w:val="AppendixHeadingNotNumbered"/>
    <w:next w:val="Normal"/>
    <w:rsid w:val="00F73064"/>
    <w:pPr>
      <w:numPr>
        <w:ilvl w:val="1"/>
      </w:numPr>
    </w:pPr>
  </w:style>
  <w:style w:type="paragraph" w:customStyle="1" w:styleId="AppendixHeadingLevel3">
    <w:name w:val="Appendix Heading Level 3"/>
    <w:basedOn w:val="Heading3"/>
    <w:next w:val="Normal"/>
    <w:rsid w:val="00F73064"/>
    <w:pPr>
      <w:numPr>
        <w:ilvl w:val="2"/>
        <w:numId w:val="17"/>
      </w:numPr>
    </w:pPr>
  </w:style>
  <w:style w:type="paragraph" w:customStyle="1" w:styleId="AppendixHeadingLevel4">
    <w:name w:val="Appendix Heading Level 4"/>
    <w:basedOn w:val="Heading4"/>
    <w:next w:val="Normal"/>
    <w:rsid w:val="00F73064"/>
    <w:pPr>
      <w:numPr>
        <w:ilvl w:val="3"/>
        <w:numId w:val="17"/>
      </w:numPr>
    </w:pPr>
  </w:style>
  <w:style w:type="paragraph" w:customStyle="1" w:styleId="Attachment">
    <w:name w:val="Attachment"/>
    <w:basedOn w:val="HeadingBaseStyle"/>
    <w:next w:val="Normal"/>
    <w:rsid w:val="00F73064"/>
    <w:pPr>
      <w:spacing w:before="480" w:after="360"/>
    </w:pPr>
    <w:rPr>
      <w:rFonts w:ascii="Arial Bold" w:hAnsi="Arial Bold"/>
      <w:b/>
      <w:smallCaps/>
      <w:sz w:val="32"/>
    </w:rPr>
  </w:style>
  <w:style w:type="paragraph" w:customStyle="1" w:styleId="CaptionandTableFootnoteAlpha">
    <w:name w:val="Caption and Table Footnote Alpha"/>
    <w:basedOn w:val="HeadingBaseStyle"/>
    <w:next w:val="Normal"/>
    <w:rsid w:val="00F73064"/>
    <w:pPr>
      <w:numPr>
        <w:numId w:val="18"/>
      </w:numPr>
      <w:spacing w:line="260" w:lineRule="exact"/>
    </w:pPr>
    <w:rPr>
      <w:rFonts w:asciiTheme="minorHAnsi" w:hAnsiTheme="minorHAnsi"/>
      <w:color w:val="auto"/>
      <w:kern w:val="28"/>
      <w:sz w:val="20"/>
    </w:rPr>
  </w:style>
  <w:style w:type="paragraph" w:customStyle="1" w:styleId="Captiongraphic">
    <w:name w:val="Caption graphic"/>
    <w:basedOn w:val="HeadingBaseStyle"/>
    <w:next w:val="Normal"/>
    <w:rsid w:val="00F73064"/>
    <w:pPr>
      <w:spacing w:after="20"/>
      <w:jc w:val="center"/>
    </w:pPr>
    <w:rPr>
      <w:color w:val="auto"/>
      <w:sz w:val="24"/>
    </w:rPr>
  </w:style>
  <w:style w:type="paragraph" w:customStyle="1" w:styleId="CaptionHeading1">
    <w:name w:val="Caption Heading 1"/>
    <w:basedOn w:val="Normal"/>
    <w:next w:val="Captiongraphic"/>
    <w:rsid w:val="00F73064"/>
    <w:pPr>
      <w:keepNext/>
      <w:spacing w:before="120" w:after="0"/>
      <w:jc w:val="center"/>
    </w:pPr>
    <w:rPr>
      <w:rFonts w:ascii="Arial" w:hAnsi="Arial"/>
      <w:color w:val="003157"/>
      <w:sz w:val="24"/>
    </w:rPr>
  </w:style>
  <w:style w:type="paragraph" w:customStyle="1" w:styleId="CaptionHeading2">
    <w:name w:val="Caption Heading 2"/>
    <w:basedOn w:val="Normal"/>
    <w:rsid w:val="00F73064"/>
    <w:pPr>
      <w:keepNext/>
      <w:spacing w:after="0"/>
      <w:jc w:val="center"/>
    </w:pPr>
    <w:rPr>
      <w:rFonts w:ascii="Arial" w:hAnsi="Arial"/>
      <w:color w:val="003157"/>
      <w:sz w:val="20"/>
    </w:rPr>
  </w:style>
  <w:style w:type="paragraph" w:customStyle="1" w:styleId="CaptionHeading3">
    <w:name w:val="Caption Heading 3"/>
    <w:basedOn w:val="CaptionHeading2"/>
    <w:next w:val="Captiongraphic"/>
    <w:rsid w:val="00F73064"/>
    <w:rPr>
      <w:rFonts w:ascii="Arial Bold" w:hAnsi="Arial Bold"/>
      <w:b/>
      <w:color w:val="000000"/>
    </w:rPr>
  </w:style>
  <w:style w:type="paragraph" w:styleId="NoSpacing">
    <w:name w:val="No Spacing"/>
    <w:link w:val="NoSpacingChar"/>
    <w:uiPriority w:val="1"/>
    <w:rsid w:val="00F73064"/>
    <w:pPr>
      <w:spacing w:after="0" w:line="240" w:lineRule="auto"/>
      <w:jc w:val="both"/>
    </w:pPr>
    <w:rPr>
      <w:rFonts w:ascii="Palatino Linotype" w:eastAsia="Times New Roman" w:hAnsi="Palatino Linotype" w:cs="Times New Roman"/>
      <w:color w:val="000000"/>
      <w:sz w:val="26"/>
      <w:szCs w:val="20"/>
      <w:lang w:eastAsia="en-AU"/>
    </w:rPr>
  </w:style>
  <w:style w:type="character" w:customStyle="1" w:styleId="NoSpacingChar">
    <w:name w:val="No Spacing Char"/>
    <w:basedOn w:val="DefaultParagraphFont"/>
    <w:link w:val="NoSpacing"/>
    <w:uiPriority w:val="1"/>
    <w:rsid w:val="00F73064"/>
    <w:rPr>
      <w:rFonts w:ascii="Palatino Linotype" w:eastAsia="Times New Roman" w:hAnsi="Palatino Linotype" w:cs="Times New Roman"/>
      <w:color w:val="000000"/>
      <w:sz w:val="26"/>
      <w:szCs w:val="20"/>
      <w:lang w:eastAsia="en-AU"/>
    </w:rPr>
  </w:style>
  <w:style w:type="paragraph" w:customStyle="1" w:styleId="Caption1">
    <w:name w:val="Caption1"/>
    <w:basedOn w:val="NoSpacing"/>
    <w:link w:val="Caption1Char"/>
    <w:qFormat/>
    <w:rsid w:val="00F73064"/>
    <w:pPr>
      <w:keepNext/>
      <w:tabs>
        <w:tab w:val="left" w:pos="4438"/>
      </w:tabs>
      <w:jc w:val="center"/>
    </w:pPr>
    <w:rPr>
      <w:rFonts w:ascii="Arial" w:hAnsi="Arial"/>
      <w:color w:val="003157"/>
      <w:sz w:val="24"/>
      <w:szCs w:val="24"/>
    </w:rPr>
  </w:style>
  <w:style w:type="character" w:customStyle="1" w:styleId="Caption1Char">
    <w:name w:val="Caption1 Char"/>
    <w:basedOn w:val="NoSpacingChar"/>
    <w:link w:val="Caption1"/>
    <w:rsid w:val="00F73064"/>
    <w:rPr>
      <w:rFonts w:ascii="Arial" w:eastAsia="Times New Roman" w:hAnsi="Arial" w:cs="Times New Roman"/>
      <w:color w:val="003157"/>
      <w:sz w:val="24"/>
      <w:szCs w:val="24"/>
      <w:lang w:eastAsia="en-AU"/>
    </w:rPr>
  </w:style>
  <w:style w:type="paragraph" w:customStyle="1" w:styleId="ClassificationandMetadata">
    <w:name w:val="Classification and Metadata"/>
    <w:basedOn w:val="HeadingBaseStyle"/>
    <w:rsid w:val="00F73064"/>
    <w:pPr>
      <w:spacing w:after="240" w:line="260" w:lineRule="exact"/>
    </w:pPr>
    <w:rPr>
      <w:color w:val="auto"/>
      <w:sz w:val="24"/>
    </w:rPr>
  </w:style>
  <w:style w:type="character" w:styleId="Emphasis">
    <w:name w:val="Emphasis"/>
    <w:basedOn w:val="DefaultParagraphFont"/>
    <w:uiPriority w:val="20"/>
    <w:qFormat/>
    <w:rsid w:val="00F73064"/>
    <w:rPr>
      <w:i/>
      <w:iCs/>
    </w:rPr>
  </w:style>
  <w:style w:type="paragraph" w:customStyle="1" w:styleId="Equation">
    <w:name w:val="Equation"/>
    <w:basedOn w:val="Normal"/>
    <w:next w:val="Normal"/>
    <w:rsid w:val="00F73064"/>
    <w:pPr>
      <w:spacing w:before="120" w:after="120"/>
      <w:ind w:left="357"/>
    </w:pPr>
    <w:rPr>
      <w:rFonts w:ascii="Times New Roman" w:hAnsi="Times New Roman"/>
    </w:rPr>
  </w:style>
  <w:style w:type="paragraph" w:customStyle="1" w:styleId="ExampleBullet">
    <w:name w:val="Example Bullet"/>
    <w:basedOn w:val="Normal"/>
    <w:rsid w:val="00F73064"/>
    <w:pPr>
      <w:numPr>
        <w:numId w:val="20"/>
      </w:numPr>
      <w:spacing w:before="40" w:after="40"/>
    </w:pPr>
    <w:rPr>
      <w:rFonts w:ascii="Arial" w:hAnsi="Arial"/>
      <w:sz w:val="18"/>
    </w:rPr>
  </w:style>
  <w:style w:type="paragraph" w:customStyle="1" w:styleId="Heading2-Numbered">
    <w:name w:val="Heading 2 - Numbered"/>
    <w:basedOn w:val="Heading1-Numbered"/>
    <w:rsid w:val="0098411F"/>
    <w:pPr>
      <w:tabs>
        <w:tab w:val="clear" w:pos="426"/>
        <w:tab w:val="left" w:pos="567"/>
      </w:tabs>
      <w:spacing w:before="80" w:after="300"/>
      <w:ind w:left="567" w:hanging="567"/>
      <w:outlineLvl w:val="1"/>
    </w:pPr>
    <w:rPr>
      <w:sz w:val="32"/>
    </w:rPr>
  </w:style>
  <w:style w:type="paragraph" w:customStyle="1" w:styleId="Heading3NotNumbered">
    <w:name w:val="Heading 3 Not Numbered"/>
    <w:basedOn w:val="Heading4"/>
    <w:rsid w:val="00F73064"/>
    <w:rPr>
      <w:b/>
    </w:rPr>
  </w:style>
  <w:style w:type="paragraph" w:customStyle="1" w:styleId="Indented">
    <w:name w:val="Indented"/>
    <w:basedOn w:val="Normal"/>
    <w:rsid w:val="00F73064"/>
    <w:pPr>
      <w:ind w:left="851"/>
    </w:pPr>
  </w:style>
  <w:style w:type="paragraph" w:styleId="IntenseQuote">
    <w:name w:val="Intense Quote"/>
    <w:basedOn w:val="Normal"/>
    <w:next w:val="Normal"/>
    <w:link w:val="IntenseQuoteChar"/>
    <w:uiPriority w:val="30"/>
    <w:rsid w:val="00F73064"/>
    <w:pPr>
      <w:pBdr>
        <w:bottom w:val="single" w:sz="4" w:space="4" w:color="002B54" w:themeColor="accent1"/>
      </w:pBdr>
      <w:spacing w:before="200" w:after="280"/>
      <w:ind w:left="936" w:right="936"/>
    </w:pPr>
    <w:rPr>
      <w:b/>
      <w:bCs/>
      <w:i/>
      <w:iCs/>
      <w:color w:val="002B54" w:themeColor="accent1"/>
    </w:rPr>
  </w:style>
  <w:style w:type="character" w:customStyle="1" w:styleId="IntenseQuoteChar">
    <w:name w:val="Intense Quote Char"/>
    <w:basedOn w:val="DefaultParagraphFont"/>
    <w:link w:val="IntenseQuote"/>
    <w:uiPriority w:val="30"/>
    <w:rsid w:val="00F73064"/>
    <w:rPr>
      <w:b/>
      <w:bCs/>
      <w:i/>
      <w:iCs/>
      <w:color w:val="002B54" w:themeColor="accent1"/>
    </w:rPr>
  </w:style>
  <w:style w:type="paragraph" w:customStyle="1" w:styleId="MTDisplayEquation">
    <w:name w:val="MTDisplayEquation"/>
    <w:basedOn w:val="Normal"/>
    <w:next w:val="Normal"/>
    <w:link w:val="MTDisplayEquationChar"/>
    <w:rsid w:val="00F73064"/>
    <w:pPr>
      <w:tabs>
        <w:tab w:val="center" w:pos="4640"/>
        <w:tab w:val="right" w:pos="9300"/>
      </w:tabs>
    </w:pPr>
  </w:style>
  <w:style w:type="character" w:customStyle="1" w:styleId="MTDisplayEquationChar">
    <w:name w:val="MTDisplayEquation Char"/>
    <w:basedOn w:val="DefaultParagraphFont"/>
    <w:link w:val="MTDisplayEquation"/>
    <w:rsid w:val="00F73064"/>
  </w:style>
  <w:style w:type="character" w:customStyle="1" w:styleId="MTEquationSection">
    <w:name w:val="MTEquationSection"/>
    <w:basedOn w:val="DefaultParagraphFont"/>
    <w:rsid w:val="00F73064"/>
    <w:rPr>
      <w:vanish w:val="0"/>
      <w:color w:val="FF0000"/>
    </w:rPr>
  </w:style>
  <w:style w:type="character" w:customStyle="1" w:styleId="NormalBold">
    <w:name w:val="Normal Bold"/>
    <w:basedOn w:val="DefaultParagraphFont"/>
    <w:rsid w:val="00F73064"/>
    <w:rPr>
      <w:rFonts w:ascii="Calibri" w:hAnsi="Calibri"/>
      <w:b/>
      <w:sz w:val="22"/>
    </w:rPr>
  </w:style>
  <w:style w:type="character" w:customStyle="1" w:styleId="Normalitalics">
    <w:name w:val="Normal italics"/>
    <w:basedOn w:val="DefaultParagraphFont"/>
    <w:rsid w:val="00F73064"/>
    <w:rPr>
      <w:i/>
    </w:rPr>
  </w:style>
  <w:style w:type="paragraph" w:customStyle="1" w:styleId="Note">
    <w:name w:val="Note"/>
    <w:basedOn w:val="HeadingBaseStyle"/>
    <w:next w:val="Normal"/>
    <w:rsid w:val="00F73064"/>
    <w:pPr>
      <w:tabs>
        <w:tab w:val="left" w:pos="284"/>
      </w:tabs>
      <w:spacing w:line="260" w:lineRule="exact"/>
    </w:pPr>
    <w:rPr>
      <w:rFonts w:asciiTheme="minorHAnsi" w:hAnsiTheme="minorHAnsi"/>
      <w:color w:val="000000"/>
      <w:sz w:val="20"/>
    </w:rPr>
  </w:style>
  <w:style w:type="paragraph" w:customStyle="1" w:styleId="Noteitalics">
    <w:name w:val="Note italics"/>
    <w:basedOn w:val="Note"/>
    <w:rsid w:val="00F73064"/>
    <w:rPr>
      <w:i/>
    </w:rPr>
  </w:style>
  <w:style w:type="paragraph" w:customStyle="1" w:styleId="NumberedParagraph">
    <w:name w:val="Numbered Paragraph"/>
    <w:basedOn w:val="Normal"/>
    <w:autoRedefine/>
    <w:rsid w:val="00F73064"/>
    <w:pPr>
      <w:numPr>
        <w:numId w:val="22"/>
      </w:numPr>
    </w:pPr>
  </w:style>
  <w:style w:type="character" w:styleId="PlaceholderText">
    <w:name w:val="Placeholder Text"/>
    <w:basedOn w:val="DefaultParagraphFont"/>
    <w:uiPriority w:val="99"/>
    <w:semiHidden/>
    <w:rsid w:val="00F73064"/>
    <w:rPr>
      <w:color w:val="808080"/>
    </w:rPr>
  </w:style>
  <w:style w:type="paragraph" w:customStyle="1" w:styleId="References">
    <w:name w:val="References"/>
    <w:basedOn w:val="Normal"/>
    <w:rsid w:val="00F73064"/>
    <w:pPr>
      <w:widowControl w:val="0"/>
      <w:adjustRightInd w:val="0"/>
      <w:textAlignment w:val="baseline"/>
    </w:pPr>
  </w:style>
  <w:style w:type="paragraph" w:customStyle="1" w:styleId="SeriesMonth">
    <w:name w:val="Series Month"/>
    <w:basedOn w:val="HeadingBaseStyle"/>
    <w:rsid w:val="00F73064"/>
    <w:pPr>
      <w:spacing w:after="240"/>
      <w:jc w:val="center"/>
    </w:pPr>
    <w:rPr>
      <w:rFonts w:ascii="Arial Bold" w:hAnsi="Arial Bold"/>
      <w:b/>
      <w:color w:val="auto"/>
      <w:sz w:val="32"/>
    </w:rPr>
  </w:style>
  <w:style w:type="paragraph" w:customStyle="1" w:styleId="Tablegraphic0">
    <w:name w:val="Table graphic"/>
    <w:basedOn w:val="HeadingBaseStyle"/>
    <w:next w:val="Normal"/>
    <w:rsid w:val="00F73064"/>
    <w:pPr>
      <w:spacing w:after="20"/>
      <w:ind w:right="-113"/>
    </w:pPr>
    <w:rPr>
      <w:color w:val="auto"/>
      <w:sz w:val="24"/>
    </w:rPr>
  </w:style>
  <w:style w:type="paragraph" w:customStyle="1" w:styleId="TableHeading1">
    <w:name w:val="Table Heading 1"/>
    <w:basedOn w:val="HeadingBaseStyle"/>
    <w:next w:val="Tablegraphic0"/>
    <w:rsid w:val="00F73064"/>
    <w:pPr>
      <w:spacing w:before="120" w:after="20"/>
      <w:jc w:val="center"/>
    </w:pPr>
    <w:rPr>
      <w:sz w:val="24"/>
    </w:rPr>
  </w:style>
  <w:style w:type="paragraph" w:customStyle="1" w:styleId="Tableheading2">
    <w:name w:val="Table heading 2"/>
    <w:basedOn w:val="TableHeading1"/>
    <w:next w:val="Tablegraphic0"/>
    <w:rsid w:val="00F73064"/>
    <w:pPr>
      <w:spacing w:before="0"/>
    </w:pPr>
    <w:rPr>
      <w:sz w:val="22"/>
    </w:rPr>
  </w:style>
  <w:style w:type="paragraph" w:customStyle="1" w:styleId="TableHeadingcontinued">
    <w:name w:val="Table Heading continued"/>
    <w:basedOn w:val="HeadingBaseStyle"/>
    <w:next w:val="Tablegraphic0"/>
    <w:rsid w:val="00F73064"/>
    <w:pPr>
      <w:jc w:val="center"/>
    </w:pPr>
  </w:style>
  <w:style w:type="paragraph" w:customStyle="1" w:styleId="Tabletextcentred">
    <w:name w:val="Table text centred"/>
    <w:basedOn w:val="TableTextBase"/>
    <w:rsid w:val="00F73064"/>
    <w:pPr>
      <w:jc w:val="center"/>
    </w:pPr>
  </w:style>
  <w:style w:type="paragraph" w:customStyle="1" w:styleId="Tabletextleft0">
    <w:name w:val="Table text left"/>
    <w:basedOn w:val="TableTextBase"/>
    <w:rsid w:val="00F73064"/>
  </w:style>
  <w:style w:type="character" w:customStyle="1" w:styleId="BulletChar">
    <w:name w:val="Bullet Char"/>
    <w:basedOn w:val="DefaultParagraphFont"/>
    <w:link w:val="Bullet"/>
    <w:rsid w:val="00067669"/>
    <w:rPr>
      <w:rFonts w:ascii="Calibri" w:hAnsi="Calibri"/>
      <w:color w:val="000000" w:themeColor="text1"/>
    </w:rPr>
  </w:style>
  <w:style w:type="character" w:customStyle="1" w:styleId="DashChar">
    <w:name w:val="Dash Char"/>
    <w:basedOn w:val="DefaultParagraphFont"/>
    <w:link w:val="Dash"/>
    <w:rsid w:val="00067669"/>
    <w:rPr>
      <w:rFonts w:ascii="Calibri" w:hAnsi="Calibri"/>
      <w:color w:val="000000" w:themeColor="text1"/>
    </w:rPr>
  </w:style>
  <w:style w:type="paragraph" w:customStyle="1" w:styleId="bullet0">
    <w:name w:val="bullet"/>
    <w:basedOn w:val="Normal"/>
    <w:rsid w:val="00067669"/>
    <w:pPr>
      <w:spacing w:before="100" w:beforeAutospacing="1" w:after="100" w:afterAutospacing="1"/>
    </w:pPr>
    <w:rPr>
      <w:rFonts w:ascii="Times New Roman" w:hAnsi="Times New Roman" w:cs="Times New Roman"/>
      <w:color w:val="auto"/>
      <w:sz w:val="24"/>
      <w:szCs w:val="24"/>
      <w:lang w:eastAsia="en-AU"/>
    </w:rPr>
  </w:style>
  <w:style w:type="paragraph" w:customStyle="1" w:styleId="dash0">
    <w:name w:val="dash"/>
    <w:basedOn w:val="Normal"/>
    <w:rsid w:val="00067669"/>
    <w:pPr>
      <w:spacing w:before="100" w:beforeAutospacing="1" w:after="100" w:afterAutospacing="1"/>
    </w:pPr>
    <w:rPr>
      <w:rFonts w:ascii="Times New Roman" w:hAnsi="Times New Roman" w:cs="Times New Roman"/>
      <w:color w:val="auto"/>
      <w:sz w:val="24"/>
      <w:szCs w:val="24"/>
      <w:lang w:eastAsia="en-AU"/>
    </w:rPr>
  </w:style>
  <w:style w:type="character" w:styleId="SubtleEmphasis">
    <w:name w:val="Subtle Emphasis"/>
    <w:basedOn w:val="DefaultParagraphFont"/>
    <w:uiPriority w:val="19"/>
    <w:qFormat/>
    <w:rsid w:val="00067669"/>
    <w:rPr>
      <w:i/>
      <w:iCs/>
      <w:color w:val="808080" w:themeColor="text1" w:themeTint="7F"/>
    </w:rPr>
  </w:style>
  <w:style w:type="character" w:customStyle="1" w:styleId="DoubleDotChar">
    <w:name w:val="Double Dot Char"/>
    <w:basedOn w:val="DefaultParagraphFont"/>
    <w:link w:val="DoubleDot"/>
    <w:rsid w:val="00067669"/>
    <w:rPr>
      <w:rFonts w:ascii="Calibri" w:hAnsi="Calibri"/>
      <w:color w:val="000000" w:themeColor="text1"/>
    </w:rPr>
  </w:style>
  <w:style w:type="paragraph" w:styleId="TOCHeading">
    <w:name w:val="TOC Heading"/>
    <w:basedOn w:val="Heading1"/>
    <w:next w:val="Normal"/>
    <w:uiPriority w:val="39"/>
    <w:unhideWhenUsed/>
    <w:qFormat/>
    <w:rsid w:val="00067669"/>
    <w:pPr>
      <w:keepLines/>
      <w:spacing w:after="0" w:line="276" w:lineRule="auto"/>
      <w:jc w:val="left"/>
      <w:outlineLvl w:val="9"/>
    </w:pPr>
    <w:rPr>
      <w:rFonts w:asciiTheme="majorHAnsi" w:eastAsiaTheme="majorEastAsia" w:hAnsiTheme="majorHAnsi" w:cstheme="majorBidi"/>
      <w:bCs/>
      <w:smallCaps w:val="0"/>
      <w:color w:val="001F3E" w:themeColor="accent1" w:themeShade="BF"/>
      <w:sz w:val="28"/>
      <w:szCs w:val="28"/>
      <w:lang w:val="en-US" w:eastAsia="ja-JP"/>
    </w:rPr>
  </w:style>
  <w:style w:type="character" w:customStyle="1" w:styleId="OutlineNumbered1Char">
    <w:name w:val="Outline Numbered 1 Char"/>
    <w:basedOn w:val="BulletChar"/>
    <w:link w:val="OutlineNumbered1"/>
    <w:rsid w:val="00067669"/>
    <w:rPr>
      <w:rFonts w:ascii="Calibri" w:hAnsi="Calibri"/>
      <w:color w:val="000000" w:themeColor="text1"/>
    </w:rPr>
  </w:style>
  <w:style w:type="character" w:customStyle="1" w:styleId="OutlineNumbered2Char">
    <w:name w:val="Outline Numbered 2 Char"/>
    <w:basedOn w:val="BulletChar"/>
    <w:link w:val="OutlineNumbered2"/>
    <w:rsid w:val="00067669"/>
    <w:rPr>
      <w:rFonts w:ascii="Calibri" w:hAnsi="Calibri"/>
      <w:color w:val="000000" w:themeColor="text1"/>
    </w:rPr>
  </w:style>
  <w:style w:type="character" w:customStyle="1" w:styleId="OutlineNumbered3Char">
    <w:name w:val="Outline Numbered 3 Char"/>
    <w:basedOn w:val="BulletChar"/>
    <w:link w:val="OutlineNumbered3"/>
    <w:rsid w:val="00067669"/>
    <w:rPr>
      <w:rFonts w:ascii="Calibri" w:hAnsi="Calibri"/>
      <w:color w:val="000000" w:themeColor="text1"/>
    </w:rPr>
  </w:style>
  <w:style w:type="character" w:styleId="Strong">
    <w:name w:val="Strong"/>
    <w:basedOn w:val="DefaultParagraphFont"/>
    <w:uiPriority w:val="22"/>
    <w:qFormat/>
    <w:rsid w:val="00067669"/>
    <w:rPr>
      <w:b/>
      <w:bCs/>
    </w:rPr>
  </w:style>
  <w:style w:type="paragraph" w:customStyle="1" w:styleId="Default">
    <w:name w:val="Default"/>
    <w:rsid w:val="00067669"/>
    <w:pPr>
      <w:autoSpaceDE w:val="0"/>
      <w:autoSpaceDN w:val="0"/>
      <w:adjustRightInd w:val="0"/>
      <w:spacing w:after="0" w:line="240" w:lineRule="auto"/>
    </w:pPr>
    <w:rPr>
      <w:rFonts w:ascii="Garamond" w:hAnsi="Garamond" w:cs="Garamond"/>
      <w:color w:val="000000"/>
      <w:sz w:val="24"/>
      <w:szCs w:val="24"/>
    </w:rPr>
  </w:style>
  <w:style w:type="paragraph" w:styleId="Revision">
    <w:name w:val="Revision"/>
    <w:hidden/>
    <w:uiPriority w:val="99"/>
    <w:semiHidden/>
    <w:rsid w:val="00067669"/>
    <w:pPr>
      <w:spacing w:after="0" w:line="240" w:lineRule="auto"/>
    </w:pPr>
  </w:style>
  <w:style w:type="table" w:customStyle="1" w:styleId="TableGrid1">
    <w:name w:val="Table Grid1"/>
    <w:basedOn w:val="TableNormal"/>
    <w:next w:val="TableGrid"/>
    <w:uiPriority w:val="59"/>
    <w:rsid w:val="0006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tGraphicChar">
    <w:name w:val="Chart Graphic Char"/>
    <w:basedOn w:val="BulletChar"/>
    <w:link w:val="ChartGraphic"/>
    <w:rsid w:val="005E1970"/>
    <w:rPr>
      <w:rFonts w:asciiTheme="majorHAnsi" w:eastAsia="Times New Roman" w:hAnsiTheme="majorHAnsi" w:cs="Times New Roman"/>
      <w:color w:val="003057"/>
      <w:sz w:val="20"/>
      <w:szCs w:val="20"/>
      <w:lang w:eastAsia="en-AU"/>
    </w:rPr>
  </w:style>
  <w:style w:type="table" w:customStyle="1" w:styleId="TableGrid2">
    <w:name w:val="Table Grid2"/>
    <w:basedOn w:val="TableNormal"/>
    <w:next w:val="TableGrid"/>
    <w:uiPriority w:val="59"/>
    <w:rsid w:val="0006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6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6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6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
    <w:name w:val="citation"/>
    <w:basedOn w:val="DefaultParagraphFont"/>
    <w:rsid w:val="00067669"/>
  </w:style>
  <w:style w:type="character" w:customStyle="1" w:styleId="oecd-shared-footercopyright-first">
    <w:name w:val="oecd-shared-footer__copyright-first"/>
    <w:basedOn w:val="DefaultParagraphFont"/>
    <w:rsid w:val="00067669"/>
  </w:style>
  <w:style w:type="character" w:customStyle="1" w:styleId="oecd-shared-footercopyright-second">
    <w:name w:val="oecd-shared-footer__copyright-second"/>
    <w:basedOn w:val="DefaultParagraphFont"/>
    <w:rsid w:val="00067669"/>
  </w:style>
  <w:style w:type="paragraph" w:styleId="ListParagraph">
    <w:name w:val="List Paragraph"/>
    <w:basedOn w:val="Normal"/>
    <w:uiPriority w:val="34"/>
    <w:qFormat/>
    <w:rsid w:val="00D5686F"/>
    <w:pPr>
      <w:spacing w:after="160" w:line="259" w:lineRule="auto"/>
      <w:ind w:left="720"/>
      <w:contextualSpacing/>
    </w:pPr>
    <w:rPr>
      <w:rFonts w:asciiTheme="minorHAnsi" w:hAnsiTheme="minorHAnsi"/>
      <w:color w:val="auto"/>
    </w:rPr>
  </w:style>
  <w:style w:type="paragraph" w:customStyle="1" w:styleId="Heading1-Numbered">
    <w:name w:val="Heading 1 - Numbered"/>
    <w:basedOn w:val="Heading2"/>
    <w:rsid w:val="00631F8C"/>
    <w:pPr>
      <w:numPr>
        <w:numId w:val="28"/>
      </w:numPr>
      <w:spacing w:after="360"/>
      <w:ind w:left="425" w:hanging="425"/>
      <w:outlineLvl w:val="0"/>
    </w:pPr>
    <w:rPr>
      <w:sz w:val="35"/>
    </w:rPr>
  </w:style>
  <w:style w:type="paragraph" w:customStyle="1" w:styleId="Heading1-NoTOC">
    <w:name w:val="Heading 1 - No TOC"/>
    <w:basedOn w:val="Heading1"/>
    <w:rsid w:val="00E22DCB"/>
    <w:pPr>
      <w:jc w:val="left"/>
      <w:outlineLvl w:val="9"/>
    </w:pPr>
  </w:style>
  <w:style w:type="paragraph" w:customStyle="1" w:styleId="BoxSub-Heading">
    <w:name w:val="Box Sub-Heading"/>
    <w:basedOn w:val="BoxHeading"/>
    <w:rsid w:val="00BA7D47"/>
    <w:pPr>
      <w:spacing w:before="0"/>
    </w:pPr>
    <w:rPr>
      <w:rFonts w:ascii="Arial" w:eastAsia="Times New Roman" w:hAnsi="Arial" w:cs="Times New Roman"/>
      <w:caps w:val="0"/>
      <w:szCs w:val="20"/>
      <w:lang w:eastAsia="en-AU"/>
    </w:rPr>
  </w:style>
  <w:style w:type="paragraph" w:customStyle="1" w:styleId="ChartMainHeading-TOC">
    <w:name w:val="Chart Main Heading - TOC"/>
    <w:basedOn w:val="ChartMainHeading"/>
    <w:rsid w:val="0063311E"/>
    <w:pPr>
      <w:outlineLvl w:val="0"/>
    </w:pPr>
    <w:rPr>
      <w:sz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index heading" w:uiPriority="0"/>
    <w:lsdException w:name="caption" w:uiPriority="0" w:qFormat="1"/>
    <w:lsdException w:name="table of figures"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16A"/>
    <w:pPr>
      <w:spacing w:after="220" w:line="270" w:lineRule="exact"/>
    </w:pPr>
    <w:rPr>
      <w:rFonts w:ascii="Calibri" w:hAnsi="Calibri"/>
      <w:color w:val="000000" w:themeColor="text1"/>
    </w:rPr>
  </w:style>
  <w:style w:type="paragraph" w:styleId="Heading1">
    <w:name w:val="heading 1"/>
    <w:basedOn w:val="HeadingBaseStyle"/>
    <w:next w:val="Normal"/>
    <w:link w:val="Heading1Char"/>
    <w:autoRedefine/>
    <w:qFormat/>
    <w:rsid w:val="0098411F"/>
    <w:pPr>
      <w:spacing w:after="480" w:line="240" w:lineRule="auto"/>
      <w:jc w:val="center"/>
      <w:outlineLvl w:val="0"/>
    </w:pPr>
    <w:rPr>
      <w:rFonts w:ascii="Arial Bold" w:hAnsi="Arial Bold"/>
      <w:b/>
      <w:smallCaps/>
      <w:sz w:val="36"/>
    </w:rPr>
  </w:style>
  <w:style w:type="paragraph" w:styleId="Heading2">
    <w:name w:val="heading 2"/>
    <w:basedOn w:val="HeadingBaseStyle"/>
    <w:next w:val="Normal"/>
    <w:link w:val="Heading2Char"/>
    <w:uiPriority w:val="9"/>
    <w:qFormat/>
    <w:rsid w:val="00CE4D9B"/>
    <w:pPr>
      <w:widowControl w:val="0"/>
      <w:tabs>
        <w:tab w:val="left" w:pos="426"/>
      </w:tabs>
      <w:adjustRightInd w:val="0"/>
      <w:spacing w:before="120" w:after="240" w:line="240" w:lineRule="auto"/>
      <w:textAlignment w:val="baseline"/>
      <w:outlineLvl w:val="1"/>
    </w:pPr>
    <w:rPr>
      <w:rFonts w:ascii="Arial Bold" w:hAnsi="Arial Bold"/>
      <w:b/>
      <w:smallCaps/>
      <w:sz w:val="32"/>
    </w:rPr>
  </w:style>
  <w:style w:type="paragraph" w:styleId="Heading3">
    <w:name w:val="heading 3"/>
    <w:basedOn w:val="Normal"/>
    <w:next w:val="Normal"/>
    <w:link w:val="Heading3Char"/>
    <w:autoRedefine/>
    <w:uiPriority w:val="9"/>
    <w:qFormat/>
    <w:rsid w:val="00447E63"/>
    <w:pPr>
      <w:keepNext/>
      <w:widowControl w:val="0"/>
      <w:tabs>
        <w:tab w:val="left" w:pos="0"/>
      </w:tabs>
      <w:adjustRightInd w:val="0"/>
      <w:spacing w:after="160" w:line="240" w:lineRule="auto"/>
      <w:textAlignment w:val="baseline"/>
      <w:outlineLvl w:val="2"/>
    </w:pPr>
    <w:rPr>
      <w:rFonts w:ascii="Arial" w:eastAsia="Times New Roman" w:hAnsi="Arial" w:cs="Times New Roman"/>
      <w:color w:val="002B54" w:themeColor="accent1"/>
      <w:sz w:val="30"/>
      <w:szCs w:val="20"/>
      <w:lang w:val="en-US" w:eastAsia="en-AU"/>
    </w:rPr>
  </w:style>
  <w:style w:type="paragraph" w:styleId="Heading4">
    <w:name w:val="heading 4"/>
    <w:basedOn w:val="HeadingBaseStyle"/>
    <w:next w:val="Normal"/>
    <w:link w:val="Heading4Char"/>
    <w:autoRedefine/>
    <w:uiPriority w:val="9"/>
    <w:qFormat/>
    <w:rsid w:val="0075747D"/>
    <w:pPr>
      <w:tabs>
        <w:tab w:val="left" w:pos="680"/>
      </w:tabs>
      <w:spacing w:after="180" w:line="240" w:lineRule="auto"/>
      <w:outlineLvl w:val="3"/>
    </w:pPr>
    <w:rPr>
      <w:i/>
      <w:sz w:val="28"/>
    </w:rPr>
  </w:style>
  <w:style w:type="paragraph" w:styleId="Heading5">
    <w:name w:val="heading 5"/>
    <w:basedOn w:val="HeadingBaseStyle"/>
    <w:next w:val="Normal"/>
    <w:link w:val="Heading5Char"/>
    <w:autoRedefine/>
    <w:rsid w:val="00F73064"/>
    <w:pPr>
      <w:spacing w:after="240"/>
      <w:outlineLvl w:val="4"/>
    </w:pPr>
    <w:rPr>
      <w:i/>
    </w:rPr>
  </w:style>
  <w:style w:type="paragraph" w:styleId="Heading6">
    <w:name w:val="heading 6"/>
    <w:basedOn w:val="HeadingBaseStyle"/>
    <w:next w:val="Normal"/>
    <w:link w:val="Heading6Char"/>
    <w:rsid w:val="00F73064"/>
    <w:pPr>
      <w:widowControl w:val="0"/>
      <w:spacing w:after="60"/>
      <w:outlineLvl w:val="5"/>
    </w:pPr>
    <w:rPr>
      <w:snapToGrid w:val="0"/>
      <w:sz w:val="19"/>
    </w:rPr>
  </w:style>
  <w:style w:type="paragraph" w:styleId="Heading7">
    <w:name w:val="heading 7"/>
    <w:basedOn w:val="Normal"/>
    <w:next w:val="Normal"/>
    <w:link w:val="Heading7Char"/>
    <w:rsid w:val="00F73064"/>
    <w:pPr>
      <w:spacing w:after="0"/>
      <w:outlineLvl w:val="6"/>
    </w:pPr>
    <w:rPr>
      <w:rFonts w:ascii="Arial" w:hAnsi="Arial"/>
      <w:color w:val="000080"/>
      <w:sz w:val="19"/>
      <w:u w:val="single"/>
    </w:rPr>
  </w:style>
  <w:style w:type="paragraph" w:styleId="Heading8">
    <w:name w:val="heading 8"/>
    <w:basedOn w:val="Normal"/>
    <w:next w:val="Normal"/>
    <w:link w:val="Heading8Char"/>
    <w:rsid w:val="00F73064"/>
    <w:pPr>
      <w:keepNext/>
      <w:spacing w:before="120" w:after="60" w:line="0" w:lineRule="atLeast"/>
      <w:outlineLvl w:val="7"/>
    </w:pPr>
    <w:rPr>
      <w:b/>
      <w:color w:val="000080"/>
    </w:rPr>
  </w:style>
  <w:style w:type="paragraph" w:styleId="Heading9">
    <w:name w:val="heading 9"/>
    <w:basedOn w:val="Normal"/>
    <w:next w:val="Normal"/>
    <w:link w:val="Heading9Char"/>
    <w:uiPriority w:val="9"/>
    <w:qFormat/>
    <w:rsid w:val="00F73064"/>
    <w:pPr>
      <w:spacing w:before="240" w:after="60"/>
      <w:outlineLvl w:val="8"/>
    </w:pPr>
    <w:rPr>
      <w:color w:val="00008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next w:val="Normal"/>
    <w:rsid w:val="000464B6"/>
    <w:pPr>
      <w:keepNext/>
      <w:spacing w:after="0" w:line="240" w:lineRule="auto"/>
    </w:pPr>
    <w:rPr>
      <w:rFonts w:asciiTheme="majorHAnsi" w:eastAsia="Times New Roman" w:hAnsiTheme="majorHAnsi" w:cs="Times New Roman"/>
      <w:color w:val="003057"/>
      <w:sz w:val="20"/>
      <w:szCs w:val="20"/>
      <w:lang w:eastAsia="en-AU"/>
    </w:rPr>
  </w:style>
  <w:style w:type="character" w:customStyle="1" w:styleId="Heading1Char">
    <w:name w:val="Heading 1 Char"/>
    <w:basedOn w:val="DefaultParagraphFont"/>
    <w:link w:val="Heading1"/>
    <w:rsid w:val="0098411F"/>
    <w:rPr>
      <w:rFonts w:ascii="Arial Bold" w:hAnsi="Arial Bold"/>
      <w:b/>
      <w:smallCaps/>
      <w:color w:val="003157"/>
      <w:sz w:val="36"/>
    </w:rPr>
  </w:style>
  <w:style w:type="character" w:customStyle="1" w:styleId="Heading2Char">
    <w:name w:val="Heading 2 Char"/>
    <w:basedOn w:val="DefaultParagraphFont"/>
    <w:link w:val="Heading2"/>
    <w:uiPriority w:val="9"/>
    <w:rsid w:val="00CE4D9B"/>
    <w:rPr>
      <w:rFonts w:ascii="Arial Bold" w:hAnsi="Arial Bold"/>
      <w:b/>
      <w:smallCaps/>
      <w:color w:val="003157"/>
      <w:sz w:val="32"/>
    </w:rPr>
  </w:style>
  <w:style w:type="character" w:customStyle="1" w:styleId="Heading3Char">
    <w:name w:val="Heading 3 Char"/>
    <w:basedOn w:val="DefaultParagraphFont"/>
    <w:link w:val="Heading3"/>
    <w:uiPriority w:val="9"/>
    <w:rsid w:val="00447E63"/>
    <w:rPr>
      <w:rFonts w:ascii="Arial" w:eastAsia="Times New Roman" w:hAnsi="Arial" w:cs="Times New Roman"/>
      <w:color w:val="002B54" w:themeColor="accent1"/>
      <w:sz w:val="30"/>
      <w:szCs w:val="20"/>
      <w:lang w:val="en-US" w:eastAsia="en-AU"/>
    </w:rPr>
  </w:style>
  <w:style w:type="character" w:customStyle="1" w:styleId="Heading4Char">
    <w:name w:val="Heading 4 Char"/>
    <w:basedOn w:val="DefaultParagraphFont"/>
    <w:link w:val="Heading4"/>
    <w:uiPriority w:val="9"/>
    <w:rsid w:val="0075747D"/>
    <w:rPr>
      <w:rFonts w:ascii="Arial" w:hAnsi="Arial"/>
      <w:i/>
      <w:color w:val="003157"/>
      <w:sz w:val="28"/>
    </w:rPr>
  </w:style>
  <w:style w:type="character" w:customStyle="1" w:styleId="Heading5Char">
    <w:name w:val="Heading 5 Char"/>
    <w:basedOn w:val="DefaultParagraphFont"/>
    <w:link w:val="Heading5"/>
    <w:rsid w:val="00F73064"/>
    <w:rPr>
      <w:rFonts w:ascii="Arial" w:hAnsi="Arial"/>
      <w:i/>
      <w:color w:val="003157"/>
    </w:rPr>
  </w:style>
  <w:style w:type="character" w:customStyle="1" w:styleId="Heading6Char">
    <w:name w:val="Heading 6 Char"/>
    <w:basedOn w:val="DefaultParagraphFont"/>
    <w:link w:val="Heading6"/>
    <w:rsid w:val="00A537E0"/>
    <w:rPr>
      <w:rFonts w:ascii="Arial" w:hAnsi="Arial"/>
      <w:snapToGrid w:val="0"/>
      <w:color w:val="003157"/>
      <w:sz w:val="19"/>
    </w:rPr>
  </w:style>
  <w:style w:type="character" w:customStyle="1" w:styleId="Heading7Char">
    <w:name w:val="Heading 7 Char"/>
    <w:basedOn w:val="DefaultParagraphFont"/>
    <w:link w:val="Heading7"/>
    <w:rsid w:val="00BB3278"/>
    <w:rPr>
      <w:rFonts w:ascii="Arial" w:hAnsi="Arial"/>
      <w:color w:val="000080"/>
      <w:sz w:val="19"/>
      <w:u w:val="single"/>
    </w:rPr>
  </w:style>
  <w:style w:type="character" w:customStyle="1" w:styleId="Heading8Char">
    <w:name w:val="Heading 8 Char"/>
    <w:basedOn w:val="DefaultParagraphFont"/>
    <w:link w:val="Heading8"/>
    <w:rsid w:val="00BB3278"/>
    <w:rPr>
      <w:b/>
      <w:color w:val="000080"/>
    </w:rPr>
  </w:style>
  <w:style w:type="character" w:customStyle="1" w:styleId="Heading9Char">
    <w:name w:val="Heading 9 Char"/>
    <w:basedOn w:val="DefaultParagraphFont"/>
    <w:link w:val="Heading9"/>
    <w:uiPriority w:val="9"/>
    <w:rsid w:val="00BB3278"/>
    <w:rPr>
      <w:color w:val="000080"/>
      <w:u w:val="single"/>
    </w:rPr>
  </w:style>
  <w:style w:type="paragraph" w:customStyle="1" w:styleId="ChartGraphic">
    <w:name w:val="Chart Graphic"/>
    <w:basedOn w:val="HeadingBase"/>
    <w:next w:val="Normal"/>
    <w:link w:val="ChartGraphicChar"/>
    <w:rsid w:val="005E1970"/>
    <w:pPr>
      <w:spacing w:after="80"/>
      <w:jc w:val="center"/>
    </w:pPr>
  </w:style>
  <w:style w:type="paragraph" w:customStyle="1" w:styleId="TableGraphic">
    <w:name w:val="Table Graphic"/>
    <w:basedOn w:val="HeadingBase"/>
    <w:next w:val="Normal"/>
    <w:rsid w:val="00B55137"/>
  </w:style>
  <w:style w:type="paragraph" w:customStyle="1" w:styleId="AlphaParagraph">
    <w:name w:val="Alpha Paragraph"/>
    <w:basedOn w:val="Normal"/>
    <w:qFormat/>
    <w:rsid w:val="009D0790"/>
    <w:pPr>
      <w:numPr>
        <w:numId w:val="3"/>
      </w:numPr>
    </w:pPr>
  </w:style>
  <w:style w:type="paragraph" w:customStyle="1" w:styleId="AppendixHeading">
    <w:name w:val="Appendix Heading"/>
    <w:basedOn w:val="Heading1"/>
    <w:next w:val="Normal"/>
    <w:rsid w:val="0073028D"/>
    <w:pPr>
      <w:spacing w:after="600"/>
      <w:jc w:val="right"/>
    </w:pPr>
    <w:rPr>
      <w:rFonts w:ascii="Arial Narrow" w:hAnsi="Arial Narrow"/>
      <w:b w:val="0"/>
    </w:rPr>
  </w:style>
  <w:style w:type="paragraph" w:styleId="BalloonText">
    <w:name w:val="Balloon Text"/>
    <w:basedOn w:val="Normal"/>
    <w:link w:val="BalloonTextChar"/>
    <w:uiPriority w:val="99"/>
    <w:rsid w:val="00F73064"/>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73064"/>
    <w:rPr>
      <w:rFonts w:ascii="Tahoma" w:hAnsi="Tahoma" w:cs="Tahoma"/>
      <w:sz w:val="16"/>
      <w:szCs w:val="16"/>
    </w:rPr>
  </w:style>
  <w:style w:type="character" w:customStyle="1" w:styleId="Bold">
    <w:name w:val="Bold"/>
    <w:basedOn w:val="DefaultParagraphFont"/>
    <w:rsid w:val="00B55137"/>
    <w:rPr>
      <w:b/>
    </w:rPr>
  </w:style>
  <w:style w:type="paragraph" w:customStyle="1" w:styleId="BoxTextBase">
    <w:name w:val="Box Text Base"/>
    <w:basedOn w:val="Normal"/>
    <w:rsid w:val="00B55137"/>
  </w:style>
  <w:style w:type="paragraph" w:customStyle="1" w:styleId="BoxBullet">
    <w:name w:val="Box Bullet"/>
    <w:basedOn w:val="BoxTextBase"/>
    <w:rsid w:val="0073028D"/>
    <w:pPr>
      <w:numPr>
        <w:numId w:val="2"/>
      </w:numPr>
      <w:tabs>
        <w:tab w:val="clear" w:pos="283"/>
        <w:tab w:val="left" w:pos="425"/>
      </w:tabs>
      <w:spacing w:after="120" w:line="260" w:lineRule="exact"/>
      <w:ind w:left="425" w:right="57" w:hanging="425"/>
      <w:jc w:val="both"/>
    </w:pPr>
    <w:rPr>
      <w:rFonts w:ascii="Arial" w:hAnsi="Arial"/>
      <w:color w:val="002B54"/>
      <w:sz w:val="19"/>
    </w:rPr>
  </w:style>
  <w:style w:type="paragraph" w:customStyle="1" w:styleId="BoxDash">
    <w:name w:val="Box Dash"/>
    <w:basedOn w:val="Normal"/>
    <w:rsid w:val="005F5653"/>
    <w:pPr>
      <w:numPr>
        <w:ilvl w:val="1"/>
        <w:numId w:val="2"/>
      </w:numPr>
    </w:pPr>
  </w:style>
  <w:style w:type="paragraph" w:customStyle="1" w:styleId="BoxDoubleDot">
    <w:name w:val="Box Double Dot"/>
    <w:basedOn w:val="BoxTextBase"/>
    <w:rsid w:val="005F5653"/>
    <w:pPr>
      <w:numPr>
        <w:ilvl w:val="2"/>
        <w:numId w:val="2"/>
      </w:numPr>
    </w:pPr>
  </w:style>
  <w:style w:type="paragraph" w:customStyle="1" w:styleId="BoxHeading">
    <w:name w:val="Box Heading"/>
    <w:basedOn w:val="HeadingBaseStyle"/>
    <w:next w:val="Normal"/>
    <w:rsid w:val="00BA7D47"/>
    <w:pPr>
      <w:spacing w:before="120" w:after="120" w:line="240" w:lineRule="auto"/>
    </w:pPr>
    <w:rPr>
      <w:rFonts w:ascii="Arial Bold" w:hAnsi="Arial Bold"/>
      <w:b/>
      <w:caps/>
      <w:color w:val="002B54"/>
    </w:rPr>
  </w:style>
  <w:style w:type="paragraph" w:customStyle="1" w:styleId="BoxText">
    <w:name w:val="Box Text"/>
    <w:basedOn w:val="BoxTextBase"/>
    <w:rsid w:val="0073028D"/>
    <w:pPr>
      <w:spacing w:after="120" w:line="260" w:lineRule="exact"/>
      <w:ind w:right="57"/>
      <w:jc w:val="both"/>
    </w:pPr>
    <w:rPr>
      <w:rFonts w:ascii="Arial" w:hAnsi="Arial"/>
      <w:color w:val="002B54"/>
      <w:sz w:val="19"/>
    </w:rPr>
  </w:style>
  <w:style w:type="paragraph" w:customStyle="1" w:styleId="Bullet">
    <w:name w:val="Bullet"/>
    <w:basedOn w:val="Normal"/>
    <w:link w:val="BulletChar"/>
    <w:rsid w:val="00F73064"/>
    <w:pPr>
      <w:keepNext/>
      <w:numPr>
        <w:numId w:val="19"/>
      </w:numPr>
    </w:pPr>
  </w:style>
  <w:style w:type="paragraph" w:styleId="NormalIndent">
    <w:name w:val="Normal Indent"/>
    <w:basedOn w:val="Normal"/>
    <w:rsid w:val="00F73064"/>
    <w:pPr>
      <w:ind w:left="567"/>
    </w:pPr>
    <w:rPr>
      <w:rFonts w:ascii="Book Antiqua" w:hAnsi="Book Antiqua"/>
      <w:sz w:val="20"/>
    </w:rPr>
  </w:style>
  <w:style w:type="paragraph" w:customStyle="1" w:styleId="ChartandTableFootnoteAlpha">
    <w:name w:val="Chart and Table Footnote Alpha"/>
    <w:rsid w:val="009862D1"/>
    <w:pPr>
      <w:numPr>
        <w:numId w:val="12"/>
      </w:numPr>
      <w:spacing w:after="0" w:line="240" w:lineRule="auto"/>
      <w:jc w:val="both"/>
    </w:pPr>
    <w:rPr>
      <w:rFonts w:ascii="Arial" w:eastAsia="Times New Roman" w:hAnsi="Arial" w:cs="Times New Roman"/>
      <w:color w:val="000000"/>
      <w:sz w:val="16"/>
      <w:szCs w:val="16"/>
      <w:lang w:eastAsia="en-AU"/>
    </w:rPr>
  </w:style>
  <w:style w:type="paragraph" w:customStyle="1" w:styleId="ChartMainHeading">
    <w:name w:val="Chart Main Heading"/>
    <w:basedOn w:val="HeadingBase"/>
    <w:next w:val="ChartGraphic"/>
    <w:rsid w:val="006232E8"/>
    <w:pPr>
      <w:spacing w:after="60"/>
      <w:jc w:val="center"/>
    </w:pPr>
    <w:rPr>
      <w:rFonts w:ascii="Arial" w:hAnsi="Arial"/>
      <w:b/>
      <w:caps/>
      <w:sz w:val="19"/>
    </w:rPr>
  </w:style>
  <w:style w:type="paragraph" w:customStyle="1" w:styleId="ChartorTableNote">
    <w:name w:val="Chart or Table Note"/>
    <w:next w:val="Normal"/>
    <w:rsid w:val="0029127A"/>
    <w:pPr>
      <w:spacing w:after="60" w:line="240" w:lineRule="auto"/>
      <w:jc w:val="both"/>
    </w:pPr>
    <w:rPr>
      <w:rFonts w:ascii="Arial" w:eastAsia="Times New Roman" w:hAnsi="Arial" w:cs="Times New Roman"/>
      <w:color w:val="000000"/>
      <w:sz w:val="16"/>
      <w:szCs w:val="20"/>
      <w:lang w:eastAsia="en-AU"/>
    </w:rPr>
  </w:style>
  <w:style w:type="paragraph" w:customStyle="1" w:styleId="ChartSecondHeading">
    <w:name w:val="Chart Second Heading"/>
    <w:basedOn w:val="HeadingBase"/>
    <w:next w:val="ChartGraphic"/>
    <w:rsid w:val="00B55137"/>
    <w:pPr>
      <w:spacing w:after="20"/>
      <w:jc w:val="center"/>
    </w:pPr>
  </w:style>
  <w:style w:type="paragraph" w:customStyle="1" w:styleId="Classification">
    <w:name w:val="Classification"/>
    <w:basedOn w:val="HeadingBase"/>
    <w:next w:val="Footer"/>
    <w:rsid w:val="00B55137"/>
    <w:pPr>
      <w:spacing w:after="120"/>
      <w:jc w:val="center"/>
    </w:pPr>
    <w:rPr>
      <w:b/>
      <w:smallCaps/>
    </w:rPr>
  </w:style>
  <w:style w:type="paragraph" w:styleId="Footer">
    <w:name w:val="footer"/>
    <w:basedOn w:val="Normal"/>
    <w:link w:val="FooterChar"/>
    <w:uiPriority w:val="99"/>
    <w:rsid w:val="00F73064"/>
    <w:pPr>
      <w:tabs>
        <w:tab w:val="right" w:pos="5670"/>
      </w:tabs>
      <w:spacing w:after="0"/>
      <w:jc w:val="right"/>
    </w:pPr>
    <w:rPr>
      <w:rFonts w:ascii="Arial" w:hAnsi="Arial"/>
      <w:color w:val="003157"/>
      <w:sz w:val="18"/>
    </w:rPr>
  </w:style>
  <w:style w:type="character" w:customStyle="1" w:styleId="FooterChar">
    <w:name w:val="Footer Char"/>
    <w:basedOn w:val="DefaultParagraphFont"/>
    <w:link w:val="Footer"/>
    <w:uiPriority w:val="99"/>
    <w:rsid w:val="00F73064"/>
    <w:rPr>
      <w:rFonts w:ascii="Arial" w:hAnsi="Arial"/>
      <w:color w:val="003157"/>
      <w:sz w:val="18"/>
    </w:rPr>
  </w:style>
  <w:style w:type="paragraph" w:customStyle="1" w:styleId="ContentsHeading">
    <w:name w:val="Contents Heading"/>
    <w:basedOn w:val="Normal"/>
    <w:next w:val="Normal"/>
    <w:rsid w:val="00F73064"/>
    <w:pPr>
      <w:spacing w:after="360"/>
      <w:jc w:val="center"/>
    </w:pPr>
    <w:rPr>
      <w:rFonts w:ascii="Arial Bold" w:hAnsi="Arial Bold"/>
      <w:b/>
      <w:smallCaps/>
      <w:color w:val="003157"/>
      <w:kern w:val="28"/>
      <w:sz w:val="36"/>
    </w:rPr>
  </w:style>
  <w:style w:type="paragraph" w:customStyle="1" w:styleId="CoverTitleSub">
    <w:name w:val="Cover Title Sub"/>
    <w:basedOn w:val="HeadingBase"/>
    <w:rsid w:val="00B55137"/>
    <w:pPr>
      <w:spacing w:after="360"/>
      <w:jc w:val="center"/>
    </w:pPr>
    <w:rPr>
      <w:sz w:val="36"/>
    </w:rPr>
  </w:style>
  <w:style w:type="paragraph" w:customStyle="1" w:styleId="Covertitlelevel3">
    <w:name w:val="Cover title level 3"/>
    <w:basedOn w:val="CoverTitleSub"/>
    <w:rsid w:val="00BB3278"/>
    <w:pPr>
      <w:spacing w:after="120"/>
    </w:pPr>
    <w:rPr>
      <w:sz w:val="28"/>
      <w:szCs w:val="28"/>
    </w:rPr>
  </w:style>
  <w:style w:type="paragraph" w:customStyle="1" w:styleId="CoverTitleMain">
    <w:name w:val="Cover Title Main"/>
    <w:basedOn w:val="HeadingBase"/>
    <w:next w:val="Normal"/>
    <w:rsid w:val="00B55137"/>
    <w:pPr>
      <w:spacing w:after="480"/>
      <w:jc w:val="center"/>
    </w:pPr>
    <w:rPr>
      <w:b/>
      <w:sz w:val="48"/>
    </w:rPr>
  </w:style>
  <w:style w:type="paragraph" w:customStyle="1" w:styleId="Dash">
    <w:name w:val="Dash"/>
    <w:basedOn w:val="Normal"/>
    <w:link w:val="DashChar"/>
    <w:rsid w:val="00F73064"/>
    <w:pPr>
      <w:numPr>
        <w:ilvl w:val="1"/>
        <w:numId w:val="19"/>
      </w:numPr>
    </w:pPr>
  </w:style>
  <w:style w:type="paragraph" w:customStyle="1" w:styleId="DoubleDot">
    <w:name w:val="Double Dot"/>
    <w:basedOn w:val="Dash"/>
    <w:link w:val="DoubleDotChar"/>
    <w:rsid w:val="00F73064"/>
    <w:pPr>
      <w:numPr>
        <w:ilvl w:val="2"/>
      </w:numPr>
    </w:pPr>
  </w:style>
  <w:style w:type="paragraph" w:customStyle="1" w:styleId="Figuregraphic">
    <w:name w:val="Figure graphic"/>
    <w:basedOn w:val="Normal"/>
    <w:rsid w:val="00BB3278"/>
    <w:pPr>
      <w:jc w:val="center"/>
    </w:pPr>
  </w:style>
  <w:style w:type="paragraph" w:customStyle="1" w:styleId="FigureHeading">
    <w:name w:val="Figure Heading"/>
    <w:basedOn w:val="HeadingBase"/>
    <w:next w:val="Figuregraphic"/>
    <w:rsid w:val="00BB3278"/>
    <w:pPr>
      <w:spacing w:after="20"/>
      <w:jc w:val="center"/>
    </w:pPr>
    <w:rPr>
      <w:rFonts w:ascii="Arial Bold" w:hAnsi="Arial Bold"/>
      <w:b/>
      <w:sz w:val="22"/>
      <w:szCs w:val="22"/>
    </w:rPr>
  </w:style>
  <w:style w:type="paragraph" w:customStyle="1" w:styleId="FigureSecondHeading">
    <w:name w:val="Figure Second Heading"/>
    <w:basedOn w:val="HeadingBase"/>
    <w:next w:val="Figuregraphic"/>
    <w:rsid w:val="00BB3278"/>
    <w:pPr>
      <w:spacing w:after="20"/>
      <w:jc w:val="center"/>
    </w:pPr>
  </w:style>
  <w:style w:type="paragraph" w:customStyle="1" w:styleId="TableMainHeading">
    <w:name w:val="Table Main Heading"/>
    <w:basedOn w:val="HeadingBase"/>
    <w:next w:val="TableGraphic"/>
    <w:rsid w:val="00B55137"/>
    <w:pPr>
      <w:spacing w:after="20"/>
    </w:pPr>
    <w:rPr>
      <w:b/>
      <w:sz w:val="22"/>
    </w:rPr>
  </w:style>
  <w:style w:type="paragraph" w:customStyle="1" w:styleId="FooterCentered">
    <w:name w:val="Footer Centered"/>
    <w:basedOn w:val="Footer"/>
    <w:rsid w:val="00B55137"/>
    <w:pPr>
      <w:jc w:val="center"/>
    </w:pPr>
  </w:style>
  <w:style w:type="paragraph" w:customStyle="1" w:styleId="FooterEven">
    <w:name w:val="Footer Even"/>
    <w:basedOn w:val="Footer"/>
    <w:rsid w:val="006E0496"/>
    <w:pPr>
      <w:spacing w:line="240" w:lineRule="auto"/>
      <w:jc w:val="left"/>
    </w:pPr>
  </w:style>
  <w:style w:type="paragraph" w:customStyle="1" w:styleId="FooterOdd">
    <w:name w:val="Footer Odd"/>
    <w:basedOn w:val="Footer"/>
    <w:rsid w:val="006E0496"/>
    <w:pPr>
      <w:spacing w:line="240" w:lineRule="auto"/>
    </w:pPr>
  </w:style>
  <w:style w:type="character" w:styleId="FootnoteReference">
    <w:name w:val="footnote reference"/>
    <w:basedOn w:val="DefaultParagraphFont"/>
    <w:uiPriority w:val="99"/>
    <w:rsid w:val="006D6C8F"/>
    <w:rPr>
      <w:sz w:val="20"/>
      <w:vertAlign w:val="superscript"/>
    </w:rPr>
  </w:style>
  <w:style w:type="paragraph" w:styleId="FootnoteText">
    <w:name w:val="footnote text"/>
    <w:basedOn w:val="Normal"/>
    <w:link w:val="FootnoteTextChar"/>
    <w:rsid w:val="00DE366D"/>
    <w:pPr>
      <w:tabs>
        <w:tab w:val="left" w:pos="312"/>
      </w:tabs>
      <w:spacing w:after="0" w:line="240" w:lineRule="auto"/>
      <w:ind w:left="312" w:hanging="312"/>
    </w:pPr>
    <w:rPr>
      <w:spacing w:val="-2"/>
      <w:sz w:val="18"/>
    </w:rPr>
  </w:style>
  <w:style w:type="character" w:customStyle="1" w:styleId="FootnoteTextChar">
    <w:name w:val="Footnote Text Char"/>
    <w:basedOn w:val="DefaultParagraphFont"/>
    <w:link w:val="FootnoteText"/>
    <w:rsid w:val="00DE366D"/>
    <w:rPr>
      <w:rFonts w:ascii="Calibri" w:hAnsi="Calibri"/>
      <w:color w:val="000000" w:themeColor="text1"/>
      <w:spacing w:val="-2"/>
      <w:sz w:val="18"/>
    </w:rPr>
  </w:style>
  <w:style w:type="character" w:customStyle="1" w:styleId="FramedFooter">
    <w:name w:val="Framed Footer"/>
    <w:rsid w:val="00B55137"/>
    <w:rPr>
      <w:rFonts w:ascii="Arial" w:hAnsi="Arial"/>
      <w:sz w:val="18"/>
    </w:rPr>
  </w:style>
  <w:style w:type="character" w:customStyle="1" w:styleId="FramedHeader">
    <w:name w:val="Framed Header"/>
    <w:basedOn w:val="DefaultParagraphFont"/>
    <w:rsid w:val="00B55137"/>
    <w:rPr>
      <w:rFonts w:ascii="Arial" w:hAnsi="Arial"/>
      <w:dstrike w:val="0"/>
      <w:color w:val="auto"/>
      <w:sz w:val="18"/>
      <w:vertAlign w:val="baseline"/>
    </w:rPr>
  </w:style>
  <w:style w:type="paragraph" w:styleId="Header">
    <w:name w:val="header"/>
    <w:basedOn w:val="HeadingBaseStyle"/>
    <w:link w:val="HeaderChar"/>
    <w:uiPriority w:val="99"/>
    <w:rsid w:val="00F73064"/>
    <w:pPr>
      <w:jc w:val="center"/>
    </w:pPr>
    <w:rPr>
      <w:sz w:val="18"/>
    </w:rPr>
  </w:style>
  <w:style w:type="character" w:customStyle="1" w:styleId="HeaderChar">
    <w:name w:val="Header Char"/>
    <w:basedOn w:val="DefaultParagraphFont"/>
    <w:link w:val="Header"/>
    <w:uiPriority w:val="99"/>
    <w:rsid w:val="00460338"/>
    <w:rPr>
      <w:rFonts w:ascii="Arial" w:hAnsi="Arial"/>
      <w:color w:val="003157"/>
      <w:sz w:val="18"/>
    </w:rPr>
  </w:style>
  <w:style w:type="paragraph" w:customStyle="1" w:styleId="HeaderEven">
    <w:name w:val="Header Even"/>
    <w:basedOn w:val="Header"/>
    <w:rsid w:val="00E54DB4"/>
  </w:style>
  <w:style w:type="paragraph" w:customStyle="1" w:styleId="HeaderOdd">
    <w:name w:val="Header Odd"/>
    <w:basedOn w:val="Header"/>
    <w:rsid w:val="00B55137"/>
    <w:pPr>
      <w:jc w:val="right"/>
    </w:pPr>
  </w:style>
  <w:style w:type="character" w:styleId="Hyperlink">
    <w:name w:val="Hyperlink"/>
    <w:basedOn w:val="DefaultParagraphFont"/>
    <w:uiPriority w:val="99"/>
    <w:rsid w:val="00D83735"/>
    <w:rPr>
      <w:b/>
      <w:color w:val="003157"/>
      <w:u w:val="none"/>
    </w:rPr>
  </w:style>
  <w:style w:type="character" w:customStyle="1" w:styleId="italic">
    <w:name w:val="italic"/>
    <w:basedOn w:val="DefaultParagraphFont"/>
    <w:rsid w:val="00B55137"/>
    <w:rPr>
      <w:i/>
    </w:rPr>
  </w:style>
  <w:style w:type="paragraph" w:styleId="NormalWeb">
    <w:name w:val="Normal (Web)"/>
    <w:basedOn w:val="Normal"/>
    <w:uiPriority w:val="99"/>
    <w:unhideWhenUsed/>
    <w:rsid w:val="00F73064"/>
    <w:pPr>
      <w:spacing w:before="100" w:beforeAutospacing="1" w:after="100" w:afterAutospacing="1"/>
    </w:pPr>
    <w:rPr>
      <w:rFonts w:ascii="Times New Roman" w:hAnsi="Times New Roman"/>
      <w:szCs w:val="24"/>
    </w:rPr>
  </w:style>
  <w:style w:type="paragraph" w:customStyle="1" w:styleId="NormalIndentItalics">
    <w:name w:val="Normal Indent Italics"/>
    <w:basedOn w:val="NormalIndent"/>
    <w:rsid w:val="00D46334"/>
    <w:rPr>
      <w:i/>
    </w:rPr>
  </w:style>
  <w:style w:type="paragraph" w:customStyle="1" w:styleId="OutlineNumbered1">
    <w:name w:val="Outline Numbered 1"/>
    <w:basedOn w:val="Normal"/>
    <w:link w:val="OutlineNumbered1Char"/>
    <w:rsid w:val="003E0E7B"/>
    <w:pPr>
      <w:numPr>
        <w:numId w:val="9"/>
      </w:numPr>
    </w:pPr>
  </w:style>
  <w:style w:type="paragraph" w:customStyle="1" w:styleId="OneLevelNumberedParagraph">
    <w:name w:val="One Level Numbered Paragraph"/>
    <w:basedOn w:val="Normal"/>
    <w:rsid w:val="003E0E7B"/>
    <w:pPr>
      <w:numPr>
        <w:numId w:val="8"/>
      </w:numPr>
    </w:pPr>
  </w:style>
  <w:style w:type="paragraph" w:customStyle="1" w:styleId="OutlineNumbered2">
    <w:name w:val="Outline Numbered 2"/>
    <w:basedOn w:val="Normal"/>
    <w:link w:val="OutlineNumbered2Char"/>
    <w:rsid w:val="003E0E7B"/>
    <w:pPr>
      <w:numPr>
        <w:ilvl w:val="1"/>
        <w:numId w:val="9"/>
      </w:numPr>
    </w:pPr>
  </w:style>
  <w:style w:type="paragraph" w:customStyle="1" w:styleId="OutlineNumbered3">
    <w:name w:val="Outline Numbered 3"/>
    <w:basedOn w:val="Normal"/>
    <w:link w:val="OutlineNumbered3Char"/>
    <w:rsid w:val="003E0E7B"/>
    <w:pPr>
      <w:numPr>
        <w:ilvl w:val="2"/>
        <w:numId w:val="9"/>
      </w:numPr>
    </w:pPr>
  </w:style>
  <w:style w:type="character" w:styleId="PageNumber">
    <w:name w:val="page number"/>
    <w:basedOn w:val="DefaultParagraphFont"/>
    <w:rsid w:val="00365C6D"/>
    <w:rPr>
      <w:rFonts w:asciiTheme="minorHAnsi" w:hAnsiTheme="minorHAnsi"/>
      <w:color w:val="003057"/>
      <w:sz w:val="22"/>
    </w:rPr>
  </w:style>
  <w:style w:type="paragraph" w:customStyle="1" w:styleId="Principle">
    <w:name w:val="Principle"/>
    <w:basedOn w:val="Normal"/>
    <w:rsid w:val="00EE6F94"/>
    <w:pPr>
      <w:keepNext/>
      <w:spacing w:after="60"/>
      <w:ind w:left="573"/>
    </w:pPr>
    <w:rPr>
      <w:rFonts w:ascii="Book Antiqua" w:hAnsi="Book Antiqua"/>
      <w:i/>
      <w:sz w:val="20"/>
    </w:rPr>
  </w:style>
  <w:style w:type="paragraph" w:customStyle="1" w:styleId="RecommendationTextBase">
    <w:name w:val="Recommendation Text Base"/>
    <w:basedOn w:val="Normal"/>
    <w:rsid w:val="00B55137"/>
    <w:rPr>
      <w:i/>
    </w:rPr>
  </w:style>
  <w:style w:type="paragraph" w:customStyle="1" w:styleId="RecommendationBullet">
    <w:name w:val="Recommendation Bullet"/>
    <w:basedOn w:val="RecommendationTextBase"/>
    <w:rsid w:val="00301A52"/>
    <w:pPr>
      <w:numPr>
        <w:numId w:val="10"/>
      </w:numPr>
    </w:pPr>
  </w:style>
  <w:style w:type="paragraph" w:customStyle="1" w:styleId="RecommendationDash">
    <w:name w:val="Recommendation Dash"/>
    <w:basedOn w:val="RecommendationTextBase"/>
    <w:rsid w:val="00301A52"/>
    <w:pPr>
      <w:numPr>
        <w:ilvl w:val="1"/>
        <w:numId w:val="10"/>
      </w:numPr>
    </w:pPr>
  </w:style>
  <w:style w:type="paragraph" w:customStyle="1" w:styleId="RecommendationDoubleDot">
    <w:name w:val="Recommendation Double Dot"/>
    <w:basedOn w:val="RecommendationTextBase"/>
    <w:rsid w:val="00301A52"/>
    <w:pPr>
      <w:numPr>
        <w:ilvl w:val="2"/>
        <w:numId w:val="10"/>
      </w:numPr>
    </w:pPr>
  </w:style>
  <w:style w:type="paragraph" w:customStyle="1" w:styleId="RecommendationHeading">
    <w:name w:val="Recommendation Heading"/>
    <w:basedOn w:val="HeadingBase"/>
    <w:next w:val="Normal"/>
    <w:rsid w:val="00B55137"/>
    <w:pPr>
      <w:spacing w:before="120" w:after="240"/>
    </w:pPr>
    <w:rPr>
      <w:b/>
      <w:sz w:val="22"/>
    </w:rPr>
  </w:style>
  <w:style w:type="paragraph" w:customStyle="1" w:styleId="RecommendationText">
    <w:name w:val="Recommendation Text"/>
    <w:basedOn w:val="RecommendationTextBase"/>
    <w:rsid w:val="00B55137"/>
  </w:style>
  <w:style w:type="paragraph" w:customStyle="1" w:styleId="Romannumeral">
    <w:name w:val="Roman numeral"/>
    <w:basedOn w:val="Normal"/>
    <w:rsid w:val="009C7E17"/>
    <w:pPr>
      <w:numPr>
        <w:numId w:val="11"/>
      </w:numPr>
    </w:pPr>
  </w:style>
  <w:style w:type="paragraph" w:customStyle="1" w:styleId="SingleParagraph">
    <w:name w:val="Single Paragraph"/>
    <w:basedOn w:val="Normal"/>
    <w:rsid w:val="00F73064"/>
    <w:pPr>
      <w:spacing w:after="0"/>
    </w:pPr>
  </w:style>
  <w:style w:type="paragraph" w:customStyle="1" w:styleId="SingleParagraphIndent">
    <w:name w:val="Single Paragraph Indent"/>
    <w:basedOn w:val="SingleParagraph"/>
    <w:rsid w:val="00BB3278"/>
    <w:pPr>
      <w:ind w:left="567"/>
    </w:pPr>
  </w:style>
  <w:style w:type="paragraph" w:customStyle="1" w:styleId="TableSecondHeading">
    <w:name w:val="Table Second Heading"/>
    <w:basedOn w:val="HeadingBase"/>
    <w:next w:val="TableGraphic"/>
    <w:rsid w:val="00B55137"/>
    <w:pPr>
      <w:spacing w:after="20"/>
    </w:pPr>
  </w:style>
  <w:style w:type="paragraph" w:customStyle="1" w:styleId="TableTextBase">
    <w:name w:val="Table Text Base"/>
    <w:rsid w:val="00F73064"/>
    <w:pPr>
      <w:spacing w:before="40" w:after="40" w:line="240" w:lineRule="auto"/>
    </w:pPr>
    <w:rPr>
      <w:rFonts w:eastAsia="Times New Roman" w:cs="Times New Roman"/>
      <w:sz w:val="20"/>
      <w:szCs w:val="20"/>
      <w:lang w:eastAsia="en-AU"/>
    </w:rPr>
  </w:style>
  <w:style w:type="paragraph" w:customStyle="1" w:styleId="TableColumnHeadingCentred">
    <w:name w:val="Table Column Heading Centred"/>
    <w:basedOn w:val="TableTextBase"/>
    <w:rsid w:val="00F73064"/>
    <w:pPr>
      <w:tabs>
        <w:tab w:val="left" w:pos="1987"/>
      </w:tabs>
      <w:jc w:val="center"/>
    </w:pPr>
    <w:rPr>
      <w:rFonts w:ascii="Arial Bold" w:hAnsi="Arial Bold"/>
      <w:b/>
    </w:rPr>
  </w:style>
  <w:style w:type="paragraph" w:customStyle="1" w:styleId="TableColumnHeadingBase">
    <w:name w:val="Table Column Heading Base"/>
    <w:basedOn w:val="Normal"/>
    <w:rsid w:val="00EE6F94"/>
    <w:pPr>
      <w:spacing w:before="40" w:after="40"/>
    </w:pPr>
    <w:rPr>
      <w:rFonts w:ascii="Arial" w:hAnsi="Arial"/>
      <w:b/>
      <w:sz w:val="16"/>
    </w:rPr>
  </w:style>
  <w:style w:type="paragraph" w:customStyle="1" w:styleId="TableColumnHeadingLeft">
    <w:name w:val="Table Column Heading Left"/>
    <w:basedOn w:val="TableTextBase"/>
    <w:rsid w:val="00F73064"/>
    <w:rPr>
      <w:b/>
    </w:rPr>
  </w:style>
  <w:style w:type="paragraph" w:customStyle="1" w:styleId="TableColumnHeadingRight">
    <w:name w:val="Table Column Heading Right"/>
    <w:basedOn w:val="TableTextBase"/>
    <w:rsid w:val="00F73064"/>
    <w:pPr>
      <w:jc w:val="right"/>
    </w:pPr>
    <w:rPr>
      <w:b/>
    </w:rPr>
  </w:style>
  <w:style w:type="table" w:styleId="TableGrid">
    <w:name w:val="Table Grid"/>
    <w:basedOn w:val="TableNormal"/>
    <w:uiPriority w:val="59"/>
    <w:rsid w:val="00F7306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MainHeadingContd">
    <w:name w:val="Table Main Heading Contd"/>
    <w:basedOn w:val="HeadingBase"/>
    <w:next w:val="TableGraphic"/>
    <w:rsid w:val="00B55137"/>
    <w:pPr>
      <w:pageBreakBefore/>
      <w:spacing w:after="20"/>
    </w:pPr>
    <w:rPr>
      <w:b/>
      <w:sz w:val="22"/>
    </w:rPr>
  </w:style>
  <w:style w:type="paragraph" w:customStyle="1" w:styleId="TableTextCentered">
    <w:name w:val="Table Text Centered"/>
    <w:basedOn w:val="TableTextBase"/>
    <w:rsid w:val="00B55137"/>
    <w:pPr>
      <w:jc w:val="center"/>
    </w:pPr>
  </w:style>
  <w:style w:type="paragraph" w:customStyle="1" w:styleId="TableTextIndented">
    <w:name w:val="Table Text Indented"/>
    <w:basedOn w:val="TableTextBase"/>
    <w:rsid w:val="00B55137"/>
    <w:pPr>
      <w:ind w:left="284"/>
    </w:pPr>
  </w:style>
  <w:style w:type="paragraph" w:customStyle="1" w:styleId="TableTextLeft">
    <w:name w:val="Table Text Left"/>
    <w:basedOn w:val="TableTextBase"/>
    <w:rsid w:val="00BC4ADF"/>
  </w:style>
  <w:style w:type="paragraph" w:customStyle="1" w:styleId="TableTextRight">
    <w:name w:val="Table Text Right"/>
    <w:basedOn w:val="TableTextBase"/>
    <w:rsid w:val="00F73064"/>
    <w:pPr>
      <w:jc w:val="right"/>
    </w:pPr>
  </w:style>
  <w:style w:type="paragraph" w:styleId="TOC1">
    <w:name w:val="toc 1"/>
    <w:basedOn w:val="Normal"/>
    <w:next w:val="Normal"/>
    <w:uiPriority w:val="39"/>
    <w:qFormat/>
    <w:rsid w:val="00447E63"/>
    <w:pPr>
      <w:widowControl w:val="0"/>
      <w:tabs>
        <w:tab w:val="left" w:pos="567"/>
        <w:tab w:val="right" w:leader="dot" w:pos="9072"/>
      </w:tabs>
      <w:adjustRightInd w:val="0"/>
      <w:spacing w:before="240" w:after="0" w:line="240" w:lineRule="auto"/>
      <w:ind w:right="567"/>
      <w:textAlignment w:val="baseline"/>
    </w:pPr>
    <w:rPr>
      <w:rFonts w:ascii="Arial Bold" w:hAnsi="Arial Bold"/>
      <w:b/>
      <w:bCs/>
      <w:caps/>
      <w:noProof/>
      <w:color w:val="003157"/>
      <w:sz w:val="20"/>
    </w:rPr>
  </w:style>
  <w:style w:type="paragraph" w:styleId="TOC2">
    <w:name w:val="toc 2"/>
    <w:basedOn w:val="Normal"/>
    <w:next w:val="Normal"/>
    <w:uiPriority w:val="39"/>
    <w:qFormat/>
    <w:rsid w:val="00447E63"/>
    <w:pPr>
      <w:widowControl w:val="0"/>
      <w:tabs>
        <w:tab w:val="right" w:leader="dot" w:pos="9072"/>
      </w:tabs>
      <w:adjustRightInd w:val="0"/>
      <w:spacing w:before="120" w:after="0" w:line="240" w:lineRule="auto"/>
      <w:ind w:left="567" w:right="567"/>
      <w:textAlignment w:val="baseline"/>
    </w:pPr>
    <w:rPr>
      <w:rFonts w:ascii="Arial" w:hAnsi="Arial"/>
      <w:sz w:val="20"/>
    </w:rPr>
  </w:style>
  <w:style w:type="paragraph" w:styleId="TOC3">
    <w:name w:val="toc 3"/>
    <w:basedOn w:val="Normal"/>
    <w:next w:val="Normal"/>
    <w:autoRedefine/>
    <w:uiPriority w:val="39"/>
    <w:qFormat/>
    <w:rsid w:val="00447E63"/>
    <w:pPr>
      <w:tabs>
        <w:tab w:val="left" w:pos="2268"/>
        <w:tab w:val="right" w:leader="dot" w:pos="9072"/>
      </w:tabs>
      <w:spacing w:before="120" w:after="0" w:line="240" w:lineRule="auto"/>
      <w:ind w:left="851" w:right="567"/>
    </w:pPr>
    <w:rPr>
      <w:rFonts w:ascii="Arial" w:hAnsi="Arial"/>
      <w:i/>
      <w:noProof/>
      <w:sz w:val="20"/>
    </w:rPr>
  </w:style>
  <w:style w:type="paragraph" w:styleId="TOC4">
    <w:name w:val="toc 4"/>
    <w:basedOn w:val="Normal"/>
    <w:next w:val="Normal"/>
    <w:autoRedefine/>
    <w:rsid w:val="00F73064"/>
    <w:pPr>
      <w:tabs>
        <w:tab w:val="left" w:pos="1531"/>
        <w:tab w:val="right" w:leader="dot" w:pos="7711"/>
      </w:tabs>
      <w:spacing w:after="120"/>
      <w:ind w:left="1560" w:hanging="959"/>
    </w:pPr>
    <w:rPr>
      <w:noProof/>
    </w:rPr>
  </w:style>
  <w:style w:type="paragraph" w:styleId="BodyTextIndent2">
    <w:name w:val="Body Text Indent 2"/>
    <w:basedOn w:val="Normal"/>
    <w:link w:val="BodyTextIndent2Char"/>
    <w:rsid w:val="00B55137"/>
    <w:pPr>
      <w:spacing w:after="120" w:line="480" w:lineRule="auto"/>
      <w:ind w:left="283"/>
    </w:pPr>
  </w:style>
  <w:style w:type="character" w:customStyle="1" w:styleId="BodyTextIndent2Char">
    <w:name w:val="Body Text Indent 2 Char"/>
    <w:basedOn w:val="DefaultParagraphFont"/>
    <w:link w:val="BodyTextIndent2"/>
    <w:rsid w:val="00B55137"/>
    <w:rPr>
      <w:rFonts w:ascii="Calibri" w:eastAsia="Times New Roman" w:hAnsi="Calibri" w:cs="Times New Roman"/>
      <w:color w:val="000000"/>
      <w:szCs w:val="20"/>
      <w:lang w:eastAsia="en-AU"/>
    </w:rPr>
  </w:style>
  <w:style w:type="character" w:customStyle="1" w:styleId="BoldandItalic">
    <w:name w:val="Bold and Italic"/>
    <w:basedOn w:val="DefaultParagraphFont"/>
    <w:rsid w:val="00B55137"/>
    <w:rPr>
      <w:rFonts w:ascii="Arial" w:hAnsi="Arial"/>
      <w:b/>
      <w:i/>
    </w:rPr>
  </w:style>
  <w:style w:type="paragraph" w:styleId="Caption">
    <w:name w:val="caption"/>
    <w:basedOn w:val="Normal"/>
    <w:next w:val="Normal"/>
    <w:unhideWhenUsed/>
    <w:rsid w:val="00F73064"/>
    <w:rPr>
      <w:b/>
      <w:bCs/>
      <w:color w:val="003157"/>
      <w:sz w:val="18"/>
      <w:szCs w:val="18"/>
    </w:rPr>
  </w:style>
  <w:style w:type="character" w:styleId="CommentReference">
    <w:name w:val="annotation reference"/>
    <w:basedOn w:val="DefaultParagraphFont"/>
    <w:uiPriority w:val="99"/>
    <w:rsid w:val="00F73064"/>
    <w:rPr>
      <w:sz w:val="16"/>
      <w:szCs w:val="16"/>
    </w:rPr>
  </w:style>
  <w:style w:type="paragraph" w:styleId="CommentText">
    <w:name w:val="annotation text"/>
    <w:basedOn w:val="Normal"/>
    <w:link w:val="CommentTextChar"/>
    <w:uiPriority w:val="99"/>
    <w:rsid w:val="00F73064"/>
    <w:rPr>
      <w:sz w:val="20"/>
    </w:rPr>
  </w:style>
  <w:style w:type="character" w:customStyle="1" w:styleId="CommentTextChar">
    <w:name w:val="Comment Text Char"/>
    <w:basedOn w:val="DefaultParagraphFont"/>
    <w:link w:val="CommentText"/>
    <w:uiPriority w:val="99"/>
    <w:rsid w:val="00F73064"/>
    <w:rPr>
      <w:sz w:val="20"/>
    </w:rPr>
  </w:style>
  <w:style w:type="paragraph" w:styleId="CommentSubject">
    <w:name w:val="annotation subject"/>
    <w:basedOn w:val="CommentText"/>
    <w:next w:val="CommentText"/>
    <w:link w:val="CommentSubjectChar"/>
    <w:uiPriority w:val="99"/>
    <w:rsid w:val="00F73064"/>
    <w:rPr>
      <w:b/>
      <w:bCs/>
    </w:rPr>
  </w:style>
  <w:style w:type="character" w:customStyle="1" w:styleId="CommentSubjectChar">
    <w:name w:val="Comment Subject Char"/>
    <w:basedOn w:val="CommentTextChar"/>
    <w:link w:val="CommentSubject"/>
    <w:uiPriority w:val="99"/>
    <w:rsid w:val="00F73064"/>
    <w:rPr>
      <w:b/>
      <w:bCs/>
      <w:sz w:val="20"/>
    </w:rPr>
  </w:style>
  <w:style w:type="paragraph" w:styleId="DocumentMap">
    <w:name w:val="Document Map"/>
    <w:basedOn w:val="Normal"/>
    <w:link w:val="DocumentMapChar"/>
    <w:semiHidden/>
    <w:rsid w:val="00B55137"/>
    <w:pPr>
      <w:shd w:val="clear" w:color="auto" w:fill="00CCFF"/>
    </w:pPr>
    <w:rPr>
      <w:rFonts w:ascii="Tahoma" w:hAnsi="Tahoma" w:cs="Tahoma"/>
    </w:rPr>
  </w:style>
  <w:style w:type="character" w:customStyle="1" w:styleId="DocumentMapChar">
    <w:name w:val="Document Map Char"/>
    <w:basedOn w:val="DefaultParagraphFont"/>
    <w:link w:val="DocumentMap"/>
    <w:semiHidden/>
    <w:rsid w:val="00B55137"/>
    <w:rPr>
      <w:rFonts w:ascii="Tahoma" w:eastAsia="Times New Roman" w:hAnsi="Tahoma" w:cs="Tahoma"/>
      <w:color w:val="000000"/>
      <w:szCs w:val="20"/>
      <w:shd w:val="clear" w:color="auto" w:fill="00CCFF"/>
      <w:lang w:eastAsia="en-AU"/>
    </w:rPr>
  </w:style>
  <w:style w:type="character" w:styleId="EndnoteReference">
    <w:name w:val="endnote reference"/>
    <w:basedOn w:val="DefaultParagraphFont"/>
    <w:rsid w:val="00F73064"/>
    <w:rPr>
      <w:vertAlign w:val="superscript"/>
    </w:rPr>
  </w:style>
  <w:style w:type="paragraph" w:styleId="EndnoteText">
    <w:name w:val="endnote text"/>
    <w:basedOn w:val="Normal"/>
    <w:link w:val="EndnoteTextChar"/>
    <w:rsid w:val="00F73064"/>
    <w:pPr>
      <w:spacing w:after="0"/>
    </w:pPr>
    <w:rPr>
      <w:sz w:val="20"/>
    </w:rPr>
  </w:style>
  <w:style w:type="character" w:customStyle="1" w:styleId="EndnoteTextChar">
    <w:name w:val="Endnote Text Char"/>
    <w:basedOn w:val="DefaultParagraphFont"/>
    <w:link w:val="EndnoteText"/>
    <w:rsid w:val="00F73064"/>
    <w:rPr>
      <w:sz w:val="20"/>
    </w:rPr>
  </w:style>
  <w:style w:type="character" w:styleId="FollowedHyperlink">
    <w:name w:val="FollowedHyperlink"/>
    <w:basedOn w:val="DefaultParagraphFont"/>
    <w:uiPriority w:val="99"/>
    <w:rsid w:val="00B55137"/>
    <w:rPr>
      <w:color w:val="auto"/>
      <w:u w:val="none"/>
    </w:rPr>
  </w:style>
  <w:style w:type="paragraph" w:styleId="Index1">
    <w:name w:val="index 1"/>
    <w:basedOn w:val="Normal"/>
    <w:next w:val="Normal"/>
    <w:autoRedefine/>
    <w:semiHidden/>
    <w:rsid w:val="00F73064"/>
    <w:pPr>
      <w:spacing w:after="0"/>
      <w:ind w:left="238" w:hanging="238"/>
    </w:pPr>
  </w:style>
  <w:style w:type="paragraph" w:styleId="Index2">
    <w:name w:val="index 2"/>
    <w:basedOn w:val="Normal"/>
    <w:next w:val="Normal"/>
    <w:autoRedefine/>
    <w:semiHidden/>
    <w:rsid w:val="00F73064"/>
    <w:pPr>
      <w:spacing w:after="0"/>
      <w:ind w:left="480" w:hanging="240"/>
    </w:pPr>
    <w:rPr>
      <w:sz w:val="20"/>
    </w:rPr>
  </w:style>
  <w:style w:type="paragraph" w:styleId="Index3">
    <w:name w:val="index 3"/>
    <w:basedOn w:val="Normal"/>
    <w:next w:val="Normal"/>
    <w:autoRedefine/>
    <w:semiHidden/>
    <w:rsid w:val="00B55137"/>
    <w:pPr>
      <w:ind w:left="600" w:hanging="200"/>
    </w:pPr>
  </w:style>
  <w:style w:type="paragraph" w:styleId="Index4">
    <w:name w:val="index 4"/>
    <w:basedOn w:val="Normal"/>
    <w:next w:val="Normal"/>
    <w:autoRedefine/>
    <w:semiHidden/>
    <w:rsid w:val="00B55137"/>
    <w:pPr>
      <w:ind w:left="800" w:hanging="200"/>
    </w:pPr>
  </w:style>
  <w:style w:type="paragraph" w:styleId="Index5">
    <w:name w:val="index 5"/>
    <w:basedOn w:val="Normal"/>
    <w:next w:val="Normal"/>
    <w:autoRedefine/>
    <w:semiHidden/>
    <w:rsid w:val="00B55137"/>
    <w:pPr>
      <w:ind w:left="1000" w:hanging="200"/>
    </w:pPr>
  </w:style>
  <w:style w:type="paragraph" w:styleId="Index6">
    <w:name w:val="index 6"/>
    <w:basedOn w:val="Normal"/>
    <w:next w:val="Normal"/>
    <w:autoRedefine/>
    <w:semiHidden/>
    <w:rsid w:val="00B55137"/>
    <w:pPr>
      <w:ind w:left="1200" w:hanging="200"/>
    </w:pPr>
  </w:style>
  <w:style w:type="paragraph" w:styleId="Index7">
    <w:name w:val="index 7"/>
    <w:basedOn w:val="Normal"/>
    <w:next w:val="Normal"/>
    <w:autoRedefine/>
    <w:semiHidden/>
    <w:rsid w:val="00B55137"/>
    <w:pPr>
      <w:ind w:left="1400" w:hanging="200"/>
    </w:pPr>
  </w:style>
  <w:style w:type="paragraph" w:styleId="Index8">
    <w:name w:val="index 8"/>
    <w:basedOn w:val="Normal"/>
    <w:next w:val="Normal"/>
    <w:autoRedefine/>
    <w:semiHidden/>
    <w:rsid w:val="00B55137"/>
    <w:pPr>
      <w:ind w:left="1600" w:hanging="200"/>
    </w:pPr>
  </w:style>
  <w:style w:type="paragraph" w:styleId="Index9">
    <w:name w:val="index 9"/>
    <w:basedOn w:val="Normal"/>
    <w:next w:val="Normal"/>
    <w:autoRedefine/>
    <w:semiHidden/>
    <w:rsid w:val="00B55137"/>
    <w:pPr>
      <w:ind w:left="1800" w:hanging="200"/>
    </w:pPr>
  </w:style>
  <w:style w:type="paragraph" w:styleId="IndexHeading">
    <w:name w:val="index heading"/>
    <w:basedOn w:val="Normal"/>
    <w:next w:val="Index1"/>
    <w:semiHidden/>
    <w:rsid w:val="00F73064"/>
    <w:pPr>
      <w:pBdr>
        <w:top w:val="single" w:sz="12" w:space="0" w:color="auto"/>
      </w:pBdr>
      <w:spacing w:before="360"/>
    </w:pPr>
    <w:rPr>
      <w:rFonts w:ascii="Times New Roman" w:hAnsi="Times New Roman"/>
      <w:b/>
      <w:i/>
    </w:rPr>
  </w:style>
  <w:style w:type="paragraph" w:styleId="MacroText">
    <w:name w:val="macro"/>
    <w:link w:val="MacroTextChar"/>
    <w:semiHidden/>
    <w:rsid w:val="00B55137"/>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B55137"/>
    <w:rPr>
      <w:rFonts w:ascii="Courier New" w:eastAsia="Times New Roman" w:hAnsi="Courier New" w:cs="Courier New"/>
      <w:color w:val="000000"/>
      <w:sz w:val="20"/>
      <w:szCs w:val="20"/>
      <w:lang w:eastAsia="en-AU"/>
    </w:rPr>
  </w:style>
  <w:style w:type="numbering" w:customStyle="1" w:styleId="OutlineList">
    <w:name w:val="OutlineList"/>
    <w:uiPriority w:val="99"/>
    <w:rsid w:val="003E0E7B"/>
    <w:pPr>
      <w:numPr>
        <w:numId w:val="5"/>
      </w:numPr>
    </w:pPr>
  </w:style>
  <w:style w:type="paragraph" w:customStyle="1" w:styleId="PictureCentred">
    <w:name w:val="Picture Centred"/>
    <w:basedOn w:val="Normal"/>
    <w:rsid w:val="00B55137"/>
    <w:pPr>
      <w:spacing w:before="120" w:line="240" w:lineRule="atLeast"/>
      <w:jc w:val="center"/>
    </w:pPr>
  </w:style>
  <w:style w:type="paragraph" w:customStyle="1" w:styleId="PictureLeft">
    <w:name w:val="Picture Left"/>
    <w:basedOn w:val="PictureCentred"/>
    <w:rsid w:val="00B55137"/>
    <w:pPr>
      <w:jc w:val="left"/>
    </w:pPr>
  </w:style>
  <w:style w:type="paragraph" w:customStyle="1" w:styleId="PictureIndent">
    <w:name w:val="Picture Indent"/>
    <w:basedOn w:val="PictureLeft"/>
    <w:rsid w:val="00B55137"/>
    <w:pPr>
      <w:ind w:left="284"/>
    </w:pPr>
  </w:style>
  <w:style w:type="paragraph" w:styleId="TableofAuthorities">
    <w:name w:val="table of authorities"/>
    <w:basedOn w:val="Normal"/>
    <w:next w:val="Normal"/>
    <w:rsid w:val="00B55137"/>
    <w:pPr>
      <w:ind w:left="200" w:hanging="200"/>
    </w:pPr>
  </w:style>
  <w:style w:type="paragraph" w:styleId="TableofFigures">
    <w:name w:val="table of figures"/>
    <w:basedOn w:val="Normal"/>
    <w:next w:val="Normal"/>
    <w:rsid w:val="00B55137"/>
  </w:style>
  <w:style w:type="paragraph" w:styleId="TOAHeading">
    <w:name w:val="toa heading"/>
    <w:basedOn w:val="Normal"/>
    <w:next w:val="Normal"/>
    <w:semiHidden/>
    <w:rsid w:val="00B55137"/>
    <w:pPr>
      <w:spacing w:before="120"/>
    </w:pPr>
    <w:rPr>
      <w:rFonts w:ascii="Arial" w:hAnsi="Arial" w:cs="Arial"/>
      <w:b/>
      <w:bCs/>
      <w:sz w:val="24"/>
      <w:szCs w:val="24"/>
    </w:rPr>
  </w:style>
  <w:style w:type="paragraph" w:styleId="TOC5">
    <w:name w:val="toc 5"/>
    <w:basedOn w:val="Normal"/>
    <w:next w:val="Normal"/>
    <w:autoRedefine/>
    <w:semiHidden/>
    <w:rsid w:val="00F73064"/>
    <w:pPr>
      <w:ind w:left="1040"/>
    </w:pPr>
  </w:style>
  <w:style w:type="paragraph" w:styleId="TOC6">
    <w:name w:val="toc 6"/>
    <w:basedOn w:val="Normal"/>
    <w:next w:val="Normal"/>
    <w:autoRedefine/>
    <w:semiHidden/>
    <w:rsid w:val="00F73064"/>
    <w:pPr>
      <w:ind w:left="1300"/>
    </w:pPr>
  </w:style>
  <w:style w:type="paragraph" w:styleId="TOC7">
    <w:name w:val="toc 7"/>
    <w:basedOn w:val="Normal"/>
    <w:next w:val="Normal"/>
    <w:autoRedefine/>
    <w:semiHidden/>
    <w:rsid w:val="00F73064"/>
    <w:pPr>
      <w:tabs>
        <w:tab w:val="right" w:leader="dot" w:pos="7711"/>
      </w:tabs>
      <w:spacing w:before="240" w:after="0"/>
    </w:pPr>
    <w:rPr>
      <w:rFonts w:ascii="Arial" w:hAnsi="Arial"/>
      <w:smallCaps/>
      <w:color w:val="808000"/>
      <w:sz w:val="24"/>
    </w:rPr>
  </w:style>
  <w:style w:type="paragraph" w:styleId="TOC8">
    <w:name w:val="toc 8"/>
    <w:basedOn w:val="Normal"/>
    <w:next w:val="Normal"/>
    <w:autoRedefine/>
    <w:semiHidden/>
    <w:rsid w:val="00F73064"/>
    <w:pPr>
      <w:tabs>
        <w:tab w:val="right" w:leader="dot" w:pos="7711"/>
      </w:tabs>
      <w:spacing w:after="0"/>
      <w:ind w:left="1134"/>
    </w:pPr>
    <w:rPr>
      <w:noProof/>
    </w:rPr>
  </w:style>
  <w:style w:type="paragraph" w:styleId="TOC9">
    <w:name w:val="toc 9"/>
    <w:basedOn w:val="Normal"/>
    <w:next w:val="Normal"/>
    <w:autoRedefine/>
    <w:semiHidden/>
    <w:rsid w:val="00F73064"/>
    <w:pPr>
      <w:ind w:left="2080"/>
    </w:pPr>
  </w:style>
  <w:style w:type="numbering" w:customStyle="1" w:styleId="BulletedList">
    <w:name w:val="Bulleted List"/>
    <w:uiPriority w:val="99"/>
    <w:rsid w:val="005F5653"/>
    <w:pPr>
      <w:numPr>
        <w:numId w:val="1"/>
      </w:numPr>
    </w:pPr>
  </w:style>
  <w:style w:type="numbering" w:customStyle="1" w:styleId="BoxBulletedList">
    <w:name w:val="Box Bulleted List"/>
    <w:uiPriority w:val="99"/>
    <w:rsid w:val="005F5653"/>
    <w:pPr>
      <w:numPr>
        <w:numId w:val="2"/>
      </w:numPr>
    </w:pPr>
  </w:style>
  <w:style w:type="numbering" w:customStyle="1" w:styleId="AlphaParagraphList">
    <w:name w:val="Alpha Paragraph List"/>
    <w:uiPriority w:val="99"/>
    <w:rsid w:val="009D0790"/>
    <w:pPr>
      <w:numPr>
        <w:numId w:val="3"/>
      </w:numPr>
    </w:pPr>
  </w:style>
  <w:style w:type="numbering" w:customStyle="1" w:styleId="OneLevelList">
    <w:name w:val="OneLevelList"/>
    <w:uiPriority w:val="99"/>
    <w:rsid w:val="003E0E7B"/>
    <w:pPr>
      <w:numPr>
        <w:numId w:val="4"/>
      </w:numPr>
    </w:pPr>
  </w:style>
  <w:style w:type="numbering" w:customStyle="1" w:styleId="RecommendationBulletList">
    <w:name w:val="RecommendationBulletList"/>
    <w:uiPriority w:val="99"/>
    <w:rsid w:val="00301A52"/>
    <w:pPr>
      <w:numPr>
        <w:numId w:val="6"/>
      </w:numPr>
    </w:pPr>
  </w:style>
  <w:style w:type="numbering" w:customStyle="1" w:styleId="RomanNumeralList">
    <w:name w:val="RomanNumeralList"/>
    <w:uiPriority w:val="99"/>
    <w:rsid w:val="009C7E17"/>
    <w:pPr>
      <w:numPr>
        <w:numId w:val="7"/>
      </w:numPr>
    </w:pPr>
  </w:style>
  <w:style w:type="numbering" w:customStyle="1" w:styleId="ChartandTableFootnoteAlphaList">
    <w:name w:val="ChartandTableFootnoteAlphaList"/>
    <w:uiPriority w:val="99"/>
    <w:rsid w:val="009862D1"/>
    <w:pPr>
      <w:numPr>
        <w:numId w:val="12"/>
      </w:numPr>
    </w:pPr>
  </w:style>
  <w:style w:type="paragraph" w:customStyle="1" w:styleId="TableTextBullet">
    <w:name w:val="Table Text Bullet"/>
    <w:basedOn w:val="TableTextBase"/>
    <w:rsid w:val="002271BB"/>
    <w:pPr>
      <w:numPr>
        <w:numId w:val="15"/>
      </w:numPr>
    </w:pPr>
  </w:style>
  <w:style w:type="numbering" w:customStyle="1" w:styleId="TableTestBulletList">
    <w:name w:val="Table Test Bullet List"/>
    <w:uiPriority w:val="99"/>
    <w:rsid w:val="00E177C9"/>
    <w:pPr>
      <w:numPr>
        <w:numId w:val="13"/>
      </w:numPr>
    </w:pPr>
  </w:style>
  <w:style w:type="numbering" w:customStyle="1" w:styleId="TableTextBulletList">
    <w:name w:val="Table Text Bullet List"/>
    <w:uiPriority w:val="99"/>
    <w:rsid w:val="005F3390"/>
    <w:pPr>
      <w:numPr>
        <w:numId w:val="14"/>
      </w:numPr>
    </w:pPr>
  </w:style>
  <w:style w:type="paragraph" w:customStyle="1" w:styleId="StyleTableTextBulletLinespacingExactly13pt">
    <w:name w:val="Style Table Text Bullet + Line spacing:  Exactly 13 pt"/>
    <w:basedOn w:val="TableTextBullet"/>
    <w:rsid w:val="002271BB"/>
    <w:pPr>
      <w:numPr>
        <w:numId w:val="0"/>
      </w:numPr>
      <w:spacing w:after="80" w:line="260" w:lineRule="exact"/>
    </w:pPr>
  </w:style>
  <w:style w:type="paragraph" w:customStyle="1" w:styleId="SecurityClassificationHeader">
    <w:name w:val="Security Classification Header"/>
    <w:link w:val="SecurityClassificationHeaderChar"/>
    <w:rsid w:val="00A57848"/>
    <w:pPr>
      <w:spacing w:before="60" w:after="60" w:line="240" w:lineRule="auto"/>
      <w:jc w:val="center"/>
    </w:pPr>
    <w:rPr>
      <w:rFonts w:eastAsia="Times New Roman" w:cs="Times New Roman"/>
      <w:b/>
      <w:caps/>
      <w:color w:val="002B54" w:themeColor="accent1"/>
      <w:sz w:val="24"/>
      <w:szCs w:val="20"/>
      <w:lang w:eastAsia="en-AU"/>
    </w:rPr>
  </w:style>
  <w:style w:type="character" w:customStyle="1" w:styleId="SecurityClassificationHeaderChar">
    <w:name w:val="Security Classification Header Char"/>
    <w:basedOn w:val="HeaderChar"/>
    <w:link w:val="SecurityClassificationHeader"/>
    <w:rsid w:val="00A57848"/>
    <w:rPr>
      <w:rFonts w:ascii="Arial" w:eastAsia="Times New Roman" w:hAnsi="Arial" w:cs="Times New Roman"/>
      <w:b/>
      <w:caps/>
      <w:color w:val="002B54" w:themeColor="accent1"/>
      <w:sz w:val="24"/>
      <w:szCs w:val="20"/>
      <w:lang w:eastAsia="en-AU"/>
    </w:rPr>
  </w:style>
  <w:style w:type="paragraph" w:customStyle="1" w:styleId="SecurityClassificationFooter">
    <w:name w:val="Security Classification Footer"/>
    <w:link w:val="SecurityClassificationFooterChar"/>
    <w:rsid w:val="00A57848"/>
    <w:pPr>
      <w:spacing w:before="60" w:after="40" w:line="240" w:lineRule="auto"/>
      <w:jc w:val="center"/>
    </w:pPr>
    <w:rPr>
      <w:rFonts w:eastAsia="Times New Roman" w:cs="Times New Roman"/>
      <w:b/>
      <w:caps/>
      <w:color w:val="002B54" w:themeColor="accent1"/>
      <w:sz w:val="24"/>
      <w:szCs w:val="20"/>
      <w:lang w:eastAsia="en-AU"/>
    </w:rPr>
  </w:style>
  <w:style w:type="character" w:customStyle="1" w:styleId="SecurityClassificationFooterChar">
    <w:name w:val="Security Classification Footer Char"/>
    <w:basedOn w:val="HeaderChar"/>
    <w:link w:val="SecurityClassificationFooter"/>
    <w:rsid w:val="00A57848"/>
    <w:rPr>
      <w:rFonts w:ascii="Arial" w:eastAsia="Times New Roman" w:hAnsi="Arial" w:cs="Times New Roman"/>
      <w:b/>
      <w:caps/>
      <w:color w:val="002B54" w:themeColor="accent1"/>
      <w:sz w:val="24"/>
      <w:szCs w:val="20"/>
      <w:lang w:eastAsia="en-AU"/>
    </w:rPr>
  </w:style>
  <w:style w:type="paragraph" w:customStyle="1" w:styleId="DLMSecurityHeader">
    <w:name w:val="DLM Security Header"/>
    <w:link w:val="DLMSecurityHeaderChar"/>
    <w:rsid w:val="00F012EA"/>
    <w:pPr>
      <w:spacing w:before="60" w:after="240"/>
      <w:jc w:val="center"/>
    </w:pPr>
    <w:rPr>
      <w:rFonts w:ascii="Times New Roman" w:eastAsia="Times New Roman" w:hAnsi="Times New Roman" w:cs="Times New Roman"/>
      <w:b/>
      <w:caps/>
      <w:color w:val="002B54" w:themeColor="accent1"/>
      <w:sz w:val="24"/>
      <w:szCs w:val="20"/>
      <w:lang w:eastAsia="en-AU"/>
    </w:rPr>
  </w:style>
  <w:style w:type="character" w:customStyle="1" w:styleId="DLMSecurityHeaderChar">
    <w:name w:val="DLM Security Header Char"/>
    <w:basedOn w:val="HeaderChar"/>
    <w:link w:val="DLMSecurityHeader"/>
    <w:rsid w:val="00F012EA"/>
    <w:rPr>
      <w:rFonts w:ascii="Times New Roman" w:eastAsia="Times New Roman" w:hAnsi="Times New Roman" w:cs="Times New Roman"/>
      <w:b/>
      <w:caps/>
      <w:color w:val="002B54" w:themeColor="accent1"/>
      <w:sz w:val="24"/>
      <w:szCs w:val="20"/>
      <w:lang w:eastAsia="en-AU"/>
    </w:rPr>
  </w:style>
  <w:style w:type="paragraph" w:customStyle="1" w:styleId="DLMSecurityFooter">
    <w:name w:val="DLM Security Footer"/>
    <w:link w:val="DLMSecurityFooterChar"/>
    <w:rsid w:val="00F012EA"/>
    <w:pPr>
      <w:spacing w:before="240" w:after="60"/>
      <w:jc w:val="center"/>
    </w:pPr>
    <w:rPr>
      <w:rFonts w:ascii="Times New Roman" w:eastAsia="Times New Roman" w:hAnsi="Times New Roman" w:cs="Times New Roman"/>
      <w:b/>
      <w:caps/>
      <w:color w:val="002B54" w:themeColor="accent1"/>
      <w:sz w:val="24"/>
      <w:szCs w:val="20"/>
      <w:lang w:eastAsia="en-AU"/>
    </w:rPr>
  </w:style>
  <w:style w:type="character" w:customStyle="1" w:styleId="DLMSecurityFooterChar">
    <w:name w:val="DLM Security Footer Char"/>
    <w:basedOn w:val="HeaderChar"/>
    <w:link w:val="DLMSecurityFooter"/>
    <w:rsid w:val="00F012EA"/>
    <w:rPr>
      <w:rFonts w:ascii="Times New Roman" w:eastAsia="Times New Roman" w:hAnsi="Times New Roman" w:cs="Times New Roman"/>
      <w:b/>
      <w:caps/>
      <w:color w:val="002B54" w:themeColor="accent1"/>
      <w:sz w:val="24"/>
      <w:szCs w:val="20"/>
      <w:lang w:eastAsia="en-AU"/>
    </w:rPr>
  </w:style>
  <w:style w:type="paragraph" w:customStyle="1" w:styleId="AuthorName">
    <w:name w:val="Author Name"/>
    <w:basedOn w:val="Normal"/>
    <w:rsid w:val="00032DF4"/>
    <w:pPr>
      <w:spacing w:before="120" w:after="120" w:line="240" w:lineRule="auto"/>
      <w:jc w:val="center"/>
    </w:pPr>
    <w:rPr>
      <w:rFonts w:ascii="Arial Bold" w:hAnsi="Arial Bold"/>
      <w:b/>
      <w:sz w:val="24"/>
    </w:rPr>
  </w:style>
  <w:style w:type="paragraph" w:styleId="Title">
    <w:name w:val="Title"/>
    <w:basedOn w:val="HeadingBaseStyle"/>
    <w:link w:val="TitleChar"/>
    <w:autoRedefine/>
    <w:qFormat/>
    <w:rsid w:val="00DC2F1A"/>
    <w:pPr>
      <w:spacing w:before="3720" w:after="480" w:line="240" w:lineRule="auto"/>
      <w:jc w:val="center"/>
    </w:pPr>
    <w:rPr>
      <w:rFonts w:ascii="Arial Bold" w:hAnsi="Arial Bold"/>
      <w:b/>
      <w:smallCaps/>
      <w:kern w:val="28"/>
      <w:sz w:val="56"/>
    </w:rPr>
  </w:style>
  <w:style w:type="character" w:customStyle="1" w:styleId="TitleChar">
    <w:name w:val="Title Char"/>
    <w:basedOn w:val="DefaultParagraphFont"/>
    <w:link w:val="Title"/>
    <w:rsid w:val="00DC2F1A"/>
    <w:rPr>
      <w:rFonts w:ascii="Arial Bold" w:hAnsi="Arial Bold"/>
      <w:b/>
      <w:smallCaps/>
      <w:color w:val="003157"/>
      <w:kern w:val="28"/>
      <w:sz w:val="56"/>
    </w:rPr>
  </w:style>
  <w:style w:type="paragraph" w:styleId="Subtitle">
    <w:name w:val="Subtitle"/>
    <w:basedOn w:val="Normal"/>
    <w:link w:val="SubtitleChar"/>
    <w:uiPriority w:val="11"/>
    <w:qFormat/>
    <w:rsid w:val="00032DF4"/>
    <w:pPr>
      <w:spacing w:line="240" w:lineRule="auto"/>
      <w:jc w:val="center"/>
    </w:pPr>
    <w:rPr>
      <w:b/>
      <w:sz w:val="40"/>
      <w:szCs w:val="40"/>
    </w:rPr>
  </w:style>
  <w:style w:type="character" w:customStyle="1" w:styleId="SubtitleChar">
    <w:name w:val="Subtitle Char"/>
    <w:basedOn w:val="DefaultParagraphFont"/>
    <w:link w:val="Subtitle"/>
    <w:uiPriority w:val="11"/>
    <w:rsid w:val="00032DF4"/>
    <w:rPr>
      <w:rFonts w:ascii="Calibri" w:hAnsi="Calibri"/>
      <w:b/>
      <w:color w:val="000000" w:themeColor="text1"/>
      <w:sz w:val="40"/>
      <w:szCs w:val="40"/>
    </w:rPr>
  </w:style>
  <w:style w:type="paragraph" w:customStyle="1" w:styleId="SeriesNumber">
    <w:name w:val="Series Number"/>
    <w:basedOn w:val="HeadingBaseStyle"/>
    <w:rsid w:val="00F73064"/>
    <w:pPr>
      <w:spacing w:after="300"/>
      <w:jc w:val="center"/>
    </w:pPr>
    <w:rPr>
      <w:rFonts w:ascii="Arial Bold" w:hAnsi="Arial Bold"/>
      <w:b/>
      <w:color w:val="auto"/>
      <w:sz w:val="32"/>
    </w:rPr>
  </w:style>
  <w:style w:type="character" w:customStyle="1" w:styleId="A5">
    <w:name w:val="A5"/>
    <w:uiPriority w:val="99"/>
    <w:rsid w:val="00F73064"/>
    <w:rPr>
      <w:rFonts w:cs="Swiss 721 BT"/>
      <w:color w:val="000000"/>
      <w:sz w:val="20"/>
      <w:szCs w:val="20"/>
    </w:rPr>
  </w:style>
  <w:style w:type="paragraph" w:customStyle="1" w:styleId="Abstract">
    <w:name w:val="Abstract"/>
    <w:basedOn w:val="Normal"/>
    <w:link w:val="AbstractChar"/>
    <w:qFormat/>
    <w:rsid w:val="00F73064"/>
  </w:style>
  <w:style w:type="character" w:customStyle="1" w:styleId="AbstractChar">
    <w:name w:val="Abstract Char"/>
    <w:basedOn w:val="DefaultParagraphFont"/>
    <w:link w:val="Abstract"/>
    <w:rsid w:val="00F73064"/>
  </w:style>
  <w:style w:type="paragraph" w:customStyle="1" w:styleId="AppendixHeadingLevel2NotNumbered">
    <w:name w:val="Appendix Heading Level 2 Not Numbered"/>
    <w:basedOn w:val="Normal"/>
    <w:qFormat/>
    <w:rsid w:val="00F73064"/>
    <w:pPr>
      <w:spacing w:before="480" w:after="320"/>
    </w:pPr>
    <w:rPr>
      <w:rFonts w:ascii="Arial Bold" w:hAnsi="Arial Bold" w:cs="Arial"/>
      <w:b/>
      <w:smallCaps/>
      <w:color w:val="003157"/>
      <w:sz w:val="32"/>
      <w:szCs w:val="32"/>
    </w:rPr>
  </w:style>
  <w:style w:type="paragraph" w:customStyle="1" w:styleId="Acknowledgement">
    <w:name w:val="Acknowledgement"/>
    <w:basedOn w:val="Normal"/>
    <w:rsid w:val="00F73064"/>
    <w:pPr>
      <w:spacing w:after="0"/>
    </w:pPr>
  </w:style>
  <w:style w:type="paragraph" w:customStyle="1" w:styleId="Alphanumbered">
    <w:name w:val="Alpha numbered"/>
    <w:basedOn w:val="Normal"/>
    <w:rsid w:val="00F73064"/>
    <w:pPr>
      <w:numPr>
        <w:numId w:val="16"/>
      </w:numPr>
    </w:pPr>
  </w:style>
  <w:style w:type="paragraph" w:customStyle="1" w:styleId="HeadingBaseStyle">
    <w:name w:val="HeadingBaseStyle"/>
    <w:basedOn w:val="Normal"/>
    <w:rsid w:val="00F73064"/>
    <w:pPr>
      <w:keepNext/>
      <w:spacing w:after="0"/>
    </w:pPr>
    <w:rPr>
      <w:rFonts w:ascii="Arial" w:hAnsi="Arial"/>
      <w:color w:val="003157"/>
    </w:rPr>
  </w:style>
  <w:style w:type="paragraph" w:customStyle="1" w:styleId="AppendixHeadingNotNumbered">
    <w:name w:val="Appendix Heading Not Numbered"/>
    <w:basedOn w:val="HeadingBaseStyle"/>
    <w:rsid w:val="00F73064"/>
    <w:pPr>
      <w:numPr>
        <w:numId w:val="17"/>
      </w:numPr>
      <w:spacing w:before="480" w:after="320"/>
    </w:pPr>
    <w:rPr>
      <w:b/>
      <w:smallCaps/>
      <w:sz w:val="32"/>
      <w:szCs w:val="28"/>
    </w:rPr>
  </w:style>
  <w:style w:type="paragraph" w:customStyle="1" w:styleId="AppendixHeadingLevel2">
    <w:name w:val="Appendix Heading Level 2"/>
    <w:basedOn w:val="AppendixHeadingNotNumbered"/>
    <w:next w:val="Normal"/>
    <w:rsid w:val="00F73064"/>
    <w:pPr>
      <w:numPr>
        <w:ilvl w:val="1"/>
      </w:numPr>
    </w:pPr>
  </w:style>
  <w:style w:type="paragraph" w:customStyle="1" w:styleId="AppendixHeadingLevel3">
    <w:name w:val="Appendix Heading Level 3"/>
    <w:basedOn w:val="Heading3"/>
    <w:next w:val="Normal"/>
    <w:rsid w:val="00F73064"/>
    <w:pPr>
      <w:numPr>
        <w:ilvl w:val="2"/>
        <w:numId w:val="17"/>
      </w:numPr>
    </w:pPr>
  </w:style>
  <w:style w:type="paragraph" w:customStyle="1" w:styleId="AppendixHeadingLevel4">
    <w:name w:val="Appendix Heading Level 4"/>
    <w:basedOn w:val="Heading4"/>
    <w:next w:val="Normal"/>
    <w:rsid w:val="00F73064"/>
    <w:pPr>
      <w:numPr>
        <w:ilvl w:val="3"/>
        <w:numId w:val="17"/>
      </w:numPr>
    </w:pPr>
  </w:style>
  <w:style w:type="paragraph" w:customStyle="1" w:styleId="Attachment">
    <w:name w:val="Attachment"/>
    <w:basedOn w:val="HeadingBaseStyle"/>
    <w:next w:val="Normal"/>
    <w:rsid w:val="00F73064"/>
    <w:pPr>
      <w:spacing w:before="480" w:after="360"/>
    </w:pPr>
    <w:rPr>
      <w:rFonts w:ascii="Arial Bold" w:hAnsi="Arial Bold"/>
      <w:b/>
      <w:smallCaps/>
      <w:sz w:val="32"/>
    </w:rPr>
  </w:style>
  <w:style w:type="paragraph" w:customStyle="1" w:styleId="CaptionandTableFootnoteAlpha">
    <w:name w:val="Caption and Table Footnote Alpha"/>
    <w:basedOn w:val="HeadingBaseStyle"/>
    <w:next w:val="Normal"/>
    <w:rsid w:val="00F73064"/>
    <w:pPr>
      <w:numPr>
        <w:numId w:val="18"/>
      </w:numPr>
      <w:spacing w:line="260" w:lineRule="exact"/>
    </w:pPr>
    <w:rPr>
      <w:rFonts w:asciiTheme="minorHAnsi" w:hAnsiTheme="minorHAnsi"/>
      <w:color w:val="auto"/>
      <w:kern w:val="28"/>
      <w:sz w:val="20"/>
    </w:rPr>
  </w:style>
  <w:style w:type="paragraph" w:customStyle="1" w:styleId="Captiongraphic">
    <w:name w:val="Caption graphic"/>
    <w:basedOn w:val="HeadingBaseStyle"/>
    <w:next w:val="Normal"/>
    <w:rsid w:val="00F73064"/>
    <w:pPr>
      <w:spacing w:after="20"/>
      <w:jc w:val="center"/>
    </w:pPr>
    <w:rPr>
      <w:color w:val="auto"/>
      <w:sz w:val="24"/>
    </w:rPr>
  </w:style>
  <w:style w:type="paragraph" w:customStyle="1" w:styleId="CaptionHeading1">
    <w:name w:val="Caption Heading 1"/>
    <w:basedOn w:val="Normal"/>
    <w:next w:val="Captiongraphic"/>
    <w:rsid w:val="00F73064"/>
    <w:pPr>
      <w:keepNext/>
      <w:spacing w:before="120" w:after="0"/>
      <w:jc w:val="center"/>
    </w:pPr>
    <w:rPr>
      <w:rFonts w:ascii="Arial" w:hAnsi="Arial"/>
      <w:color w:val="003157"/>
      <w:sz w:val="24"/>
    </w:rPr>
  </w:style>
  <w:style w:type="paragraph" w:customStyle="1" w:styleId="CaptionHeading2">
    <w:name w:val="Caption Heading 2"/>
    <w:basedOn w:val="Normal"/>
    <w:rsid w:val="00F73064"/>
    <w:pPr>
      <w:keepNext/>
      <w:spacing w:after="0"/>
      <w:jc w:val="center"/>
    </w:pPr>
    <w:rPr>
      <w:rFonts w:ascii="Arial" w:hAnsi="Arial"/>
      <w:color w:val="003157"/>
      <w:sz w:val="20"/>
    </w:rPr>
  </w:style>
  <w:style w:type="paragraph" w:customStyle="1" w:styleId="CaptionHeading3">
    <w:name w:val="Caption Heading 3"/>
    <w:basedOn w:val="CaptionHeading2"/>
    <w:next w:val="Captiongraphic"/>
    <w:rsid w:val="00F73064"/>
    <w:rPr>
      <w:rFonts w:ascii="Arial Bold" w:hAnsi="Arial Bold"/>
      <w:b/>
      <w:color w:val="000000"/>
    </w:rPr>
  </w:style>
  <w:style w:type="paragraph" w:styleId="NoSpacing">
    <w:name w:val="No Spacing"/>
    <w:link w:val="NoSpacingChar"/>
    <w:uiPriority w:val="1"/>
    <w:rsid w:val="00F73064"/>
    <w:pPr>
      <w:spacing w:after="0" w:line="240" w:lineRule="auto"/>
      <w:jc w:val="both"/>
    </w:pPr>
    <w:rPr>
      <w:rFonts w:ascii="Palatino Linotype" w:eastAsia="Times New Roman" w:hAnsi="Palatino Linotype" w:cs="Times New Roman"/>
      <w:color w:val="000000"/>
      <w:sz w:val="26"/>
      <w:szCs w:val="20"/>
      <w:lang w:eastAsia="en-AU"/>
    </w:rPr>
  </w:style>
  <w:style w:type="character" w:customStyle="1" w:styleId="NoSpacingChar">
    <w:name w:val="No Spacing Char"/>
    <w:basedOn w:val="DefaultParagraphFont"/>
    <w:link w:val="NoSpacing"/>
    <w:uiPriority w:val="1"/>
    <w:rsid w:val="00F73064"/>
    <w:rPr>
      <w:rFonts w:ascii="Palatino Linotype" w:eastAsia="Times New Roman" w:hAnsi="Palatino Linotype" w:cs="Times New Roman"/>
      <w:color w:val="000000"/>
      <w:sz w:val="26"/>
      <w:szCs w:val="20"/>
      <w:lang w:eastAsia="en-AU"/>
    </w:rPr>
  </w:style>
  <w:style w:type="paragraph" w:customStyle="1" w:styleId="Caption1">
    <w:name w:val="Caption1"/>
    <w:basedOn w:val="NoSpacing"/>
    <w:link w:val="Caption1Char"/>
    <w:qFormat/>
    <w:rsid w:val="00F73064"/>
    <w:pPr>
      <w:keepNext/>
      <w:tabs>
        <w:tab w:val="left" w:pos="4438"/>
      </w:tabs>
      <w:jc w:val="center"/>
    </w:pPr>
    <w:rPr>
      <w:rFonts w:ascii="Arial" w:hAnsi="Arial"/>
      <w:color w:val="003157"/>
      <w:sz w:val="24"/>
      <w:szCs w:val="24"/>
    </w:rPr>
  </w:style>
  <w:style w:type="character" w:customStyle="1" w:styleId="Caption1Char">
    <w:name w:val="Caption1 Char"/>
    <w:basedOn w:val="NoSpacingChar"/>
    <w:link w:val="Caption1"/>
    <w:rsid w:val="00F73064"/>
    <w:rPr>
      <w:rFonts w:ascii="Arial" w:eastAsia="Times New Roman" w:hAnsi="Arial" w:cs="Times New Roman"/>
      <w:color w:val="003157"/>
      <w:sz w:val="24"/>
      <w:szCs w:val="24"/>
      <w:lang w:eastAsia="en-AU"/>
    </w:rPr>
  </w:style>
  <w:style w:type="paragraph" w:customStyle="1" w:styleId="ClassificationandMetadata">
    <w:name w:val="Classification and Metadata"/>
    <w:basedOn w:val="HeadingBaseStyle"/>
    <w:rsid w:val="00F73064"/>
    <w:pPr>
      <w:spacing w:after="240" w:line="260" w:lineRule="exact"/>
    </w:pPr>
    <w:rPr>
      <w:color w:val="auto"/>
      <w:sz w:val="24"/>
    </w:rPr>
  </w:style>
  <w:style w:type="character" w:styleId="Emphasis">
    <w:name w:val="Emphasis"/>
    <w:basedOn w:val="DefaultParagraphFont"/>
    <w:uiPriority w:val="20"/>
    <w:qFormat/>
    <w:rsid w:val="00F73064"/>
    <w:rPr>
      <w:i/>
      <w:iCs/>
    </w:rPr>
  </w:style>
  <w:style w:type="paragraph" w:customStyle="1" w:styleId="Equation">
    <w:name w:val="Equation"/>
    <w:basedOn w:val="Normal"/>
    <w:next w:val="Normal"/>
    <w:rsid w:val="00F73064"/>
    <w:pPr>
      <w:spacing w:before="120" w:after="120"/>
      <w:ind w:left="357"/>
    </w:pPr>
    <w:rPr>
      <w:rFonts w:ascii="Times New Roman" w:hAnsi="Times New Roman"/>
    </w:rPr>
  </w:style>
  <w:style w:type="paragraph" w:customStyle="1" w:styleId="ExampleBullet">
    <w:name w:val="Example Bullet"/>
    <w:basedOn w:val="Normal"/>
    <w:rsid w:val="00F73064"/>
    <w:pPr>
      <w:numPr>
        <w:numId w:val="20"/>
      </w:numPr>
      <w:spacing w:before="40" w:after="40"/>
    </w:pPr>
    <w:rPr>
      <w:rFonts w:ascii="Arial" w:hAnsi="Arial"/>
      <w:sz w:val="18"/>
    </w:rPr>
  </w:style>
  <w:style w:type="paragraph" w:customStyle="1" w:styleId="Heading2-Numbered">
    <w:name w:val="Heading 2 - Numbered"/>
    <w:basedOn w:val="Heading1-Numbered"/>
    <w:rsid w:val="0098411F"/>
    <w:pPr>
      <w:tabs>
        <w:tab w:val="clear" w:pos="426"/>
        <w:tab w:val="left" w:pos="567"/>
      </w:tabs>
      <w:spacing w:before="80" w:after="300"/>
      <w:ind w:left="567" w:hanging="567"/>
      <w:outlineLvl w:val="1"/>
    </w:pPr>
    <w:rPr>
      <w:sz w:val="32"/>
    </w:rPr>
  </w:style>
  <w:style w:type="paragraph" w:customStyle="1" w:styleId="Heading3NotNumbered">
    <w:name w:val="Heading 3 Not Numbered"/>
    <w:basedOn w:val="Heading4"/>
    <w:rsid w:val="00F73064"/>
    <w:rPr>
      <w:b/>
    </w:rPr>
  </w:style>
  <w:style w:type="paragraph" w:customStyle="1" w:styleId="Indented">
    <w:name w:val="Indented"/>
    <w:basedOn w:val="Normal"/>
    <w:rsid w:val="00F73064"/>
    <w:pPr>
      <w:ind w:left="851"/>
    </w:pPr>
  </w:style>
  <w:style w:type="paragraph" w:styleId="IntenseQuote">
    <w:name w:val="Intense Quote"/>
    <w:basedOn w:val="Normal"/>
    <w:next w:val="Normal"/>
    <w:link w:val="IntenseQuoteChar"/>
    <w:uiPriority w:val="30"/>
    <w:rsid w:val="00F73064"/>
    <w:pPr>
      <w:pBdr>
        <w:bottom w:val="single" w:sz="4" w:space="4" w:color="002B54" w:themeColor="accent1"/>
      </w:pBdr>
      <w:spacing w:before="200" w:after="280"/>
      <w:ind w:left="936" w:right="936"/>
    </w:pPr>
    <w:rPr>
      <w:b/>
      <w:bCs/>
      <w:i/>
      <w:iCs/>
      <w:color w:val="002B54" w:themeColor="accent1"/>
    </w:rPr>
  </w:style>
  <w:style w:type="character" w:customStyle="1" w:styleId="IntenseQuoteChar">
    <w:name w:val="Intense Quote Char"/>
    <w:basedOn w:val="DefaultParagraphFont"/>
    <w:link w:val="IntenseQuote"/>
    <w:uiPriority w:val="30"/>
    <w:rsid w:val="00F73064"/>
    <w:rPr>
      <w:b/>
      <w:bCs/>
      <w:i/>
      <w:iCs/>
      <w:color w:val="002B54" w:themeColor="accent1"/>
    </w:rPr>
  </w:style>
  <w:style w:type="paragraph" w:customStyle="1" w:styleId="MTDisplayEquation">
    <w:name w:val="MTDisplayEquation"/>
    <w:basedOn w:val="Normal"/>
    <w:next w:val="Normal"/>
    <w:link w:val="MTDisplayEquationChar"/>
    <w:rsid w:val="00F73064"/>
    <w:pPr>
      <w:tabs>
        <w:tab w:val="center" w:pos="4640"/>
        <w:tab w:val="right" w:pos="9300"/>
      </w:tabs>
    </w:pPr>
  </w:style>
  <w:style w:type="character" w:customStyle="1" w:styleId="MTDisplayEquationChar">
    <w:name w:val="MTDisplayEquation Char"/>
    <w:basedOn w:val="DefaultParagraphFont"/>
    <w:link w:val="MTDisplayEquation"/>
    <w:rsid w:val="00F73064"/>
  </w:style>
  <w:style w:type="character" w:customStyle="1" w:styleId="MTEquationSection">
    <w:name w:val="MTEquationSection"/>
    <w:basedOn w:val="DefaultParagraphFont"/>
    <w:rsid w:val="00F73064"/>
    <w:rPr>
      <w:vanish w:val="0"/>
      <w:color w:val="FF0000"/>
    </w:rPr>
  </w:style>
  <w:style w:type="character" w:customStyle="1" w:styleId="NormalBold">
    <w:name w:val="Normal Bold"/>
    <w:basedOn w:val="DefaultParagraphFont"/>
    <w:rsid w:val="00F73064"/>
    <w:rPr>
      <w:rFonts w:ascii="Calibri" w:hAnsi="Calibri"/>
      <w:b/>
      <w:sz w:val="22"/>
    </w:rPr>
  </w:style>
  <w:style w:type="character" w:customStyle="1" w:styleId="Normalitalics">
    <w:name w:val="Normal italics"/>
    <w:basedOn w:val="DefaultParagraphFont"/>
    <w:rsid w:val="00F73064"/>
    <w:rPr>
      <w:i/>
    </w:rPr>
  </w:style>
  <w:style w:type="paragraph" w:customStyle="1" w:styleId="Note">
    <w:name w:val="Note"/>
    <w:basedOn w:val="HeadingBaseStyle"/>
    <w:next w:val="Normal"/>
    <w:rsid w:val="00F73064"/>
    <w:pPr>
      <w:tabs>
        <w:tab w:val="left" w:pos="284"/>
      </w:tabs>
      <w:spacing w:line="260" w:lineRule="exact"/>
    </w:pPr>
    <w:rPr>
      <w:rFonts w:asciiTheme="minorHAnsi" w:hAnsiTheme="minorHAnsi"/>
      <w:color w:val="000000"/>
      <w:sz w:val="20"/>
    </w:rPr>
  </w:style>
  <w:style w:type="paragraph" w:customStyle="1" w:styleId="Noteitalics">
    <w:name w:val="Note italics"/>
    <w:basedOn w:val="Note"/>
    <w:rsid w:val="00F73064"/>
    <w:rPr>
      <w:i/>
    </w:rPr>
  </w:style>
  <w:style w:type="paragraph" w:customStyle="1" w:styleId="NumberedParagraph">
    <w:name w:val="Numbered Paragraph"/>
    <w:basedOn w:val="Normal"/>
    <w:autoRedefine/>
    <w:rsid w:val="00F73064"/>
    <w:pPr>
      <w:numPr>
        <w:numId w:val="22"/>
      </w:numPr>
    </w:pPr>
  </w:style>
  <w:style w:type="character" w:styleId="PlaceholderText">
    <w:name w:val="Placeholder Text"/>
    <w:basedOn w:val="DefaultParagraphFont"/>
    <w:uiPriority w:val="99"/>
    <w:semiHidden/>
    <w:rsid w:val="00F73064"/>
    <w:rPr>
      <w:color w:val="808080"/>
    </w:rPr>
  </w:style>
  <w:style w:type="paragraph" w:customStyle="1" w:styleId="References">
    <w:name w:val="References"/>
    <w:basedOn w:val="Normal"/>
    <w:rsid w:val="00F73064"/>
    <w:pPr>
      <w:widowControl w:val="0"/>
      <w:adjustRightInd w:val="0"/>
      <w:textAlignment w:val="baseline"/>
    </w:pPr>
  </w:style>
  <w:style w:type="paragraph" w:customStyle="1" w:styleId="SeriesMonth">
    <w:name w:val="Series Month"/>
    <w:basedOn w:val="HeadingBaseStyle"/>
    <w:rsid w:val="00F73064"/>
    <w:pPr>
      <w:spacing w:after="240"/>
      <w:jc w:val="center"/>
    </w:pPr>
    <w:rPr>
      <w:rFonts w:ascii="Arial Bold" w:hAnsi="Arial Bold"/>
      <w:b/>
      <w:color w:val="auto"/>
      <w:sz w:val="32"/>
    </w:rPr>
  </w:style>
  <w:style w:type="paragraph" w:customStyle="1" w:styleId="Tablegraphic0">
    <w:name w:val="Table graphic"/>
    <w:basedOn w:val="HeadingBaseStyle"/>
    <w:next w:val="Normal"/>
    <w:rsid w:val="00F73064"/>
    <w:pPr>
      <w:spacing w:after="20"/>
      <w:ind w:right="-113"/>
    </w:pPr>
    <w:rPr>
      <w:color w:val="auto"/>
      <w:sz w:val="24"/>
    </w:rPr>
  </w:style>
  <w:style w:type="paragraph" w:customStyle="1" w:styleId="TableHeading1">
    <w:name w:val="Table Heading 1"/>
    <w:basedOn w:val="HeadingBaseStyle"/>
    <w:next w:val="Tablegraphic0"/>
    <w:rsid w:val="00F73064"/>
    <w:pPr>
      <w:spacing w:before="120" w:after="20"/>
      <w:jc w:val="center"/>
    </w:pPr>
    <w:rPr>
      <w:sz w:val="24"/>
    </w:rPr>
  </w:style>
  <w:style w:type="paragraph" w:customStyle="1" w:styleId="Tableheading2">
    <w:name w:val="Table heading 2"/>
    <w:basedOn w:val="TableHeading1"/>
    <w:next w:val="Tablegraphic0"/>
    <w:rsid w:val="00F73064"/>
    <w:pPr>
      <w:spacing w:before="0"/>
    </w:pPr>
    <w:rPr>
      <w:sz w:val="22"/>
    </w:rPr>
  </w:style>
  <w:style w:type="paragraph" w:customStyle="1" w:styleId="TableHeadingcontinued">
    <w:name w:val="Table Heading continued"/>
    <w:basedOn w:val="HeadingBaseStyle"/>
    <w:next w:val="Tablegraphic0"/>
    <w:rsid w:val="00F73064"/>
    <w:pPr>
      <w:jc w:val="center"/>
    </w:pPr>
  </w:style>
  <w:style w:type="paragraph" w:customStyle="1" w:styleId="Tabletextcentred">
    <w:name w:val="Table text centred"/>
    <w:basedOn w:val="TableTextBase"/>
    <w:rsid w:val="00F73064"/>
    <w:pPr>
      <w:jc w:val="center"/>
    </w:pPr>
  </w:style>
  <w:style w:type="paragraph" w:customStyle="1" w:styleId="Tabletextleft0">
    <w:name w:val="Table text left"/>
    <w:basedOn w:val="TableTextBase"/>
    <w:rsid w:val="00F73064"/>
  </w:style>
  <w:style w:type="character" w:customStyle="1" w:styleId="BulletChar">
    <w:name w:val="Bullet Char"/>
    <w:basedOn w:val="DefaultParagraphFont"/>
    <w:link w:val="Bullet"/>
    <w:rsid w:val="00067669"/>
    <w:rPr>
      <w:rFonts w:ascii="Calibri" w:hAnsi="Calibri"/>
      <w:color w:val="000000" w:themeColor="text1"/>
    </w:rPr>
  </w:style>
  <w:style w:type="character" w:customStyle="1" w:styleId="DashChar">
    <w:name w:val="Dash Char"/>
    <w:basedOn w:val="DefaultParagraphFont"/>
    <w:link w:val="Dash"/>
    <w:rsid w:val="00067669"/>
    <w:rPr>
      <w:rFonts w:ascii="Calibri" w:hAnsi="Calibri"/>
      <w:color w:val="000000" w:themeColor="text1"/>
    </w:rPr>
  </w:style>
  <w:style w:type="paragraph" w:customStyle="1" w:styleId="bullet0">
    <w:name w:val="bullet"/>
    <w:basedOn w:val="Normal"/>
    <w:rsid w:val="00067669"/>
    <w:pPr>
      <w:spacing w:before="100" w:beforeAutospacing="1" w:after="100" w:afterAutospacing="1"/>
    </w:pPr>
    <w:rPr>
      <w:rFonts w:ascii="Times New Roman" w:hAnsi="Times New Roman" w:cs="Times New Roman"/>
      <w:color w:val="auto"/>
      <w:sz w:val="24"/>
      <w:szCs w:val="24"/>
      <w:lang w:eastAsia="en-AU"/>
    </w:rPr>
  </w:style>
  <w:style w:type="paragraph" w:customStyle="1" w:styleId="dash0">
    <w:name w:val="dash"/>
    <w:basedOn w:val="Normal"/>
    <w:rsid w:val="00067669"/>
    <w:pPr>
      <w:spacing w:before="100" w:beforeAutospacing="1" w:after="100" w:afterAutospacing="1"/>
    </w:pPr>
    <w:rPr>
      <w:rFonts w:ascii="Times New Roman" w:hAnsi="Times New Roman" w:cs="Times New Roman"/>
      <w:color w:val="auto"/>
      <w:sz w:val="24"/>
      <w:szCs w:val="24"/>
      <w:lang w:eastAsia="en-AU"/>
    </w:rPr>
  </w:style>
  <w:style w:type="character" w:styleId="SubtleEmphasis">
    <w:name w:val="Subtle Emphasis"/>
    <w:basedOn w:val="DefaultParagraphFont"/>
    <w:uiPriority w:val="19"/>
    <w:qFormat/>
    <w:rsid w:val="00067669"/>
    <w:rPr>
      <w:i/>
      <w:iCs/>
      <w:color w:val="808080" w:themeColor="text1" w:themeTint="7F"/>
    </w:rPr>
  </w:style>
  <w:style w:type="character" w:customStyle="1" w:styleId="DoubleDotChar">
    <w:name w:val="Double Dot Char"/>
    <w:basedOn w:val="DefaultParagraphFont"/>
    <w:link w:val="DoubleDot"/>
    <w:rsid w:val="00067669"/>
    <w:rPr>
      <w:rFonts w:ascii="Calibri" w:hAnsi="Calibri"/>
      <w:color w:val="000000" w:themeColor="text1"/>
    </w:rPr>
  </w:style>
  <w:style w:type="paragraph" w:styleId="TOCHeading">
    <w:name w:val="TOC Heading"/>
    <w:basedOn w:val="Heading1"/>
    <w:next w:val="Normal"/>
    <w:uiPriority w:val="39"/>
    <w:unhideWhenUsed/>
    <w:qFormat/>
    <w:rsid w:val="00067669"/>
    <w:pPr>
      <w:keepLines/>
      <w:spacing w:after="0" w:line="276" w:lineRule="auto"/>
      <w:jc w:val="left"/>
      <w:outlineLvl w:val="9"/>
    </w:pPr>
    <w:rPr>
      <w:rFonts w:asciiTheme="majorHAnsi" w:eastAsiaTheme="majorEastAsia" w:hAnsiTheme="majorHAnsi" w:cstheme="majorBidi"/>
      <w:bCs/>
      <w:smallCaps w:val="0"/>
      <w:color w:val="001F3E" w:themeColor="accent1" w:themeShade="BF"/>
      <w:sz w:val="28"/>
      <w:szCs w:val="28"/>
      <w:lang w:val="en-US" w:eastAsia="ja-JP"/>
    </w:rPr>
  </w:style>
  <w:style w:type="character" w:customStyle="1" w:styleId="OutlineNumbered1Char">
    <w:name w:val="Outline Numbered 1 Char"/>
    <w:basedOn w:val="BulletChar"/>
    <w:link w:val="OutlineNumbered1"/>
    <w:rsid w:val="00067669"/>
    <w:rPr>
      <w:rFonts w:ascii="Calibri" w:hAnsi="Calibri"/>
      <w:color w:val="000000" w:themeColor="text1"/>
    </w:rPr>
  </w:style>
  <w:style w:type="character" w:customStyle="1" w:styleId="OutlineNumbered2Char">
    <w:name w:val="Outline Numbered 2 Char"/>
    <w:basedOn w:val="BulletChar"/>
    <w:link w:val="OutlineNumbered2"/>
    <w:rsid w:val="00067669"/>
    <w:rPr>
      <w:rFonts w:ascii="Calibri" w:hAnsi="Calibri"/>
      <w:color w:val="000000" w:themeColor="text1"/>
    </w:rPr>
  </w:style>
  <w:style w:type="character" w:customStyle="1" w:styleId="OutlineNumbered3Char">
    <w:name w:val="Outline Numbered 3 Char"/>
    <w:basedOn w:val="BulletChar"/>
    <w:link w:val="OutlineNumbered3"/>
    <w:rsid w:val="00067669"/>
    <w:rPr>
      <w:rFonts w:ascii="Calibri" w:hAnsi="Calibri"/>
      <w:color w:val="000000" w:themeColor="text1"/>
    </w:rPr>
  </w:style>
  <w:style w:type="character" w:styleId="Strong">
    <w:name w:val="Strong"/>
    <w:basedOn w:val="DefaultParagraphFont"/>
    <w:uiPriority w:val="22"/>
    <w:qFormat/>
    <w:rsid w:val="00067669"/>
    <w:rPr>
      <w:b/>
      <w:bCs/>
    </w:rPr>
  </w:style>
  <w:style w:type="paragraph" w:customStyle="1" w:styleId="Default">
    <w:name w:val="Default"/>
    <w:rsid w:val="00067669"/>
    <w:pPr>
      <w:autoSpaceDE w:val="0"/>
      <w:autoSpaceDN w:val="0"/>
      <w:adjustRightInd w:val="0"/>
      <w:spacing w:after="0" w:line="240" w:lineRule="auto"/>
    </w:pPr>
    <w:rPr>
      <w:rFonts w:ascii="Garamond" w:hAnsi="Garamond" w:cs="Garamond"/>
      <w:color w:val="000000"/>
      <w:sz w:val="24"/>
      <w:szCs w:val="24"/>
    </w:rPr>
  </w:style>
  <w:style w:type="paragraph" w:styleId="Revision">
    <w:name w:val="Revision"/>
    <w:hidden/>
    <w:uiPriority w:val="99"/>
    <w:semiHidden/>
    <w:rsid w:val="00067669"/>
    <w:pPr>
      <w:spacing w:after="0" w:line="240" w:lineRule="auto"/>
    </w:pPr>
  </w:style>
  <w:style w:type="table" w:customStyle="1" w:styleId="TableGrid1">
    <w:name w:val="Table Grid1"/>
    <w:basedOn w:val="TableNormal"/>
    <w:next w:val="TableGrid"/>
    <w:uiPriority w:val="59"/>
    <w:rsid w:val="0006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tGraphicChar">
    <w:name w:val="Chart Graphic Char"/>
    <w:basedOn w:val="BulletChar"/>
    <w:link w:val="ChartGraphic"/>
    <w:rsid w:val="005E1970"/>
    <w:rPr>
      <w:rFonts w:asciiTheme="majorHAnsi" w:eastAsia="Times New Roman" w:hAnsiTheme="majorHAnsi" w:cs="Times New Roman"/>
      <w:color w:val="003057"/>
      <w:sz w:val="20"/>
      <w:szCs w:val="20"/>
      <w:lang w:eastAsia="en-AU"/>
    </w:rPr>
  </w:style>
  <w:style w:type="table" w:customStyle="1" w:styleId="TableGrid2">
    <w:name w:val="Table Grid2"/>
    <w:basedOn w:val="TableNormal"/>
    <w:next w:val="TableGrid"/>
    <w:uiPriority w:val="59"/>
    <w:rsid w:val="0006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6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6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6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
    <w:name w:val="citation"/>
    <w:basedOn w:val="DefaultParagraphFont"/>
    <w:rsid w:val="00067669"/>
  </w:style>
  <w:style w:type="character" w:customStyle="1" w:styleId="oecd-shared-footercopyright-first">
    <w:name w:val="oecd-shared-footer__copyright-first"/>
    <w:basedOn w:val="DefaultParagraphFont"/>
    <w:rsid w:val="00067669"/>
  </w:style>
  <w:style w:type="character" w:customStyle="1" w:styleId="oecd-shared-footercopyright-second">
    <w:name w:val="oecd-shared-footer__copyright-second"/>
    <w:basedOn w:val="DefaultParagraphFont"/>
    <w:rsid w:val="00067669"/>
  </w:style>
  <w:style w:type="paragraph" w:styleId="ListParagraph">
    <w:name w:val="List Paragraph"/>
    <w:basedOn w:val="Normal"/>
    <w:uiPriority w:val="34"/>
    <w:qFormat/>
    <w:rsid w:val="00D5686F"/>
    <w:pPr>
      <w:spacing w:after="160" w:line="259" w:lineRule="auto"/>
      <w:ind w:left="720"/>
      <w:contextualSpacing/>
    </w:pPr>
    <w:rPr>
      <w:rFonts w:asciiTheme="minorHAnsi" w:hAnsiTheme="minorHAnsi"/>
      <w:color w:val="auto"/>
    </w:rPr>
  </w:style>
  <w:style w:type="paragraph" w:customStyle="1" w:styleId="Heading1-Numbered">
    <w:name w:val="Heading 1 - Numbered"/>
    <w:basedOn w:val="Heading2"/>
    <w:rsid w:val="00631F8C"/>
    <w:pPr>
      <w:numPr>
        <w:numId w:val="28"/>
      </w:numPr>
      <w:spacing w:after="360"/>
      <w:ind w:left="425" w:hanging="425"/>
      <w:outlineLvl w:val="0"/>
    </w:pPr>
    <w:rPr>
      <w:sz w:val="35"/>
    </w:rPr>
  </w:style>
  <w:style w:type="paragraph" w:customStyle="1" w:styleId="Heading1-NoTOC">
    <w:name w:val="Heading 1 - No TOC"/>
    <w:basedOn w:val="Heading1"/>
    <w:rsid w:val="00E22DCB"/>
    <w:pPr>
      <w:jc w:val="left"/>
      <w:outlineLvl w:val="9"/>
    </w:pPr>
  </w:style>
  <w:style w:type="paragraph" w:customStyle="1" w:styleId="BoxSub-Heading">
    <w:name w:val="Box Sub-Heading"/>
    <w:basedOn w:val="BoxHeading"/>
    <w:rsid w:val="00BA7D47"/>
    <w:pPr>
      <w:spacing w:before="0"/>
    </w:pPr>
    <w:rPr>
      <w:rFonts w:ascii="Arial" w:eastAsia="Times New Roman" w:hAnsi="Arial" w:cs="Times New Roman"/>
      <w:caps w:val="0"/>
      <w:szCs w:val="20"/>
      <w:lang w:eastAsia="en-AU"/>
    </w:rPr>
  </w:style>
  <w:style w:type="paragraph" w:customStyle="1" w:styleId="ChartMainHeading-TOC">
    <w:name w:val="Chart Main Heading - TOC"/>
    <w:basedOn w:val="ChartMainHeading"/>
    <w:rsid w:val="0063311E"/>
    <w:pPr>
      <w:outlineLvl w:val="0"/>
    </w:pPr>
    <w:rPr>
      <w:sz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09713">
      <w:bodyDiv w:val="1"/>
      <w:marLeft w:val="0"/>
      <w:marRight w:val="0"/>
      <w:marTop w:val="0"/>
      <w:marBottom w:val="0"/>
      <w:divBdr>
        <w:top w:val="none" w:sz="0" w:space="0" w:color="auto"/>
        <w:left w:val="none" w:sz="0" w:space="0" w:color="auto"/>
        <w:bottom w:val="none" w:sz="0" w:space="0" w:color="auto"/>
        <w:right w:val="none" w:sz="0" w:space="0" w:color="auto"/>
      </w:divBdr>
    </w:div>
    <w:div w:id="72513689">
      <w:bodyDiv w:val="1"/>
      <w:marLeft w:val="0"/>
      <w:marRight w:val="0"/>
      <w:marTop w:val="0"/>
      <w:marBottom w:val="0"/>
      <w:divBdr>
        <w:top w:val="none" w:sz="0" w:space="0" w:color="auto"/>
        <w:left w:val="none" w:sz="0" w:space="0" w:color="auto"/>
        <w:bottom w:val="none" w:sz="0" w:space="0" w:color="auto"/>
        <w:right w:val="none" w:sz="0" w:space="0" w:color="auto"/>
      </w:divBdr>
    </w:div>
    <w:div w:id="253903065">
      <w:bodyDiv w:val="1"/>
      <w:marLeft w:val="0"/>
      <w:marRight w:val="0"/>
      <w:marTop w:val="0"/>
      <w:marBottom w:val="0"/>
      <w:divBdr>
        <w:top w:val="none" w:sz="0" w:space="0" w:color="auto"/>
        <w:left w:val="none" w:sz="0" w:space="0" w:color="auto"/>
        <w:bottom w:val="none" w:sz="0" w:space="0" w:color="auto"/>
        <w:right w:val="none" w:sz="0" w:space="0" w:color="auto"/>
      </w:divBdr>
      <w:divsChild>
        <w:div w:id="351616635">
          <w:marLeft w:val="0"/>
          <w:marRight w:val="0"/>
          <w:marTop w:val="0"/>
          <w:marBottom w:val="0"/>
          <w:divBdr>
            <w:top w:val="none" w:sz="0" w:space="0" w:color="auto"/>
            <w:left w:val="none" w:sz="0" w:space="0" w:color="auto"/>
            <w:bottom w:val="none" w:sz="0" w:space="0" w:color="auto"/>
            <w:right w:val="none" w:sz="0" w:space="0" w:color="auto"/>
          </w:divBdr>
          <w:divsChild>
            <w:div w:id="2093889013">
              <w:marLeft w:val="0"/>
              <w:marRight w:val="0"/>
              <w:marTop w:val="0"/>
              <w:marBottom w:val="0"/>
              <w:divBdr>
                <w:top w:val="none" w:sz="0" w:space="0" w:color="auto"/>
                <w:left w:val="none" w:sz="0" w:space="0" w:color="auto"/>
                <w:bottom w:val="none" w:sz="0" w:space="0" w:color="auto"/>
                <w:right w:val="none" w:sz="0" w:space="0" w:color="auto"/>
              </w:divBdr>
              <w:divsChild>
                <w:div w:id="1930650617">
                  <w:marLeft w:val="0"/>
                  <w:marRight w:val="0"/>
                  <w:marTop w:val="0"/>
                  <w:marBottom w:val="0"/>
                  <w:divBdr>
                    <w:top w:val="none" w:sz="0" w:space="0" w:color="auto"/>
                    <w:left w:val="none" w:sz="0" w:space="0" w:color="auto"/>
                    <w:bottom w:val="none" w:sz="0" w:space="0" w:color="auto"/>
                    <w:right w:val="none" w:sz="0" w:space="0" w:color="auto"/>
                  </w:divBdr>
                  <w:divsChild>
                    <w:div w:id="1302812224">
                      <w:marLeft w:val="0"/>
                      <w:marRight w:val="0"/>
                      <w:marTop w:val="0"/>
                      <w:marBottom w:val="0"/>
                      <w:divBdr>
                        <w:top w:val="none" w:sz="0" w:space="0" w:color="auto"/>
                        <w:left w:val="none" w:sz="0" w:space="0" w:color="auto"/>
                        <w:bottom w:val="none" w:sz="0" w:space="0" w:color="auto"/>
                        <w:right w:val="none" w:sz="0" w:space="0" w:color="auto"/>
                      </w:divBdr>
                      <w:divsChild>
                        <w:div w:id="1336608363">
                          <w:marLeft w:val="0"/>
                          <w:marRight w:val="0"/>
                          <w:marTop w:val="0"/>
                          <w:marBottom w:val="0"/>
                          <w:divBdr>
                            <w:top w:val="none" w:sz="0" w:space="0" w:color="auto"/>
                            <w:left w:val="none" w:sz="0" w:space="0" w:color="auto"/>
                            <w:bottom w:val="none" w:sz="0" w:space="0" w:color="auto"/>
                            <w:right w:val="none" w:sz="0" w:space="0" w:color="auto"/>
                          </w:divBdr>
                          <w:divsChild>
                            <w:div w:id="1513107705">
                              <w:marLeft w:val="0"/>
                              <w:marRight w:val="0"/>
                              <w:marTop w:val="0"/>
                              <w:marBottom w:val="0"/>
                              <w:divBdr>
                                <w:top w:val="none" w:sz="0" w:space="0" w:color="auto"/>
                                <w:left w:val="none" w:sz="0" w:space="0" w:color="auto"/>
                                <w:bottom w:val="none" w:sz="0" w:space="0" w:color="auto"/>
                                <w:right w:val="none" w:sz="0" w:space="0" w:color="auto"/>
                              </w:divBdr>
                              <w:divsChild>
                                <w:div w:id="671419151">
                                  <w:marLeft w:val="0"/>
                                  <w:marRight w:val="0"/>
                                  <w:marTop w:val="0"/>
                                  <w:marBottom w:val="0"/>
                                  <w:divBdr>
                                    <w:top w:val="none" w:sz="0" w:space="0" w:color="auto"/>
                                    <w:left w:val="none" w:sz="0" w:space="0" w:color="auto"/>
                                    <w:bottom w:val="none" w:sz="0" w:space="0" w:color="auto"/>
                                    <w:right w:val="none" w:sz="0" w:space="0" w:color="auto"/>
                                  </w:divBdr>
                                  <w:divsChild>
                                    <w:div w:id="143297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245856">
      <w:bodyDiv w:val="1"/>
      <w:marLeft w:val="0"/>
      <w:marRight w:val="0"/>
      <w:marTop w:val="0"/>
      <w:marBottom w:val="0"/>
      <w:divBdr>
        <w:top w:val="none" w:sz="0" w:space="0" w:color="auto"/>
        <w:left w:val="none" w:sz="0" w:space="0" w:color="auto"/>
        <w:bottom w:val="none" w:sz="0" w:space="0" w:color="auto"/>
        <w:right w:val="none" w:sz="0" w:space="0" w:color="auto"/>
      </w:divBdr>
    </w:div>
    <w:div w:id="646126057">
      <w:bodyDiv w:val="1"/>
      <w:marLeft w:val="0"/>
      <w:marRight w:val="0"/>
      <w:marTop w:val="0"/>
      <w:marBottom w:val="0"/>
      <w:divBdr>
        <w:top w:val="none" w:sz="0" w:space="0" w:color="auto"/>
        <w:left w:val="none" w:sz="0" w:space="0" w:color="auto"/>
        <w:bottom w:val="none" w:sz="0" w:space="0" w:color="auto"/>
        <w:right w:val="none" w:sz="0" w:space="0" w:color="auto"/>
      </w:divBdr>
    </w:div>
    <w:div w:id="789209207">
      <w:bodyDiv w:val="1"/>
      <w:marLeft w:val="0"/>
      <w:marRight w:val="0"/>
      <w:marTop w:val="0"/>
      <w:marBottom w:val="0"/>
      <w:divBdr>
        <w:top w:val="none" w:sz="0" w:space="0" w:color="auto"/>
        <w:left w:val="none" w:sz="0" w:space="0" w:color="auto"/>
        <w:bottom w:val="none" w:sz="0" w:space="0" w:color="auto"/>
        <w:right w:val="none" w:sz="0" w:space="0" w:color="auto"/>
      </w:divBdr>
      <w:divsChild>
        <w:div w:id="1347175003">
          <w:marLeft w:val="0"/>
          <w:marRight w:val="0"/>
          <w:marTop w:val="0"/>
          <w:marBottom w:val="0"/>
          <w:divBdr>
            <w:top w:val="none" w:sz="0" w:space="0" w:color="auto"/>
            <w:left w:val="none" w:sz="0" w:space="0" w:color="auto"/>
            <w:bottom w:val="none" w:sz="0" w:space="0" w:color="auto"/>
            <w:right w:val="none" w:sz="0" w:space="0" w:color="auto"/>
          </w:divBdr>
          <w:divsChild>
            <w:div w:id="690036216">
              <w:marLeft w:val="0"/>
              <w:marRight w:val="0"/>
              <w:marTop w:val="0"/>
              <w:marBottom w:val="0"/>
              <w:divBdr>
                <w:top w:val="none" w:sz="0" w:space="0" w:color="auto"/>
                <w:left w:val="none" w:sz="0" w:space="0" w:color="auto"/>
                <w:bottom w:val="none" w:sz="0" w:space="0" w:color="auto"/>
                <w:right w:val="none" w:sz="0" w:space="0" w:color="auto"/>
              </w:divBdr>
              <w:divsChild>
                <w:div w:id="563687555">
                  <w:marLeft w:val="0"/>
                  <w:marRight w:val="0"/>
                  <w:marTop w:val="206"/>
                  <w:marBottom w:val="206"/>
                  <w:divBdr>
                    <w:top w:val="none" w:sz="0" w:space="0" w:color="auto"/>
                    <w:left w:val="none" w:sz="0" w:space="0" w:color="auto"/>
                    <w:bottom w:val="none" w:sz="0" w:space="0" w:color="auto"/>
                    <w:right w:val="none" w:sz="0" w:space="0" w:color="auto"/>
                  </w:divBdr>
                  <w:divsChild>
                    <w:div w:id="2135170511">
                      <w:marLeft w:val="0"/>
                      <w:marRight w:val="0"/>
                      <w:marTop w:val="0"/>
                      <w:marBottom w:val="0"/>
                      <w:divBdr>
                        <w:top w:val="none" w:sz="0" w:space="0" w:color="auto"/>
                        <w:left w:val="none" w:sz="0" w:space="0" w:color="auto"/>
                        <w:bottom w:val="none" w:sz="0" w:space="0" w:color="auto"/>
                        <w:right w:val="none" w:sz="0" w:space="0" w:color="auto"/>
                      </w:divBdr>
                      <w:divsChild>
                        <w:div w:id="851380821">
                          <w:marLeft w:val="0"/>
                          <w:marRight w:val="0"/>
                          <w:marTop w:val="0"/>
                          <w:marBottom w:val="0"/>
                          <w:divBdr>
                            <w:top w:val="none" w:sz="0" w:space="0" w:color="auto"/>
                            <w:left w:val="none" w:sz="0" w:space="0" w:color="auto"/>
                            <w:bottom w:val="none" w:sz="0" w:space="0" w:color="auto"/>
                            <w:right w:val="none" w:sz="0" w:space="0" w:color="auto"/>
                          </w:divBdr>
                        </w:div>
                        <w:div w:id="156999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493021">
      <w:bodyDiv w:val="1"/>
      <w:marLeft w:val="0"/>
      <w:marRight w:val="0"/>
      <w:marTop w:val="0"/>
      <w:marBottom w:val="0"/>
      <w:divBdr>
        <w:top w:val="none" w:sz="0" w:space="0" w:color="auto"/>
        <w:left w:val="none" w:sz="0" w:space="0" w:color="auto"/>
        <w:bottom w:val="none" w:sz="0" w:space="0" w:color="auto"/>
        <w:right w:val="none" w:sz="0" w:space="0" w:color="auto"/>
      </w:divBdr>
    </w:div>
    <w:div w:id="1075056873">
      <w:bodyDiv w:val="1"/>
      <w:marLeft w:val="0"/>
      <w:marRight w:val="0"/>
      <w:marTop w:val="0"/>
      <w:marBottom w:val="0"/>
      <w:divBdr>
        <w:top w:val="none" w:sz="0" w:space="0" w:color="auto"/>
        <w:left w:val="none" w:sz="0" w:space="0" w:color="auto"/>
        <w:bottom w:val="none" w:sz="0" w:space="0" w:color="auto"/>
        <w:right w:val="none" w:sz="0" w:space="0" w:color="auto"/>
      </w:divBdr>
    </w:div>
    <w:div w:id="1789616188">
      <w:bodyDiv w:val="1"/>
      <w:marLeft w:val="0"/>
      <w:marRight w:val="0"/>
      <w:marTop w:val="0"/>
      <w:marBottom w:val="0"/>
      <w:divBdr>
        <w:top w:val="none" w:sz="0" w:space="0" w:color="auto"/>
        <w:left w:val="none" w:sz="0" w:space="0" w:color="auto"/>
        <w:bottom w:val="none" w:sz="0" w:space="0" w:color="auto"/>
        <w:right w:val="none" w:sz="0" w:space="0" w:color="auto"/>
      </w:divBdr>
    </w:div>
    <w:div w:id="202408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eader" Target="header5.xml"/><Relationship Id="rId39" Type="http://schemas.openxmlformats.org/officeDocument/2006/relationships/oleObject" Target="file:///\\romulus\ECD_PRO$\CHARTS\Presentations\2018\180726%20-%20Laura%20-%20Economic%20History%20project\6%20Real%20manufacturing%20share%20of%20economy.xlsx!Sheet2!%5b6%20Real%20manufacturing%20share%20of%20economy.xlsx%5dSheet2%20Chart%201" TargetMode="External"/><Relationship Id="rId21" Type="http://schemas.openxmlformats.org/officeDocument/2006/relationships/image" Target="media/image2.wmf"/><Relationship Id="rId34" Type="http://schemas.openxmlformats.org/officeDocument/2006/relationships/image" Target="media/image5.png"/><Relationship Id="rId42" Type="http://schemas.openxmlformats.org/officeDocument/2006/relationships/image" Target="media/image10.emf"/><Relationship Id="rId47" Type="http://schemas.openxmlformats.org/officeDocument/2006/relationships/image" Target="media/image13.emf"/><Relationship Id="rId50" Type="http://schemas.openxmlformats.org/officeDocument/2006/relationships/oleObject" Target="file:///\\romulus\ECD_PRO$\CHARTS\Presentations\2018\180726%20-%20Laura%20-%20Economic%20History%20project\12%20Inflation.xlsx!Sheet1!%5b12%20Inflation.xlsx%5dSheet1Chart%204" TargetMode="External"/><Relationship Id="rId55" Type="http://schemas.openxmlformats.org/officeDocument/2006/relationships/oleObject" Target="file:///\\romulus\ECD_PRO$\CHARTS\Presentations\2018\180726%20-%20Laura%20-%20Economic%20History%20project\Research%20and%20development.xlsx!Charts!%5bResearch%20and%20development.xlsx%5dCharts%20Chart%203" TargetMode="External"/><Relationship Id="rId63" Type="http://schemas.openxmlformats.org/officeDocument/2006/relationships/header" Target="header7.xml"/><Relationship Id="rId68" Type="http://schemas.openxmlformats.org/officeDocument/2006/relationships/hyperlink" Target="https://crawford.anu.edu.au/sites/default/files/events/attachments/2014-03/henry_hilmer_after_21_years.pdf" TargetMode="External"/><Relationship Id="rId7" Type="http://schemas.openxmlformats.org/officeDocument/2006/relationships/numbering" Target="numbering.xml"/><Relationship Id="rId71"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6.xml"/><Relationship Id="rId11" Type="http://schemas.openxmlformats.org/officeDocument/2006/relationships/webSettings" Target="webSettings.xml"/><Relationship Id="rId24" Type="http://schemas.openxmlformats.org/officeDocument/2006/relationships/hyperlink" Target="mailto:medialiaison@treasury.gov.au" TargetMode="External"/><Relationship Id="rId32" Type="http://schemas.openxmlformats.org/officeDocument/2006/relationships/oleObject" Target="file:///\\romulus\ECD_PRO$\CHARTS\Presentations\2018\180726%20-%20Laura%20-%20Economic%20History%20project\1%20Trade%20Weight%20index.xlsx!Chart!%5b1%20Trade%20Weight%20index.xlsx%5dChart%20Chart%207" TargetMode="External"/><Relationship Id="rId37" Type="http://schemas.openxmlformats.org/officeDocument/2006/relationships/image" Target="media/image7.png"/><Relationship Id="rId40" Type="http://schemas.openxmlformats.org/officeDocument/2006/relationships/image" Target="media/image9.emf"/><Relationship Id="rId45" Type="http://schemas.openxmlformats.org/officeDocument/2006/relationships/image" Target="media/image12.emf"/><Relationship Id="rId53" Type="http://schemas.openxmlformats.org/officeDocument/2006/relationships/image" Target="media/image16.emf"/><Relationship Id="rId58" Type="http://schemas.openxmlformats.org/officeDocument/2006/relationships/oleObject" Target="file:///\\romulus\ECD_PRO$\CHARTS\Presentations\2018\180726%20-%20Laura%20-%20Economic%20History%20project\16%20Exchange%20rate%20volatility.xlsx!Sheet1!%5b16%20Exchange%20rate%20volatility.xlsx%5dSheet1%20Chart%202" TargetMode="External"/><Relationship Id="rId66" Type="http://schemas.openxmlformats.org/officeDocument/2006/relationships/hyperlink" Target="https://www.dairyaustralia.com.au/about-dairy-australia/about-the-industry/history-of-australian-dairy-industry-deregulation" TargetMode="External"/><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www.pmc.gov.au/government/commonwealth-coat-arms" TargetMode="External"/><Relationship Id="rId28" Type="http://schemas.openxmlformats.org/officeDocument/2006/relationships/footer" Target="footer4.xml"/><Relationship Id="rId36" Type="http://schemas.openxmlformats.org/officeDocument/2006/relationships/oleObject" Target="file:///\\romulus\ECD_PRO$\CHARTS\Presentations\2018\180726%20-%20Laura%20-%20Economic%20History%20project\4%20Days%20lost%20to%20industrial%20disputes%20(2).xlsx!Chart!%5b4%20Days%20lost%20to%20industrial%20disputes%20(2).xlsx%5dChart%20Chart%205" TargetMode="External"/><Relationship Id="rId49" Type="http://schemas.openxmlformats.org/officeDocument/2006/relationships/image" Target="media/image14.emf"/><Relationship Id="rId57" Type="http://schemas.openxmlformats.org/officeDocument/2006/relationships/image" Target="media/image18.emf"/><Relationship Id="rId61" Type="http://schemas.openxmlformats.org/officeDocument/2006/relationships/image" Target="media/image20.emf"/><Relationship Id="rId10" Type="http://schemas.openxmlformats.org/officeDocument/2006/relationships/settings" Target="settings.xml"/><Relationship Id="rId19" Type="http://schemas.openxmlformats.org/officeDocument/2006/relationships/hyperlink" Target="http://creativecommons.org/licenses/by/3.0/au/deed.en" TargetMode="External"/><Relationship Id="rId31" Type="http://schemas.openxmlformats.org/officeDocument/2006/relationships/image" Target="media/image3.emf"/><Relationship Id="rId44" Type="http://schemas.openxmlformats.org/officeDocument/2006/relationships/image" Target="media/image11.png"/><Relationship Id="rId52" Type="http://schemas.openxmlformats.org/officeDocument/2006/relationships/oleObject" Target="file:///\\romulus\ECD_PRO$\CHARTS\Presentations\2018\180726%20-%20Laura%20-%20Economic%20History%20project\13a%20Terms%20of%20trade%20(annual)%20-%20with%20long%20history.xlsx!Annual%20TOT!%5b13a%20Terms%20of%20trade%20(annual)%20-%20with%20long%20history.xlsx%5dAnnual%20TOT%20110211%20Gruen" TargetMode="External"/><Relationship Id="rId60" Type="http://schemas.openxmlformats.org/officeDocument/2006/relationships/oleObject" Target="file:///\\romulus\ECD_PRO$\CHARTS\Presentations\2018\180726%20-%20Laura%20-%20Economic%20History%20project\17%20Australian%20cash%20rate.xlsx!Sheet1!%5b17%20Australian%20cash%20rate.xlsx%5dSheet1%20Chart%204" TargetMode="External"/><Relationship Id="rId65" Type="http://schemas.openxmlformats.org/officeDocument/2006/relationships/hyperlink" Target="https://www.ato.gov.au/About-ATO/Research-and-statistics/In-detail/Super-statistics/Super-accounts-data/Super-accounts-data-overview/"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hyperlink" Target="http://creativecommons.org/licenses/by/3.0/au/deed.en" TargetMode="External"/><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image" Target="media/image6.emf"/><Relationship Id="rId43" Type="http://schemas.openxmlformats.org/officeDocument/2006/relationships/oleObject" Target="file:///\\romulus\ECD_PRO$\CHARTS\Presentations\2018\180726%20-%20Laura%20-%20Economic%20History%20project\OECD%20product%20market%20regulation%20scores.xlsx!Sheet1!%5bOECD%20product%20market%20regulation%20scores.xlsx%5dSheet1%20Chart%204" TargetMode="External"/><Relationship Id="rId48" Type="http://schemas.openxmlformats.org/officeDocument/2006/relationships/oleObject" Target="file:///\\romulus\ECD_PRO$\CHARTS\Presentations\2018\180726%20-%20Laura%20-%20Economic%20History%20project\13%20Final%20new%20debt%20chat.xlsx!Sheet1!%5b13%20Final%20new%20debt%20chat.xlsx%5dSheet1%20Chart%202" TargetMode="External"/><Relationship Id="rId56" Type="http://schemas.openxmlformats.org/officeDocument/2006/relationships/footer" Target="footer6.xml"/><Relationship Id="rId64" Type="http://schemas.openxmlformats.org/officeDocument/2006/relationships/footer" Target="footer7.xml"/><Relationship Id="rId69" Type="http://schemas.openxmlformats.org/officeDocument/2006/relationships/hyperlink" Target="https://data.oecd.org/gga/general-government-spending.htm" TargetMode="External"/><Relationship Id="rId8" Type="http://schemas.openxmlformats.org/officeDocument/2006/relationships/styles" Target="styles.xml"/><Relationship Id="rId51" Type="http://schemas.openxmlformats.org/officeDocument/2006/relationships/image" Target="media/image15.emf"/><Relationship Id="rId72"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image" Target="media/image4.emf"/><Relationship Id="rId38" Type="http://schemas.openxmlformats.org/officeDocument/2006/relationships/image" Target="media/image8.emf"/><Relationship Id="rId46" Type="http://schemas.openxmlformats.org/officeDocument/2006/relationships/oleObject" Target="file:///\\romulus\ECD_PRO$\CHARTS\Presentations\2018\180726%20-%20Laura%20-%20Economic%20History%20project\8%20Export%20shares%20of%20GDP.xlsx!Trade%20intensity!%5b8%20Export%20shares%20of%20GDP.xlsx%5dTrade%20intensity%20Chart%204" TargetMode="External"/><Relationship Id="rId59" Type="http://schemas.openxmlformats.org/officeDocument/2006/relationships/image" Target="media/image19.emf"/><Relationship Id="rId67" Type="http://schemas.openxmlformats.org/officeDocument/2006/relationships/hyperlink" Target="https://pmtranscripts.pmc.gov.au/sites/default/files/original/00008270.pdf" TargetMode="External"/><Relationship Id="rId20" Type="http://schemas.openxmlformats.org/officeDocument/2006/relationships/hyperlink" Target="http://creativecommons.org/licenses/by/3.0/au/legalcode" TargetMode="External"/><Relationship Id="rId41" Type="http://schemas.openxmlformats.org/officeDocument/2006/relationships/oleObject" Target="file:///\\romulus\ECD_PRO$\CHARTS\Presentations\2018\180726%20-%20Laura%20-%20Economic%20History%20project\7%20Methods%20of%20pay%20setting%20EEH.xlsx!Sheet3!%5b7%20Methods%20of%20pay%20setting%20EEH.xlsx%5dSheet3%20Chart%202" TargetMode="External"/><Relationship Id="rId54" Type="http://schemas.openxmlformats.org/officeDocument/2006/relationships/image" Target="media/image17.emf"/><Relationship Id="rId62" Type="http://schemas.openxmlformats.org/officeDocument/2006/relationships/image" Target="media/image21.jpg"/><Relationship Id="rId70" Type="http://schemas.openxmlformats.org/officeDocument/2006/relationships/hyperlink" Target="https://data.oecd.org/socialexp/social-spending.htm"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3" Type="http://schemas.openxmlformats.org/officeDocument/2006/relationships/hyperlink" Target="https://www.rba.gov.au/publications/confs/1995/demura.html" TargetMode="External"/><Relationship Id="rId2" Type="http://schemas.openxmlformats.org/officeDocument/2006/relationships/hyperlink" Target="https://en.wikipedia.org/wiki/Manpower_Development_and_Training_Act" TargetMode="External"/><Relationship Id="rId1" Type="http://schemas.openxmlformats.org/officeDocument/2006/relationships/hyperlink" Target="mailto:laura.berger-thomson@treasury.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Treasury%20Working%20Paper.dotm" TargetMode="External"/></Relationships>
</file>

<file path=word/theme/theme1.xml><?xml version="1.0" encoding="utf-8"?>
<a:theme xmlns:a="http://schemas.openxmlformats.org/drawingml/2006/main" name="Budget Blue">
  <a:themeElements>
    <a:clrScheme name="Budget Blue">
      <a:dk1>
        <a:sysClr val="windowText" lastClr="000000"/>
      </a:dk1>
      <a:lt1>
        <a:sysClr val="window" lastClr="FFFFFF"/>
      </a:lt1>
      <a:dk2>
        <a:srgbClr val="1F497D"/>
      </a:dk2>
      <a:lt2>
        <a:srgbClr val="EEECE1"/>
      </a:lt2>
      <a:accent1>
        <a:srgbClr val="002B54"/>
      </a:accent1>
      <a:accent2>
        <a:srgbClr val="CCD5DD"/>
      </a:accent2>
      <a:accent3>
        <a:srgbClr val="668098"/>
      </a:accent3>
      <a:accent4>
        <a:srgbClr val="99AABB"/>
      </a:accent4>
      <a:accent5>
        <a:srgbClr val="335576"/>
      </a:accent5>
      <a:accent6>
        <a:srgbClr val="7F7F7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Treasury Document</p:Name>
  <p:Description/>
  <p:Statement/>
  <p:PolicyItems>
    <p:PolicyItem featureId="Microsoft.Office.RecordsManagement.PolicyFeatures.PolicyAudit" staticId="0x010100605AAC981168BE40A9BD548B81A50DF6|1757814118" UniqueId="5cc967dd-c912-4b3c-bade-a8b03f189c59">
      <p:Name>Auditing</p:Name>
      <p:Description>Audits user actions on documents and list items to the Audit Log.</p:Description>
      <p:CustomData>
        <Audit>
          <Update/>
          <DeleteRestore/>
        </Audit>
      </p:CustomData>
    </p:PolicyItem>
  </p:PolicyItems>
</p:Policy>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ct:contentTypeSchema xmlns:ct="http://schemas.microsoft.com/office/2006/metadata/contentType" xmlns:ma="http://schemas.microsoft.com/office/2006/metadata/properties/metaAttributes" ct:_="" ma:_="" ma:contentTypeName="Treasury Document" ma:contentTypeID="0x010100605AAC981168BE40A9BD548B81A50DF600D32F813FF339BB439A8099CD5BC8C9D4" ma:contentTypeVersion="14977" ma:contentTypeDescription="" ma:contentTypeScope="" ma:versionID="0ba76d9f810da27baf8a887c3ec77766">
  <xsd:schema xmlns:xsd="http://www.w3.org/2001/XMLSchema" xmlns:xs="http://www.w3.org/2001/XMLSchema" xmlns:p="http://schemas.microsoft.com/office/2006/metadata/properties" xmlns:ns1="http://schemas.microsoft.com/sharepoint/v3" xmlns:ns2="0f563589-9cf9-4143-b1eb-fb0534803d38" xmlns:ns3="eb47d8b7-fefc-4923-b53c-9685ba6b7210" targetNamespace="http://schemas.microsoft.com/office/2006/metadata/properties" ma:root="true" ma:fieldsID="3068d29b9d648fd606c098e9b6dc71df" ns1:_="" ns2:_="" ns3:_="">
    <xsd:import namespace="http://schemas.microsoft.com/sharepoint/v3"/>
    <xsd:import namespace="0f563589-9cf9-4143-b1eb-fb0534803d38"/>
    <xsd:import namespace="eb47d8b7-fefc-4923-b53c-9685ba6b7210"/>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587f53-e282-4719-ab13-46559658bd12}" ma:internalName="TaxCatchAll" ma:showField="CatchAllData" ma:web="eb47d8b7-fefc-4923-b53c-9685ba6b721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587f53-e282-4719-ab13-46559658bd12}" ma:internalName="TaxCatchAllLabel" ma:readOnly="true" ma:showField="CatchAllDataLabel" ma:web="eb47d8b7-fefc-4923-b53c-9685ba6b721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47d8b7-fefc-4923-b53c-9685ba6b7210"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75;#AE-20337-Destroy 7 years after action completed|668ae28e-5138-4c7c-82db-1c8c6afc81a6"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0f563589-9cf9-4143-b1eb-fb0534803d38">
      <Value>75</Value>
    </TaxCatchAll>
    <_dlc_DocId xmlns="0f563589-9cf9-4143-b1eb-fb0534803d38">2018CSSG-528562461-1546</_dlc_DocId>
    <_dlc_DocIdUrl xmlns="0f563589-9cf9-4143-b1eb-fb0534803d38">
      <Url>http://tweb/sites/cssg/ped/pu/pt/_layouts/15/DocIdRedir.aspx?ID=2018CSSG-528562461-1546</Url>
      <Description>2018CSSG-528562461-1546</Description>
    </_dlc_DocIdUrl>
    <lb508a4dc5e84436a0fe496b536466aa xmlns="eb47d8b7-fefc-4923-b53c-9685ba6b7210">
      <Terms xmlns="http://schemas.microsoft.com/office/infopath/2007/PartnerControls">
        <TermInfo xmlns="http://schemas.microsoft.com/office/infopath/2007/PartnerControls">
          <TermName xmlns="http://schemas.microsoft.com/office/infopath/2007/PartnerControls">AE-20337-Destroy 7 years after action completed</TermName>
          <TermId xmlns="http://schemas.microsoft.com/office/infopath/2007/PartnerControls">668ae28e-5138-4c7c-82db-1c8c6afc81a6</TermId>
        </TermInfo>
      </Terms>
    </lb508a4dc5e84436a0fe496b536466aa>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A84EF-531C-40E7-8E7A-4393493E1FA0}">
  <ds:schemaRefs>
    <ds:schemaRef ds:uri="office.server.policy"/>
  </ds:schemaRefs>
</ds:datastoreItem>
</file>

<file path=customXml/itemProps2.xml><?xml version="1.0" encoding="utf-8"?>
<ds:datastoreItem xmlns:ds="http://schemas.openxmlformats.org/officeDocument/2006/customXml" ds:itemID="{B7656F4D-5D08-4D2D-A91E-4832E47E5ECB}">
  <ds:schemaRefs>
    <ds:schemaRef ds:uri="http://schemas.microsoft.com/sharepoint/v3/contenttype/forms"/>
  </ds:schemaRefs>
</ds:datastoreItem>
</file>

<file path=customXml/itemProps3.xml><?xml version="1.0" encoding="utf-8"?>
<ds:datastoreItem xmlns:ds="http://schemas.openxmlformats.org/officeDocument/2006/customXml" ds:itemID="{739BD781-5B58-47C7-B09A-324AABB80C6F}">
  <ds:schemaRefs>
    <ds:schemaRef ds:uri="http://schemas.microsoft.com/sharepoint/events"/>
  </ds:schemaRefs>
</ds:datastoreItem>
</file>

<file path=customXml/itemProps4.xml><?xml version="1.0" encoding="utf-8"?>
<ds:datastoreItem xmlns:ds="http://schemas.openxmlformats.org/officeDocument/2006/customXml" ds:itemID="{5682C834-4B03-4D1D-B796-7064978AB3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eb47d8b7-fefc-4923-b53c-9685ba6b7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BA8102D-D10C-4DF0-9D0D-C8549CA6B908}">
  <ds:schemaRefs>
    <ds:schemaRef ds:uri="http://purl.org/dc/elements/1.1/"/>
    <ds:schemaRef ds:uri="0f563589-9cf9-4143-b1eb-fb0534803d38"/>
    <ds:schemaRef ds:uri="http://schemas.microsoft.com/sharepoint/v3"/>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eb47d8b7-fefc-4923-b53c-9685ba6b7210"/>
    <ds:schemaRef ds:uri="http://schemas.microsoft.com/office/2006/metadata/properties"/>
    <ds:schemaRef ds:uri="http://www.w3.org/XML/1998/namespace"/>
    <ds:schemaRef ds:uri="http://purl.org/dc/dcmitype/"/>
  </ds:schemaRefs>
</ds:datastoreItem>
</file>

<file path=customXml/itemProps6.xml><?xml version="1.0" encoding="utf-8"?>
<ds:datastoreItem xmlns:ds="http://schemas.openxmlformats.org/officeDocument/2006/customXml" ds:itemID="{531043C3-C0D5-48E4-82F2-EF506EBD0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Treasury Working Paper.dotm</Template>
  <TotalTime>9</TotalTime>
  <Pages>47</Pages>
  <Words>20402</Words>
  <Characters>115073</Characters>
  <Application>Microsoft Office Word</Application>
  <DocSecurity>0</DocSecurity>
  <Lines>1667</Lines>
  <Paragraphs>437</Paragraphs>
  <ScaleCrop>false</ScaleCrop>
  <HeadingPairs>
    <vt:vector size="2" baseType="variant">
      <vt:variant>
        <vt:lpstr>Title</vt:lpstr>
      </vt:variant>
      <vt:variant>
        <vt:i4>1</vt:i4>
      </vt:variant>
    </vt:vector>
  </HeadingPairs>
  <TitlesOfParts>
    <vt:vector size="1" baseType="lpstr">
      <vt:lpstr>Australia’s experience with economic reform</vt:lpstr>
    </vt:vector>
  </TitlesOfParts>
  <Company>Australian Government - The Treasury</Company>
  <LinksUpToDate>false</LinksUpToDate>
  <CharactersWithSpaces>135038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experience with economic reform</dc:title>
  <dc:subject/>
  <dc:creator>Laura Berger-Thomson, John Breusch and Louise Lilley</dc:creator>
  <cp:lastModifiedBy>Hill, Christine</cp:lastModifiedBy>
  <cp:revision>4</cp:revision>
  <cp:lastPrinted>2018-10-03T08:40:00Z</cp:lastPrinted>
  <dcterms:created xsi:type="dcterms:W3CDTF">2018-10-10T23:05:00Z</dcterms:created>
  <dcterms:modified xsi:type="dcterms:W3CDTF">2018-10-22T05:38:00Z</dcterms:modified>
</cp:coreProperties>
</file>