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5EB47" w14:textId="77777777" w:rsidR="00145336" w:rsidRDefault="00145336" w:rsidP="00145336">
      <w:pPr>
        <w:spacing w:line="276" w:lineRule="auto"/>
        <w:jc w:val="right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7 September 2018</w:t>
      </w:r>
    </w:p>
    <w:p w14:paraId="082FED6B" w14:textId="77777777" w:rsidR="00653807" w:rsidRDefault="00653807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31B3E7A1" w14:textId="77777777" w:rsidR="00372077" w:rsidRPr="00372077" w:rsidRDefault="00700683" w:rsidP="00372077">
      <w:pPr>
        <w:spacing w:line="276" w:lineRule="auto"/>
        <w:rPr>
          <w:rFonts w:ascii="Calibri" w:eastAsia="Calibri" w:hAnsi="Calibri" w:cs="Times New Roman"/>
          <w:lang w:val="en-AU"/>
        </w:rPr>
      </w:pPr>
      <w:bookmarkStart w:id="0" w:name="_Hlk524075706"/>
      <w:bookmarkStart w:id="1" w:name="_Hlk524099154"/>
      <w:r>
        <w:rPr>
          <w:rFonts w:ascii="Calibri" w:eastAsia="Calibri" w:hAnsi="Calibri" w:cs="Times New Roman"/>
          <w:lang w:val="en-AU"/>
        </w:rPr>
        <w:t xml:space="preserve">Mr </w:t>
      </w:r>
      <w:r w:rsidR="00372077" w:rsidRPr="00372077">
        <w:rPr>
          <w:rFonts w:ascii="Calibri" w:eastAsia="Calibri" w:hAnsi="Calibri" w:cs="Times New Roman"/>
          <w:lang w:val="en-AU"/>
        </w:rPr>
        <w:t>Daniel McAuliffe</w:t>
      </w:r>
    </w:p>
    <w:p w14:paraId="5DC9E972" w14:textId="77777777" w:rsidR="00372077" w:rsidRDefault="00372077" w:rsidP="00372077">
      <w:pPr>
        <w:spacing w:line="276" w:lineRule="auto"/>
        <w:rPr>
          <w:rFonts w:ascii="Calibri" w:eastAsia="Calibri" w:hAnsi="Calibri" w:cs="Times New Roman"/>
          <w:lang w:val="en-AU"/>
        </w:rPr>
      </w:pPr>
      <w:r w:rsidRPr="00372077">
        <w:rPr>
          <w:rFonts w:ascii="Calibri" w:eastAsia="Calibri" w:hAnsi="Calibri" w:cs="Times New Roman"/>
          <w:lang w:val="en-AU"/>
        </w:rPr>
        <w:t xml:space="preserve">Structural Reform Group </w:t>
      </w:r>
    </w:p>
    <w:p w14:paraId="260DB214" w14:textId="77777777" w:rsidR="00582D0C" w:rsidRPr="00582D0C" w:rsidRDefault="00582D0C" w:rsidP="00372077">
      <w:pPr>
        <w:spacing w:line="276" w:lineRule="auto"/>
        <w:rPr>
          <w:rFonts w:ascii="Calibri" w:eastAsia="Calibri" w:hAnsi="Calibri" w:cs="Times New Roman"/>
          <w:lang w:val="en-AU"/>
        </w:rPr>
      </w:pPr>
      <w:r w:rsidRPr="00582D0C">
        <w:rPr>
          <w:rFonts w:ascii="Calibri" w:eastAsia="Calibri" w:hAnsi="Calibri" w:cs="Times New Roman"/>
          <w:lang w:val="en-AU"/>
        </w:rPr>
        <w:t>The Treasury</w:t>
      </w:r>
    </w:p>
    <w:bookmarkEnd w:id="0"/>
    <w:p w14:paraId="76755FCF" w14:textId="77777777" w:rsidR="00582D0C" w:rsidRDefault="00700683" w:rsidP="00040C25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via email:</w:t>
      </w:r>
      <w:r w:rsidR="00582D0C">
        <w:rPr>
          <w:rFonts w:ascii="Calibri" w:eastAsia="Calibri" w:hAnsi="Calibri" w:cs="Times New Roman"/>
          <w:lang w:val="en-AU"/>
        </w:rPr>
        <w:t xml:space="preserve"> </w:t>
      </w:r>
      <w:r w:rsidR="009A0394">
        <w:rPr>
          <w:rFonts w:ascii="Calibri" w:eastAsia="Calibri" w:hAnsi="Calibri" w:cs="Times New Roman"/>
          <w:lang w:val="en-AU"/>
        </w:rPr>
        <w:t>data</w:t>
      </w:r>
      <w:r w:rsidR="00582D0C" w:rsidRPr="00582D0C">
        <w:rPr>
          <w:rFonts w:ascii="Calibri" w:eastAsia="Calibri" w:hAnsi="Calibri" w:cs="Times New Roman"/>
          <w:lang w:val="en-AU"/>
        </w:rPr>
        <w:t>@treasury.gov.au</w:t>
      </w:r>
    </w:p>
    <w:p w14:paraId="0FE99165" w14:textId="77777777" w:rsidR="00582D0C" w:rsidRDefault="00582D0C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0E7B99A6" w14:textId="77777777" w:rsidR="00040C25" w:rsidRDefault="00040C25" w:rsidP="00040C25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 xml:space="preserve">Dear </w:t>
      </w:r>
      <w:r w:rsidR="00700683">
        <w:rPr>
          <w:rFonts w:ascii="Calibri" w:eastAsia="Calibri" w:hAnsi="Calibri" w:cs="Times New Roman"/>
          <w:lang w:val="en-AU"/>
        </w:rPr>
        <w:t>Mr McAuliffe</w:t>
      </w:r>
    </w:p>
    <w:bookmarkEnd w:id="1"/>
    <w:p w14:paraId="36C2337F" w14:textId="77777777" w:rsidR="00040C25" w:rsidRDefault="00040C25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533E5FD5" w14:textId="77777777" w:rsidR="00FA76FA" w:rsidRDefault="00FA76FA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1AEF6046" w14:textId="77777777" w:rsidR="00145336" w:rsidRPr="00040C25" w:rsidRDefault="00145336" w:rsidP="00145336">
      <w:pPr>
        <w:spacing w:line="276" w:lineRule="auto"/>
        <w:jc w:val="center"/>
        <w:rPr>
          <w:rFonts w:ascii="Calibri" w:eastAsia="Calibri" w:hAnsi="Calibri" w:cs="Times New Roman"/>
          <w:b/>
          <w:lang w:val="en-AU"/>
        </w:rPr>
      </w:pPr>
      <w:r>
        <w:rPr>
          <w:rFonts w:ascii="Calibri" w:eastAsia="Calibri" w:hAnsi="Calibri" w:cs="Times New Roman"/>
          <w:b/>
          <w:lang w:val="en-AU"/>
        </w:rPr>
        <w:t>Exposure Draft Treasury Laws Amendment (Consumer Data Right) Bill</w:t>
      </w:r>
    </w:p>
    <w:p w14:paraId="6C4D1480" w14:textId="77777777" w:rsidR="00145336" w:rsidRDefault="00145336" w:rsidP="00145336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64185FBE" w14:textId="77777777" w:rsidR="00145336" w:rsidRPr="00040C25" w:rsidRDefault="00145336" w:rsidP="00145336">
      <w:pPr>
        <w:spacing w:line="276" w:lineRule="auto"/>
        <w:rPr>
          <w:rFonts w:ascii="Calibri" w:eastAsia="Calibri" w:hAnsi="Calibri" w:cs="Times New Roman"/>
          <w:lang w:val="en-AU"/>
        </w:rPr>
      </w:pPr>
      <w:r w:rsidRPr="00040C25">
        <w:rPr>
          <w:rFonts w:ascii="Calibri" w:eastAsia="Calibri" w:hAnsi="Calibri" w:cs="Times New Roman"/>
          <w:lang w:val="en-AU"/>
        </w:rPr>
        <w:t>Thank you for the opportunity to</w:t>
      </w:r>
      <w:r w:rsidRPr="00316F8F">
        <w:rPr>
          <w:rFonts w:ascii="Calibri" w:eastAsia="Calibri" w:hAnsi="Calibri" w:cs="Times New Roman"/>
          <w:lang w:val="en-AU"/>
        </w:rPr>
        <w:t xml:space="preserve"> </w:t>
      </w:r>
      <w:r>
        <w:rPr>
          <w:rFonts w:ascii="Calibri" w:eastAsia="Calibri" w:hAnsi="Calibri" w:cs="Times New Roman"/>
          <w:lang w:val="en-AU"/>
        </w:rPr>
        <w:t xml:space="preserve">submit a response to </w:t>
      </w:r>
      <w:r w:rsidRPr="00040C25">
        <w:rPr>
          <w:rFonts w:ascii="Calibri" w:eastAsia="Calibri" w:hAnsi="Calibri" w:cs="Times New Roman"/>
          <w:lang w:val="en-AU"/>
        </w:rPr>
        <w:t xml:space="preserve">the draft </w:t>
      </w:r>
      <w:r w:rsidR="00B54405">
        <w:rPr>
          <w:rFonts w:ascii="Calibri" w:eastAsia="Calibri" w:hAnsi="Calibri" w:cs="Times New Roman"/>
          <w:lang w:val="en-AU"/>
        </w:rPr>
        <w:t>B</w:t>
      </w:r>
      <w:r w:rsidRPr="00040C25">
        <w:rPr>
          <w:rFonts w:ascii="Calibri" w:eastAsia="Calibri" w:hAnsi="Calibri" w:cs="Times New Roman"/>
          <w:lang w:val="en-AU"/>
        </w:rPr>
        <w:t xml:space="preserve">ill on </w:t>
      </w:r>
      <w:r>
        <w:rPr>
          <w:rFonts w:ascii="Calibri" w:eastAsia="Calibri" w:hAnsi="Calibri" w:cs="Times New Roman"/>
          <w:lang w:val="en-AU"/>
        </w:rPr>
        <w:t xml:space="preserve">the Consumer Data Right </w:t>
      </w:r>
      <w:r w:rsidR="004B5279">
        <w:rPr>
          <w:rFonts w:ascii="Calibri" w:eastAsia="Calibri" w:hAnsi="Calibri" w:cs="Times New Roman"/>
          <w:lang w:val="en-AU"/>
        </w:rPr>
        <w:t>(CDR)</w:t>
      </w:r>
      <w:r w:rsidR="00BF4523">
        <w:rPr>
          <w:rFonts w:ascii="Calibri" w:eastAsia="Calibri" w:hAnsi="Calibri" w:cs="Times New Roman"/>
          <w:lang w:val="en-AU"/>
        </w:rPr>
        <w:t xml:space="preserve"> </w:t>
      </w:r>
      <w:r>
        <w:rPr>
          <w:rFonts w:ascii="Calibri" w:eastAsia="Calibri" w:hAnsi="Calibri" w:cs="Times New Roman"/>
          <w:lang w:val="en-AU"/>
        </w:rPr>
        <w:t>(released 9 February 2018)</w:t>
      </w:r>
      <w:r w:rsidRPr="00040C25">
        <w:rPr>
          <w:rFonts w:ascii="Calibri" w:eastAsia="Calibri" w:hAnsi="Calibri" w:cs="Times New Roman"/>
          <w:lang w:val="en-AU"/>
        </w:rPr>
        <w:t>.</w:t>
      </w:r>
      <w:r>
        <w:rPr>
          <w:rFonts w:ascii="Calibri" w:eastAsia="Calibri" w:hAnsi="Calibri" w:cs="Times New Roman"/>
          <w:lang w:val="en-AU"/>
        </w:rPr>
        <w:t xml:space="preserve"> Overall, we believe the draft </w:t>
      </w:r>
      <w:r w:rsidR="00B54405">
        <w:rPr>
          <w:rFonts w:ascii="Calibri" w:eastAsia="Calibri" w:hAnsi="Calibri" w:cs="Times New Roman"/>
          <w:lang w:val="en-AU"/>
        </w:rPr>
        <w:t>Bi</w:t>
      </w:r>
      <w:r>
        <w:rPr>
          <w:rFonts w:ascii="Calibri" w:eastAsia="Calibri" w:hAnsi="Calibri" w:cs="Times New Roman"/>
          <w:lang w:val="en-AU"/>
        </w:rPr>
        <w:t xml:space="preserve">ll lays a framework </w:t>
      </w:r>
      <w:r w:rsidR="00D16F15">
        <w:rPr>
          <w:rFonts w:ascii="Calibri" w:eastAsia="Calibri" w:hAnsi="Calibri" w:cs="Times New Roman"/>
          <w:lang w:val="en-AU"/>
        </w:rPr>
        <w:t xml:space="preserve">that is </w:t>
      </w:r>
      <w:r w:rsidR="00482EA7">
        <w:rPr>
          <w:rFonts w:ascii="Calibri" w:eastAsia="Calibri" w:hAnsi="Calibri" w:cs="Times New Roman"/>
          <w:lang w:val="en-AU"/>
        </w:rPr>
        <w:t xml:space="preserve">flexible enough to </w:t>
      </w:r>
      <w:r>
        <w:rPr>
          <w:rFonts w:ascii="Calibri" w:eastAsia="Calibri" w:hAnsi="Calibri" w:cs="Times New Roman"/>
          <w:lang w:val="en-AU"/>
        </w:rPr>
        <w:t xml:space="preserve">achieve many of the key recommendations in the Review into Open Banking </w:t>
      </w:r>
      <w:bookmarkStart w:id="2" w:name="_Hlk523921306"/>
      <w:r>
        <w:rPr>
          <w:rFonts w:ascii="Calibri" w:eastAsia="Calibri" w:hAnsi="Calibri" w:cs="Times New Roman"/>
          <w:lang w:val="en-AU"/>
        </w:rPr>
        <w:t>(</w:t>
      </w:r>
      <w:r w:rsidR="004B5279">
        <w:rPr>
          <w:rFonts w:ascii="Calibri" w:eastAsia="Calibri" w:hAnsi="Calibri" w:cs="Times New Roman"/>
          <w:lang w:val="en-AU"/>
        </w:rPr>
        <w:t xml:space="preserve">released </w:t>
      </w:r>
      <w:r>
        <w:rPr>
          <w:rFonts w:ascii="Calibri" w:eastAsia="Calibri" w:hAnsi="Calibri" w:cs="Times New Roman"/>
          <w:lang w:val="en-AU"/>
        </w:rPr>
        <w:t>December 2017</w:t>
      </w:r>
      <w:r w:rsidR="00AC532A">
        <w:rPr>
          <w:rFonts w:ascii="Calibri" w:eastAsia="Calibri" w:hAnsi="Calibri" w:cs="Times New Roman"/>
          <w:lang w:val="en-AU"/>
        </w:rPr>
        <w:t>)</w:t>
      </w:r>
      <w:bookmarkEnd w:id="2"/>
    </w:p>
    <w:p w14:paraId="161DF5EF" w14:textId="77777777" w:rsidR="00145336" w:rsidRPr="00040C25" w:rsidRDefault="00145336" w:rsidP="00145336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1670999C" w14:textId="77777777" w:rsidR="00145336" w:rsidRDefault="00145336" w:rsidP="00145336">
      <w:pPr>
        <w:spacing w:line="276" w:lineRule="auto"/>
        <w:rPr>
          <w:rFonts w:ascii="Calibri" w:eastAsia="Calibri" w:hAnsi="Calibri" w:cs="Times New Roman"/>
          <w:lang w:val="en-AU"/>
        </w:rPr>
      </w:pPr>
      <w:r w:rsidRPr="006B6DF1">
        <w:rPr>
          <w:rFonts w:ascii="Calibri" w:eastAsia="Calibri" w:hAnsi="Calibri" w:cs="Times New Roman"/>
          <w:lang w:val="en-AU"/>
        </w:rPr>
        <w:t xml:space="preserve">Equifax is a global information solutions company. </w:t>
      </w:r>
      <w:r>
        <w:rPr>
          <w:rFonts w:ascii="Calibri" w:eastAsia="Calibri" w:hAnsi="Calibri" w:cs="Times New Roman"/>
          <w:lang w:val="en-AU"/>
        </w:rPr>
        <w:t>We use</w:t>
      </w:r>
      <w:r w:rsidRPr="006B6DF1">
        <w:rPr>
          <w:rFonts w:ascii="Calibri" w:eastAsia="Calibri" w:hAnsi="Calibri" w:cs="Times New Roman"/>
          <w:lang w:val="en-AU"/>
        </w:rPr>
        <w:t xml:space="preserve"> data, innovative analytics, technology and industry expertise to transform knowledge into insights that help </w:t>
      </w:r>
      <w:r>
        <w:rPr>
          <w:rFonts w:ascii="Calibri" w:eastAsia="Calibri" w:hAnsi="Calibri" w:cs="Times New Roman"/>
          <w:lang w:val="en-AU"/>
        </w:rPr>
        <w:t xml:space="preserve">our </w:t>
      </w:r>
      <w:r w:rsidRPr="006B6DF1">
        <w:rPr>
          <w:rFonts w:ascii="Calibri" w:eastAsia="Calibri" w:hAnsi="Calibri" w:cs="Times New Roman"/>
          <w:lang w:val="en-AU"/>
        </w:rPr>
        <w:t xml:space="preserve">customers make informed decisions. Headquartered in Atlanta, Equifax operates in North America, Central and South America, Europe and the Asia Pacific region. </w:t>
      </w:r>
    </w:p>
    <w:p w14:paraId="78C1A998" w14:textId="77777777" w:rsidR="00145336" w:rsidRDefault="00145336" w:rsidP="00145336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389427B4" w14:textId="77777777" w:rsidR="00145336" w:rsidRDefault="00145336" w:rsidP="00145336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E</w:t>
      </w:r>
      <w:r w:rsidRPr="005A5EE4">
        <w:rPr>
          <w:rFonts w:ascii="Calibri" w:eastAsia="Calibri" w:hAnsi="Calibri" w:cs="Times New Roman"/>
          <w:lang w:val="en-AU"/>
        </w:rPr>
        <w:t xml:space="preserve">stablished as The Credit Reference Association of Australia in 1967, then as Veda and now Equifax, we have strong discipline </w:t>
      </w:r>
      <w:r>
        <w:rPr>
          <w:rFonts w:ascii="Calibri" w:eastAsia="Calibri" w:hAnsi="Calibri" w:cs="Times New Roman"/>
          <w:lang w:val="en-AU"/>
        </w:rPr>
        <w:t xml:space="preserve">in </w:t>
      </w:r>
      <w:r w:rsidRPr="005A5EE4">
        <w:rPr>
          <w:rFonts w:ascii="Calibri" w:eastAsia="Calibri" w:hAnsi="Calibri" w:cs="Times New Roman"/>
          <w:lang w:val="en-AU"/>
        </w:rPr>
        <w:t xml:space="preserve">data </w:t>
      </w:r>
      <w:r>
        <w:rPr>
          <w:rFonts w:ascii="Calibri" w:eastAsia="Calibri" w:hAnsi="Calibri" w:cs="Times New Roman"/>
          <w:lang w:val="en-AU"/>
        </w:rPr>
        <w:t>governance across the information lifecycle and compliance with privacy principles. We continue to invest</w:t>
      </w:r>
      <w:r w:rsidRPr="005A5EE4">
        <w:rPr>
          <w:rFonts w:ascii="Calibri" w:eastAsia="Calibri" w:hAnsi="Calibri" w:cs="Times New Roman"/>
          <w:lang w:val="en-AU"/>
        </w:rPr>
        <w:t xml:space="preserve"> </w:t>
      </w:r>
      <w:r>
        <w:rPr>
          <w:rFonts w:ascii="Calibri" w:eastAsia="Calibri" w:hAnsi="Calibri" w:cs="Times New Roman"/>
          <w:lang w:val="en-AU"/>
        </w:rPr>
        <w:t xml:space="preserve">in </w:t>
      </w:r>
      <w:r w:rsidRPr="005A5EE4">
        <w:rPr>
          <w:rFonts w:ascii="Calibri" w:eastAsia="Calibri" w:hAnsi="Calibri" w:cs="Times New Roman"/>
          <w:lang w:val="en-AU"/>
        </w:rPr>
        <w:t xml:space="preserve">our </w:t>
      </w:r>
      <w:r>
        <w:rPr>
          <w:rFonts w:ascii="Calibri" w:eastAsia="Calibri" w:hAnsi="Calibri" w:cs="Times New Roman"/>
          <w:lang w:val="en-AU"/>
        </w:rPr>
        <w:t xml:space="preserve">data and security </w:t>
      </w:r>
      <w:r w:rsidRPr="005A5EE4">
        <w:rPr>
          <w:rFonts w:ascii="Calibri" w:eastAsia="Calibri" w:hAnsi="Calibri" w:cs="Times New Roman"/>
          <w:lang w:val="en-AU"/>
        </w:rPr>
        <w:t>processes</w:t>
      </w:r>
      <w:r>
        <w:rPr>
          <w:rFonts w:ascii="Calibri" w:eastAsia="Calibri" w:hAnsi="Calibri" w:cs="Times New Roman"/>
          <w:lang w:val="en-AU"/>
        </w:rPr>
        <w:t>, systems, people</w:t>
      </w:r>
      <w:r w:rsidRPr="005A5EE4">
        <w:rPr>
          <w:rFonts w:ascii="Calibri" w:eastAsia="Calibri" w:hAnsi="Calibri" w:cs="Times New Roman"/>
          <w:lang w:val="en-AU"/>
        </w:rPr>
        <w:t xml:space="preserve"> and policies.</w:t>
      </w:r>
      <w:r>
        <w:rPr>
          <w:rFonts w:ascii="Calibri" w:eastAsia="Calibri" w:hAnsi="Calibri" w:cs="Times New Roman"/>
          <w:lang w:val="en-AU"/>
        </w:rPr>
        <w:t xml:space="preserve"> </w:t>
      </w:r>
    </w:p>
    <w:p w14:paraId="26C3E50E" w14:textId="77777777" w:rsidR="00145336" w:rsidRDefault="00145336" w:rsidP="00145336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44371A8F" w14:textId="77777777" w:rsidR="00145336" w:rsidRDefault="00427E7E" w:rsidP="00145336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 xml:space="preserve">Using </w:t>
      </w:r>
      <w:r w:rsidR="00E94BC7">
        <w:rPr>
          <w:rFonts w:ascii="Calibri" w:eastAsia="Calibri" w:hAnsi="Calibri" w:cs="Times New Roman"/>
          <w:lang w:val="en-AU"/>
        </w:rPr>
        <w:t xml:space="preserve">bank </w:t>
      </w:r>
      <w:r w:rsidR="00807655">
        <w:rPr>
          <w:rFonts w:ascii="Calibri" w:eastAsia="Calibri" w:hAnsi="Calibri" w:cs="Times New Roman"/>
          <w:lang w:val="en-AU"/>
        </w:rPr>
        <w:t xml:space="preserve">transaction </w:t>
      </w:r>
      <w:r>
        <w:rPr>
          <w:rFonts w:ascii="Calibri" w:eastAsia="Calibri" w:hAnsi="Calibri" w:cs="Times New Roman"/>
          <w:lang w:val="en-AU"/>
        </w:rPr>
        <w:t xml:space="preserve">data </w:t>
      </w:r>
      <w:r w:rsidR="00482EA7">
        <w:rPr>
          <w:rFonts w:ascii="Calibri" w:eastAsia="Calibri" w:hAnsi="Calibri" w:cs="Times New Roman"/>
          <w:lang w:val="en-AU"/>
        </w:rPr>
        <w:t xml:space="preserve">that </w:t>
      </w:r>
      <w:r>
        <w:rPr>
          <w:rFonts w:ascii="Calibri" w:eastAsia="Calibri" w:hAnsi="Calibri" w:cs="Times New Roman"/>
          <w:lang w:val="en-AU"/>
        </w:rPr>
        <w:t xml:space="preserve">consumers have </w:t>
      </w:r>
      <w:r w:rsidR="00BF4523">
        <w:rPr>
          <w:rFonts w:ascii="Calibri" w:eastAsia="Calibri" w:hAnsi="Calibri" w:cs="Times New Roman"/>
          <w:lang w:val="en-AU"/>
        </w:rPr>
        <w:t xml:space="preserve">consented </w:t>
      </w:r>
      <w:r>
        <w:rPr>
          <w:rFonts w:ascii="Calibri" w:eastAsia="Calibri" w:hAnsi="Calibri" w:cs="Times New Roman"/>
          <w:lang w:val="en-AU"/>
        </w:rPr>
        <w:t xml:space="preserve">to </w:t>
      </w:r>
      <w:r w:rsidR="00482EA7">
        <w:rPr>
          <w:rFonts w:ascii="Calibri" w:eastAsia="Calibri" w:hAnsi="Calibri" w:cs="Times New Roman"/>
          <w:lang w:val="en-AU"/>
        </w:rPr>
        <w:t>disclose</w:t>
      </w:r>
      <w:r>
        <w:rPr>
          <w:rFonts w:ascii="Calibri" w:eastAsia="Calibri" w:hAnsi="Calibri" w:cs="Times New Roman"/>
          <w:lang w:val="en-AU"/>
        </w:rPr>
        <w:t>, w</w:t>
      </w:r>
      <w:r w:rsidR="00145336">
        <w:rPr>
          <w:rFonts w:ascii="Calibri" w:eastAsia="Calibri" w:hAnsi="Calibri" w:cs="Times New Roman"/>
          <w:lang w:val="en-AU"/>
        </w:rPr>
        <w:t xml:space="preserve">e </w:t>
      </w:r>
      <w:r w:rsidR="00807655">
        <w:rPr>
          <w:rFonts w:ascii="Calibri" w:eastAsia="Calibri" w:hAnsi="Calibri" w:cs="Times New Roman"/>
          <w:lang w:val="en-AU"/>
        </w:rPr>
        <w:t xml:space="preserve">are </w:t>
      </w:r>
      <w:r w:rsidR="00145336">
        <w:rPr>
          <w:rFonts w:ascii="Calibri" w:eastAsia="Calibri" w:hAnsi="Calibri" w:cs="Times New Roman"/>
          <w:lang w:val="en-AU"/>
        </w:rPr>
        <w:t xml:space="preserve">already </w:t>
      </w:r>
      <w:r w:rsidR="00807655">
        <w:rPr>
          <w:rFonts w:ascii="Calibri" w:eastAsia="Calibri" w:hAnsi="Calibri" w:cs="Times New Roman"/>
          <w:lang w:val="en-AU"/>
        </w:rPr>
        <w:t xml:space="preserve">helping </w:t>
      </w:r>
      <w:proofErr w:type="gramStart"/>
      <w:r w:rsidR="00145336">
        <w:rPr>
          <w:rFonts w:ascii="Calibri" w:eastAsia="Calibri" w:hAnsi="Calibri" w:cs="Times New Roman"/>
          <w:lang w:val="en-AU"/>
        </w:rPr>
        <w:t>a number of</w:t>
      </w:r>
      <w:proofErr w:type="gramEnd"/>
      <w:r w:rsidR="00145336">
        <w:rPr>
          <w:rFonts w:ascii="Calibri" w:eastAsia="Calibri" w:hAnsi="Calibri" w:cs="Times New Roman"/>
          <w:lang w:val="en-AU"/>
        </w:rPr>
        <w:t xml:space="preserve"> Australian financial institutions </w:t>
      </w:r>
      <w:r>
        <w:rPr>
          <w:rFonts w:ascii="Calibri" w:eastAsia="Calibri" w:hAnsi="Calibri" w:cs="Times New Roman"/>
          <w:lang w:val="en-AU"/>
        </w:rPr>
        <w:t xml:space="preserve">deliver innovative products and services. </w:t>
      </w:r>
      <w:r w:rsidR="00145336">
        <w:rPr>
          <w:rFonts w:ascii="Calibri" w:eastAsia="Calibri" w:hAnsi="Calibri" w:cs="Times New Roman"/>
          <w:lang w:val="en-AU"/>
        </w:rPr>
        <w:t>We are also strong contributors to the open banking and related regimes in the UK and Europe.</w:t>
      </w:r>
    </w:p>
    <w:p w14:paraId="1102BCF0" w14:textId="77777777" w:rsidR="00145336" w:rsidRDefault="00145336" w:rsidP="00145336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311706A0" w14:textId="77777777" w:rsidR="00E94BC7" w:rsidRDefault="00427E7E" w:rsidP="00145336">
      <w:pPr>
        <w:spacing w:line="276" w:lineRule="auto"/>
        <w:rPr>
          <w:rFonts w:ascii="Calibri" w:eastAsia="Calibri" w:hAnsi="Calibri" w:cs="Times New Roman"/>
          <w:lang w:val="en-AU"/>
        </w:rPr>
      </w:pPr>
      <w:bookmarkStart w:id="3" w:name="_Hlk524076868"/>
      <w:r>
        <w:rPr>
          <w:rFonts w:ascii="Calibri" w:eastAsia="Calibri" w:hAnsi="Calibri" w:cs="Times New Roman"/>
          <w:lang w:val="en-AU"/>
        </w:rPr>
        <w:t xml:space="preserve">It is difficult to </w:t>
      </w:r>
      <w:r w:rsidR="00BF4523">
        <w:rPr>
          <w:rFonts w:ascii="Calibri" w:eastAsia="Calibri" w:hAnsi="Calibri" w:cs="Times New Roman"/>
          <w:lang w:val="en-AU"/>
        </w:rPr>
        <w:t xml:space="preserve">assess </w:t>
      </w:r>
      <w:r>
        <w:rPr>
          <w:rFonts w:ascii="Calibri" w:eastAsia="Calibri" w:hAnsi="Calibri" w:cs="Times New Roman"/>
          <w:lang w:val="en-AU"/>
        </w:rPr>
        <w:t xml:space="preserve">the scope </w:t>
      </w:r>
      <w:r w:rsidR="00482EA7">
        <w:rPr>
          <w:rFonts w:ascii="Calibri" w:eastAsia="Calibri" w:hAnsi="Calibri" w:cs="Times New Roman"/>
          <w:lang w:val="en-AU"/>
        </w:rPr>
        <w:t xml:space="preserve">and impact </w:t>
      </w:r>
      <w:r>
        <w:rPr>
          <w:rFonts w:ascii="Calibri" w:eastAsia="Calibri" w:hAnsi="Calibri" w:cs="Times New Roman"/>
          <w:lang w:val="en-AU"/>
        </w:rPr>
        <w:t xml:space="preserve">of the proposed </w:t>
      </w:r>
      <w:r w:rsidR="00482EA7">
        <w:rPr>
          <w:rFonts w:ascii="Calibri" w:eastAsia="Calibri" w:hAnsi="Calibri" w:cs="Times New Roman"/>
          <w:lang w:val="en-AU"/>
        </w:rPr>
        <w:t>CDR</w:t>
      </w:r>
      <w:r w:rsidR="00BF4523">
        <w:rPr>
          <w:rFonts w:ascii="Calibri" w:eastAsia="Calibri" w:hAnsi="Calibri" w:cs="Times New Roman"/>
          <w:lang w:val="en-AU"/>
        </w:rPr>
        <w:t>,</w:t>
      </w:r>
      <w:r>
        <w:rPr>
          <w:rFonts w:ascii="Calibri" w:eastAsia="Calibri" w:hAnsi="Calibri" w:cs="Times New Roman"/>
          <w:lang w:val="en-AU"/>
        </w:rPr>
        <w:t xml:space="preserve"> </w:t>
      </w:r>
      <w:r w:rsidR="00313713">
        <w:rPr>
          <w:rFonts w:ascii="Calibri" w:eastAsia="Calibri" w:hAnsi="Calibri" w:cs="Times New Roman"/>
          <w:lang w:val="en-AU"/>
        </w:rPr>
        <w:t xml:space="preserve">without </w:t>
      </w:r>
      <w:r w:rsidR="00145336">
        <w:rPr>
          <w:rFonts w:ascii="Calibri" w:eastAsia="Calibri" w:hAnsi="Calibri" w:cs="Times New Roman"/>
          <w:lang w:val="en-AU"/>
        </w:rPr>
        <w:t xml:space="preserve">a Designation (s56AC) for the banking sector, Consumer Data Rules (s56BA) (the Rules) and other instruments </w:t>
      </w:r>
      <w:r w:rsidR="00B54405">
        <w:rPr>
          <w:rFonts w:ascii="Calibri" w:eastAsia="Calibri" w:hAnsi="Calibri" w:cs="Times New Roman"/>
          <w:lang w:val="en-AU"/>
        </w:rPr>
        <w:t xml:space="preserve">that </w:t>
      </w:r>
      <w:r w:rsidR="00145336">
        <w:rPr>
          <w:rFonts w:ascii="Calibri" w:eastAsia="Calibri" w:hAnsi="Calibri" w:cs="Times New Roman"/>
          <w:lang w:val="en-AU"/>
        </w:rPr>
        <w:t xml:space="preserve">make the </w:t>
      </w:r>
      <w:r w:rsidR="00504159">
        <w:rPr>
          <w:rFonts w:ascii="Calibri" w:eastAsia="Calibri" w:hAnsi="Calibri" w:cs="Times New Roman"/>
          <w:lang w:val="en-AU"/>
        </w:rPr>
        <w:t xml:space="preserve">rights, obligations and safeguards </w:t>
      </w:r>
      <w:r w:rsidR="00145336">
        <w:rPr>
          <w:rFonts w:ascii="Calibri" w:eastAsia="Calibri" w:hAnsi="Calibri" w:cs="Times New Roman"/>
          <w:lang w:val="en-AU"/>
        </w:rPr>
        <w:t xml:space="preserve">operational. </w:t>
      </w:r>
      <w:bookmarkEnd w:id="3"/>
      <w:r>
        <w:rPr>
          <w:rFonts w:ascii="Calibri" w:eastAsia="Calibri" w:hAnsi="Calibri" w:cs="Times New Roman"/>
          <w:lang w:val="en-AU"/>
        </w:rPr>
        <w:t xml:space="preserve">However, to </w:t>
      </w:r>
      <w:r w:rsidR="00B54405">
        <w:rPr>
          <w:rFonts w:ascii="Calibri" w:eastAsia="Calibri" w:hAnsi="Calibri" w:cs="Times New Roman"/>
          <w:lang w:val="en-AU"/>
        </w:rPr>
        <w:t xml:space="preserve">better achieve </w:t>
      </w:r>
      <w:r>
        <w:rPr>
          <w:rFonts w:ascii="Calibri" w:eastAsia="Calibri" w:hAnsi="Calibri" w:cs="Times New Roman"/>
          <w:lang w:val="en-AU"/>
        </w:rPr>
        <w:t xml:space="preserve">the benefits </w:t>
      </w:r>
      <w:r w:rsidR="00AC532A">
        <w:rPr>
          <w:rFonts w:ascii="Calibri" w:eastAsia="Calibri" w:hAnsi="Calibri" w:cs="Times New Roman"/>
          <w:lang w:val="en-AU"/>
        </w:rPr>
        <w:t xml:space="preserve">outlined in the </w:t>
      </w:r>
      <w:r w:rsidR="00581F7E">
        <w:rPr>
          <w:rFonts w:ascii="Calibri" w:eastAsia="Calibri" w:hAnsi="Calibri" w:cs="Times New Roman"/>
          <w:lang w:val="en-AU"/>
        </w:rPr>
        <w:t>Open Banking R</w:t>
      </w:r>
      <w:r w:rsidR="00AC532A">
        <w:rPr>
          <w:rFonts w:ascii="Calibri" w:eastAsia="Calibri" w:hAnsi="Calibri" w:cs="Times New Roman"/>
          <w:lang w:val="en-AU"/>
        </w:rPr>
        <w:t xml:space="preserve">eview, while </w:t>
      </w:r>
      <w:r w:rsidR="00504159">
        <w:rPr>
          <w:rFonts w:ascii="Calibri" w:eastAsia="Calibri" w:hAnsi="Calibri" w:cs="Times New Roman"/>
          <w:lang w:val="en-AU"/>
        </w:rPr>
        <w:t xml:space="preserve">minimising </w:t>
      </w:r>
      <w:r w:rsidR="00B54405">
        <w:rPr>
          <w:rFonts w:ascii="Calibri" w:eastAsia="Calibri" w:hAnsi="Calibri" w:cs="Times New Roman"/>
          <w:lang w:val="en-AU"/>
        </w:rPr>
        <w:t xml:space="preserve">any </w:t>
      </w:r>
      <w:r w:rsidR="00AC532A">
        <w:rPr>
          <w:rFonts w:ascii="Calibri" w:eastAsia="Calibri" w:hAnsi="Calibri" w:cs="Times New Roman"/>
          <w:lang w:val="en-AU"/>
        </w:rPr>
        <w:t xml:space="preserve">potential risks, </w:t>
      </w:r>
      <w:r>
        <w:rPr>
          <w:rFonts w:ascii="Calibri" w:eastAsia="Calibri" w:hAnsi="Calibri" w:cs="Times New Roman"/>
          <w:lang w:val="en-AU"/>
        </w:rPr>
        <w:t xml:space="preserve">we suggest there </w:t>
      </w:r>
      <w:r w:rsidR="00504159">
        <w:rPr>
          <w:rFonts w:ascii="Calibri" w:eastAsia="Calibri" w:hAnsi="Calibri" w:cs="Times New Roman"/>
          <w:lang w:val="en-AU"/>
        </w:rPr>
        <w:t xml:space="preserve">may be </w:t>
      </w:r>
      <w:r>
        <w:rPr>
          <w:rFonts w:ascii="Calibri" w:eastAsia="Calibri" w:hAnsi="Calibri" w:cs="Times New Roman"/>
          <w:lang w:val="en-AU"/>
        </w:rPr>
        <w:t xml:space="preserve">a few areas </w:t>
      </w:r>
      <w:r w:rsidR="00E94BC7">
        <w:rPr>
          <w:rFonts w:ascii="Calibri" w:eastAsia="Calibri" w:hAnsi="Calibri" w:cs="Times New Roman"/>
          <w:lang w:val="en-AU"/>
        </w:rPr>
        <w:t xml:space="preserve">requiring some </w:t>
      </w:r>
      <w:r>
        <w:rPr>
          <w:rFonts w:ascii="Calibri" w:eastAsia="Calibri" w:hAnsi="Calibri" w:cs="Times New Roman"/>
          <w:lang w:val="en-AU"/>
        </w:rPr>
        <w:t>further consideration.</w:t>
      </w:r>
      <w:r w:rsidR="00482EA7">
        <w:rPr>
          <w:rFonts w:ascii="Calibri" w:eastAsia="Calibri" w:hAnsi="Calibri" w:cs="Times New Roman"/>
          <w:lang w:val="en-AU"/>
        </w:rPr>
        <w:t xml:space="preserve"> </w:t>
      </w:r>
    </w:p>
    <w:p w14:paraId="5B65EDE2" w14:textId="77777777" w:rsidR="00700683" w:rsidRDefault="00700683" w:rsidP="00145336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7063D50F" w14:textId="77777777" w:rsidR="00F15762" w:rsidRDefault="00F15762">
      <w:pPr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br w:type="page"/>
      </w:r>
    </w:p>
    <w:p w14:paraId="40F1981C" w14:textId="77777777" w:rsidR="00145336" w:rsidRDefault="00B54405" w:rsidP="00145336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lastRenderedPageBreak/>
        <w:t>Specifically, w</w:t>
      </w:r>
      <w:r w:rsidR="00482EA7">
        <w:rPr>
          <w:rFonts w:ascii="Calibri" w:eastAsia="Calibri" w:hAnsi="Calibri" w:cs="Times New Roman"/>
          <w:lang w:val="en-AU"/>
        </w:rPr>
        <w:t>e highlight the following points</w:t>
      </w:r>
      <w:r>
        <w:rPr>
          <w:rFonts w:ascii="Calibri" w:eastAsia="Calibri" w:hAnsi="Calibri" w:cs="Times New Roman"/>
          <w:lang w:val="en-AU"/>
        </w:rPr>
        <w:t>;</w:t>
      </w:r>
    </w:p>
    <w:p w14:paraId="0F654729" w14:textId="77777777" w:rsidR="00482EA7" w:rsidRDefault="00482EA7" w:rsidP="00145336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3B67B355" w14:textId="77777777" w:rsidR="00313713" w:rsidRPr="00313713" w:rsidRDefault="00BF4523" w:rsidP="00B54405">
      <w:pPr>
        <w:pStyle w:val="ListParagraph"/>
        <w:numPr>
          <w:ilvl w:val="0"/>
          <w:numId w:val="13"/>
        </w:numPr>
        <w:spacing w:after="240" w:line="276" w:lineRule="auto"/>
        <w:ind w:left="714" w:hanging="357"/>
        <w:contextualSpacing w:val="0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Clarify the distinction</w:t>
      </w:r>
      <w:r w:rsidR="00B54405">
        <w:rPr>
          <w:rFonts w:ascii="Calibri" w:eastAsia="Calibri" w:hAnsi="Calibri" w:cs="Times New Roman"/>
          <w:lang w:val="en-AU"/>
        </w:rPr>
        <w:t xml:space="preserve"> (if any </w:t>
      </w:r>
      <w:r w:rsidR="00E94BC7">
        <w:rPr>
          <w:rFonts w:ascii="Calibri" w:eastAsia="Calibri" w:hAnsi="Calibri" w:cs="Times New Roman"/>
          <w:lang w:val="en-AU"/>
        </w:rPr>
        <w:t xml:space="preserve">is </w:t>
      </w:r>
      <w:r w:rsidR="00B54405">
        <w:rPr>
          <w:rFonts w:ascii="Calibri" w:eastAsia="Calibri" w:hAnsi="Calibri" w:cs="Times New Roman"/>
          <w:lang w:val="en-AU"/>
        </w:rPr>
        <w:t>intended)</w:t>
      </w:r>
      <w:r>
        <w:rPr>
          <w:rFonts w:ascii="Calibri" w:eastAsia="Calibri" w:hAnsi="Calibri" w:cs="Times New Roman"/>
          <w:lang w:val="en-AU"/>
        </w:rPr>
        <w:t xml:space="preserve"> between </w:t>
      </w:r>
      <w:r w:rsidR="00B54405">
        <w:rPr>
          <w:rFonts w:ascii="Calibri" w:eastAsia="Calibri" w:hAnsi="Calibri" w:cs="Times New Roman"/>
          <w:lang w:val="en-AU"/>
        </w:rPr>
        <w:t xml:space="preserve">a </w:t>
      </w:r>
      <w:r>
        <w:rPr>
          <w:rFonts w:ascii="Calibri" w:eastAsia="Calibri" w:hAnsi="Calibri" w:cs="Times New Roman"/>
          <w:lang w:val="en-AU"/>
        </w:rPr>
        <w:t>valid request, consent</w:t>
      </w:r>
      <w:r w:rsidR="00504159">
        <w:rPr>
          <w:rFonts w:ascii="Calibri" w:eastAsia="Calibri" w:hAnsi="Calibri" w:cs="Times New Roman"/>
          <w:lang w:val="en-AU"/>
        </w:rPr>
        <w:t xml:space="preserve"> and </w:t>
      </w:r>
      <w:r>
        <w:rPr>
          <w:rFonts w:ascii="Calibri" w:eastAsia="Calibri" w:hAnsi="Calibri" w:cs="Times New Roman"/>
          <w:lang w:val="en-AU"/>
        </w:rPr>
        <w:t>disclosure</w:t>
      </w:r>
      <w:r w:rsidR="00504159">
        <w:rPr>
          <w:rFonts w:ascii="Calibri" w:eastAsia="Calibri" w:hAnsi="Calibri" w:cs="Times New Roman"/>
          <w:lang w:val="en-AU"/>
        </w:rPr>
        <w:t xml:space="preserve">, </w:t>
      </w:r>
      <w:r w:rsidR="00313713">
        <w:rPr>
          <w:rFonts w:ascii="Calibri" w:eastAsia="Calibri" w:hAnsi="Calibri" w:cs="Times New Roman"/>
          <w:lang w:val="en-AU"/>
        </w:rPr>
        <w:t>used in various provisions,</w:t>
      </w:r>
      <w:r>
        <w:rPr>
          <w:rFonts w:ascii="Calibri" w:eastAsia="Calibri" w:hAnsi="Calibri" w:cs="Times New Roman"/>
          <w:lang w:val="en-AU"/>
        </w:rPr>
        <w:t xml:space="preserve"> and how these interact with the </w:t>
      </w:r>
      <w:r w:rsidR="00313713">
        <w:rPr>
          <w:rFonts w:ascii="Calibri" w:eastAsia="Calibri" w:hAnsi="Calibri" w:cs="Times New Roman"/>
          <w:lang w:val="en-AU"/>
        </w:rPr>
        <w:t xml:space="preserve">safeguards for </w:t>
      </w:r>
      <w:r>
        <w:rPr>
          <w:rFonts w:ascii="Calibri" w:eastAsia="Calibri" w:hAnsi="Calibri" w:cs="Times New Roman"/>
          <w:lang w:val="en-AU"/>
        </w:rPr>
        <w:t>solicit</w:t>
      </w:r>
      <w:r w:rsidR="00313713">
        <w:rPr>
          <w:rFonts w:ascii="Calibri" w:eastAsia="Calibri" w:hAnsi="Calibri" w:cs="Times New Roman"/>
          <w:lang w:val="en-AU"/>
        </w:rPr>
        <w:t>ed and unsolicited</w:t>
      </w:r>
      <w:r>
        <w:rPr>
          <w:rFonts w:ascii="Calibri" w:eastAsia="Calibri" w:hAnsi="Calibri" w:cs="Times New Roman"/>
          <w:lang w:val="en-AU"/>
        </w:rPr>
        <w:t xml:space="preserve"> CDR Data in Privacy Safeguard 3 and 4. </w:t>
      </w:r>
    </w:p>
    <w:p w14:paraId="145789A4" w14:textId="77777777" w:rsidR="006B6DF1" w:rsidRDefault="00BF4523" w:rsidP="00B54405">
      <w:pPr>
        <w:pStyle w:val="ListParagraph"/>
        <w:numPr>
          <w:ilvl w:val="0"/>
          <w:numId w:val="13"/>
        </w:numPr>
        <w:spacing w:after="240" w:line="276" w:lineRule="auto"/>
        <w:ind w:left="714" w:hanging="357"/>
        <w:contextualSpacing w:val="0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 xml:space="preserve">The list of matters </w:t>
      </w:r>
      <w:r w:rsidR="00B54405">
        <w:rPr>
          <w:rFonts w:ascii="Calibri" w:eastAsia="Calibri" w:hAnsi="Calibri" w:cs="Times New Roman"/>
          <w:lang w:val="en-AU"/>
        </w:rPr>
        <w:t xml:space="preserve">that may be covered in the </w:t>
      </w:r>
      <w:r>
        <w:rPr>
          <w:rFonts w:ascii="Calibri" w:eastAsia="Calibri" w:hAnsi="Calibri" w:cs="Times New Roman"/>
          <w:lang w:val="en-AU"/>
        </w:rPr>
        <w:t>Rules appears to place more emphasis on a valid request rather than explicit</w:t>
      </w:r>
      <w:r w:rsidR="00642BD9">
        <w:rPr>
          <w:rFonts w:ascii="Calibri" w:eastAsia="Calibri" w:hAnsi="Calibri" w:cs="Times New Roman"/>
          <w:lang w:val="en-AU"/>
        </w:rPr>
        <w:t>, informed consent</w:t>
      </w:r>
      <w:r w:rsidR="00313713">
        <w:rPr>
          <w:rFonts w:ascii="Calibri" w:eastAsia="Calibri" w:hAnsi="Calibri" w:cs="Times New Roman"/>
          <w:lang w:val="en-AU"/>
        </w:rPr>
        <w:t xml:space="preserve"> as recommended in the Open Banking Review</w:t>
      </w:r>
      <w:r w:rsidR="00642BD9">
        <w:rPr>
          <w:rFonts w:ascii="Calibri" w:eastAsia="Calibri" w:hAnsi="Calibri" w:cs="Times New Roman"/>
          <w:lang w:val="en-AU"/>
        </w:rPr>
        <w:t>.</w:t>
      </w:r>
      <w:r w:rsidR="00504159">
        <w:rPr>
          <w:rFonts w:ascii="Calibri" w:eastAsia="Calibri" w:hAnsi="Calibri" w:cs="Times New Roman"/>
          <w:lang w:val="en-AU"/>
        </w:rPr>
        <w:t xml:space="preserve"> </w:t>
      </w:r>
    </w:p>
    <w:p w14:paraId="7D48102C" w14:textId="4FD90D99" w:rsidR="00642BD9" w:rsidRDefault="00642BD9" w:rsidP="00B54405">
      <w:pPr>
        <w:pStyle w:val="ListParagraph"/>
        <w:numPr>
          <w:ilvl w:val="0"/>
          <w:numId w:val="13"/>
        </w:numPr>
        <w:spacing w:after="240" w:line="276" w:lineRule="auto"/>
        <w:ind w:left="714" w:hanging="357"/>
        <w:contextualSpacing w:val="0"/>
        <w:rPr>
          <w:rFonts w:ascii="Calibri" w:eastAsia="Calibri" w:hAnsi="Calibri" w:cs="Times New Roman"/>
          <w:lang w:val="en-AU"/>
        </w:rPr>
      </w:pPr>
      <w:r w:rsidRPr="00642BD9">
        <w:rPr>
          <w:rFonts w:ascii="Calibri" w:eastAsia="Calibri" w:hAnsi="Calibri" w:cs="Times New Roman"/>
          <w:lang w:val="en-AU"/>
        </w:rPr>
        <w:t>Part IIIA of the Privacy Act</w:t>
      </w:r>
      <w:r w:rsidR="00B54405">
        <w:rPr>
          <w:rFonts w:ascii="Calibri" w:eastAsia="Calibri" w:hAnsi="Calibri" w:cs="Times New Roman"/>
          <w:lang w:val="en-AU"/>
        </w:rPr>
        <w:t xml:space="preserve"> is not </w:t>
      </w:r>
      <w:r w:rsidR="00B54405" w:rsidRPr="00642BD9">
        <w:rPr>
          <w:rFonts w:ascii="Calibri" w:eastAsia="Calibri" w:hAnsi="Calibri" w:cs="Times New Roman"/>
          <w:lang w:val="en-AU"/>
        </w:rPr>
        <w:t>limit</w:t>
      </w:r>
      <w:r w:rsidR="00B54405">
        <w:rPr>
          <w:rFonts w:ascii="Calibri" w:eastAsia="Calibri" w:hAnsi="Calibri" w:cs="Times New Roman"/>
          <w:lang w:val="en-AU"/>
        </w:rPr>
        <w:t>ed by the Bill</w:t>
      </w:r>
      <w:r w:rsidRPr="00642BD9">
        <w:rPr>
          <w:rFonts w:ascii="Calibri" w:eastAsia="Calibri" w:hAnsi="Calibri" w:cs="Times New Roman"/>
          <w:lang w:val="en-AU"/>
        </w:rPr>
        <w:t xml:space="preserve">. </w:t>
      </w:r>
      <w:r>
        <w:rPr>
          <w:rFonts w:ascii="Calibri" w:eastAsia="Calibri" w:hAnsi="Calibri" w:cs="Times New Roman"/>
          <w:lang w:val="en-AU"/>
        </w:rPr>
        <w:t xml:space="preserve">The Office of the Australian Information Commissioner may need to clarify their approach to Data Recipients that </w:t>
      </w:r>
      <w:r w:rsidR="00B54405">
        <w:rPr>
          <w:rFonts w:ascii="Calibri" w:eastAsia="Calibri" w:hAnsi="Calibri" w:cs="Times New Roman"/>
          <w:lang w:val="en-AU"/>
        </w:rPr>
        <w:t xml:space="preserve">could come </w:t>
      </w:r>
      <w:r>
        <w:rPr>
          <w:rFonts w:ascii="Calibri" w:eastAsia="Calibri" w:hAnsi="Calibri" w:cs="Times New Roman"/>
          <w:lang w:val="en-AU"/>
        </w:rPr>
        <w:t>within the ambit of Part IIIA.</w:t>
      </w:r>
    </w:p>
    <w:p w14:paraId="50A15FA5" w14:textId="77777777" w:rsidR="00313713" w:rsidRPr="00BF4523" w:rsidRDefault="00313713" w:rsidP="00B54405">
      <w:pPr>
        <w:pStyle w:val="ListParagraph"/>
        <w:numPr>
          <w:ilvl w:val="0"/>
          <w:numId w:val="13"/>
        </w:numPr>
        <w:spacing w:line="276" w:lineRule="auto"/>
        <w:ind w:left="714" w:hanging="357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 xml:space="preserve">Clarify that CDR Consumers’ have a right to request a report about </w:t>
      </w:r>
      <w:r w:rsidR="00E94BC7">
        <w:rPr>
          <w:rFonts w:ascii="Calibri" w:eastAsia="Calibri" w:hAnsi="Calibri" w:cs="Times New Roman"/>
          <w:lang w:val="en-AU"/>
        </w:rPr>
        <w:t xml:space="preserve">any </w:t>
      </w:r>
      <w:bookmarkStart w:id="4" w:name="_GoBack"/>
      <w:bookmarkEnd w:id="4"/>
      <w:r>
        <w:rPr>
          <w:rFonts w:ascii="Calibri" w:eastAsia="Calibri" w:hAnsi="Calibri" w:cs="Times New Roman"/>
          <w:lang w:val="en-AU"/>
        </w:rPr>
        <w:t xml:space="preserve">ongoing use </w:t>
      </w:r>
      <w:r w:rsidR="00E94BC7">
        <w:rPr>
          <w:rFonts w:ascii="Calibri" w:eastAsia="Calibri" w:hAnsi="Calibri" w:cs="Times New Roman"/>
          <w:lang w:val="en-AU"/>
        </w:rPr>
        <w:t>and</w:t>
      </w:r>
      <w:r>
        <w:rPr>
          <w:rFonts w:ascii="Calibri" w:eastAsia="Calibri" w:hAnsi="Calibri" w:cs="Times New Roman"/>
          <w:lang w:val="en-AU"/>
        </w:rPr>
        <w:t xml:space="preserve"> storage of their data</w:t>
      </w:r>
      <w:r w:rsidR="00E94BC7">
        <w:rPr>
          <w:rFonts w:ascii="Calibri" w:eastAsia="Calibri" w:hAnsi="Calibri" w:cs="Times New Roman"/>
          <w:lang w:val="en-AU"/>
        </w:rPr>
        <w:t xml:space="preserve"> in addition to their right to request a report of their valid requests</w:t>
      </w:r>
      <w:r>
        <w:rPr>
          <w:rFonts w:ascii="Calibri" w:eastAsia="Calibri" w:hAnsi="Calibri" w:cs="Times New Roman"/>
          <w:lang w:val="en-AU"/>
        </w:rPr>
        <w:t>.</w:t>
      </w:r>
    </w:p>
    <w:p w14:paraId="59DF19ED" w14:textId="77777777" w:rsidR="00312332" w:rsidRDefault="00312332" w:rsidP="00312332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5EF282E5" w14:textId="77777777" w:rsidR="006B6DF1" w:rsidRDefault="008A6185">
      <w:pPr>
        <w:spacing w:line="276" w:lineRule="auto"/>
        <w:rPr>
          <w:rFonts w:ascii="Calibri" w:eastAsia="Calibri" w:hAnsi="Calibri" w:cs="Times New Roman"/>
          <w:lang w:val="en-AU"/>
        </w:rPr>
      </w:pPr>
      <w:bookmarkStart w:id="5" w:name="_Hlk524079468"/>
      <w:r>
        <w:rPr>
          <w:rFonts w:ascii="Calibri" w:eastAsia="Calibri" w:hAnsi="Calibri" w:cs="Times New Roman"/>
          <w:lang w:val="en-AU"/>
        </w:rPr>
        <w:t xml:space="preserve">We welcome an opportunity to discuss these points </w:t>
      </w:r>
      <w:r w:rsidR="00B54405">
        <w:rPr>
          <w:rFonts w:ascii="Calibri" w:eastAsia="Calibri" w:hAnsi="Calibri" w:cs="Times New Roman"/>
          <w:lang w:val="en-AU"/>
        </w:rPr>
        <w:t>and</w:t>
      </w:r>
      <w:r w:rsidR="00504159">
        <w:rPr>
          <w:rFonts w:ascii="Calibri" w:eastAsia="Calibri" w:hAnsi="Calibri" w:cs="Times New Roman"/>
          <w:lang w:val="en-AU"/>
        </w:rPr>
        <w:t xml:space="preserve"> </w:t>
      </w:r>
      <w:r w:rsidR="00B54405">
        <w:rPr>
          <w:rFonts w:ascii="Calibri" w:eastAsia="Calibri" w:hAnsi="Calibri" w:cs="Times New Roman"/>
          <w:lang w:val="en-AU"/>
        </w:rPr>
        <w:t xml:space="preserve">any </w:t>
      </w:r>
      <w:r w:rsidR="00504159">
        <w:rPr>
          <w:rFonts w:ascii="Calibri" w:eastAsia="Calibri" w:hAnsi="Calibri" w:cs="Times New Roman"/>
          <w:lang w:val="en-AU"/>
        </w:rPr>
        <w:t xml:space="preserve">other issues that may arise when the related draft instruments become available. </w:t>
      </w:r>
    </w:p>
    <w:bookmarkEnd w:id="5"/>
    <w:p w14:paraId="18947751" w14:textId="77777777" w:rsidR="00EE3724" w:rsidRDefault="00EE3724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12B21607" w14:textId="77777777" w:rsidR="00EE3724" w:rsidRDefault="00EE3724" w:rsidP="00040C25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5503B57A" w14:textId="77777777" w:rsidR="0075259F" w:rsidRDefault="0075259F" w:rsidP="0075259F">
      <w:pPr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Regards</w:t>
      </w:r>
    </w:p>
    <w:p w14:paraId="51568BB7" w14:textId="77777777" w:rsidR="00547BFC" w:rsidRDefault="00547BFC" w:rsidP="0075259F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003AC04E" w14:textId="77777777" w:rsidR="00322D29" w:rsidRDefault="00322D29" w:rsidP="0075259F">
      <w:pPr>
        <w:spacing w:line="276" w:lineRule="auto"/>
        <w:rPr>
          <w:rFonts w:ascii="Calibri" w:eastAsia="Calibri" w:hAnsi="Calibri" w:cs="Times New Roman"/>
          <w:lang w:val="en-AU"/>
        </w:rPr>
      </w:pPr>
    </w:p>
    <w:p w14:paraId="68F01520" w14:textId="77777777" w:rsidR="00547BFC" w:rsidRDefault="003E16B5" w:rsidP="00547BFC">
      <w:pPr>
        <w:tabs>
          <w:tab w:val="left" w:pos="4536"/>
        </w:tabs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Julie McKay</w:t>
      </w:r>
      <w:r w:rsidR="00547BFC">
        <w:rPr>
          <w:rFonts w:ascii="Calibri" w:eastAsia="Calibri" w:hAnsi="Calibri" w:cs="Times New Roman"/>
          <w:lang w:val="en-AU"/>
        </w:rPr>
        <w:tab/>
        <w:t>Matthew Strassberg</w:t>
      </w:r>
    </w:p>
    <w:p w14:paraId="5D674D95" w14:textId="6BBD5375" w:rsidR="00547BFC" w:rsidRDefault="003E16B5" w:rsidP="00547BFC">
      <w:pPr>
        <w:tabs>
          <w:tab w:val="left" w:pos="4536"/>
        </w:tabs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General Manager</w:t>
      </w:r>
      <w:r w:rsidR="00F15762">
        <w:rPr>
          <w:rFonts w:ascii="Calibri" w:eastAsia="Calibri" w:hAnsi="Calibri" w:cs="Times New Roman"/>
          <w:lang w:val="en-AU"/>
        </w:rPr>
        <w:t>, Strategy</w:t>
      </w:r>
      <w:r w:rsidR="00547BFC">
        <w:rPr>
          <w:rFonts w:ascii="Calibri" w:eastAsia="Calibri" w:hAnsi="Calibri" w:cs="Times New Roman"/>
          <w:lang w:val="en-AU"/>
        </w:rPr>
        <w:tab/>
        <w:t>General Manager</w:t>
      </w:r>
      <w:r w:rsidR="00F15762">
        <w:rPr>
          <w:rFonts w:ascii="Calibri" w:eastAsia="Calibri" w:hAnsi="Calibri" w:cs="Times New Roman"/>
          <w:lang w:val="en-AU"/>
        </w:rPr>
        <w:t>, External Relations</w:t>
      </w:r>
    </w:p>
    <w:p w14:paraId="5F183700" w14:textId="489601EA" w:rsidR="00547BFC" w:rsidRPr="00040C25" w:rsidRDefault="00F15762" w:rsidP="00547BFC">
      <w:pPr>
        <w:tabs>
          <w:tab w:val="left" w:pos="4536"/>
        </w:tabs>
        <w:spacing w:line="276" w:lineRule="auto"/>
        <w:rPr>
          <w:rFonts w:ascii="Calibri" w:eastAsia="Calibri" w:hAnsi="Calibri" w:cs="Times New Roman"/>
          <w:lang w:val="en-AU"/>
        </w:rPr>
      </w:pPr>
      <w:r>
        <w:rPr>
          <w:rFonts w:ascii="Calibri" w:eastAsia="Calibri" w:hAnsi="Calibri" w:cs="Times New Roman"/>
          <w:lang w:val="en-AU"/>
        </w:rPr>
        <w:t>Australia and New Zealand</w:t>
      </w:r>
      <w:r w:rsidR="00547BFC">
        <w:rPr>
          <w:rFonts w:ascii="Calibri" w:eastAsia="Calibri" w:hAnsi="Calibri" w:cs="Times New Roman"/>
          <w:lang w:val="en-AU"/>
        </w:rPr>
        <w:tab/>
        <w:t>Australia and New Zealand</w:t>
      </w:r>
    </w:p>
    <w:sectPr w:rsidR="00547BFC" w:rsidRPr="00040C25" w:rsidSect="00582D0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160" w:right="1134" w:bottom="1134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7D652" w14:textId="77777777" w:rsidR="0053130F" w:rsidRDefault="0053130F" w:rsidP="00F61F2B">
      <w:r>
        <w:separator/>
      </w:r>
    </w:p>
  </w:endnote>
  <w:endnote w:type="continuationSeparator" w:id="0">
    <w:p w14:paraId="14A515B4" w14:textId="77777777" w:rsidR="0053130F" w:rsidRDefault="0053130F" w:rsidP="00F6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632F1" w14:textId="77777777" w:rsidR="00881201" w:rsidRDefault="00881201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3360" behindDoc="0" locked="0" layoutInCell="1" allowOverlap="0" wp14:anchorId="202B13B8" wp14:editId="2FA03E8E">
          <wp:simplePos x="0" y="0"/>
          <wp:positionH relativeFrom="page">
            <wp:posOffset>5651500</wp:posOffset>
          </wp:positionH>
          <wp:positionV relativeFrom="paragraph">
            <wp:posOffset>69215</wp:posOffset>
          </wp:positionV>
          <wp:extent cx="1791970" cy="137160"/>
          <wp:effectExtent l="0" t="0" r="0" b="0"/>
          <wp:wrapTight wrapText="bothSides">
            <wp:wrapPolygon edited="0">
              <wp:start x="20207" y="0"/>
              <wp:lineTo x="0" y="0"/>
              <wp:lineTo x="0" y="18000"/>
              <wp:lineTo x="4133" y="18000"/>
              <wp:lineTo x="20437" y="18000"/>
              <wp:lineTo x="21355" y="15000"/>
              <wp:lineTo x="21355" y="0"/>
              <wp:lineTo x="2020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line_r201_4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95" t="27931" r="4673" b="28541"/>
                  <a:stretch/>
                </pic:blipFill>
                <pic:spPr bwMode="auto">
                  <a:xfrm>
                    <a:off x="0" y="0"/>
                    <a:ext cx="1791970" cy="137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B0D0B" w14:textId="77777777" w:rsidR="00881201" w:rsidRDefault="00881201" w:rsidP="00881201">
    <w:pPr>
      <w:pStyle w:val="Footer"/>
      <w:tabs>
        <w:tab w:val="clear" w:pos="4680"/>
        <w:tab w:val="clear" w:pos="9360"/>
        <w:tab w:val="left" w:pos="2694"/>
      </w:tabs>
      <w:spacing w:line="200" w:lineRule="exact"/>
      <w:rPr>
        <w:noProof/>
        <w:sz w:val="16"/>
        <w:szCs w:val="16"/>
      </w:rPr>
    </w:pPr>
    <w:r w:rsidRPr="00AF5560">
      <w:rPr>
        <w:noProof/>
        <w:sz w:val="16"/>
        <w:szCs w:val="16"/>
      </w:rPr>
      <w:t xml:space="preserve">Equifax </w:t>
    </w:r>
    <w:r>
      <w:rPr>
        <w:noProof/>
        <w:sz w:val="16"/>
        <w:szCs w:val="16"/>
      </w:rPr>
      <w:t>Pty Limited</w:t>
    </w:r>
    <w:r>
      <w:rPr>
        <w:noProof/>
        <w:sz w:val="16"/>
        <w:szCs w:val="16"/>
      </w:rPr>
      <w:tab/>
    </w:r>
    <w:r w:rsidRPr="001F5C21">
      <w:rPr>
        <w:noProof/>
        <w:sz w:val="16"/>
        <w:szCs w:val="16"/>
      </w:rPr>
      <w:t xml:space="preserve">Level 15, 100 Arthur Street  </w:t>
    </w:r>
    <w:r>
      <w:rPr>
        <w:noProof/>
        <w:sz w:val="16"/>
        <w:szCs w:val="16"/>
      </w:rPr>
      <w:br/>
    </w:r>
    <w:r w:rsidRPr="00AF5560">
      <w:rPr>
        <w:noProof/>
        <w:sz w:val="16"/>
        <w:szCs w:val="16"/>
      </w:rPr>
      <w:t xml:space="preserve">ABN </w:t>
    </w:r>
    <w:r w:rsidRPr="001F5C21">
      <w:rPr>
        <w:noProof/>
        <w:sz w:val="16"/>
        <w:szCs w:val="16"/>
      </w:rPr>
      <w:t>2</w:t>
    </w:r>
    <w:r>
      <w:rPr>
        <w:noProof/>
        <w:sz w:val="16"/>
        <w:szCs w:val="16"/>
      </w:rPr>
      <w:t>9 080 662 568</w:t>
    </w:r>
    <w:r>
      <w:rPr>
        <w:noProof/>
        <w:sz w:val="16"/>
        <w:szCs w:val="16"/>
      </w:rPr>
      <w:tab/>
    </w:r>
    <w:r w:rsidRPr="001F5C21">
      <w:rPr>
        <w:noProof/>
        <w:sz w:val="16"/>
        <w:szCs w:val="16"/>
      </w:rPr>
      <w:t>North Sydney NSW 2060</w:t>
    </w:r>
  </w:p>
  <w:p w14:paraId="23D02A14" w14:textId="77777777" w:rsidR="00881201" w:rsidRDefault="00881201" w:rsidP="00881201">
    <w:pPr>
      <w:pStyle w:val="Footer"/>
      <w:tabs>
        <w:tab w:val="clear" w:pos="4680"/>
        <w:tab w:val="clear" w:pos="9360"/>
        <w:tab w:val="left" w:pos="2694"/>
      </w:tabs>
      <w:spacing w:line="200" w:lineRule="exact"/>
      <w:rPr>
        <w:noProof/>
        <w:sz w:val="16"/>
        <w:szCs w:val="16"/>
      </w:rPr>
    </w:pPr>
    <w:r w:rsidRPr="00AF5560">
      <w:rPr>
        <w:noProof/>
        <w:sz w:val="16"/>
        <w:szCs w:val="16"/>
      </w:rPr>
      <w:t>equifax.com.au</w:t>
    </w:r>
    <w:r>
      <w:rPr>
        <w:noProof/>
        <w:sz w:val="16"/>
        <w:szCs w:val="16"/>
      </w:rPr>
      <w:tab/>
    </w:r>
    <w:r w:rsidRPr="00AF5560">
      <w:rPr>
        <w:noProof/>
        <w:sz w:val="16"/>
        <w:szCs w:val="16"/>
      </w:rPr>
      <w:t>Australia</w:t>
    </w:r>
  </w:p>
  <w:p w14:paraId="03EAF4E5" w14:textId="77777777" w:rsidR="00881201" w:rsidRPr="00881201" w:rsidRDefault="00881201" w:rsidP="00653807">
    <w:pPr>
      <w:pStyle w:val="Footer"/>
      <w:tabs>
        <w:tab w:val="clear" w:pos="4680"/>
        <w:tab w:val="clear" w:pos="9360"/>
        <w:tab w:val="left" w:pos="2694"/>
      </w:tabs>
      <w:spacing w:line="200" w:lineRule="exact"/>
    </w:pPr>
    <w:r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0" wp14:anchorId="10DC3CD7" wp14:editId="6C16CBA9">
          <wp:simplePos x="0" y="0"/>
          <wp:positionH relativeFrom="page">
            <wp:posOffset>5499100</wp:posOffset>
          </wp:positionH>
          <wp:positionV relativeFrom="paragraph">
            <wp:posOffset>43815</wp:posOffset>
          </wp:positionV>
          <wp:extent cx="1791970" cy="137160"/>
          <wp:effectExtent l="0" t="0" r="0" b="0"/>
          <wp:wrapTight wrapText="bothSides">
            <wp:wrapPolygon edited="0">
              <wp:start x="20207" y="0"/>
              <wp:lineTo x="0" y="0"/>
              <wp:lineTo x="0" y="18000"/>
              <wp:lineTo x="4133" y="18000"/>
              <wp:lineTo x="20437" y="18000"/>
              <wp:lineTo x="21355" y="15000"/>
              <wp:lineTo x="21355" y="0"/>
              <wp:lineTo x="20207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gline_r201_4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95" t="27931" r="4673" b="28541"/>
                  <a:stretch/>
                </pic:blipFill>
                <pic:spPr bwMode="auto">
                  <a:xfrm>
                    <a:off x="0" y="0"/>
                    <a:ext cx="1791970" cy="137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C21">
      <w:rPr>
        <w:noProof/>
        <w:sz w:val="16"/>
        <w:szCs w:val="16"/>
      </w:rPr>
      <w:t>13 8332</w:t>
    </w:r>
    <w:r>
      <w:rPr>
        <w:noProof/>
        <w:sz w:val="16"/>
        <w:szCs w:val="16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2EE17" w14:textId="77777777" w:rsidR="0053130F" w:rsidRDefault="0053130F" w:rsidP="00F61F2B">
      <w:r>
        <w:separator/>
      </w:r>
    </w:p>
  </w:footnote>
  <w:footnote w:type="continuationSeparator" w:id="0">
    <w:p w14:paraId="104AC9D7" w14:textId="77777777" w:rsidR="0053130F" w:rsidRDefault="0053130F" w:rsidP="00F6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E0F53" w14:textId="77777777" w:rsidR="00D27572" w:rsidRPr="00582D0C" w:rsidRDefault="00C4455F">
    <w:pPr>
      <w:pStyle w:val="Header"/>
      <w:jc w:val="center"/>
      <w:rPr>
        <w:rFonts w:ascii="Calibri" w:hAnsi="Calibri"/>
        <w:sz w:val="20"/>
        <w:szCs w:val="20"/>
      </w:rPr>
    </w:pPr>
    <w:sdt>
      <w:sdtPr>
        <w:id w:val="-1731998049"/>
        <w:docPartObj>
          <w:docPartGallery w:val="Page Numbers (Top of Page)"/>
          <w:docPartUnique/>
        </w:docPartObj>
      </w:sdtPr>
      <w:sdtEndPr>
        <w:rPr>
          <w:rFonts w:ascii="Calibri" w:hAnsi="Calibri"/>
          <w:noProof/>
          <w:sz w:val="20"/>
          <w:szCs w:val="20"/>
        </w:rPr>
      </w:sdtEndPr>
      <w:sdtContent>
        <w:r w:rsidR="00D27572" w:rsidRPr="00582D0C">
          <w:rPr>
            <w:rFonts w:ascii="Calibri" w:hAnsi="Calibri"/>
            <w:sz w:val="20"/>
            <w:szCs w:val="20"/>
          </w:rPr>
          <w:fldChar w:fldCharType="begin"/>
        </w:r>
        <w:r w:rsidR="00D27572" w:rsidRPr="00582D0C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="00D27572" w:rsidRPr="00582D0C">
          <w:rPr>
            <w:rFonts w:ascii="Calibri" w:hAnsi="Calibri"/>
            <w:sz w:val="20"/>
            <w:szCs w:val="20"/>
          </w:rPr>
          <w:fldChar w:fldCharType="separate"/>
        </w:r>
        <w:r w:rsidR="00547BFC">
          <w:rPr>
            <w:rFonts w:ascii="Calibri" w:hAnsi="Calibri"/>
            <w:noProof/>
            <w:sz w:val="20"/>
            <w:szCs w:val="20"/>
          </w:rPr>
          <w:t>3</w:t>
        </w:r>
        <w:r w:rsidR="00D27572" w:rsidRPr="00582D0C">
          <w:rPr>
            <w:rFonts w:ascii="Calibri" w:hAnsi="Calibri"/>
            <w:noProof/>
            <w:sz w:val="20"/>
            <w:szCs w:val="20"/>
          </w:rPr>
          <w:fldChar w:fldCharType="end"/>
        </w:r>
      </w:sdtContent>
    </w:sdt>
  </w:p>
  <w:p w14:paraId="70DE962D" w14:textId="77777777" w:rsidR="00D27572" w:rsidRDefault="00D275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302EC" w14:textId="77777777" w:rsidR="00881201" w:rsidRDefault="00881201">
    <w:pPr>
      <w:pStyle w:val="Header"/>
    </w:pPr>
    <w:r w:rsidRPr="00040C25">
      <w:rPr>
        <w:rFonts w:ascii="Arial" w:hAnsi="Arial" w:cs="Arial"/>
        <w:b/>
        <w:bCs/>
        <w:noProof/>
        <w:color w:val="000000"/>
        <w:sz w:val="20"/>
        <w:szCs w:val="20"/>
        <w:lang w:val="en-AU" w:eastAsia="en-AU"/>
      </w:rPr>
      <w:drawing>
        <wp:anchor distT="0" distB="0" distL="114300" distR="114300" simplePos="0" relativeHeight="251659264" behindDoc="0" locked="1" layoutInCell="1" allowOverlap="1" wp14:anchorId="318C96B8" wp14:editId="797ECF1B">
          <wp:simplePos x="0" y="0"/>
          <wp:positionH relativeFrom="leftMargin">
            <wp:posOffset>717550</wp:posOffset>
          </wp:positionH>
          <wp:positionV relativeFrom="page">
            <wp:posOffset>490855</wp:posOffset>
          </wp:positionV>
          <wp:extent cx="1786890" cy="334645"/>
          <wp:effectExtent l="0" t="0" r="3810" b="8255"/>
          <wp:wrapTight wrapText="bothSides">
            <wp:wrapPolygon edited="0">
              <wp:start x="0" y="0"/>
              <wp:lineTo x="0" y="17214"/>
              <wp:lineTo x="5527" y="20903"/>
              <wp:lineTo x="7829" y="20903"/>
              <wp:lineTo x="21416" y="17214"/>
              <wp:lineTo x="2141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uifax_e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890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976"/>
    <w:multiLevelType w:val="hybridMultilevel"/>
    <w:tmpl w:val="E1120A06"/>
    <w:lvl w:ilvl="0" w:tplc="0C09001B">
      <w:start w:val="1"/>
      <w:numFmt w:val="lowerRoman"/>
      <w:lvlText w:val="%1."/>
      <w:lvlJc w:val="right"/>
      <w:pPr>
        <w:ind w:left="1713" w:hanging="360"/>
      </w:p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543522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4D7EE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04717"/>
    <w:multiLevelType w:val="hybridMultilevel"/>
    <w:tmpl w:val="F56016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D57CC"/>
    <w:multiLevelType w:val="hybridMultilevel"/>
    <w:tmpl w:val="27007108"/>
    <w:lvl w:ilvl="0" w:tplc="0C09001B">
      <w:start w:val="1"/>
      <w:numFmt w:val="lowerRoman"/>
      <w:lvlText w:val="%1."/>
      <w:lvlJc w:val="right"/>
      <w:pPr>
        <w:ind w:left="1773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03" w:hanging="360"/>
      </w:pPr>
    </w:lvl>
    <w:lvl w:ilvl="2" w:tplc="0C09001B" w:tentative="1">
      <w:start w:val="1"/>
      <w:numFmt w:val="lowerRoman"/>
      <w:lvlText w:val="%3."/>
      <w:lvlJc w:val="right"/>
      <w:pPr>
        <w:ind w:left="3123" w:hanging="180"/>
      </w:pPr>
    </w:lvl>
    <w:lvl w:ilvl="3" w:tplc="0C09000F" w:tentative="1">
      <w:start w:val="1"/>
      <w:numFmt w:val="decimal"/>
      <w:lvlText w:val="%4."/>
      <w:lvlJc w:val="left"/>
      <w:pPr>
        <w:ind w:left="3843" w:hanging="360"/>
      </w:pPr>
    </w:lvl>
    <w:lvl w:ilvl="4" w:tplc="0C090019" w:tentative="1">
      <w:start w:val="1"/>
      <w:numFmt w:val="lowerLetter"/>
      <w:lvlText w:val="%5."/>
      <w:lvlJc w:val="left"/>
      <w:pPr>
        <w:ind w:left="4563" w:hanging="360"/>
      </w:pPr>
    </w:lvl>
    <w:lvl w:ilvl="5" w:tplc="0C09001B" w:tentative="1">
      <w:start w:val="1"/>
      <w:numFmt w:val="lowerRoman"/>
      <w:lvlText w:val="%6."/>
      <w:lvlJc w:val="right"/>
      <w:pPr>
        <w:ind w:left="5283" w:hanging="180"/>
      </w:pPr>
    </w:lvl>
    <w:lvl w:ilvl="6" w:tplc="0C09000F" w:tentative="1">
      <w:start w:val="1"/>
      <w:numFmt w:val="decimal"/>
      <w:lvlText w:val="%7."/>
      <w:lvlJc w:val="left"/>
      <w:pPr>
        <w:ind w:left="6003" w:hanging="360"/>
      </w:pPr>
    </w:lvl>
    <w:lvl w:ilvl="7" w:tplc="0C090019" w:tentative="1">
      <w:start w:val="1"/>
      <w:numFmt w:val="lowerLetter"/>
      <w:lvlText w:val="%8."/>
      <w:lvlJc w:val="left"/>
      <w:pPr>
        <w:ind w:left="6723" w:hanging="360"/>
      </w:pPr>
    </w:lvl>
    <w:lvl w:ilvl="8" w:tplc="0C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5" w15:restartNumberingAfterBreak="0">
    <w:nsid w:val="2D277CF4"/>
    <w:multiLevelType w:val="hybridMultilevel"/>
    <w:tmpl w:val="EEE0B8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46DE8"/>
    <w:multiLevelType w:val="hybridMultilevel"/>
    <w:tmpl w:val="754EA86C"/>
    <w:lvl w:ilvl="0" w:tplc="0C09001B">
      <w:start w:val="1"/>
      <w:numFmt w:val="lowerRoman"/>
      <w:lvlText w:val="%1."/>
      <w:lvlJc w:val="right"/>
      <w:pPr>
        <w:ind w:left="1713" w:hanging="360"/>
      </w:pPr>
    </w:lvl>
    <w:lvl w:ilvl="1" w:tplc="0C090019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34ED1DDA"/>
    <w:multiLevelType w:val="hybridMultilevel"/>
    <w:tmpl w:val="CC72C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75A70"/>
    <w:multiLevelType w:val="hybridMultilevel"/>
    <w:tmpl w:val="8B16428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52986"/>
    <w:multiLevelType w:val="hybridMultilevel"/>
    <w:tmpl w:val="4DFC4166"/>
    <w:lvl w:ilvl="0" w:tplc="0C090019">
      <w:start w:val="1"/>
      <w:numFmt w:val="lowerLetter"/>
      <w:lvlText w:val="%1."/>
      <w:lvlJc w:val="left"/>
      <w:pPr>
        <w:ind w:left="2220" w:hanging="360"/>
      </w:p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0" w15:restartNumberingAfterBreak="0">
    <w:nsid w:val="4E060A43"/>
    <w:multiLevelType w:val="hybridMultilevel"/>
    <w:tmpl w:val="A710B3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90FB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657D52"/>
    <w:multiLevelType w:val="hybridMultilevel"/>
    <w:tmpl w:val="2F6EE010"/>
    <w:lvl w:ilvl="0" w:tplc="0C090019">
      <w:start w:val="1"/>
      <w:numFmt w:val="lowerLetter"/>
      <w:lvlText w:val="%1."/>
      <w:lvlJc w:val="left"/>
      <w:pPr>
        <w:ind w:left="1773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03" w:hanging="360"/>
      </w:pPr>
    </w:lvl>
    <w:lvl w:ilvl="2" w:tplc="0C09001B" w:tentative="1">
      <w:start w:val="1"/>
      <w:numFmt w:val="lowerRoman"/>
      <w:lvlText w:val="%3."/>
      <w:lvlJc w:val="right"/>
      <w:pPr>
        <w:ind w:left="3123" w:hanging="180"/>
      </w:pPr>
    </w:lvl>
    <w:lvl w:ilvl="3" w:tplc="0C09000F" w:tentative="1">
      <w:start w:val="1"/>
      <w:numFmt w:val="decimal"/>
      <w:lvlText w:val="%4."/>
      <w:lvlJc w:val="left"/>
      <w:pPr>
        <w:ind w:left="3843" w:hanging="360"/>
      </w:pPr>
    </w:lvl>
    <w:lvl w:ilvl="4" w:tplc="0C090019" w:tentative="1">
      <w:start w:val="1"/>
      <w:numFmt w:val="lowerLetter"/>
      <w:lvlText w:val="%5."/>
      <w:lvlJc w:val="left"/>
      <w:pPr>
        <w:ind w:left="4563" w:hanging="360"/>
      </w:pPr>
    </w:lvl>
    <w:lvl w:ilvl="5" w:tplc="0C09001B" w:tentative="1">
      <w:start w:val="1"/>
      <w:numFmt w:val="lowerRoman"/>
      <w:lvlText w:val="%6."/>
      <w:lvlJc w:val="right"/>
      <w:pPr>
        <w:ind w:left="5283" w:hanging="180"/>
      </w:pPr>
    </w:lvl>
    <w:lvl w:ilvl="6" w:tplc="0C09000F" w:tentative="1">
      <w:start w:val="1"/>
      <w:numFmt w:val="decimal"/>
      <w:lvlText w:val="%7."/>
      <w:lvlJc w:val="left"/>
      <w:pPr>
        <w:ind w:left="6003" w:hanging="360"/>
      </w:pPr>
    </w:lvl>
    <w:lvl w:ilvl="7" w:tplc="0C090019" w:tentative="1">
      <w:start w:val="1"/>
      <w:numFmt w:val="lowerLetter"/>
      <w:lvlText w:val="%8."/>
      <w:lvlJc w:val="left"/>
      <w:pPr>
        <w:ind w:left="6723" w:hanging="360"/>
      </w:pPr>
    </w:lvl>
    <w:lvl w:ilvl="8" w:tplc="0C09001B" w:tentative="1">
      <w:start w:val="1"/>
      <w:numFmt w:val="lowerRoman"/>
      <w:lvlText w:val="%9."/>
      <w:lvlJc w:val="right"/>
      <w:pPr>
        <w:ind w:left="7443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02"/>
    <w:rsid w:val="000002F1"/>
    <w:rsid w:val="000048E4"/>
    <w:rsid w:val="00005ABD"/>
    <w:rsid w:val="00006F90"/>
    <w:rsid w:val="0001475E"/>
    <w:rsid w:val="00017D9E"/>
    <w:rsid w:val="00022C5C"/>
    <w:rsid w:val="00023D0A"/>
    <w:rsid w:val="000349BF"/>
    <w:rsid w:val="00040C25"/>
    <w:rsid w:val="00045DC8"/>
    <w:rsid w:val="00047F6C"/>
    <w:rsid w:val="000526E5"/>
    <w:rsid w:val="000762BE"/>
    <w:rsid w:val="000A0729"/>
    <w:rsid w:val="000B2088"/>
    <w:rsid w:val="000D12D5"/>
    <w:rsid w:val="000D4192"/>
    <w:rsid w:val="001055A9"/>
    <w:rsid w:val="00125877"/>
    <w:rsid w:val="001272BB"/>
    <w:rsid w:val="00131AF5"/>
    <w:rsid w:val="00133E17"/>
    <w:rsid w:val="001374C4"/>
    <w:rsid w:val="00145336"/>
    <w:rsid w:val="0016363A"/>
    <w:rsid w:val="0017294D"/>
    <w:rsid w:val="00177D21"/>
    <w:rsid w:val="001C18CB"/>
    <w:rsid w:val="001C612A"/>
    <w:rsid w:val="001E4142"/>
    <w:rsid w:val="001E753D"/>
    <w:rsid w:val="001F3E53"/>
    <w:rsid w:val="001F5C21"/>
    <w:rsid w:val="001F6D39"/>
    <w:rsid w:val="00200A57"/>
    <w:rsid w:val="00221384"/>
    <w:rsid w:val="0023587E"/>
    <w:rsid w:val="002552BB"/>
    <w:rsid w:val="00256B96"/>
    <w:rsid w:val="00257395"/>
    <w:rsid w:val="002624F3"/>
    <w:rsid w:val="002635E1"/>
    <w:rsid w:val="00264055"/>
    <w:rsid w:val="0027136A"/>
    <w:rsid w:val="00271794"/>
    <w:rsid w:val="00285AC4"/>
    <w:rsid w:val="002A1BE4"/>
    <w:rsid w:val="002A3DF4"/>
    <w:rsid w:val="002A72D7"/>
    <w:rsid w:val="002B5BAE"/>
    <w:rsid w:val="002F14F8"/>
    <w:rsid w:val="00312332"/>
    <w:rsid w:val="00313713"/>
    <w:rsid w:val="003146F2"/>
    <w:rsid w:val="00322D29"/>
    <w:rsid w:val="00325398"/>
    <w:rsid w:val="00332E48"/>
    <w:rsid w:val="00357AA6"/>
    <w:rsid w:val="00370F1D"/>
    <w:rsid w:val="00372077"/>
    <w:rsid w:val="00387FBE"/>
    <w:rsid w:val="003A2317"/>
    <w:rsid w:val="003A2347"/>
    <w:rsid w:val="003C2669"/>
    <w:rsid w:val="003C2A6E"/>
    <w:rsid w:val="003D73FF"/>
    <w:rsid w:val="003E16B5"/>
    <w:rsid w:val="00427E7E"/>
    <w:rsid w:val="004549E4"/>
    <w:rsid w:val="00457DCD"/>
    <w:rsid w:val="0046127A"/>
    <w:rsid w:val="00461AFB"/>
    <w:rsid w:val="00473D59"/>
    <w:rsid w:val="00482EA7"/>
    <w:rsid w:val="00485661"/>
    <w:rsid w:val="004A177B"/>
    <w:rsid w:val="004B5279"/>
    <w:rsid w:val="004B7445"/>
    <w:rsid w:val="004D0D3B"/>
    <w:rsid w:val="004F25F7"/>
    <w:rsid w:val="00504159"/>
    <w:rsid w:val="00505604"/>
    <w:rsid w:val="0053130F"/>
    <w:rsid w:val="00542F39"/>
    <w:rsid w:val="00543502"/>
    <w:rsid w:val="00547BFC"/>
    <w:rsid w:val="00547C42"/>
    <w:rsid w:val="005504EF"/>
    <w:rsid w:val="00553C5D"/>
    <w:rsid w:val="00581F7E"/>
    <w:rsid w:val="00582D0C"/>
    <w:rsid w:val="00597306"/>
    <w:rsid w:val="005A51CF"/>
    <w:rsid w:val="005A5EE4"/>
    <w:rsid w:val="005B0204"/>
    <w:rsid w:val="005D1892"/>
    <w:rsid w:val="005D27F5"/>
    <w:rsid w:val="005E68D5"/>
    <w:rsid w:val="005F4F88"/>
    <w:rsid w:val="005F79D9"/>
    <w:rsid w:val="006315CB"/>
    <w:rsid w:val="00642BD9"/>
    <w:rsid w:val="00653807"/>
    <w:rsid w:val="00655E4C"/>
    <w:rsid w:val="00661DFF"/>
    <w:rsid w:val="0066712E"/>
    <w:rsid w:val="006712B8"/>
    <w:rsid w:val="00677DAE"/>
    <w:rsid w:val="00680D73"/>
    <w:rsid w:val="0069142B"/>
    <w:rsid w:val="0069312F"/>
    <w:rsid w:val="00695CD7"/>
    <w:rsid w:val="006B0FCC"/>
    <w:rsid w:val="006B1558"/>
    <w:rsid w:val="006B342C"/>
    <w:rsid w:val="006B6DF1"/>
    <w:rsid w:val="006D7D55"/>
    <w:rsid w:val="006E0CE6"/>
    <w:rsid w:val="006E0E5B"/>
    <w:rsid w:val="006E3502"/>
    <w:rsid w:val="006E5932"/>
    <w:rsid w:val="006F7FD5"/>
    <w:rsid w:val="00700683"/>
    <w:rsid w:val="007221C1"/>
    <w:rsid w:val="007453EE"/>
    <w:rsid w:val="0075259F"/>
    <w:rsid w:val="00765F00"/>
    <w:rsid w:val="0077553B"/>
    <w:rsid w:val="007A2B24"/>
    <w:rsid w:val="007D4344"/>
    <w:rsid w:val="007E4C22"/>
    <w:rsid w:val="007F3547"/>
    <w:rsid w:val="007F7E94"/>
    <w:rsid w:val="00807655"/>
    <w:rsid w:val="00810D0D"/>
    <w:rsid w:val="0082617A"/>
    <w:rsid w:val="00860C69"/>
    <w:rsid w:val="008660F5"/>
    <w:rsid w:val="008760E4"/>
    <w:rsid w:val="00881201"/>
    <w:rsid w:val="008A190D"/>
    <w:rsid w:val="008A2AE0"/>
    <w:rsid w:val="008A6185"/>
    <w:rsid w:val="008B2BF8"/>
    <w:rsid w:val="008B7C38"/>
    <w:rsid w:val="008C1D4C"/>
    <w:rsid w:val="008C1DD2"/>
    <w:rsid w:val="008D5145"/>
    <w:rsid w:val="008E0ECF"/>
    <w:rsid w:val="008F0869"/>
    <w:rsid w:val="00920A04"/>
    <w:rsid w:val="00924970"/>
    <w:rsid w:val="00946A49"/>
    <w:rsid w:val="009526CB"/>
    <w:rsid w:val="00974148"/>
    <w:rsid w:val="00974A50"/>
    <w:rsid w:val="009A0394"/>
    <w:rsid w:val="009A0461"/>
    <w:rsid w:val="009A7B16"/>
    <w:rsid w:val="009B5938"/>
    <w:rsid w:val="009C376D"/>
    <w:rsid w:val="009E1E67"/>
    <w:rsid w:val="009E65AA"/>
    <w:rsid w:val="00A04CFA"/>
    <w:rsid w:val="00A04EFE"/>
    <w:rsid w:val="00A3157F"/>
    <w:rsid w:val="00A33DF3"/>
    <w:rsid w:val="00A63581"/>
    <w:rsid w:val="00A70503"/>
    <w:rsid w:val="00A72CCE"/>
    <w:rsid w:val="00A7605A"/>
    <w:rsid w:val="00A8690A"/>
    <w:rsid w:val="00A87821"/>
    <w:rsid w:val="00A96148"/>
    <w:rsid w:val="00AA2D75"/>
    <w:rsid w:val="00AC532A"/>
    <w:rsid w:val="00AF0CC1"/>
    <w:rsid w:val="00AF512A"/>
    <w:rsid w:val="00AF5560"/>
    <w:rsid w:val="00B14E37"/>
    <w:rsid w:val="00B466AA"/>
    <w:rsid w:val="00B54405"/>
    <w:rsid w:val="00B54DBB"/>
    <w:rsid w:val="00B672D9"/>
    <w:rsid w:val="00B824B3"/>
    <w:rsid w:val="00B83B0D"/>
    <w:rsid w:val="00B94DFC"/>
    <w:rsid w:val="00BA2B28"/>
    <w:rsid w:val="00BB09D6"/>
    <w:rsid w:val="00BB276E"/>
    <w:rsid w:val="00BF2915"/>
    <w:rsid w:val="00BF4523"/>
    <w:rsid w:val="00BF581B"/>
    <w:rsid w:val="00C1028C"/>
    <w:rsid w:val="00C2669F"/>
    <w:rsid w:val="00C31D94"/>
    <w:rsid w:val="00C35D60"/>
    <w:rsid w:val="00C362FC"/>
    <w:rsid w:val="00C5412A"/>
    <w:rsid w:val="00C91716"/>
    <w:rsid w:val="00C9798E"/>
    <w:rsid w:val="00CA54FD"/>
    <w:rsid w:val="00CE5E92"/>
    <w:rsid w:val="00D00E28"/>
    <w:rsid w:val="00D06C30"/>
    <w:rsid w:val="00D16F15"/>
    <w:rsid w:val="00D25360"/>
    <w:rsid w:val="00D256CC"/>
    <w:rsid w:val="00D27572"/>
    <w:rsid w:val="00D41943"/>
    <w:rsid w:val="00D42697"/>
    <w:rsid w:val="00D44975"/>
    <w:rsid w:val="00D81578"/>
    <w:rsid w:val="00D857DF"/>
    <w:rsid w:val="00DA2C1F"/>
    <w:rsid w:val="00DD7EA5"/>
    <w:rsid w:val="00DF2EC3"/>
    <w:rsid w:val="00E06EFA"/>
    <w:rsid w:val="00E079B7"/>
    <w:rsid w:val="00E21DAF"/>
    <w:rsid w:val="00E24865"/>
    <w:rsid w:val="00E65F2D"/>
    <w:rsid w:val="00E84BF6"/>
    <w:rsid w:val="00E85EF0"/>
    <w:rsid w:val="00E9103B"/>
    <w:rsid w:val="00E9312D"/>
    <w:rsid w:val="00E94BC7"/>
    <w:rsid w:val="00E95FCE"/>
    <w:rsid w:val="00E967C1"/>
    <w:rsid w:val="00ED1868"/>
    <w:rsid w:val="00ED19CF"/>
    <w:rsid w:val="00ED4F33"/>
    <w:rsid w:val="00EE3724"/>
    <w:rsid w:val="00F14576"/>
    <w:rsid w:val="00F15762"/>
    <w:rsid w:val="00F45AFF"/>
    <w:rsid w:val="00F51AEA"/>
    <w:rsid w:val="00F61F2B"/>
    <w:rsid w:val="00F623F1"/>
    <w:rsid w:val="00F72370"/>
    <w:rsid w:val="00F731F6"/>
    <w:rsid w:val="00F84146"/>
    <w:rsid w:val="00FA76FA"/>
    <w:rsid w:val="00FB152D"/>
    <w:rsid w:val="00FE0AFC"/>
    <w:rsid w:val="00FE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158CB6"/>
  <w15:docId w15:val="{1DFB8E83-BC46-445C-B203-8926FA0B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F2B"/>
  </w:style>
  <w:style w:type="paragraph" w:styleId="Footer">
    <w:name w:val="footer"/>
    <w:basedOn w:val="Normal"/>
    <w:link w:val="FooterChar"/>
    <w:uiPriority w:val="99"/>
    <w:unhideWhenUsed/>
    <w:rsid w:val="00F61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F2B"/>
  </w:style>
  <w:style w:type="character" w:styleId="Hyperlink">
    <w:name w:val="Hyperlink"/>
    <w:basedOn w:val="DefaultParagraphFont"/>
    <w:uiPriority w:val="99"/>
    <w:unhideWhenUsed/>
    <w:rsid w:val="00040C25"/>
    <w:rPr>
      <w:color w:val="95358D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A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A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A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24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5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3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5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33D47"/>
      </a:dk1>
      <a:lt1>
        <a:srgbClr val="FFFFFF"/>
      </a:lt1>
      <a:dk2>
        <a:srgbClr val="5F6A72"/>
      </a:dk2>
      <a:lt2>
        <a:srgbClr val="A5ACB0"/>
      </a:lt2>
      <a:accent1>
        <a:srgbClr val="D1D4D3"/>
      </a:accent1>
      <a:accent2>
        <a:srgbClr val="9E1B32"/>
      </a:accent2>
      <a:accent3>
        <a:srgbClr val="E70033"/>
      </a:accent3>
      <a:accent4>
        <a:srgbClr val="F26724"/>
      </a:accent4>
      <a:accent5>
        <a:srgbClr val="3FAE49"/>
      </a:accent5>
      <a:accent6>
        <a:srgbClr val="0493C9"/>
      </a:accent6>
      <a:hlink>
        <a:srgbClr val="95358D"/>
      </a:hlink>
      <a:folHlink>
        <a:srgbClr val="EDB7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DDAFF7E1A29DE64F981B4EA50562BA75" ma:contentTypeVersion="14258" ma:contentTypeDescription="" ma:contentTypeScope="" ma:versionID="be6ff70404880fcef315cf05a6fd465c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16f59817d12c356334f63fdd4cbf933c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2018MG-133-34910</_dlc_DocId>
    <TaxCatchAll xmlns="0f563589-9cf9-4143-b1eb-fb0534803d38">
      <Value>2</Value>
    </TaxCatchAll>
    <_dlc_DocIdUrl xmlns="0f563589-9cf9-4143-b1eb-fb0534803d38">
      <Url>http://tweb/sites/mg/sbccpd/_layouts/15/DocIdRedir.aspx?ID=2018MG-133-34910</Url>
      <Description>2018MG-133-34910</Description>
    </_dlc_DocIdUrl>
    <IconOverlay xmlns="http://schemas.microsoft.com/sharepoint/v4" xsi:nil="true"/>
    <TaxKeywordTaxHTField xmlns="0f563589-9cf9-4143-b1eb-fb0534803d38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1D92824-1999-4B76-8F96-7AB2F2DD0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60401-8E63-4092-A88B-11162E9ACBA6}"/>
</file>

<file path=customXml/itemProps3.xml><?xml version="1.0" encoding="utf-8"?>
<ds:datastoreItem xmlns:ds="http://schemas.openxmlformats.org/officeDocument/2006/customXml" ds:itemID="{2553A797-891A-4843-AEC8-B621AA6B73BC}"/>
</file>

<file path=customXml/itemProps4.xml><?xml version="1.0" encoding="utf-8"?>
<ds:datastoreItem xmlns:ds="http://schemas.openxmlformats.org/officeDocument/2006/customXml" ds:itemID="{F0E52824-2B8A-440C-8E43-FFD5165A8382}"/>
</file>

<file path=customXml/itemProps5.xml><?xml version="1.0" encoding="utf-8"?>
<ds:datastoreItem xmlns:ds="http://schemas.openxmlformats.org/officeDocument/2006/customXml" ds:itemID="{99244FD6-CCD0-4809-AFC8-C73713E10BA5}"/>
</file>

<file path=customXml/itemProps6.xml><?xml version="1.0" encoding="utf-8"?>
<ds:datastoreItem xmlns:ds="http://schemas.openxmlformats.org/officeDocument/2006/customXml" ds:itemID="{8ECAA492-4CCB-4FE9-9830-B84CC837C8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Veda Advantage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Leung</dc:creator>
  <cp:lastModifiedBy>Julie McKay</cp:lastModifiedBy>
  <cp:revision>2</cp:revision>
  <cp:lastPrinted>2018-03-22T00:16:00Z</cp:lastPrinted>
  <dcterms:created xsi:type="dcterms:W3CDTF">2018-09-07T07:00:00Z</dcterms:created>
  <dcterms:modified xsi:type="dcterms:W3CDTF">2018-09-07T07:00:00Z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0x010100E95D40E5DFEA714B90E88DB5CE07A6B500DDAFF7E1A29DE64F981B4EA50562BA75</vt:lpwstr>
  </property>
  <property fmtid="{D5CDD505-2E9C-101B-9397-08002B2CF9AE}" pid="3" name="TSYRecordClass">
    <vt:lpwstr>2;#TSY RA-9081 - Retain as national archives|bbf0bcde-1687-4ff2-bc57-f31b5d545d4b</vt:lpwstr>
  </property>
  <property fmtid="{D5CDD505-2E9C-101B-9397-08002B2CF9AE}" pid="4" name="_dlc_DocIdItemGuid">
    <vt:lpwstr>eabc0aa0-2c5f-42ab-82e2-7a3940fe040d</vt:lpwstr>
  </property>
  <property fmtid="{D5CDD505-2E9C-101B-9397-08002B2CF9AE}" pid="5" name="TaxKeyword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{08cedf7d-7ad2-4b81-a81f-47e3ec332c41}</vt:lpwstr>
  </property>
  <property fmtid="{D5CDD505-2E9C-101B-9397-08002B2CF9AE}" pid="8" name="RecordPoint_ActiveItemListId">
    <vt:lpwstr>{020b99f8-d659-456c-88bf-b1c791ab809a}</vt:lpwstr>
  </property>
  <property fmtid="{D5CDD505-2E9C-101B-9397-08002B2CF9AE}" pid="9" name="RecordPoint_ActiveItemUniqueId">
    <vt:lpwstr>{eabc0aa0-2c5f-42ab-82e2-7a3940fe040d}</vt:lpwstr>
  </property>
  <property fmtid="{D5CDD505-2E9C-101B-9397-08002B2CF9AE}" pid="10" name="RecordPoint_ActiveItemWebId">
    <vt:lpwstr>{682871c2-4073-4158-957a-6d924b9ba0a6}</vt:lpwstr>
  </property>
  <property fmtid="{D5CDD505-2E9C-101B-9397-08002B2CF9AE}" pid="11" name="RecordPoint_RecordNumberSubmitted">
    <vt:lpwstr>R0001865360</vt:lpwstr>
  </property>
  <property fmtid="{D5CDD505-2E9C-101B-9397-08002B2CF9AE}" pid="12" name="RecordPoint_SubmissionCompleted">
    <vt:lpwstr>2018-09-07T19:28:27.5893176+10:00</vt:lpwstr>
  </property>
  <property fmtid="{D5CDD505-2E9C-101B-9397-08002B2CF9AE}" pid="13" name="_AdHocReviewCycleID">
    <vt:i4>-1653686969</vt:i4>
  </property>
  <property fmtid="{D5CDD505-2E9C-101B-9397-08002B2CF9AE}" pid="14" name="_NewReviewCycle">
    <vt:lpwstr/>
  </property>
  <property fmtid="{D5CDD505-2E9C-101B-9397-08002B2CF9AE}" pid="15" name="_EmailSubject">
    <vt:lpwstr>#S79744 has been logged with the Publishing &amp; Design Team. [SEC=UNCLASSIFIED]</vt:lpwstr>
  </property>
  <property fmtid="{D5CDD505-2E9C-101B-9397-08002B2CF9AE}" pid="16" name="_AuthorEmail">
    <vt:lpwstr>Kathryn.Wardell@TREASURY.GOV.AU</vt:lpwstr>
  </property>
  <property fmtid="{D5CDD505-2E9C-101B-9397-08002B2CF9AE}" pid="17" name="_AuthorEmailDisplayName">
    <vt:lpwstr>Wardell, Kathryn</vt:lpwstr>
  </property>
</Properties>
</file>