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B79402" w14:textId="77777777" w:rsidR="000E0B74" w:rsidRPr="006D0240" w:rsidRDefault="000E0B74" w:rsidP="008E6292"/>
    <w:p w14:paraId="0CB5D48A" w14:textId="77777777" w:rsidR="000E0B74" w:rsidRPr="006D0240" w:rsidRDefault="000E0B74" w:rsidP="003D0BB1">
      <w:pPr>
        <w:pStyle w:val="Crest"/>
        <w:spacing w:after="1080"/>
        <w:jc w:val="left"/>
      </w:pPr>
    </w:p>
    <w:p w14:paraId="36A7745F" w14:textId="77777777" w:rsidR="000E0B74" w:rsidRPr="00236A3F" w:rsidRDefault="00D865DA" w:rsidP="00236A3F">
      <w:pPr>
        <w:pStyle w:val="Title"/>
        <w:spacing w:after="600"/>
        <w:rPr>
          <w:sz w:val="56"/>
        </w:rPr>
      </w:pPr>
      <w:r w:rsidRPr="00236A3F">
        <w:rPr>
          <w:sz w:val="56"/>
        </w:rPr>
        <w:t>Financial Institutions Supervisory Levies methodology</w:t>
      </w:r>
    </w:p>
    <w:p w14:paraId="512829DE" w14:textId="77777777" w:rsidR="000E0B74" w:rsidRPr="001D4EAA" w:rsidRDefault="00D865DA" w:rsidP="003D0BB1">
      <w:pPr>
        <w:pStyle w:val="Subtitle"/>
        <w:spacing w:after="0"/>
      </w:pPr>
      <w:r w:rsidRPr="00D865DA">
        <w:t>Discussion Paper</w:t>
      </w:r>
    </w:p>
    <w:p w14:paraId="0CDAFCD3" w14:textId="77777777" w:rsidR="00056880" w:rsidRPr="00236A3F" w:rsidRDefault="00D865DA" w:rsidP="003D0BB1">
      <w:pPr>
        <w:pStyle w:val="ReportDate"/>
        <w:rPr>
          <w:rFonts w:ascii="Rockwell" w:hAnsi="Rockwell"/>
          <w:sz w:val="22"/>
        </w:rPr>
      </w:pPr>
      <w:r w:rsidRPr="00236A3F">
        <w:rPr>
          <w:rStyle w:val="ReportDateChar"/>
          <w:sz w:val="40"/>
        </w:rPr>
        <w:t>August 2019</w:t>
      </w:r>
    </w:p>
    <w:p w14:paraId="4821CF98" w14:textId="77777777" w:rsidR="002F617F" w:rsidRDefault="002F617F"/>
    <w:p w14:paraId="5425C2C0" w14:textId="77777777" w:rsidR="000E0B74" w:rsidRDefault="000E0B74" w:rsidP="000E0B74">
      <w:pPr>
        <w:rPr>
          <w:rFonts w:cs="Calibri"/>
          <w:sz w:val="20"/>
        </w:rPr>
      </w:pPr>
    </w:p>
    <w:p w14:paraId="47AD12FF" w14:textId="77777777" w:rsidR="000E0B74" w:rsidRDefault="000E0B74" w:rsidP="000E0B74">
      <w:pPr>
        <w:sectPr w:rsidR="000E0B74" w:rsidSect="00E1136B">
          <w:headerReference w:type="default" r:id="rId14"/>
          <w:pgSz w:w="11906" w:h="16838"/>
          <w:pgMar w:top="1418" w:right="1418" w:bottom="1418" w:left="1418" w:header="709" w:footer="709" w:gutter="0"/>
          <w:pgNumType w:fmt="lowerRoman" w:start="1"/>
          <w:cols w:space="720"/>
        </w:sectPr>
      </w:pPr>
    </w:p>
    <w:p w14:paraId="55BE92E8" w14:textId="77777777" w:rsidR="000E0B74" w:rsidRDefault="000E0B74" w:rsidP="000E0B74">
      <w:pPr>
        <w:spacing w:before="240"/>
      </w:pPr>
      <w:r w:rsidRPr="00661BF0">
        <w:lastRenderedPageBreak/>
        <w:t>© Commonwealth of Australia</w:t>
      </w:r>
      <w:r w:rsidR="00051E45">
        <w:t xml:space="preserve"> 2019</w:t>
      </w:r>
    </w:p>
    <w:p w14:paraId="0B16B90F" w14:textId="77777777"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5"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6"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01C621B6" w14:textId="77777777" w:rsidR="000E0B74" w:rsidRDefault="000E0B74" w:rsidP="000E0B74">
      <w:pPr>
        <w:pStyle w:val="ChartGraphic"/>
        <w:jc w:val="left"/>
      </w:pPr>
      <w:r w:rsidRPr="00E56DFB">
        <w:rPr>
          <w:noProof/>
        </w:rPr>
        <w:drawing>
          <wp:inline distT="0" distB="0" distL="0" distR="0" wp14:anchorId="259ECB4E" wp14:editId="57EA46A0">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2907EB81"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8"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2FE28A09"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20D64168"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5697E6DB" w14:textId="77777777" w:rsidR="000E0B74" w:rsidRPr="00A13A11" w:rsidRDefault="000E0B74" w:rsidP="000E0B74">
      <w:pPr>
        <w:ind w:firstLine="720"/>
      </w:pPr>
      <w:r w:rsidRPr="002F1BC2">
        <w:rPr>
          <w:i/>
        </w:rPr>
        <w:t xml:space="preserve">Source: The </w:t>
      </w:r>
      <w:r w:rsidRPr="002F1BC2">
        <w:rPr>
          <w:i/>
          <w:iCs/>
        </w:rPr>
        <w:t>Australian Government the Treasury</w:t>
      </w:r>
      <w:r w:rsidR="00051E45">
        <w:rPr>
          <w:i/>
          <w:iCs/>
        </w:rPr>
        <w:t>.</w:t>
      </w:r>
    </w:p>
    <w:p w14:paraId="1C80429E" w14:textId="77777777" w:rsidR="000E0B74" w:rsidRPr="006627B4" w:rsidRDefault="000E0B74" w:rsidP="000E0B74">
      <w:pPr>
        <w:spacing w:before="240"/>
      </w:pPr>
      <w:r w:rsidRPr="00CC63CC">
        <w:rPr>
          <w:b/>
        </w:rPr>
        <w:t>Derivative</w:t>
      </w:r>
      <w:r w:rsidRPr="006627B4">
        <w:t xml:space="preserve"> </w:t>
      </w:r>
      <w:r w:rsidRPr="00CC63CC">
        <w:rPr>
          <w:b/>
        </w:rPr>
        <w:t>material</w:t>
      </w:r>
    </w:p>
    <w:p w14:paraId="7F885FD1"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2DD0CC83" w14:textId="77777777" w:rsidR="000E0B74" w:rsidRPr="006627B4" w:rsidRDefault="000E0B74" w:rsidP="000E0B74">
      <w:pPr>
        <w:ind w:firstLine="720"/>
      </w:pPr>
      <w:r w:rsidRPr="002F1BC2">
        <w:rPr>
          <w:i/>
        </w:rPr>
        <w:t>Based on The Australian Government the Treasury data</w:t>
      </w:r>
      <w:r>
        <w:t>.</w:t>
      </w:r>
    </w:p>
    <w:p w14:paraId="3E429388" w14:textId="77777777" w:rsidR="000E0B74" w:rsidRPr="006627B4" w:rsidRDefault="000E0B74" w:rsidP="000E0B74">
      <w:pPr>
        <w:spacing w:before="240"/>
        <w:rPr>
          <w:b/>
        </w:rPr>
      </w:pPr>
      <w:r w:rsidRPr="006627B4">
        <w:rPr>
          <w:b/>
        </w:rPr>
        <w:t>Use of the Coat of Arms</w:t>
      </w:r>
    </w:p>
    <w:p w14:paraId="1B22AF5C" w14:textId="77777777"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hyperlink r:id="rId19" w:history="1">
        <w:r w:rsidRPr="005A283B">
          <w:rPr>
            <w:rStyle w:val="Hyperlink"/>
          </w:rPr>
          <w:t>www.pmc.gov.au/government/commonwealth-coat-arm</w:t>
        </w:r>
      </w:hyperlink>
      <w:r w:rsidRPr="004A7BC2">
        <w:t>s).</w:t>
      </w:r>
    </w:p>
    <w:p w14:paraId="1CAE25EE" w14:textId="77777777" w:rsidR="000E0B74" w:rsidRPr="006627B4" w:rsidRDefault="000E0B74" w:rsidP="000E0B74">
      <w:pPr>
        <w:spacing w:before="240"/>
        <w:rPr>
          <w:b/>
        </w:rPr>
      </w:pPr>
      <w:r>
        <w:rPr>
          <w:b/>
        </w:rPr>
        <w:t>Other u</w:t>
      </w:r>
      <w:r w:rsidRPr="006627B4">
        <w:rPr>
          <w:b/>
        </w:rPr>
        <w:t>ses</w:t>
      </w:r>
    </w:p>
    <w:p w14:paraId="5FF1D634" w14:textId="77777777" w:rsidR="000E0B74" w:rsidRPr="006627B4" w:rsidRDefault="000E0B74" w:rsidP="000E0B74">
      <w:r>
        <w:t>E</w:t>
      </w:r>
      <w:r w:rsidRPr="006627B4">
        <w:t>nquiries regarding this licence and any other use of this document are welcome at:</w:t>
      </w:r>
    </w:p>
    <w:p w14:paraId="5BB37250" w14:textId="77777777" w:rsidR="000E0B74" w:rsidRPr="002F1BC2" w:rsidRDefault="000E0B74" w:rsidP="000E0B74">
      <w:pPr>
        <w:ind w:left="720"/>
        <w:rPr>
          <w:rStyle w:val="Hyperlink"/>
        </w:rPr>
      </w:pPr>
      <w:r w:rsidRPr="006627B4">
        <w:t>Manager</w:t>
      </w:r>
      <w:r w:rsidR="009A668A">
        <w:br/>
      </w:r>
      <w: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20" w:history="1">
        <w:r w:rsidRPr="00B31CFB">
          <w:rPr>
            <w:rStyle w:val="Hyperlink"/>
          </w:rPr>
          <w:t>medialiaison@treasury.gov.au</w:t>
        </w:r>
      </w:hyperlink>
    </w:p>
    <w:p w14:paraId="0E3556B6" w14:textId="77777777" w:rsidR="000E0B74" w:rsidRDefault="000E0B74" w:rsidP="000E0B74">
      <w:pPr>
        <w:pStyle w:val="SingleParagraph"/>
        <w:sectPr w:rsidR="000E0B74" w:rsidSect="00475B7B">
          <w:headerReference w:type="even" r:id="rId21"/>
          <w:headerReference w:type="default" r:id="rId22"/>
          <w:footerReference w:type="even" r:id="rId23"/>
          <w:pgSz w:w="11906" w:h="16838" w:code="9"/>
          <w:pgMar w:top="1418" w:right="1418" w:bottom="1418" w:left="1418" w:header="709" w:footer="709" w:gutter="0"/>
          <w:pgNumType w:fmt="lowerRoman"/>
          <w:cols w:space="708"/>
          <w:titlePg/>
          <w:docGrid w:linePitch="360"/>
        </w:sectPr>
      </w:pPr>
    </w:p>
    <w:p w14:paraId="2F4C29F5" w14:textId="77777777" w:rsidR="000E0B74" w:rsidRPr="00354FBB" w:rsidRDefault="000E0B74" w:rsidP="00354FBB">
      <w:pPr>
        <w:pStyle w:val="Heading1"/>
      </w:pPr>
      <w:bookmarkStart w:id="0" w:name="_Toc16757295"/>
      <w:r w:rsidRPr="00354FBB">
        <w:lastRenderedPageBreak/>
        <w:t>Contents</w:t>
      </w:r>
      <w:bookmarkEnd w:id="0"/>
    </w:p>
    <w:p w14:paraId="17F26B6E" w14:textId="77777777" w:rsidR="00051E45" w:rsidRDefault="00257AEE" w:rsidP="00051E45">
      <w:pPr>
        <w:pStyle w:val="TOC1"/>
        <w:rPr>
          <w:rFonts w:asciiTheme="minorHAnsi" w:eastAsiaTheme="minorEastAsia" w:hAnsiTheme="minorHAnsi" w:cstheme="minorBidi"/>
          <w:color w:val="auto"/>
        </w:rPr>
      </w:pPr>
      <w:r>
        <w:fldChar w:fldCharType="begin"/>
      </w:r>
      <w:r>
        <w:instrText xml:space="preserve"> TOC \o "1-2" \h \z \t "Heading 3,3,Chart Main Heading,3,Table Main Heading,3,Heading 3 Numbered,3,Table Heading Continued,3" </w:instrText>
      </w:r>
      <w:r>
        <w:fldChar w:fldCharType="separate"/>
      </w:r>
    </w:p>
    <w:p w14:paraId="4A10231E" w14:textId="697B0BC0" w:rsidR="00051E45" w:rsidRDefault="00026E8D">
      <w:pPr>
        <w:pStyle w:val="TOC1"/>
        <w:rPr>
          <w:rFonts w:asciiTheme="minorHAnsi" w:eastAsiaTheme="minorEastAsia" w:hAnsiTheme="minorHAnsi" w:cstheme="minorBidi"/>
          <w:b w:val="0"/>
          <w:color w:val="auto"/>
        </w:rPr>
      </w:pPr>
      <w:hyperlink w:anchor="_Toc16757298" w:history="1">
        <w:r w:rsidR="00051E45" w:rsidRPr="00113579">
          <w:rPr>
            <w:rStyle w:val="Hyperlink"/>
          </w:rPr>
          <w:t>FOREWORD</w:t>
        </w:r>
        <w:r w:rsidR="00051E45">
          <w:rPr>
            <w:webHidden/>
          </w:rPr>
          <w:tab/>
        </w:r>
        <w:r w:rsidR="00051E45">
          <w:rPr>
            <w:webHidden/>
          </w:rPr>
          <w:fldChar w:fldCharType="begin"/>
        </w:r>
        <w:r w:rsidR="00051E45">
          <w:rPr>
            <w:webHidden/>
          </w:rPr>
          <w:instrText xml:space="preserve"> PAGEREF _Toc16757298 \h </w:instrText>
        </w:r>
        <w:r w:rsidR="00051E45">
          <w:rPr>
            <w:webHidden/>
          </w:rPr>
        </w:r>
        <w:r w:rsidR="00051E45">
          <w:rPr>
            <w:webHidden/>
          </w:rPr>
          <w:fldChar w:fldCharType="separate"/>
        </w:r>
        <w:r w:rsidR="00236A3F">
          <w:rPr>
            <w:webHidden/>
          </w:rPr>
          <w:t>ii</w:t>
        </w:r>
        <w:r w:rsidR="00051E45">
          <w:rPr>
            <w:webHidden/>
          </w:rPr>
          <w:fldChar w:fldCharType="end"/>
        </w:r>
      </w:hyperlink>
    </w:p>
    <w:p w14:paraId="68200CAA" w14:textId="19034A7B" w:rsidR="00051E45" w:rsidRDefault="00026E8D">
      <w:pPr>
        <w:pStyle w:val="TOC1"/>
        <w:tabs>
          <w:tab w:val="left" w:pos="660"/>
        </w:tabs>
        <w:rPr>
          <w:rFonts w:asciiTheme="minorHAnsi" w:eastAsiaTheme="minorEastAsia" w:hAnsiTheme="minorHAnsi" w:cstheme="minorBidi"/>
          <w:b w:val="0"/>
          <w:color w:val="auto"/>
        </w:rPr>
      </w:pPr>
      <w:hyperlink w:anchor="_Toc16757299" w:history="1">
        <w:r w:rsidR="00051E45" w:rsidRPr="00113579">
          <w:rPr>
            <w:rStyle w:val="Hyperlink"/>
          </w:rPr>
          <w:t>1.</w:t>
        </w:r>
        <w:r w:rsidR="00051E45">
          <w:rPr>
            <w:rFonts w:asciiTheme="minorHAnsi" w:eastAsiaTheme="minorEastAsia" w:hAnsiTheme="minorHAnsi" w:cstheme="minorBidi"/>
            <w:b w:val="0"/>
            <w:color w:val="auto"/>
          </w:rPr>
          <w:tab/>
        </w:r>
        <w:r w:rsidR="00051E45" w:rsidRPr="00113579">
          <w:rPr>
            <w:rStyle w:val="Hyperlink"/>
          </w:rPr>
          <w:t>OVERVIEW OF THE LEVIES</w:t>
        </w:r>
        <w:r w:rsidR="00051E45">
          <w:rPr>
            <w:webHidden/>
          </w:rPr>
          <w:tab/>
        </w:r>
        <w:r w:rsidR="00051E45">
          <w:rPr>
            <w:webHidden/>
          </w:rPr>
          <w:fldChar w:fldCharType="begin"/>
        </w:r>
        <w:r w:rsidR="00051E45">
          <w:rPr>
            <w:webHidden/>
          </w:rPr>
          <w:instrText xml:space="preserve"> PAGEREF _Toc16757299 \h </w:instrText>
        </w:r>
        <w:r w:rsidR="00051E45">
          <w:rPr>
            <w:webHidden/>
          </w:rPr>
        </w:r>
        <w:r w:rsidR="00051E45">
          <w:rPr>
            <w:webHidden/>
          </w:rPr>
          <w:fldChar w:fldCharType="separate"/>
        </w:r>
        <w:r w:rsidR="00236A3F">
          <w:rPr>
            <w:webHidden/>
          </w:rPr>
          <w:t>1</w:t>
        </w:r>
        <w:r w:rsidR="00051E45">
          <w:rPr>
            <w:webHidden/>
          </w:rPr>
          <w:fldChar w:fldCharType="end"/>
        </w:r>
      </w:hyperlink>
    </w:p>
    <w:p w14:paraId="3092BCA3" w14:textId="5C2C847D" w:rsidR="00051E45" w:rsidRDefault="00026E8D">
      <w:pPr>
        <w:pStyle w:val="TOC1"/>
        <w:tabs>
          <w:tab w:val="left" w:pos="660"/>
        </w:tabs>
        <w:rPr>
          <w:rFonts w:asciiTheme="minorHAnsi" w:eastAsiaTheme="minorEastAsia" w:hAnsiTheme="minorHAnsi" w:cstheme="minorBidi"/>
          <w:b w:val="0"/>
          <w:color w:val="auto"/>
        </w:rPr>
      </w:pPr>
      <w:hyperlink w:anchor="_Toc16757301" w:history="1">
        <w:r w:rsidR="00051E45" w:rsidRPr="00113579">
          <w:rPr>
            <w:rStyle w:val="Hyperlink"/>
          </w:rPr>
          <w:t>2.</w:t>
        </w:r>
        <w:r w:rsidR="00051E45">
          <w:rPr>
            <w:rFonts w:asciiTheme="minorHAnsi" w:eastAsiaTheme="minorEastAsia" w:hAnsiTheme="minorHAnsi" w:cstheme="minorBidi"/>
            <w:b w:val="0"/>
            <w:color w:val="auto"/>
          </w:rPr>
          <w:tab/>
        </w:r>
        <w:r w:rsidR="00051E45" w:rsidRPr="00113579">
          <w:rPr>
            <w:rStyle w:val="Hyperlink"/>
          </w:rPr>
          <w:t>RATIONALE FOR THE LEVIES</w:t>
        </w:r>
        <w:r w:rsidR="00051E45">
          <w:rPr>
            <w:webHidden/>
          </w:rPr>
          <w:tab/>
        </w:r>
        <w:r w:rsidR="00051E45">
          <w:rPr>
            <w:webHidden/>
          </w:rPr>
          <w:fldChar w:fldCharType="begin"/>
        </w:r>
        <w:r w:rsidR="00051E45">
          <w:rPr>
            <w:webHidden/>
          </w:rPr>
          <w:instrText xml:space="preserve"> PAGEREF _Toc16757301 \h </w:instrText>
        </w:r>
        <w:r w:rsidR="00051E45">
          <w:rPr>
            <w:webHidden/>
          </w:rPr>
        </w:r>
        <w:r w:rsidR="00051E45">
          <w:rPr>
            <w:webHidden/>
          </w:rPr>
          <w:fldChar w:fldCharType="separate"/>
        </w:r>
        <w:r w:rsidR="00236A3F">
          <w:rPr>
            <w:webHidden/>
          </w:rPr>
          <w:t>2</w:t>
        </w:r>
        <w:r w:rsidR="00051E45">
          <w:rPr>
            <w:webHidden/>
          </w:rPr>
          <w:fldChar w:fldCharType="end"/>
        </w:r>
      </w:hyperlink>
    </w:p>
    <w:p w14:paraId="085B7BC1" w14:textId="5DBC11EE" w:rsidR="00051E45" w:rsidRDefault="00026E8D">
      <w:pPr>
        <w:pStyle w:val="TOC1"/>
        <w:tabs>
          <w:tab w:val="left" w:pos="660"/>
        </w:tabs>
        <w:rPr>
          <w:rFonts w:asciiTheme="minorHAnsi" w:eastAsiaTheme="minorEastAsia" w:hAnsiTheme="minorHAnsi" w:cstheme="minorBidi"/>
          <w:b w:val="0"/>
          <w:color w:val="auto"/>
        </w:rPr>
      </w:pPr>
      <w:hyperlink w:anchor="_Toc16757302" w:history="1">
        <w:r w:rsidR="00051E45" w:rsidRPr="00113579">
          <w:rPr>
            <w:rStyle w:val="Hyperlink"/>
          </w:rPr>
          <w:t>3.</w:t>
        </w:r>
        <w:r w:rsidR="00051E45">
          <w:rPr>
            <w:rFonts w:asciiTheme="minorHAnsi" w:eastAsiaTheme="minorEastAsia" w:hAnsiTheme="minorHAnsi" w:cstheme="minorBidi"/>
            <w:b w:val="0"/>
            <w:color w:val="auto"/>
          </w:rPr>
          <w:tab/>
        </w:r>
        <w:r w:rsidR="00051E45" w:rsidRPr="00113579">
          <w:rPr>
            <w:rStyle w:val="Hyperlink"/>
          </w:rPr>
          <w:t>SIZE AND STRUCTURE OF THE FINANCIAL SECTOR</w:t>
        </w:r>
        <w:r w:rsidR="00051E45">
          <w:rPr>
            <w:webHidden/>
          </w:rPr>
          <w:tab/>
        </w:r>
        <w:r w:rsidR="00051E45">
          <w:rPr>
            <w:webHidden/>
          </w:rPr>
          <w:fldChar w:fldCharType="begin"/>
        </w:r>
        <w:r w:rsidR="00051E45">
          <w:rPr>
            <w:webHidden/>
          </w:rPr>
          <w:instrText xml:space="preserve"> PAGEREF _Toc16757302 \h </w:instrText>
        </w:r>
        <w:r w:rsidR="00051E45">
          <w:rPr>
            <w:webHidden/>
          </w:rPr>
        </w:r>
        <w:r w:rsidR="00051E45">
          <w:rPr>
            <w:webHidden/>
          </w:rPr>
          <w:fldChar w:fldCharType="separate"/>
        </w:r>
        <w:r w:rsidR="00236A3F">
          <w:rPr>
            <w:webHidden/>
          </w:rPr>
          <w:t>3</w:t>
        </w:r>
        <w:r w:rsidR="00051E45">
          <w:rPr>
            <w:webHidden/>
          </w:rPr>
          <w:fldChar w:fldCharType="end"/>
        </w:r>
      </w:hyperlink>
    </w:p>
    <w:p w14:paraId="38A759FB" w14:textId="515B3390" w:rsidR="00051E45" w:rsidRDefault="00026E8D">
      <w:pPr>
        <w:pStyle w:val="TOC1"/>
        <w:tabs>
          <w:tab w:val="left" w:pos="660"/>
        </w:tabs>
        <w:rPr>
          <w:rFonts w:asciiTheme="minorHAnsi" w:eastAsiaTheme="minorEastAsia" w:hAnsiTheme="minorHAnsi" w:cstheme="minorBidi"/>
          <w:b w:val="0"/>
          <w:color w:val="auto"/>
        </w:rPr>
      </w:pPr>
      <w:hyperlink w:anchor="_Toc16757304" w:history="1">
        <w:r w:rsidR="00051E45" w:rsidRPr="00113579">
          <w:rPr>
            <w:rStyle w:val="Hyperlink"/>
          </w:rPr>
          <w:t>4.</w:t>
        </w:r>
        <w:r w:rsidR="00051E45">
          <w:rPr>
            <w:rFonts w:asciiTheme="minorHAnsi" w:eastAsiaTheme="minorEastAsia" w:hAnsiTheme="minorHAnsi" w:cstheme="minorBidi"/>
            <w:b w:val="0"/>
            <w:color w:val="auto"/>
          </w:rPr>
          <w:tab/>
        </w:r>
        <w:r w:rsidR="00051E45" w:rsidRPr="00113579">
          <w:rPr>
            <w:rStyle w:val="Hyperlink"/>
          </w:rPr>
          <w:t>CALCULATION OF THE LEVIES</w:t>
        </w:r>
        <w:r w:rsidR="00051E45">
          <w:rPr>
            <w:webHidden/>
          </w:rPr>
          <w:tab/>
        </w:r>
        <w:r w:rsidR="00051E45">
          <w:rPr>
            <w:webHidden/>
          </w:rPr>
          <w:fldChar w:fldCharType="begin"/>
        </w:r>
        <w:r w:rsidR="00051E45">
          <w:rPr>
            <w:webHidden/>
          </w:rPr>
          <w:instrText xml:space="preserve"> PAGEREF _Toc16757304 \h </w:instrText>
        </w:r>
        <w:r w:rsidR="00051E45">
          <w:rPr>
            <w:webHidden/>
          </w:rPr>
        </w:r>
        <w:r w:rsidR="00051E45">
          <w:rPr>
            <w:webHidden/>
          </w:rPr>
          <w:fldChar w:fldCharType="separate"/>
        </w:r>
        <w:r w:rsidR="00236A3F">
          <w:rPr>
            <w:webHidden/>
          </w:rPr>
          <w:t>4</w:t>
        </w:r>
        <w:r w:rsidR="00051E45">
          <w:rPr>
            <w:webHidden/>
          </w:rPr>
          <w:fldChar w:fldCharType="end"/>
        </w:r>
      </w:hyperlink>
    </w:p>
    <w:p w14:paraId="0733B4E0" w14:textId="57EAEB27" w:rsidR="00051E45" w:rsidRDefault="00026E8D">
      <w:pPr>
        <w:pStyle w:val="TOC1"/>
        <w:tabs>
          <w:tab w:val="left" w:pos="660"/>
        </w:tabs>
        <w:rPr>
          <w:rFonts w:asciiTheme="minorHAnsi" w:eastAsiaTheme="minorEastAsia" w:hAnsiTheme="minorHAnsi" w:cstheme="minorBidi"/>
          <w:b w:val="0"/>
          <w:color w:val="auto"/>
        </w:rPr>
      </w:pPr>
      <w:hyperlink w:anchor="_Toc16757309" w:history="1">
        <w:r w:rsidR="00051E45" w:rsidRPr="00113579">
          <w:rPr>
            <w:rStyle w:val="Hyperlink"/>
          </w:rPr>
          <w:t>5.</w:t>
        </w:r>
        <w:r w:rsidR="00051E45">
          <w:rPr>
            <w:rFonts w:asciiTheme="minorHAnsi" w:eastAsiaTheme="minorEastAsia" w:hAnsiTheme="minorHAnsi" w:cstheme="minorBidi"/>
            <w:b w:val="0"/>
            <w:color w:val="auto"/>
          </w:rPr>
          <w:tab/>
        </w:r>
        <w:r w:rsidR="00051E45" w:rsidRPr="00113579">
          <w:rPr>
            <w:rStyle w:val="Hyperlink"/>
          </w:rPr>
          <w:t>RECENT DEVELOPMENTS IN THE FINANCIAL INSTITUTIONS SUPERVISORY LEVIES</w:t>
        </w:r>
        <w:r w:rsidR="00051E45">
          <w:rPr>
            <w:webHidden/>
          </w:rPr>
          <w:tab/>
        </w:r>
        <w:r w:rsidR="00051E45">
          <w:rPr>
            <w:webHidden/>
          </w:rPr>
          <w:fldChar w:fldCharType="begin"/>
        </w:r>
        <w:r w:rsidR="00051E45">
          <w:rPr>
            <w:webHidden/>
          </w:rPr>
          <w:instrText xml:space="preserve"> PAGEREF _Toc16757309 \h </w:instrText>
        </w:r>
        <w:r w:rsidR="00051E45">
          <w:rPr>
            <w:webHidden/>
          </w:rPr>
        </w:r>
        <w:r w:rsidR="00051E45">
          <w:rPr>
            <w:webHidden/>
          </w:rPr>
          <w:fldChar w:fldCharType="separate"/>
        </w:r>
        <w:r w:rsidR="00236A3F">
          <w:rPr>
            <w:webHidden/>
          </w:rPr>
          <w:t>6</w:t>
        </w:r>
        <w:r w:rsidR="00051E45">
          <w:rPr>
            <w:webHidden/>
          </w:rPr>
          <w:fldChar w:fldCharType="end"/>
        </w:r>
      </w:hyperlink>
    </w:p>
    <w:p w14:paraId="65AE9BD0" w14:textId="070F3F0B" w:rsidR="00051E45" w:rsidRDefault="00026E8D">
      <w:pPr>
        <w:pStyle w:val="TOC1"/>
        <w:tabs>
          <w:tab w:val="left" w:pos="660"/>
        </w:tabs>
        <w:rPr>
          <w:rFonts w:asciiTheme="minorHAnsi" w:eastAsiaTheme="minorEastAsia" w:hAnsiTheme="minorHAnsi" w:cstheme="minorBidi"/>
          <w:b w:val="0"/>
          <w:color w:val="auto"/>
        </w:rPr>
      </w:pPr>
      <w:hyperlink w:anchor="_Toc16757310" w:history="1">
        <w:r w:rsidR="00051E45" w:rsidRPr="00113579">
          <w:rPr>
            <w:rStyle w:val="Hyperlink"/>
          </w:rPr>
          <w:t>6.</w:t>
        </w:r>
        <w:r w:rsidR="00051E45">
          <w:rPr>
            <w:rFonts w:asciiTheme="minorHAnsi" w:eastAsiaTheme="minorEastAsia" w:hAnsiTheme="minorHAnsi" w:cstheme="minorBidi"/>
            <w:b w:val="0"/>
            <w:color w:val="auto"/>
          </w:rPr>
          <w:tab/>
        </w:r>
        <w:r w:rsidR="00051E45" w:rsidRPr="00113579">
          <w:rPr>
            <w:rStyle w:val="Hyperlink"/>
          </w:rPr>
          <w:t>CONSULTATION ISSUES</w:t>
        </w:r>
        <w:r w:rsidR="00051E45">
          <w:rPr>
            <w:webHidden/>
          </w:rPr>
          <w:tab/>
        </w:r>
        <w:r w:rsidR="00051E45">
          <w:rPr>
            <w:webHidden/>
          </w:rPr>
          <w:fldChar w:fldCharType="begin"/>
        </w:r>
        <w:r w:rsidR="00051E45">
          <w:rPr>
            <w:webHidden/>
          </w:rPr>
          <w:instrText xml:space="preserve"> PAGEREF _Toc16757310 \h </w:instrText>
        </w:r>
        <w:r w:rsidR="00051E45">
          <w:rPr>
            <w:webHidden/>
          </w:rPr>
        </w:r>
        <w:r w:rsidR="00051E45">
          <w:rPr>
            <w:webHidden/>
          </w:rPr>
          <w:fldChar w:fldCharType="separate"/>
        </w:r>
        <w:r w:rsidR="00236A3F">
          <w:rPr>
            <w:webHidden/>
          </w:rPr>
          <w:t>7</w:t>
        </w:r>
        <w:r w:rsidR="00051E45">
          <w:rPr>
            <w:webHidden/>
          </w:rPr>
          <w:fldChar w:fldCharType="end"/>
        </w:r>
      </w:hyperlink>
    </w:p>
    <w:p w14:paraId="769C5B5E" w14:textId="77777777" w:rsidR="000E0B74" w:rsidRDefault="00257AEE" w:rsidP="00656356">
      <w:pPr>
        <w:pStyle w:val="SingleParagraph"/>
        <w:tabs>
          <w:tab w:val="right" w:leader="dot" w:pos="9072"/>
        </w:tabs>
        <w:ind w:right="-2"/>
        <w:sectPr w:rsidR="000E0B74" w:rsidSect="00475B7B">
          <w:pgSz w:w="11906" w:h="16838" w:code="9"/>
          <w:pgMar w:top="1418" w:right="1418" w:bottom="1418" w:left="1418" w:header="709" w:footer="709" w:gutter="0"/>
          <w:pgNumType w:fmt="lowerRoman"/>
          <w:cols w:space="708"/>
          <w:titlePg/>
          <w:docGrid w:linePitch="360"/>
        </w:sectPr>
      </w:pPr>
      <w:r>
        <w:rPr>
          <w:noProof/>
          <w:color w:val="004A7F"/>
          <w:szCs w:val="22"/>
        </w:rPr>
        <w:fldChar w:fldCharType="end"/>
      </w:r>
    </w:p>
    <w:p w14:paraId="676A190F" w14:textId="77777777" w:rsidR="000E0B74" w:rsidRDefault="000E0B74" w:rsidP="00354FBB">
      <w:pPr>
        <w:pStyle w:val="Heading1"/>
      </w:pPr>
      <w:bookmarkStart w:id="1" w:name="_Toc16757296"/>
      <w:bookmarkStart w:id="2" w:name="_Toc432067103"/>
      <w:r>
        <w:lastRenderedPageBreak/>
        <w:t>Consultation Process</w:t>
      </w:r>
      <w:bookmarkEnd w:id="1"/>
    </w:p>
    <w:p w14:paraId="6C5054A6" w14:textId="77777777" w:rsidR="000E0B74" w:rsidRDefault="000E0B74" w:rsidP="000E0B74">
      <w:pPr>
        <w:pStyle w:val="Heading2"/>
      </w:pPr>
      <w:bookmarkStart w:id="3" w:name="_Toc16757297"/>
      <w:r>
        <w:t>Request for feedback and comments</w:t>
      </w:r>
      <w:bookmarkEnd w:id="3"/>
    </w:p>
    <w:p w14:paraId="60CC5C57" w14:textId="77777777" w:rsidR="00D865DA" w:rsidRDefault="00D865DA" w:rsidP="00D865DA">
      <w:r>
        <w:t xml:space="preserve">This paper seeks submissions on the design and operation of the Financial Institutions Supervisory Levies. The focus of the discussion paper is on the methodology used for the application of the levies. </w:t>
      </w:r>
    </w:p>
    <w:p w14:paraId="1AFF4F26" w14:textId="77777777" w:rsidR="00D865DA" w:rsidRDefault="00D865DA" w:rsidP="00D865DA">
      <w:r>
        <w:t>While submissions may be lodged electronically or by post, electronic lodgement is preferred. For accessibility reasons, please submit responses sent via email in a Word or RTF format. An additional PDF version may also be submitted.</w:t>
      </w:r>
    </w:p>
    <w:p w14:paraId="4F8C1A9A" w14:textId="77777777" w:rsidR="00D865DA" w:rsidRDefault="00D865DA" w:rsidP="00D865DA">
      <w:r>
        <w:t xml:space="preserve">All information (including name and address details) contained in submissions will be made publicly available on the Treasury website unless you indicate that you would like all or part of your submission to remain in confidence. Automatically generated confidentiality statements in emails do not suffice for this purpose. </w:t>
      </w:r>
    </w:p>
    <w:p w14:paraId="4CE56FD2" w14:textId="77777777" w:rsidR="00D865DA" w:rsidRDefault="00D865DA" w:rsidP="00D865DA">
      <w:r>
        <w:t>Respondents who would like parts of their submission to remain in confidence should provide this information marked up in a separate attachment.</w:t>
      </w:r>
    </w:p>
    <w:p w14:paraId="18FF9805" w14:textId="77777777" w:rsidR="000E0B74" w:rsidRDefault="00D865DA" w:rsidP="00D865DA">
      <w:r>
        <w:t>Legal requirements, such as those imposed by the Freedom of Information Act 1982, may affect the confidentiality of your submission.</w:t>
      </w:r>
    </w:p>
    <w:p w14:paraId="2077AB4B" w14:textId="114265F8" w:rsidR="000E0B74" w:rsidRDefault="000E0B74" w:rsidP="00257AEE">
      <w:pPr>
        <w:pStyle w:val="Heading3noTOC"/>
      </w:pPr>
      <w:r>
        <w:t xml:space="preserve">Closing date for submissions: </w:t>
      </w:r>
      <w:sdt>
        <w:sdtPr>
          <w:rPr>
            <w:rStyle w:val="Heading3Char"/>
          </w:rPr>
          <w:id w:val="1454836312"/>
          <w:placeholder>
            <w:docPart w:val="280EEB3963BB409B8753B63F09650BF4"/>
          </w:placeholder>
          <w:date w:fullDate="2019-09-13T00:00:00Z">
            <w:dateFormat w:val="dd MMMM yyyy"/>
            <w:lid w:val="en-AU"/>
            <w:storeMappedDataAs w:val="dateTime"/>
            <w:calendar w:val="gregorian"/>
          </w:date>
        </w:sdtPr>
        <w:sdtEndPr>
          <w:rPr>
            <w:rStyle w:val="DefaultParagraphFont"/>
            <w:rFonts w:cs="Calibri"/>
          </w:rPr>
        </w:sdtEndPr>
        <w:sdtContent>
          <w:r w:rsidR="00E60CA2">
            <w:rPr>
              <w:rStyle w:val="Heading3Char"/>
            </w:rPr>
            <w:t>13 September 2019</w:t>
          </w:r>
        </w:sdtContent>
      </w:sdt>
    </w:p>
    <w:tbl>
      <w:tblPr>
        <w:tblStyle w:val="TableGrid"/>
        <w:tblW w:w="0" w:type="auto"/>
        <w:tblLook w:val="04A0" w:firstRow="1" w:lastRow="0" w:firstColumn="1" w:lastColumn="0" w:noHBand="0" w:noVBand="1"/>
      </w:tblPr>
      <w:tblGrid>
        <w:gridCol w:w="1515"/>
        <w:gridCol w:w="7555"/>
      </w:tblGrid>
      <w:tr w:rsidR="000E0B74" w:rsidRPr="00051E45" w14:paraId="29272C11" w14:textId="77777777" w:rsidTr="00B85F47">
        <w:tc>
          <w:tcPr>
            <w:tcW w:w="1526" w:type="dxa"/>
            <w:shd w:val="clear" w:color="auto" w:fill="auto"/>
          </w:tcPr>
          <w:p w14:paraId="29F32DEB" w14:textId="77777777" w:rsidR="000E0B74" w:rsidRPr="00051E45" w:rsidRDefault="000E0B74" w:rsidP="0017089D">
            <w:pPr>
              <w:rPr>
                <w:sz w:val="22"/>
                <w:szCs w:val="22"/>
              </w:rPr>
            </w:pPr>
            <w:r w:rsidRPr="00051E45">
              <w:rPr>
                <w:sz w:val="22"/>
                <w:szCs w:val="22"/>
              </w:rPr>
              <w:t>Email</w:t>
            </w:r>
          </w:p>
        </w:tc>
        <w:tc>
          <w:tcPr>
            <w:tcW w:w="7654" w:type="dxa"/>
            <w:shd w:val="clear" w:color="auto" w:fill="auto"/>
          </w:tcPr>
          <w:p w14:paraId="713569C2" w14:textId="75CCBD9B" w:rsidR="000E0B74" w:rsidRPr="00051E45" w:rsidRDefault="00C64B61" w:rsidP="00516785">
            <w:pPr>
              <w:rPr>
                <w:sz w:val="22"/>
                <w:szCs w:val="22"/>
              </w:rPr>
            </w:pPr>
            <w:r>
              <w:rPr>
                <w:rFonts w:cs="Arial"/>
                <w:sz w:val="22"/>
                <w:szCs w:val="22"/>
              </w:rPr>
              <w:t>supervisorylevies@treasury.gov.au</w:t>
            </w:r>
            <w:bookmarkStart w:id="4" w:name="_GoBack"/>
            <w:bookmarkEnd w:id="4"/>
          </w:p>
        </w:tc>
      </w:tr>
      <w:tr w:rsidR="000E0B74" w:rsidRPr="00051E45" w14:paraId="336507A9" w14:textId="77777777" w:rsidTr="00051E45">
        <w:tc>
          <w:tcPr>
            <w:tcW w:w="1526" w:type="dxa"/>
            <w:shd w:val="clear" w:color="auto" w:fill="auto"/>
          </w:tcPr>
          <w:p w14:paraId="5ED253ED" w14:textId="77777777" w:rsidR="000E0B74" w:rsidRPr="00051E45" w:rsidRDefault="000E0B74" w:rsidP="00051E45">
            <w:pPr>
              <w:jc w:val="left"/>
              <w:rPr>
                <w:sz w:val="22"/>
                <w:szCs w:val="22"/>
              </w:rPr>
            </w:pPr>
            <w:r w:rsidRPr="00051E45">
              <w:rPr>
                <w:sz w:val="22"/>
                <w:szCs w:val="22"/>
              </w:rPr>
              <w:t>Mail</w:t>
            </w:r>
          </w:p>
          <w:p w14:paraId="45EA9D70" w14:textId="77777777" w:rsidR="008D7F38" w:rsidRPr="00051E45" w:rsidRDefault="008D7F38" w:rsidP="00051E45">
            <w:pPr>
              <w:jc w:val="left"/>
              <w:rPr>
                <w:sz w:val="22"/>
                <w:szCs w:val="22"/>
              </w:rPr>
            </w:pPr>
          </w:p>
          <w:p w14:paraId="54A6B292" w14:textId="77777777" w:rsidR="008D7F38" w:rsidRPr="00051E45" w:rsidRDefault="008D7F38" w:rsidP="00051E45">
            <w:pPr>
              <w:jc w:val="left"/>
              <w:rPr>
                <w:sz w:val="22"/>
                <w:szCs w:val="22"/>
              </w:rPr>
            </w:pPr>
          </w:p>
        </w:tc>
        <w:tc>
          <w:tcPr>
            <w:tcW w:w="7654" w:type="dxa"/>
            <w:shd w:val="clear" w:color="auto" w:fill="auto"/>
          </w:tcPr>
          <w:p w14:paraId="1A1D5F90" w14:textId="77777777" w:rsidR="00D865DA" w:rsidRPr="00051E45" w:rsidRDefault="00D865DA" w:rsidP="00051E45">
            <w:pPr>
              <w:spacing w:after="0"/>
              <w:jc w:val="left"/>
              <w:rPr>
                <w:sz w:val="22"/>
                <w:szCs w:val="22"/>
              </w:rPr>
            </w:pPr>
            <w:r w:rsidRPr="00051E45">
              <w:rPr>
                <w:sz w:val="22"/>
                <w:szCs w:val="22"/>
              </w:rPr>
              <w:t>Senior Adviser</w:t>
            </w:r>
          </w:p>
          <w:p w14:paraId="73E7C697" w14:textId="77777777" w:rsidR="00D865DA" w:rsidRPr="00051E45" w:rsidRDefault="00D865DA" w:rsidP="00051E45">
            <w:pPr>
              <w:spacing w:before="0" w:after="0"/>
              <w:jc w:val="left"/>
              <w:rPr>
                <w:sz w:val="22"/>
                <w:szCs w:val="22"/>
              </w:rPr>
            </w:pPr>
            <w:r w:rsidRPr="00051E45">
              <w:rPr>
                <w:sz w:val="22"/>
                <w:szCs w:val="22"/>
              </w:rPr>
              <w:t>Banking and Access to Finance</w:t>
            </w:r>
          </w:p>
          <w:p w14:paraId="1DBA804D" w14:textId="77777777" w:rsidR="00D865DA" w:rsidRPr="00051E45" w:rsidRDefault="00D865DA" w:rsidP="00051E45">
            <w:pPr>
              <w:spacing w:before="0" w:after="0"/>
              <w:jc w:val="left"/>
              <w:rPr>
                <w:sz w:val="22"/>
                <w:szCs w:val="22"/>
              </w:rPr>
            </w:pPr>
            <w:r w:rsidRPr="00051E45">
              <w:rPr>
                <w:sz w:val="22"/>
                <w:szCs w:val="22"/>
              </w:rPr>
              <w:t>Financial System Division</w:t>
            </w:r>
          </w:p>
          <w:p w14:paraId="16D8BDC0" w14:textId="77777777" w:rsidR="00D865DA" w:rsidRPr="00051E45" w:rsidRDefault="00D865DA" w:rsidP="00051E45">
            <w:pPr>
              <w:spacing w:before="0" w:after="0"/>
              <w:jc w:val="left"/>
              <w:rPr>
                <w:sz w:val="22"/>
                <w:szCs w:val="22"/>
              </w:rPr>
            </w:pPr>
            <w:r w:rsidRPr="00051E45">
              <w:rPr>
                <w:sz w:val="22"/>
                <w:szCs w:val="22"/>
              </w:rPr>
              <w:t>The Treasury</w:t>
            </w:r>
          </w:p>
          <w:p w14:paraId="13F435EF" w14:textId="77777777" w:rsidR="00D865DA" w:rsidRPr="00051E45" w:rsidRDefault="00D865DA" w:rsidP="00051E45">
            <w:pPr>
              <w:spacing w:before="0" w:after="0"/>
              <w:jc w:val="left"/>
              <w:rPr>
                <w:sz w:val="22"/>
                <w:szCs w:val="22"/>
              </w:rPr>
            </w:pPr>
            <w:r w:rsidRPr="00051E45">
              <w:rPr>
                <w:sz w:val="22"/>
                <w:szCs w:val="22"/>
              </w:rPr>
              <w:t>Langton Crescent</w:t>
            </w:r>
          </w:p>
          <w:p w14:paraId="1AC5DABB" w14:textId="77777777" w:rsidR="000E0B74" w:rsidRPr="00051E45" w:rsidRDefault="00D865DA" w:rsidP="00051E45">
            <w:pPr>
              <w:spacing w:before="0"/>
              <w:jc w:val="left"/>
              <w:rPr>
                <w:sz w:val="22"/>
                <w:szCs w:val="22"/>
              </w:rPr>
            </w:pPr>
            <w:r w:rsidRPr="00051E45">
              <w:rPr>
                <w:sz w:val="22"/>
                <w:szCs w:val="22"/>
              </w:rPr>
              <w:t>PARKES ACT 2600</w:t>
            </w:r>
          </w:p>
        </w:tc>
      </w:tr>
      <w:tr w:rsidR="000E0B74" w:rsidRPr="00051E45" w14:paraId="7DFCF917" w14:textId="77777777" w:rsidTr="00B85F47">
        <w:tc>
          <w:tcPr>
            <w:tcW w:w="1526" w:type="dxa"/>
            <w:shd w:val="clear" w:color="auto" w:fill="auto"/>
          </w:tcPr>
          <w:p w14:paraId="45E39C0F" w14:textId="77777777" w:rsidR="000E0B74" w:rsidRPr="00051E45" w:rsidRDefault="000E0B74" w:rsidP="0017089D">
            <w:pPr>
              <w:rPr>
                <w:sz w:val="22"/>
                <w:szCs w:val="22"/>
              </w:rPr>
            </w:pPr>
            <w:r w:rsidRPr="00051E45">
              <w:rPr>
                <w:sz w:val="22"/>
                <w:szCs w:val="22"/>
              </w:rPr>
              <w:t>Enquiries</w:t>
            </w:r>
          </w:p>
        </w:tc>
        <w:tc>
          <w:tcPr>
            <w:tcW w:w="7654" w:type="dxa"/>
            <w:shd w:val="clear" w:color="auto" w:fill="auto"/>
          </w:tcPr>
          <w:p w14:paraId="47E6D818" w14:textId="77777777" w:rsidR="000E0B74" w:rsidRPr="00051E45" w:rsidRDefault="000E0B74" w:rsidP="0017089D">
            <w:pPr>
              <w:rPr>
                <w:sz w:val="22"/>
                <w:szCs w:val="22"/>
              </w:rPr>
            </w:pPr>
            <w:r w:rsidRPr="00051E45">
              <w:rPr>
                <w:rFonts w:cs="Arial"/>
                <w:sz w:val="22"/>
                <w:szCs w:val="22"/>
              </w:rPr>
              <w:t xml:space="preserve">Enquiries can be initially directed to </w:t>
            </w:r>
            <w:r w:rsidR="00D865DA" w:rsidRPr="00051E45">
              <w:rPr>
                <w:rFonts w:cs="Arial"/>
                <w:sz w:val="22"/>
                <w:szCs w:val="22"/>
              </w:rPr>
              <w:t>Claire McKay</w:t>
            </w:r>
          </w:p>
        </w:tc>
      </w:tr>
      <w:tr w:rsidR="000E0B74" w:rsidRPr="00051E45" w14:paraId="6B0F4FCD" w14:textId="77777777" w:rsidTr="00B85F47">
        <w:tc>
          <w:tcPr>
            <w:tcW w:w="1526" w:type="dxa"/>
            <w:shd w:val="clear" w:color="auto" w:fill="auto"/>
          </w:tcPr>
          <w:p w14:paraId="6CECE888" w14:textId="77777777" w:rsidR="000E0B74" w:rsidRPr="00051E45" w:rsidRDefault="000E0B74" w:rsidP="0017089D">
            <w:pPr>
              <w:rPr>
                <w:sz w:val="22"/>
                <w:szCs w:val="22"/>
              </w:rPr>
            </w:pPr>
            <w:r w:rsidRPr="00051E45">
              <w:rPr>
                <w:sz w:val="22"/>
                <w:szCs w:val="22"/>
              </w:rPr>
              <w:t>Phone</w:t>
            </w:r>
          </w:p>
        </w:tc>
        <w:tc>
          <w:tcPr>
            <w:tcW w:w="7654" w:type="dxa"/>
            <w:shd w:val="clear" w:color="auto" w:fill="auto"/>
          </w:tcPr>
          <w:p w14:paraId="57A188F0" w14:textId="77777777" w:rsidR="000E0B74" w:rsidRPr="00051E45" w:rsidRDefault="000E0B74" w:rsidP="00051E45">
            <w:pPr>
              <w:rPr>
                <w:sz w:val="22"/>
                <w:szCs w:val="22"/>
              </w:rPr>
            </w:pPr>
            <w:r w:rsidRPr="00051E45">
              <w:rPr>
                <w:rFonts w:cs="Arial"/>
                <w:sz w:val="22"/>
                <w:szCs w:val="22"/>
              </w:rPr>
              <w:t xml:space="preserve">02 6263 </w:t>
            </w:r>
            <w:r w:rsidR="00D865DA" w:rsidRPr="00051E45">
              <w:rPr>
                <w:rFonts w:cs="Arial"/>
                <w:sz w:val="22"/>
                <w:szCs w:val="22"/>
              </w:rPr>
              <w:t>2124</w:t>
            </w:r>
          </w:p>
        </w:tc>
      </w:tr>
      <w:bookmarkEnd w:id="2"/>
    </w:tbl>
    <w:p w14:paraId="45756BE6" w14:textId="77777777" w:rsidR="00D865DA" w:rsidRDefault="00D865DA">
      <w:pPr>
        <w:spacing w:before="0" w:after="160" w:line="259" w:lineRule="auto"/>
      </w:pPr>
    </w:p>
    <w:p w14:paraId="44B93D48" w14:textId="77777777" w:rsidR="00E10D39" w:rsidRDefault="00E10D39">
      <w:pPr>
        <w:spacing w:before="0" w:after="160" w:line="259" w:lineRule="auto"/>
        <w:rPr>
          <w:rFonts w:cs="Arial"/>
          <w:color w:val="004A7F"/>
          <w:kern w:val="32"/>
          <w:sz w:val="48"/>
          <w:szCs w:val="36"/>
        </w:rPr>
      </w:pPr>
      <w:r>
        <w:br w:type="page"/>
      </w:r>
    </w:p>
    <w:p w14:paraId="1170CE1F" w14:textId="77777777" w:rsidR="00D865DA" w:rsidRDefault="00D865DA" w:rsidP="00D865DA">
      <w:pPr>
        <w:pStyle w:val="Heading1"/>
      </w:pPr>
      <w:bookmarkStart w:id="5" w:name="_Toc16757298"/>
      <w:r>
        <w:lastRenderedPageBreak/>
        <w:t>FOREWORD</w:t>
      </w:r>
      <w:bookmarkEnd w:id="5"/>
    </w:p>
    <w:p w14:paraId="2FA0425F" w14:textId="77777777" w:rsidR="00D865DA" w:rsidRDefault="00D865DA" w:rsidP="00D865DA">
      <w:r>
        <w:t>In 1998, the Government introduced levy setting arrangements to recover the majority of the operational costs of the Australian Prudential Regulation Authority (APRA) and other specific costs incurred by certain Commonwealth agencies and departments. Since the introduction of the Financial Institutions Supervisory Levies Collection Act 1998, the scope of the levies imposition has expanded to include a broader range of activities relating to the financial services sector. Information on how the levies are used to fund various agencies and the activities they undertake is provided in this paper.</w:t>
      </w:r>
    </w:p>
    <w:p w14:paraId="321EF873" w14:textId="77777777" w:rsidR="00D865DA" w:rsidRDefault="00D865DA" w:rsidP="00D865DA">
      <w:r>
        <w:t>Additional funding has been provided to APRA over the last few years. In particular, much of this funding came via the 2018-19 MYEFO and 2019-20 Budget. This funding allows APRA to, amongst other things, increase the number of frontline supervisors for the largest and most complex financial institutions, and enhance APRA’s ability to identify new and emerging risk areas, such as governance, culture and accountability as well as cyber risks. In prior budgets, APRA was provided funding to undertake new regulatory activities to support a stable and competitive financial system; improve ADI and executive accountability; and develop new data collection and dissemination systems. APRA also assumed supervisory responsibilities for private health insurers in 2015.</w:t>
      </w:r>
    </w:p>
    <w:p w14:paraId="692E279F" w14:textId="77777777" w:rsidR="00D865DA" w:rsidRDefault="00D865DA" w:rsidP="00D865DA">
      <w:r>
        <w:t>The purpose of this paper is to provide industry with an opportunity to comment on the design and operation of the levies framework. This discussion paper is separate to the annual ‘Proposed Financial Institutions Supervisory Levies’ paper released each year.</w:t>
      </w:r>
      <w:r w:rsidR="00051E45">
        <w:rPr>
          <w:rStyle w:val="FootnoteReference"/>
        </w:rPr>
        <w:footnoteReference w:id="2"/>
      </w:r>
      <w:r>
        <w:t xml:space="preserve"> That paper generally focuses on how the levies for a particular year are calculated, whilst this discussion paper focuses on the methodology that is applied in calculating the levies. </w:t>
      </w:r>
    </w:p>
    <w:p w14:paraId="2AB2E26B" w14:textId="77777777" w:rsidR="00D865DA" w:rsidRDefault="00D865DA" w:rsidP="00D865DA">
      <w:r>
        <w:t xml:space="preserve">Comments received will inform future consideration on the Financial Institutions Supervisory Levies and changes to legislation that underpin the levies framework. </w:t>
      </w:r>
    </w:p>
    <w:p w14:paraId="2BA4ECAD" w14:textId="77777777" w:rsidR="00D865DA" w:rsidRDefault="00D865DA" w:rsidP="00D865DA"/>
    <w:p w14:paraId="71187F76" w14:textId="77777777" w:rsidR="00D865DA" w:rsidRDefault="00D865DA" w:rsidP="00D865DA"/>
    <w:p w14:paraId="53DED12B" w14:textId="77777777" w:rsidR="00D865DA" w:rsidRPr="00236A3F" w:rsidRDefault="00D865DA" w:rsidP="00D865DA">
      <w:pPr>
        <w:rPr>
          <w:b/>
        </w:rPr>
      </w:pPr>
      <w:r w:rsidRPr="00236A3F">
        <w:rPr>
          <w:b/>
        </w:rPr>
        <w:t>The Hon Josh Frydenberg MP</w:t>
      </w:r>
    </w:p>
    <w:p w14:paraId="260B4FD7" w14:textId="77777777" w:rsidR="00D865DA" w:rsidRPr="00236A3F" w:rsidRDefault="00D865DA" w:rsidP="00D865DA">
      <w:pPr>
        <w:rPr>
          <w:b/>
        </w:rPr>
      </w:pPr>
      <w:r w:rsidRPr="00236A3F">
        <w:rPr>
          <w:b/>
        </w:rPr>
        <w:t>Treasurer</w:t>
      </w:r>
    </w:p>
    <w:p w14:paraId="1B02B031" w14:textId="77777777" w:rsidR="00D865DA" w:rsidRPr="00236A3F" w:rsidRDefault="00D865DA" w:rsidP="00D865DA">
      <w:pPr>
        <w:rPr>
          <w:b/>
        </w:rPr>
        <w:sectPr w:rsidR="00D865DA" w:rsidRPr="00236A3F" w:rsidSect="00236A3F">
          <w:headerReference w:type="even" r:id="rId24"/>
          <w:headerReference w:type="default" r:id="rId25"/>
          <w:footerReference w:type="even" r:id="rId26"/>
          <w:footerReference w:type="default" r:id="rId27"/>
          <w:headerReference w:type="first" r:id="rId28"/>
          <w:footerReference w:type="first" r:id="rId29"/>
          <w:pgSz w:w="11906" w:h="16838" w:code="9"/>
          <w:pgMar w:top="1418" w:right="1418" w:bottom="1418" w:left="1418" w:header="709" w:footer="709" w:gutter="0"/>
          <w:pgNumType w:fmt="lowerRoman" w:start="1"/>
          <w:cols w:space="708"/>
          <w:docGrid w:linePitch="360"/>
        </w:sectPr>
      </w:pPr>
    </w:p>
    <w:p w14:paraId="512E0D69" w14:textId="77777777" w:rsidR="00D865DA" w:rsidRDefault="00D865DA" w:rsidP="00D865DA">
      <w:pPr>
        <w:pStyle w:val="Heading1Numbered"/>
      </w:pPr>
      <w:bookmarkStart w:id="6" w:name="_Toc16757299"/>
      <w:r>
        <w:lastRenderedPageBreak/>
        <w:t>OVERVIEW OF THE LEVIES</w:t>
      </w:r>
      <w:bookmarkEnd w:id="6"/>
    </w:p>
    <w:p w14:paraId="6EC5452A" w14:textId="77777777" w:rsidR="00D865DA" w:rsidRDefault="00D865DA" w:rsidP="00D865DA">
      <w:r>
        <w:t>The Government funds APRA and the cost of additional regulatory functions in the financial system through levies on the APRA regulated financial services sector.</w:t>
      </w:r>
    </w:p>
    <w:p w14:paraId="20FB5C2A" w14:textId="77777777" w:rsidR="00D865DA" w:rsidRDefault="00D865DA" w:rsidP="00D865DA">
      <w:r>
        <w:t>The legislative framework is established by the Financial Institutions Supervisory Levies Collection Act 1998, which prescribes the timing of payment and the collection of the levies. A suite of imposition Acts impose levies on institutions operating in the APRA regulated financial services sector. These Acts largely set a CPI indexed statutory upper limit and provide for the Minister to make a determination as to certain matters such as the levy percentages for the ‘restricted’ and ‘unrestricted’ levy components (refer to sec. 4.1)</w:t>
      </w:r>
      <w:r w:rsidR="00051E45">
        <w:rPr>
          <w:rStyle w:val="FootnoteReference"/>
        </w:rPr>
        <w:footnoteReference w:id="3"/>
      </w:r>
      <w:r>
        <w:t>, the minimum and maximum levy amounts applicable to the restricted levy component, and the date at which a regulated institution’s levy base is to be calculated.</w:t>
      </w:r>
    </w:p>
    <w:p w14:paraId="660B6D21" w14:textId="77777777" w:rsidR="00D865DA" w:rsidRDefault="00D865DA" w:rsidP="00D865DA">
      <w:r>
        <w:t>Under s50(1) of the Australian Prudential Regulation Authority Act 1998 (APRA Act), APRA is authorised to collect revenue to cost recover expenses incurred by other Commonwealth entities, including the Australian Securities and Investments Commission (ASIC), the Australian Taxation Office (ATO), the Australian Consumer and Competition Commission (ACCC), the Gateway Network Governance Body Ltd (GNGB) and in 2019-20 only, the Treasury. These expenses relate to:</w:t>
      </w:r>
    </w:p>
    <w:p w14:paraId="5F667BD4" w14:textId="77777777" w:rsidR="00D865DA" w:rsidRDefault="00D865DA" w:rsidP="00D865DA">
      <w:pPr>
        <w:pStyle w:val="Bullet"/>
      </w:pPr>
      <w:r>
        <w:t xml:space="preserve">certain market integrity and consumer protection functions undertaken by ASIC and the ATO; </w:t>
      </w:r>
    </w:p>
    <w:p w14:paraId="79A962FB" w14:textId="3B4BA1FF" w:rsidR="00D865DA" w:rsidRDefault="00D865DA" w:rsidP="00D865DA">
      <w:pPr>
        <w:pStyle w:val="Bullet"/>
      </w:pPr>
      <w:r>
        <w:t>processing claims for the early release of superannuation benefits on compassionate grounds undertaken by the ATO;</w:t>
      </w:r>
      <w:r w:rsidR="00023FBB">
        <w:rPr>
          <w:rStyle w:val="FootnoteReference"/>
        </w:rPr>
        <w:footnoteReference w:id="4"/>
      </w:r>
      <w:r>
        <w:t xml:space="preserve"> </w:t>
      </w:r>
    </w:p>
    <w:p w14:paraId="724737C2" w14:textId="77777777" w:rsidR="00D865DA" w:rsidRDefault="00D865DA" w:rsidP="00D865DA">
      <w:pPr>
        <w:pStyle w:val="Bullet"/>
      </w:pPr>
      <w:r>
        <w:t>funding for the Superannuation Complaints Tribunal (ASIC);</w:t>
      </w:r>
    </w:p>
    <w:p w14:paraId="313301FE" w14:textId="77777777" w:rsidR="00D865DA" w:rsidRDefault="00D865DA" w:rsidP="00D865DA">
      <w:pPr>
        <w:pStyle w:val="Bullet"/>
      </w:pPr>
      <w:r>
        <w:tab/>
        <w:t>the establishment of a dedicated analysis and advisory function – the Financial Services Competition Branch (FSCB) – to investigate foreign exchange and specific competition issues in Australia’s financial system (ACCC);</w:t>
      </w:r>
    </w:p>
    <w:p w14:paraId="0CE03223" w14:textId="77777777" w:rsidR="00D865DA" w:rsidRDefault="00D865DA" w:rsidP="00D865DA">
      <w:pPr>
        <w:pStyle w:val="Bullet"/>
      </w:pPr>
      <w:r>
        <w:t>governing and maintaining the superannuation transaction network (GNGB); and</w:t>
      </w:r>
    </w:p>
    <w:p w14:paraId="0FF0196C" w14:textId="77777777" w:rsidR="00D865DA" w:rsidRDefault="00D865DA" w:rsidP="00D865DA">
      <w:pPr>
        <w:pStyle w:val="Bullet"/>
      </w:pPr>
      <w:r>
        <w:t>in 2019-20 only, the recovery of costs incurred by The Treasury in conducting a Capability Review of APRA in 2018-19.</w:t>
      </w:r>
    </w:p>
    <w:p w14:paraId="090BFA43" w14:textId="77777777" w:rsidR="00D865DA" w:rsidRDefault="00D865DA" w:rsidP="00D865DA">
      <w:r>
        <w:t xml:space="preserve">A breakdown of the levies by agency/program is set out in Table 1 across the last seven financial years. </w:t>
      </w:r>
    </w:p>
    <w:p w14:paraId="2B8C8E65" w14:textId="77777777" w:rsidR="00D865DA" w:rsidRDefault="00D865DA" w:rsidP="00D865DA"/>
    <w:p w14:paraId="4A3F790E" w14:textId="77777777" w:rsidR="00D865DA" w:rsidRDefault="00D865DA" w:rsidP="00D734C5">
      <w:pPr>
        <w:pStyle w:val="TableMainHeading"/>
      </w:pPr>
      <w:bookmarkStart w:id="7" w:name="_Toc16757300"/>
      <w:r>
        <w:lastRenderedPageBreak/>
        <w:t>Table 1: Financial Institutions Supervisory Levies funding by agency ($’million)</w:t>
      </w:r>
      <w:bookmarkEnd w:id="7"/>
    </w:p>
    <w:tbl>
      <w:tblPr>
        <w:tblW w:w="4981" w:type="pct"/>
        <w:tblLayout w:type="fixed"/>
        <w:tblLook w:val="04A0" w:firstRow="1" w:lastRow="0" w:firstColumn="1" w:lastColumn="0" w:noHBand="0" w:noVBand="1"/>
      </w:tblPr>
      <w:tblGrid>
        <w:gridCol w:w="2278"/>
        <w:gridCol w:w="964"/>
        <w:gridCol w:w="964"/>
        <w:gridCol w:w="964"/>
        <w:gridCol w:w="964"/>
        <w:gridCol w:w="964"/>
        <w:gridCol w:w="964"/>
        <w:gridCol w:w="964"/>
      </w:tblGrid>
      <w:tr w:rsidR="001A5494" w:rsidRPr="00B00A98" w14:paraId="113AFB4D" w14:textId="77777777" w:rsidTr="001A5494">
        <w:trPr>
          <w:trHeight w:val="300"/>
        </w:trPr>
        <w:tc>
          <w:tcPr>
            <w:tcW w:w="1262" w:type="pct"/>
            <w:tcBorders>
              <w:top w:val="single" w:sz="4" w:space="0" w:color="auto"/>
              <w:left w:val="single" w:sz="4" w:space="0" w:color="auto"/>
              <w:bottom w:val="single" w:sz="4" w:space="0" w:color="auto"/>
              <w:right w:val="nil"/>
            </w:tcBorders>
            <w:shd w:val="clear" w:color="000000" w:fill="FFFFFF"/>
            <w:noWrap/>
            <w:vAlign w:val="center"/>
            <w:hideMark/>
          </w:tcPr>
          <w:p w14:paraId="0013E90E" w14:textId="77777777" w:rsidR="00D734C5" w:rsidRPr="00270EEE" w:rsidRDefault="00D734C5" w:rsidP="007D4769">
            <w:pPr>
              <w:pStyle w:val="TableColumnHeadingLeft"/>
              <w:keepNext/>
              <w:keepLines/>
            </w:pPr>
            <w:r>
              <w:t>Agency</w:t>
            </w:r>
          </w:p>
        </w:tc>
        <w:tc>
          <w:tcPr>
            <w:tcW w:w="534"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E05ED5" w14:textId="77777777" w:rsidR="00D734C5" w:rsidRPr="005B1867" w:rsidRDefault="00D734C5" w:rsidP="007D4769">
            <w:pPr>
              <w:pStyle w:val="TableColumnHeadingRight"/>
              <w:keepNext/>
              <w:keepLines/>
            </w:pPr>
            <w:r w:rsidRPr="005B1867">
              <w:t xml:space="preserve">FY </w:t>
            </w:r>
            <w:r>
              <w:t>13/14</w:t>
            </w:r>
          </w:p>
        </w:tc>
        <w:tc>
          <w:tcPr>
            <w:tcW w:w="534" w:type="pct"/>
            <w:tcBorders>
              <w:top w:val="single" w:sz="4" w:space="0" w:color="auto"/>
              <w:left w:val="nil"/>
              <w:bottom w:val="single" w:sz="4" w:space="0" w:color="auto"/>
              <w:right w:val="single" w:sz="4" w:space="0" w:color="auto"/>
            </w:tcBorders>
            <w:shd w:val="clear" w:color="000000" w:fill="FFFFFF"/>
            <w:noWrap/>
            <w:vAlign w:val="bottom"/>
            <w:hideMark/>
          </w:tcPr>
          <w:p w14:paraId="38A2D351" w14:textId="77777777" w:rsidR="00D734C5" w:rsidRPr="005B1867" w:rsidRDefault="00D734C5" w:rsidP="007D4769">
            <w:pPr>
              <w:pStyle w:val="TableColumnHeadingRight"/>
              <w:keepNext/>
              <w:keepLines/>
            </w:pPr>
            <w:r w:rsidRPr="005B1867">
              <w:t xml:space="preserve">FY </w:t>
            </w:r>
            <w:r>
              <w:t>14/15</w:t>
            </w:r>
          </w:p>
        </w:tc>
        <w:tc>
          <w:tcPr>
            <w:tcW w:w="534" w:type="pct"/>
            <w:tcBorders>
              <w:top w:val="single" w:sz="4" w:space="0" w:color="auto"/>
              <w:left w:val="nil"/>
              <w:bottom w:val="single" w:sz="4" w:space="0" w:color="auto"/>
              <w:right w:val="single" w:sz="4" w:space="0" w:color="auto"/>
            </w:tcBorders>
            <w:shd w:val="clear" w:color="000000" w:fill="FFFFFF"/>
            <w:noWrap/>
            <w:vAlign w:val="bottom"/>
            <w:hideMark/>
          </w:tcPr>
          <w:p w14:paraId="5991ABED" w14:textId="77777777" w:rsidR="00D734C5" w:rsidRPr="005B1867" w:rsidRDefault="00D734C5" w:rsidP="007D4769">
            <w:pPr>
              <w:pStyle w:val="TableColumnHeadingRight"/>
              <w:keepNext/>
              <w:keepLines/>
            </w:pPr>
            <w:r w:rsidRPr="005B1867">
              <w:t xml:space="preserve">FY </w:t>
            </w:r>
            <w:r>
              <w:t>15/16</w:t>
            </w:r>
          </w:p>
        </w:tc>
        <w:tc>
          <w:tcPr>
            <w:tcW w:w="534" w:type="pct"/>
            <w:tcBorders>
              <w:top w:val="single" w:sz="4" w:space="0" w:color="auto"/>
              <w:left w:val="nil"/>
              <w:bottom w:val="single" w:sz="4" w:space="0" w:color="auto"/>
              <w:right w:val="single" w:sz="4" w:space="0" w:color="auto"/>
            </w:tcBorders>
            <w:shd w:val="clear" w:color="000000" w:fill="FFFFFF"/>
            <w:noWrap/>
            <w:vAlign w:val="bottom"/>
            <w:hideMark/>
          </w:tcPr>
          <w:p w14:paraId="447D8122" w14:textId="77777777" w:rsidR="00D734C5" w:rsidRPr="005B1867" w:rsidRDefault="00D734C5" w:rsidP="007D4769">
            <w:pPr>
              <w:pStyle w:val="TableColumnHeadingRight"/>
              <w:keepNext/>
              <w:keepLines/>
            </w:pPr>
            <w:r w:rsidRPr="005B1867">
              <w:t xml:space="preserve">FY </w:t>
            </w:r>
            <w:r>
              <w:t>16/17</w:t>
            </w:r>
          </w:p>
        </w:tc>
        <w:tc>
          <w:tcPr>
            <w:tcW w:w="534" w:type="pct"/>
            <w:tcBorders>
              <w:top w:val="single" w:sz="4" w:space="0" w:color="auto"/>
              <w:left w:val="nil"/>
              <w:bottom w:val="single" w:sz="4" w:space="0" w:color="auto"/>
              <w:right w:val="single" w:sz="4" w:space="0" w:color="auto"/>
            </w:tcBorders>
            <w:shd w:val="clear" w:color="000000" w:fill="FFFFFF"/>
            <w:noWrap/>
            <w:vAlign w:val="bottom"/>
            <w:hideMark/>
          </w:tcPr>
          <w:p w14:paraId="1DCFCD9F" w14:textId="77777777" w:rsidR="00D734C5" w:rsidRPr="005B1867" w:rsidRDefault="00D734C5" w:rsidP="007D4769">
            <w:pPr>
              <w:pStyle w:val="TableColumnHeadingRight"/>
              <w:keepNext/>
              <w:keepLines/>
            </w:pPr>
            <w:r w:rsidRPr="005B1867">
              <w:t xml:space="preserve">FY </w:t>
            </w:r>
            <w:r>
              <w:t>17/18</w:t>
            </w:r>
          </w:p>
        </w:tc>
        <w:tc>
          <w:tcPr>
            <w:tcW w:w="534" w:type="pct"/>
            <w:tcBorders>
              <w:top w:val="single" w:sz="4" w:space="0" w:color="auto"/>
              <w:left w:val="nil"/>
              <w:bottom w:val="single" w:sz="4" w:space="0" w:color="auto"/>
              <w:right w:val="single" w:sz="4" w:space="0" w:color="auto"/>
            </w:tcBorders>
            <w:shd w:val="clear" w:color="000000" w:fill="FFFFFF"/>
            <w:noWrap/>
            <w:vAlign w:val="bottom"/>
            <w:hideMark/>
          </w:tcPr>
          <w:p w14:paraId="480FFF30" w14:textId="77777777" w:rsidR="00D734C5" w:rsidRPr="005B1867" w:rsidRDefault="00D734C5" w:rsidP="007D4769">
            <w:pPr>
              <w:pStyle w:val="TableColumnHeadingRight"/>
              <w:keepNext/>
              <w:keepLines/>
            </w:pPr>
            <w:r w:rsidRPr="005B1867">
              <w:t xml:space="preserve">FY </w:t>
            </w:r>
            <w:r>
              <w:t>18/19</w:t>
            </w:r>
          </w:p>
        </w:tc>
        <w:tc>
          <w:tcPr>
            <w:tcW w:w="534" w:type="pct"/>
            <w:tcBorders>
              <w:top w:val="single" w:sz="4" w:space="0" w:color="auto"/>
              <w:left w:val="nil"/>
              <w:bottom w:val="single" w:sz="4" w:space="0" w:color="auto"/>
              <w:right w:val="single" w:sz="4" w:space="0" w:color="auto"/>
            </w:tcBorders>
            <w:shd w:val="clear" w:color="000000" w:fill="FFFFFF"/>
            <w:noWrap/>
            <w:vAlign w:val="bottom"/>
            <w:hideMark/>
          </w:tcPr>
          <w:p w14:paraId="28BDB7A5" w14:textId="77777777" w:rsidR="00D734C5" w:rsidRPr="005B1867" w:rsidRDefault="00D734C5" w:rsidP="007D4769">
            <w:pPr>
              <w:pStyle w:val="TableColumnHeadingRight"/>
              <w:keepNext/>
              <w:keepLines/>
            </w:pPr>
            <w:r w:rsidRPr="005B1867">
              <w:t xml:space="preserve">FY </w:t>
            </w:r>
            <w:r>
              <w:t>19/20</w:t>
            </w:r>
          </w:p>
        </w:tc>
      </w:tr>
      <w:tr w:rsidR="001A5494" w:rsidRPr="00B00A98" w14:paraId="6C5E0A9D" w14:textId="77777777" w:rsidTr="001A5494">
        <w:trPr>
          <w:trHeight w:val="300"/>
        </w:trPr>
        <w:tc>
          <w:tcPr>
            <w:tcW w:w="1262" w:type="pct"/>
            <w:tcBorders>
              <w:top w:val="single" w:sz="4" w:space="0" w:color="auto"/>
              <w:left w:val="single" w:sz="4" w:space="0" w:color="auto"/>
              <w:bottom w:val="nil"/>
              <w:right w:val="nil"/>
            </w:tcBorders>
            <w:shd w:val="clear" w:color="000000" w:fill="FFFFFF"/>
            <w:noWrap/>
            <w:vAlign w:val="bottom"/>
            <w:hideMark/>
          </w:tcPr>
          <w:p w14:paraId="1EC781F5" w14:textId="77777777" w:rsidR="00D734C5" w:rsidRPr="005B1867" w:rsidRDefault="00D734C5" w:rsidP="007D4769">
            <w:pPr>
              <w:pStyle w:val="TableTextLeft"/>
              <w:keepNext/>
              <w:keepLines/>
            </w:pPr>
            <w:r w:rsidRPr="005B1867">
              <w:t xml:space="preserve">APRA </w:t>
            </w:r>
          </w:p>
        </w:tc>
        <w:tc>
          <w:tcPr>
            <w:tcW w:w="534" w:type="pct"/>
            <w:tcBorders>
              <w:top w:val="single" w:sz="4" w:space="0" w:color="auto"/>
              <w:left w:val="single" w:sz="4" w:space="0" w:color="auto"/>
              <w:bottom w:val="nil"/>
              <w:right w:val="single" w:sz="4" w:space="0" w:color="auto"/>
            </w:tcBorders>
            <w:shd w:val="clear" w:color="000000" w:fill="FFFFFF"/>
            <w:noWrap/>
            <w:vAlign w:val="center"/>
            <w:hideMark/>
          </w:tcPr>
          <w:p w14:paraId="66D14455" w14:textId="77777777" w:rsidR="00D734C5" w:rsidRPr="005B1867" w:rsidRDefault="00D734C5" w:rsidP="007D4769">
            <w:pPr>
              <w:pStyle w:val="TableTextRight"/>
              <w:keepNext/>
              <w:keepLines/>
            </w:pPr>
            <w:r>
              <w:rPr>
                <w:rFonts w:cs="Calibri"/>
                <w:szCs w:val="16"/>
              </w:rPr>
              <w:t>115.6</w:t>
            </w:r>
          </w:p>
        </w:tc>
        <w:tc>
          <w:tcPr>
            <w:tcW w:w="534" w:type="pct"/>
            <w:tcBorders>
              <w:top w:val="single" w:sz="4" w:space="0" w:color="auto"/>
              <w:left w:val="nil"/>
              <w:bottom w:val="nil"/>
              <w:right w:val="single" w:sz="4" w:space="0" w:color="auto"/>
            </w:tcBorders>
            <w:shd w:val="clear" w:color="000000" w:fill="FFFFFF"/>
            <w:noWrap/>
            <w:vAlign w:val="center"/>
            <w:hideMark/>
          </w:tcPr>
          <w:p w14:paraId="053750CB" w14:textId="77777777" w:rsidR="00D734C5" w:rsidRPr="005B1867" w:rsidRDefault="00D734C5" w:rsidP="007D4769">
            <w:pPr>
              <w:pStyle w:val="TableTextRight"/>
              <w:keepNext/>
              <w:keepLines/>
            </w:pPr>
            <w:r>
              <w:rPr>
                <w:rFonts w:cs="Calibri"/>
                <w:szCs w:val="16"/>
              </w:rPr>
              <w:t>116.9</w:t>
            </w:r>
          </w:p>
        </w:tc>
        <w:tc>
          <w:tcPr>
            <w:tcW w:w="534" w:type="pct"/>
            <w:tcBorders>
              <w:top w:val="single" w:sz="4" w:space="0" w:color="auto"/>
              <w:left w:val="nil"/>
              <w:bottom w:val="nil"/>
              <w:right w:val="single" w:sz="4" w:space="0" w:color="auto"/>
            </w:tcBorders>
            <w:shd w:val="clear" w:color="000000" w:fill="FFFFFF"/>
            <w:noWrap/>
            <w:vAlign w:val="center"/>
            <w:hideMark/>
          </w:tcPr>
          <w:p w14:paraId="36231C0B" w14:textId="77777777" w:rsidR="00D734C5" w:rsidRPr="005B1867" w:rsidRDefault="00D734C5" w:rsidP="007D4769">
            <w:pPr>
              <w:pStyle w:val="TableTextRight"/>
              <w:keepNext/>
              <w:keepLines/>
            </w:pPr>
            <w:r>
              <w:rPr>
                <w:rFonts w:cs="Calibri"/>
                <w:szCs w:val="16"/>
              </w:rPr>
              <w:t>117.5</w:t>
            </w:r>
          </w:p>
        </w:tc>
        <w:tc>
          <w:tcPr>
            <w:tcW w:w="534" w:type="pct"/>
            <w:tcBorders>
              <w:top w:val="single" w:sz="4" w:space="0" w:color="auto"/>
              <w:left w:val="nil"/>
              <w:bottom w:val="nil"/>
              <w:right w:val="single" w:sz="4" w:space="0" w:color="auto"/>
            </w:tcBorders>
            <w:shd w:val="clear" w:color="000000" w:fill="FFFFFF"/>
            <w:noWrap/>
            <w:vAlign w:val="center"/>
            <w:hideMark/>
          </w:tcPr>
          <w:p w14:paraId="7BF7907C" w14:textId="77777777" w:rsidR="00D734C5" w:rsidRPr="005B1867" w:rsidRDefault="00D734C5" w:rsidP="007D4769">
            <w:pPr>
              <w:pStyle w:val="TableTextRight"/>
              <w:keepNext/>
              <w:keepLines/>
            </w:pPr>
            <w:r>
              <w:rPr>
                <w:rFonts w:cs="Calibri"/>
                <w:szCs w:val="16"/>
              </w:rPr>
              <w:t>122.1</w:t>
            </w:r>
          </w:p>
        </w:tc>
        <w:tc>
          <w:tcPr>
            <w:tcW w:w="534" w:type="pct"/>
            <w:tcBorders>
              <w:top w:val="single" w:sz="4" w:space="0" w:color="auto"/>
              <w:left w:val="nil"/>
              <w:bottom w:val="nil"/>
              <w:right w:val="single" w:sz="4" w:space="0" w:color="auto"/>
            </w:tcBorders>
            <w:shd w:val="clear" w:color="000000" w:fill="FFFFFF"/>
            <w:noWrap/>
            <w:vAlign w:val="center"/>
            <w:hideMark/>
          </w:tcPr>
          <w:p w14:paraId="636ED19E" w14:textId="77777777" w:rsidR="00D734C5" w:rsidRPr="005B1867" w:rsidRDefault="00D734C5" w:rsidP="007D4769">
            <w:pPr>
              <w:pStyle w:val="TableTextRight"/>
              <w:keepNext/>
              <w:keepLines/>
            </w:pPr>
            <w:r>
              <w:rPr>
                <w:rFonts w:cs="Calibri"/>
                <w:szCs w:val="16"/>
              </w:rPr>
              <w:t>136.1</w:t>
            </w:r>
          </w:p>
        </w:tc>
        <w:tc>
          <w:tcPr>
            <w:tcW w:w="534" w:type="pct"/>
            <w:tcBorders>
              <w:top w:val="single" w:sz="4" w:space="0" w:color="auto"/>
              <w:left w:val="nil"/>
              <w:bottom w:val="nil"/>
              <w:right w:val="single" w:sz="4" w:space="0" w:color="auto"/>
            </w:tcBorders>
            <w:shd w:val="clear" w:color="000000" w:fill="FFFFFF"/>
            <w:noWrap/>
            <w:vAlign w:val="center"/>
            <w:hideMark/>
          </w:tcPr>
          <w:p w14:paraId="2D6C7BE2" w14:textId="77777777" w:rsidR="00D734C5" w:rsidRPr="005B1867" w:rsidRDefault="00D734C5" w:rsidP="007D4769">
            <w:pPr>
              <w:pStyle w:val="TableTextRight"/>
              <w:keepNext/>
              <w:keepLines/>
            </w:pPr>
            <w:r>
              <w:rPr>
                <w:rFonts w:cs="Calibri"/>
                <w:szCs w:val="16"/>
              </w:rPr>
              <w:t>141.6</w:t>
            </w:r>
          </w:p>
        </w:tc>
        <w:tc>
          <w:tcPr>
            <w:tcW w:w="534" w:type="pct"/>
            <w:tcBorders>
              <w:top w:val="single" w:sz="4" w:space="0" w:color="auto"/>
              <w:left w:val="nil"/>
              <w:bottom w:val="nil"/>
              <w:right w:val="single" w:sz="4" w:space="0" w:color="auto"/>
            </w:tcBorders>
            <w:shd w:val="clear" w:color="000000" w:fill="FFFFFF"/>
            <w:noWrap/>
            <w:vAlign w:val="center"/>
            <w:hideMark/>
          </w:tcPr>
          <w:p w14:paraId="35D94CA4" w14:textId="77777777" w:rsidR="00D734C5" w:rsidRPr="005B1867" w:rsidRDefault="00D734C5" w:rsidP="007D4769">
            <w:pPr>
              <w:pStyle w:val="TableTextRight"/>
              <w:keepNext/>
              <w:keepLines/>
            </w:pPr>
            <w:r>
              <w:rPr>
                <w:rFonts w:cs="Calibri"/>
                <w:szCs w:val="16"/>
              </w:rPr>
              <w:t>186.1</w:t>
            </w:r>
          </w:p>
        </w:tc>
      </w:tr>
      <w:tr w:rsidR="001A5494" w:rsidRPr="00B00A98" w14:paraId="076A5788" w14:textId="77777777" w:rsidTr="001A5494">
        <w:trPr>
          <w:trHeight w:val="300"/>
        </w:trPr>
        <w:tc>
          <w:tcPr>
            <w:tcW w:w="1262" w:type="pct"/>
            <w:tcBorders>
              <w:top w:val="nil"/>
              <w:left w:val="single" w:sz="4" w:space="0" w:color="auto"/>
              <w:bottom w:val="nil"/>
              <w:right w:val="nil"/>
            </w:tcBorders>
            <w:shd w:val="clear" w:color="000000" w:fill="FFFFFF"/>
            <w:noWrap/>
            <w:vAlign w:val="bottom"/>
            <w:hideMark/>
          </w:tcPr>
          <w:p w14:paraId="6ECA1D79" w14:textId="77777777" w:rsidR="00D734C5" w:rsidRPr="005B1867" w:rsidRDefault="00D734C5" w:rsidP="007D4769">
            <w:pPr>
              <w:pStyle w:val="TableTextLeft"/>
              <w:keepNext/>
              <w:keepLines/>
            </w:pPr>
            <w:r w:rsidRPr="005B1867">
              <w:t>ASIC</w:t>
            </w:r>
          </w:p>
        </w:tc>
        <w:tc>
          <w:tcPr>
            <w:tcW w:w="534" w:type="pct"/>
            <w:tcBorders>
              <w:top w:val="nil"/>
              <w:left w:val="single" w:sz="4" w:space="0" w:color="auto"/>
              <w:bottom w:val="nil"/>
              <w:right w:val="single" w:sz="4" w:space="0" w:color="auto"/>
            </w:tcBorders>
            <w:shd w:val="clear" w:color="000000" w:fill="FFFFFF"/>
            <w:noWrap/>
            <w:vAlign w:val="center"/>
            <w:hideMark/>
          </w:tcPr>
          <w:p w14:paraId="5AD98F49" w14:textId="77777777" w:rsidR="00D734C5" w:rsidRPr="005B1867" w:rsidRDefault="00D734C5" w:rsidP="007D4769">
            <w:pPr>
              <w:pStyle w:val="TableTextRight"/>
              <w:keepNext/>
              <w:keepLines/>
            </w:pPr>
            <w:r>
              <w:rPr>
                <w:rFonts w:cs="Calibri"/>
                <w:szCs w:val="16"/>
              </w:rPr>
              <w:t>32.2</w:t>
            </w:r>
          </w:p>
        </w:tc>
        <w:tc>
          <w:tcPr>
            <w:tcW w:w="534" w:type="pct"/>
            <w:tcBorders>
              <w:top w:val="nil"/>
              <w:left w:val="nil"/>
              <w:bottom w:val="nil"/>
              <w:right w:val="single" w:sz="4" w:space="0" w:color="auto"/>
            </w:tcBorders>
            <w:shd w:val="clear" w:color="000000" w:fill="FFFFFF"/>
            <w:noWrap/>
            <w:vAlign w:val="center"/>
            <w:hideMark/>
          </w:tcPr>
          <w:p w14:paraId="675AC5C0" w14:textId="77777777" w:rsidR="00D734C5" w:rsidRPr="005B1867" w:rsidRDefault="00D734C5" w:rsidP="007D4769">
            <w:pPr>
              <w:pStyle w:val="TableTextRight"/>
              <w:keepNext/>
              <w:keepLines/>
            </w:pPr>
            <w:r>
              <w:rPr>
                <w:rFonts w:cs="Calibri"/>
                <w:szCs w:val="16"/>
              </w:rPr>
              <w:t>28.5</w:t>
            </w:r>
          </w:p>
        </w:tc>
        <w:tc>
          <w:tcPr>
            <w:tcW w:w="534" w:type="pct"/>
            <w:tcBorders>
              <w:top w:val="nil"/>
              <w:left w:val="nil"/>
              <w:bottom w:val="nil"/>
              <w:right w:val="single" w:sz="4" w:space="0" w:color="auto"/>
            </w:tcBorders>
            <w:shd w:val="clear" w:color="000000" w:fill="FFFFFF"/>
            <w:noWrap/>
            <w:vAlign w:val="center"/>
            <w:hideMark/>
          </w:tcPr>
          <w:p w14:paraId="2061359D" w14:textId="77777777" w:rsidR="00D734C5" w:rsidRPr="005B1867" w:rsidRDefault="00D734C5" w:rsidP="007D4769">
            <w:pPr>
              <w:pStyle w:val="TableTextRight"/>
              <w:keepNext/>
              <w:keepLines/>
            </w:pPr>
            <w:r>
              <w:rPr>
                <w:rFonts w:cs="Calibri"/>
                <w:szCs w:val="16"/>
              </w:rPr>
              <w:t>28.2</w:t>
            </w:r>
          </w:p>
        </w:tc>
        <w:tc>
          <w:tcPr>
            <w:tcW w:w="534" w:type="pct"/>
            <w:tcBorders>
              <w:top w:val="nil"/>
              <w:left w:val="nil"/>
              <w:bottom w:val="nil"/>
              <w:right w:val="single" w:sz="4" w:space="0" w:color="auto"/>
            </w:tcBorders>
            <w:shd w:val="clear" w:color="000000" w:fill="FFFFFF"/>
            <w:noWrap/>
            <w:vAlign w:val="center"/>
            <w:hideMark/>
          </w:tcPr>
          <w:p w14:paraId="4C5279DD" w14:textId="77777777" w:rsidR="00D734C5" w:rsidRPr="005B1867" w:rsidRDefault="00D734C5" w:rsidP="007D4769">
            <w:pPr>
              <w:pStyle w:val="TableTextRight"/>
              <w:keepNext/>
              <w:keepLines/>
            </w:pPr>
            <w:r>
              <w:rPr>
                <w:rFonts w:cs="Calibri"/>
                <w:szCs w:val="16"/>
              </w:rPr>
              <w:t>70.4</w:t>
            </w:r>
          </w:p>
        </w:tc>
        <w:tc>
          <w:tcPr>
            <w:tcW w:w="534" w:type="pct"/>
            <w:tcBorders>
              <w:top w:val="nil"/>
              <w:left w:val="nil"/>
              <w:bottom w:val="nil"/>
              <w:right w:val="single" w:sz="4" w:space="0" w:color="auto"/>
            </w:tcBorders>
            <w:shd w:val="clear" w:color="000000" w:fill="FFFFFF"/>
            <w:noWrap/>
            <w:vAlign w:val="center"/>
            <w:hideMark/>
          </w:tcPr>
          <w:p w14:paraId="1319E51C" w14:textId="77777777" w:rsidR="00D734C5" w:rsidRPr="005B1867" w:rsidRDefault="00D734C5" w:rsidP="007D4769">
            <w:pPr>
              <w:pStyle w:val="TableTextRight"/>
              <w:keepNext/>
              <w:keepLines/>
            </w:pPr>
            <w:r>
              <w:rPr>
                <w:rFonts w:cs="Calibri"/>
                <w:szCs w:val="16"/>
              </w:rPr>
              <w:t>49.6</w:t>
            </w:r>
          </w:p>
        </w:tc>
        <w:tc>
          <w:tcPr>
            <w:tcW w:w="534" w:type="pct"/>
            <w:tcBorders>
              <w:top w:val="nil"/>
              <w:left w:val="nil"/>
              <w:bottom w:val="nil"/>
              <w:right w:val="single" w:sz="4" w:space="0" w:color="auto"/>
            </w:tcBorders>
            <w:shd w:val="clear" w:color="000000" w:fill="FFFFFF"/>
            <w:noWrap/>
            <w:vAlign w:val="center"/>
            <w:hideMark/>
          </w:tcPr>
          <w:p w14:paraId="63772422" w14:textId="77777777" w:rsidR="00D734C5" w:rsidRPr="005B1867" w:rsidRDefault="00D734C5" w:rsidP="007D4769">
            <w:pPr>
              <w:pStyle w:val="TableTextRight"/>
              <w:keepNext/>
              <w:keepLines/>
            </w:pPr>
            <w:r>
              <w:rPr>
                <w:rFonts w:cs="Calibri"/>
                <w:szCs w:val="16"/>
              </w:rPr>
              <w:t>35.5</w:t>
            </w:r>
          </w:p>
        </w:tc>
        <w:tc>
          <w:tcPr>
            <w:tcW w:w="534" w:type="pct"/>
            <w:tcBorders>
              <w:top w:val="nil"/>
              <w:left w:val="nil"/>
              <w:bottom w:val="nil"/>
              <w:right w:val="single" w:sz="4" w:space="0" w:color="auto"/>
            </w:tcBorders>
            <w:shd w:val="clear" w:color="000000" w:fill="FFFFFF"/>
            <w:noWrap/>
            <w:vAlign w:val="center"/>
            <w:hideMark/>
          </w:tcPr>
          <w:p w14:paraId="6CB218B2" w14:textId="77777777" w:rsidR="00D734C5" w:rsidRPr="005B1867" w:rsidRDefault="00D734C5" w:rsidP="007D4769">
            <w:pPr>
              <w:pStyle w:val="TableTextRight"/>
              <w:keepNext/>
              <w:keepLines/>
            </w:pPr>
            <w:r>
              <w:rPr>
                <w:rFonts w:cs="Calibri"/>
                <w:szCs w:val="16"/>
              </w:rPr>
              <w:t>8.4</w:t>
            </w:r>
          </w:p>
        </w:tc>
      </w:tr>
      <w:tr w:rsidR="001A5494" w:rsidRPr="00B00A98" w14:paraId="0C881E41" w14:textId="77777777" w:rsidTr="001A5494">
        <w:trPr>
          <w:trHeight w:val="300"/>
        </w:trPr>
        <w:tc>
          <w:tcPr>
            <w:tcW w:w="1262" w:type="pct"/>
            <w:tcBorders>
              <w:top w:val="nil"/>
              <w:left w:val="single" w:sz="4" w:space="0" w:color="auto"/>
              <w:bottom w:val="nil"/>
              <w:right w:val="nil"/>
            </w:tcBorders>
            <w:shd w:val="clear" w:color="000000" w:fill="FFFFFF"/>
            <w:noWrap/>
            <w:vAlign w:val="bottom"/>
            <w:hideMark/>
          </w:tcPr>
          <w:p w14:paraId="15ACC16B" w14:textId="77777777" w:rsidR="00D734C5" w:rsidRPr="005B1867" w:rsidRDefault="00D734C5" w:rsidP="007D4769">
            <w:pPr>
              <w:pStyle w:val="TableTextLeft"/>
              <w:keepNext/>
              <w:keepLines/>
            </w:pPr>
            <w:r w:rsidRPr="005B1867">
              <w:t>ATO</w:t>
            </w:r>
          </w:p>
        </w:tc>
        <w:tc>
          <w:tcPr>
            <w:tcW w:w="534" w:type="pct"/>
            <w:tcBorders>
              <w:top w:val="nil"/>
              <w:left w:val="single" w:sz="4" w:space="0" w:color="auto"/>
              <w:bottom w:val="nil"/>
              <w:right w:val="single" w:sz="4" w:space="0" w:color="auto"/>
            </w:tcBorders>
            <w:shd w:val="clear" w:color="000000" w:fill="FFFFFF"/>
            <w:noWrap/>
            <w:vAlign w:val="center"/>
            <w:hideMark/>
          </w:tcPr>
          <w:p w14:paraId="1F84E483" w14:textId="77777777" w:rsidR="00D734C5" w:rsidRPr="005B1867" w:rsidRDefault="00D734C5" w:rsidP="007D4769">
            <w:pPr>
              <w:pStyle w:val="TableTextRight"/>
              <w:keepNext/>
              <w:keepLines/>
            </w:pPr>
            <w:r>
              <w:rPr>
                <w:rFonts w:cs="Calibri"/>
                <w:szCs w:val="16"/>
              </w:rPr>
              <w:t>7.3</w:t>
            </w:r>
          </w:p>
        </w:tc>
        <w:tc>
          <w:tcPr>
            <w:tcW w:w="534" w:type="pct"/>
            <w:tcBorders>
              <w:top w:val="nil"/>
              <w:left w:val="nil"/>
              <w:bottom w:val="nil"/>
              <w:right w:val="single" w:sz="4" w:space="0" w:color="auto"/>
            </w:tcBorders>
            <w:shd w:val="clear" w:color="000000" w:fill="FFFFFF"/>
            <w:noWrap/>
            <w:vAlign w:val="center"/>
            <w:hideMark/>
          </w:tcPr>
          <w:p w14:paraId="483F49BC" w14:textId="77777777" w:rsidR="00D734C5" w:rsidRPr="005B1867" w:rsidRDefault="00D734C5" w:rsidP="007D4769">
            <w:pPr>
              <w:pStyle w:val="TableTextRight"/>
              <w:keepNext/>
              <w:keepLines/>
            </w:pPr>
            <w:r>
              <w:rPr>
                <w:rFonts w:cs="Calibri"/>
                <w:szCs w:val="16"/>
              </w:rPr>
              <w:t>7.1</w:t>
            </w:r>
          </w:p>
        </w:tc>
        <w:tc>
          <w:tcPr>
            <w:tcW w:w="534" w:type="pct"/>
            <w:tcBorders>
              <w:top w:val="nil"/>
              <w:left w:val="nil"/>
              <w:bottom w:val="nil"/>
              <w:right w:val="single" w:sz="4" w:space="0" w:color="auto"/>
            </w:tcBorders>
            <w:shd w:val="clear" w:color="000000" w:fill="FFFFFF"/>
            <w:noWrap/>
            <w:vAlign w:val="center"/>
            <w:hideMark/>
          </w:tcPr>
          <w:p w14:paraId="3EFC8A76" w14:textId="77777777" w:rsidR="00D734C5" w:rsidRPr="005B1867" w:rsidRDefault="00D734C5" w:rsidP="007D4769">
            <w:pPr>
              <w:pStyle w:val="TableTextRight"/>
              <w:keepNext/>
              <w:keepLines/>
            </w:pPr>
            <w:r>
              <w:rPr>
                <w:rFonts w:cs="Calibri"/>
                <w:szCs w:val="16"/>
              </w:rPr>
              <w:t>17.9</w:t>
            </w:r>
          </w:p>
        </w:tc>
        <w:tc>
          <w:tcPr>
            <w:tcW w:w="534" w:type="pct"/>
            <w:tcBorders>
              <w:top w:val="nil"/>
              <w:left w:val="nil"/>
              <w:bottom w:val="nil"/>
              <w:right w:val="single" w:sz="4" w:space="0" w:color="auto"/>
            </w:tcBorders>
            <w:shd w:val="clear" w:color="000000" w:fill="FFFFFF"/>
            <w:noWrap/>
            <w:vAlign w:val="center"/>
            <w:hideMark/>
          </w:tcPr>
          <w:p w14:paraId="7958B08C" w14:textId="77777777" w:rsidR="00D734C5" w:rsidRPr="005B1867" w:rsidRDefault="00D734C5" w:rsidP="007D4769">
            <w:pPr>
              <w:pStyle w:val="TableTextRight"/>
              <w:keepNext/>
              <w:keepLines/>
            </w:pPr>
            <w:r>
              <w:rPr>
                <w:rFonts w:cs="Calibri"/>
                <w:szCs w:val="16"/>
              </w:rPr>
              <w:t>17.8</w:t>
            </w:r>
          </w:p>
        </w:tc>
        <w:tc>
          <w:tcPr>
            <w:tcW w:w="534" w:type="pct"/>
            <w:tcBorders>
              <w:top w:val="nil"/>
              <w:left w:val="nil"/>
              <w:bottom w:val="nil"/>
              <w:right w:val="single" w:sz="4" w:space="0" w:color="auto"/>
            </w:tcBorders>
            <w:shd w:val="clear" w:color="000000" w:fill="FFFFFF"/>
            <w:noWrap/>
            <w:vAlign w:val="center"/>
            <w:hideMark/>
          </w:tcPr>
          <w:p w14:paraId="5A79E956" w14:textId="77777777" w:rsidR="00D734C5" w:rsidRPr="005B1867" w:rsidRDefault="00D734C5" w:rsidP="007D4769">
            <w:pPr>
              <w:pStyle w:val="TableTextRight"/>
              <w:keepNext/>
              <w:keepLines/>
            </w:pPr>
            <w:r>
              <w:rPr>
                <w:rFonts w:cs="Calibri"/>
                <w:szCs w:val="16"/>
              </w:rPr>
              <w:t>17.8</w:t>
            </w:r>
          </w:p>
        </w:tc>
        <w:tc>
          <w:tcPr>
            <w:tcW w:w="534" w:type="pct"/>
            <w:tcBorders>
              <w:top w:val="nil"/>
              <w:left w:val="nil"/>
              <w:bottom w:val="nil"/>
              <w:right w:val="single" w:sz="4" w:space="0" w:color="auto"/>
            </w:tcBorders>
            <w:shd w:val="clear" w:color="000000" w:fill="FFFFFF"/>
            <w:noWrap/>
            <w:vAlign w:val="center"/>
            <w:hideMark/>
          </w:tcPr>
          <w:p w14:paraId="11F97976" w14:textId="77777777" w:rsidR="00D734C5" w:rsidRPr="005B1867" w:rsidRDefault="00D734C5" w:rsidP="007D4769">
            <w:pPr>
              <w:pStyle w:val="TableTextRight"/>
              <w:keepNext/>
              <w:keepLines/>
            </w:pPr>
            <w:r>
              <w:rPr>
                <w:rFonts w:cs="Calibri"/>
                <w:szCs w:val="16"/>
              </w:rPr>
              <w:t>31.0</w:t>
            </w:r>
          </w:p>
        </w:tc>
        <w:tc>
          <w:tcPr>
            <w:tcW w:w="534" w:type="pct"/>
            <w:tcBorders>
              <w:top w:val="nil"/>
              <w:left w:val="nil"/>
              <w:bottom w:val="nil"/>
              <w:right w:val="single" w:sz="4" w:space="0" w:color="auto"/>
            </w:tcBorders>
            <w:shd w:val="clear" w:color="000000" w:fill="FFFFFF"/>
            <w:noWrap/>
            <w:vAlign w:val="center"/>
            <w:hideMark/>
          </w:tcPr>
          <w:p w14:paraId="2AB568F4" w14:textId="77777777" w:rsidR="00D734C5" w:rsidRPr="005B1867" w:rsidRDefault="00D734C5" w:rsidP="007D4769">
            <w:pPr>
              <w:pStyle w:val="TableTextRight"/>
              <w:keepNext/>
              <w:keepLines/>
            </w:pPr>
            <w:r>
              <w:rPr>
                <w:rFonts w:cs="Calibri"/>
                <w:szCs w:val="16"/>
              </w:rPr>
              <w:t>36.3</w:t>
            </w:r>
          </w:p>
        </w:tc>
      </w:tr>
      <w:tr w:rsidR="001A5494" w:rsidRPr="00B00A98" w14:paraId="541BE030" w14:textId="77777777" w:rsidTr="001A5494">
        <w:trPr>
          <w:trHeight w:val="300"/>
        </w:trPr>
        <w:tc>
          <w:tcPr>
            <w:tcW w:w="1262" w:type="pct"/>
            <w:tcBorders>
              <w:top w:val="nil"/>
              <w:left w:val="single" w:sz="4" w:space="0" w:color="auto"/>
              <w:right w:val="nil"/>
            </w:tcBorders>
            <w:shd w:val="clear" w:color="000000" w:fill="FFFFFF"/>
            <w:noWrap/>
            <w:vAlign w:val="bottom"/>
            <w:hideMark/>
          </w:tcPr>
          <w:p w14:paraId="5CFD4D46" w14:textId="77777777" w:rsidR="00D734C5" w:rsidRPr="005B1867" w:rsidRDefault="00D734C5" w:rsidP="007D4769">
            <w:pPr>
              <w:pStyle w:val="TableTextLeft"/>
              <w:keepNext/>
              <w:keepLines/>
            </w:pPr>
            <w:r w:rsidRPr="005B1867">
              <w:t>DHS</w:t>
            </w:r>
          </w:p>
        </w:tc>
        <w:tc>
          <w:tcPr>
            <w:tcW w:w="534" w:type="pct"/>
            <w:tcBorders>
              <w:top w:val="nil"/>
              <w:left w:val="single" w:sz="4" w:space="0" w:color="auto"/>
              <w:right w:val="single" w:sz="4" w:space="0" w:color="auto"/>
            </w:tcBorders>
            <w:shd w:val="clear" w:color="000000" w:fill="FFFFFF"/>
            <w:noWrap/>
            <w:vAlign w:val="center"/>
            <w:hideMark/>
          </w:tcPr>
          <w:p w14:paraId="7C8A4FF7" w14:textId="77777777" w:rsidR="00D734C5" w:rsidRPr="005B1867" w:rsidRDefault="00D734C5" w:rsidP="007D4769">
            <w:pPr>
              <w:pStyle w:val="TableTextRight"/>
              <w:keepNext/>
              <w:keepLines/>
            </w:pPr>
            <w:r>
              <w:rPr>
                <w:rFonts w:cs="Calibri"/>
                <w:szCs w:val="16"/>
              </w:rPr>
              <w:t>4.4</w:t>
            </w:r>
          </w:p>
        </w:tc>
        <w:tc>
          <w:tcPr>
            <w:tcW w:w="534" w:type="pct"/>
            <w:tcBorders>
              <w:top w:val="nil"/>
              <w:left w:val="nil"/>
              <w:right w:val="single" w:sz="4" w:space="0" w:color="auto"/>
            </w:tcBorders>
            <w:shd w:val="clear" w:color="000000" w:fill="FFFFFF"/>
            <w:noWrap/>
            <w:vAlign w:val="center"/>
            <w:hideMark/>
          </w:tcPr>
          <w:p w14:paraId="612AB941" w14:textId="77777777" w:rsidR="00D734C5" w:rsidRPr="005B1867" w:rsidRDefault="00D734C5" w:rsidP="007D4769">
            <w:pPr>
              <w:pStyle w:val="TableTextRight"/>
              <w:keepNext/>
              <w:keepLines/>
            </w:pPr>
            <w:r>
              <w:rPr>
                <w:rFonts w:cs="Calibri"/>
                <w:szCs w:val="16"/>
              </w:rPr>
              <w:t>4.5</w:t>
            </w:r>
          </w:p>
        </w:tc>
        <w:tc>
          <w:tcPr>
            <w:tcW w:w="534" w:type="pct"/>
            <w:tcBorders>
              <w:top w:val="nil"/>
              <w:left w:val="nil"/>
              <w:right w:val="single" w:sz="4" w:space="0" w:color="auto"/>
            </w:tcBorders>
            <w:shd w:val="clear" w:color="000000" w:fill="FFFFFF"/>
            <w:noWrap/>
            <w:vAlign w:val="center"/>
            <w:hideMark/>
          </w:tcPr>
          <w:p w14:paraId="3F11DCA3" w14:textId="77777777" w:rsidR="00D734C5" w:rsidRPr="005B1867" w:rsidRDefault="00D734C5" w:rsidP="007D4769">
            <w:pPr>
              <w:pStyle w:val="TableTextRight"/>
              <w:keepNext/>
              <w:keepLines/>
            </w:pPr>
            <w:r>
              <w:rPr>
                <w:rFonts w:cs="Calibri"/>
                <w:szCs w:val="16"/>
              </w:rPr>
              <w:t>4.7</w:t>
            </w:r>
          </w:p>
        </w:tc>
        <w:tc>
          <w:tcPr>
            <w:tcW w:w="534" w:type="pct"/>
            <w:tcBorders>
              <w:top w:val="nil"/>
              <w:left w:val="nil"/>
              <w:right w:val="single" w:sz="4" w:space="0" w:color="auto"/>
            </w:tcBorders>
            <w:shd w:val="clear" w:color="000000" w:fill="FFFFFF"/>
            <w:noWrap/>
            <w:vAlign w:val="center"/>
            <w:hideMark/>
          </w:tcPr>
          <w:p w14:paraId="2B4A33E1" w14:textId="77777777" w:rsidR="00D734C5" w:rsidRPr="005B1867" w:rsidRDefault="00D734C5" w:rsidP="007D4769">
            <w:pPr>
              <w:pStyle w:val="TableTextRight"/>
              <w:keepNext/>
              <w:keepLines/>
            </w:pPr>
            <w:r>
              <w:rPr>
                <w:rFonts w:cs="Calibri"/>
                <w:szCs w:val="16"/>
              </w:rPr>
              <w:t>4.8</w:t>
            </w:r>
          </w:p>
        </w:tc>
        <w:tc>
          <w:tcPr>
            <w:tcW w:w="534" w:type="pct"/>
            <w:tcBorders>
              <w:top w:val="nil"/>
              <w:left w:val="nil"/>
              <w:right w:val="single" w:sz="4" w:space="0" w:color="auto"/>
            </w:tcBorders>
            <w:shd w:val="clear" w:color="000000" w:fill="FFFFFF"/>
            <w:noWrap/>
            <w:vAlign w:val="center"/>
            <w:hideMark/>
          </w:tcPr>
          <w:p w14:paraId="58B51056" w14:textId="77777777" w:rsidR="00D734C5" w:rsidRPr="005B1867" w:rsidRDefault="00D734C5" w:rsidP="007D4769">
            <w:pPr>
              <w:pStyle w:val="TableTextRight"/>
              <w:keepNext/>
              <w:keepLines/>
            </w:pPr>
            <w:r>
              <w:rPr>
                <w:rFonts w:cs="Calibri"/>
                <w:szCs w:val="16"/>
              </w:rPr>
              <w:t>5.1</w:t>
            </w:r>
          </w:p>
        </w:tc>
        <w:tc>
          <w:tcPr>
            <w:tcW w:w="534" w:type="pct"/>
            <w:tcBorders>
              <w:top w:val="nil"/>
              <w:left w:val="nil"/>
              <w:right w:val="single" w:sz="4" w:space="0" w:color="auto"/>
            </w:tcBorders>
            <w:shd w:val="clear" w:color="000000" w:fill="FFFFFF"/>
            <w:noWrap/>
            <w:vAlign w:val="center"/>
            <w:hideMark/>
          </w:tcPr>
          <w:p w14:paraId="354085AA" w14:textId="77777777" w:rsidR="00D734C5" w:rsidRPr="005B1867" w:rsidRDefault="00D734C5" w:rsidP="007D4769">
            <w:pPr>
              <w:pStyle w:val="TableTextRight"/>
              <w:keepNext/>
              <w:keepLines/>
            </w:pPr>
            <w:r>
              <w:rPr>
                <w:rFonts w:cs="Calibri"/>
                <w:szCs w:val="16"/>
              </w:rPr>
              <w:t>-</w:t>
            </w:r>
          </w:p>
        </w:tc>
        <w:tc>
          <w:tcPr>
            <w:tcW w:w="534" w:type="pct"/>
            <w:tcBorders>
              <w:top w:val="nil"/>
              <w:left w:val="nil"/>
              <w:right w:val="single" w:sz="4" w:space="0" w:color="auto"/>
            </w:tcBorders>
            <w:shd w:val="clear" w:color="000000" w:fill="FFFFFF"/>
            <w:noWrap/>
            <w:vAlign w:val="center"/>
            <w:hideMark/>
          </w:tcPr>
          <w:p w14:paraId="07549D1C" w14:textId="77777777" w:rsidR="00D734C5" w:rsidRPr="005B1867" w:rsidRDefault="00D734C5" w:rsidP="007D4769">
            <w:pPr>
              <w:pStyle w:val="TableTextRight"/>
              <w:keepNext/>
              <w:keepLines/>
            </w:pPr>
            <w:r>
              <w:rPr>
                <w:rFonts w:cs="Calibri"/>
                <w:szCs w:val="16"/>
              </w:rPr>
              <w:t>-</w:t>
            </w:r>
          </w:p>
        </w:tc>
      </w:tr>
      <w:tr w:rsidR="001A5494" w:rsidRPr="00B00A98" w14:paraId="006143FB" w14:textId="77777777" w:rsidTr="001A5494">
        <w:trPr>
          <w:trHeight w:val="300"/>
        </w:trPr>
        <w:tc>
          <w:tcPr>
            <w:tcW w:w="1262" w:type="pct"/>
            <w:tcBorders>
              <w:top w:val="nil"/>
              <w:left w:val="single" w:sz="4" w:space="0" w:color="auto"/>
              <w:right w:val="nil"/>
            </w:tcBorders>
            <w:shd w:val="clear" w:color="000000" w:fill="FFFFFF"/>
            <w:noWrap/>
            <w:vAlign w:val="bottom"/>
          </w:tcPr>
          <w:p w14:paraId="4C7460F0" w14:textId="77777777" w:rsidR="00D734C5" w:rsidRPr="005B1867" w:rsidRDefault="00D734C5" w:rsidP="007D4769">
            <w:pPr>
              <w:pStyle w:val="TableTextLeft"/>
              <w:keepNext/>
              <w:keepLines/>
            </w:pPr>
            <w:r>
              <w:t>ACCC</w:t>
            </w:r>
          </w:p>
        </w:tc>
        <w:tc>
          <w:tcPr>
            <w:tcW w:w="534" w:type="pct"/>
            <w:tcBorders>
              <w:top w:val="nil"/>
              <w:left w:val="single" w:sz="4" w:space="0" w:color="auto"/>
              <w:right w:val="single" w:sz="4" w:space="0" w:color="auto"/>
            </w:tcBorders>
            <w:shd w:val="clear" w:color="000000" w:fill="FFFFFF"/>
            <w:noWrap/>
            <w:vAlign w:val="center"/>
          </w:tcPr>
          <w:p w14:paraId="27B7A650" w14:textId="77777777" w:rsidR="00D734C5" w:rsidRPr="005B1867" w:rsidRDefault="00D734C5" w:rsidP="007D4769">
            <w:pPr>
              <w:pStyle w:val="TableTextRight"/>
              <w:keepNext/>
              <w:keepLines/>
            </w:pPr>
            <w:r>
              <w:rPr>
                <w:rFonts w:cs="Calibri"/>
                <w:szCs w:val="16"/>
              </w:rPr>
              <w:t>-</w:t>
            </w:r>
          </w:p>
        </w:tc>
        <w:tc>
          <w:tcPr>
            <w:tcW w:w="534" w:type="pct"/>
            <w:tcBorders>
              <w:top w:val="nil"/>
              <w:left w:val="nil"/>
              <w:right w:val="single" w:sz="4" w:space="0" w:color="auto"/>
            </w:tcBorders>
            <w:shd w:val="clear" w:color="000000" w:fill="FFFFFF"/>
            <w:noWrap/>
            <w:vAlign w:val="center"/>
          </w:tcPr>
          <w:p w14:paraId="4B741DB5" w14:textId="77777777" w:rsidR="00D734C5" w:rsidRPr="005B1867" w:rsidRDefault="00D734C5" w:rsidP="007D4769">
            <w:pPr>
              <w:pStyle w:val="TableTextRight"/>
              <w:keepNext/>
              <w:keepLines/>
            </w:pPr>
            <w:r>
              <w:rPr>
                <w:rFonts w:cs="Calibri"/>
                <w:szCs w:val="16"/>
              </w:rPr>
              <w:t>-</w:t>
            </w:r>
          </w:p>
        </w:tc>
        <w:tc>
          <w:tcPr>
            <w:tcW w:w="534" w:type="pct"/>
            <w:tcBorders>
              <w:top w:val="nil"/>
              <w:left w:val="nil"/>
              <w:right w:val="single" w:sz="4" w:space="0" w:color="auto"/>
            </w:tcBorders>
            <w:shd w:val="clear" w:color="000000" w:fill="FFFFFF"/>
            <w:noWrap/>
            <w:vAlign w:val="center"/>
          </w:tcPr>
          <w:p w14:paraId="40A49001" w14:textId="77777777" w:rsidR="00D734C5" w:rsidRPr="005B1867" w:rsidRDefault="00D734C5" w:rsidP="007D4769">
            <w:pPr>
              <w:pStyle w:val="TableTextRight"/>
              <w:keepNext/>
              <w:keepLines/>
            </w:pPr>
            <w:r>
              <w:rPr>
                <w:rFonts w:cs="Calibri"/>
                <w:szCs w:val="16"/>
              </w:rPr>
              <w:t>-</w:t>
            </w:r>
          </w:p>
        </w:tc>
        <w:tc>
          <w:tcPr>
            <w:tcW w:w="534" w:type="pct"/>
            <w:tcBorders>
              <w:top w:val="nil"/>
              <w:left w:val="nil"/>
              <w:right w:val="single" w:sz="4" w:space="0" w:color="auto"/>
            </w:tcBorders>
            <w:shd w:val="clear" w:color="000000" w:fill="FFFFFF"/>
            <w:noWrap/>
            <w:vAlign w:val="center"/>
          </w:tcPr>
          <w:p w14:paraId="04355BBF" w14:textId="77777777" w:rsidR="00D734C5" w:rsidRPr="005B1867" w:rsidRDefault="00D734C5" w:rsidP="007D4769">
            <w:pPr>
              <w:pStyle w:val="TableTextRight"/>
              <w:keepNext/>
              <w:keepLines/>
            </w:pPr>
            <w:r>
              <w:rPr>
                <w:rFonts w:cs="Calibri"/>
                <w:szCs w:val="16"/>
              </w:rPr>
              <w:t>-</w:t>
            </w:r>
          </w:p>
        </w:tc>
        <w:tc>
          <w:tcPr>
            <w:tcW w:w="534" w:type="pct"/>
            <w:tcBorders>
              <w:top w:val="nil"/>
              <w:left w:val="nil"/>
              <w:right w:val="single" w:sz="4" w:space="0" w:color="auto"/>
            </w:tcBorders>
            <w:shd w:val="clear" w:color="000000" w:fill="FFFFFF"/>
            <w:noWrap/>
            <w:vAlign w:val="center"/>
          </w:tcPr>
          <w:p w14:paraId="0E0D58A6" w14:textId="77777777" w:rsidR="00D734C5" w:rsidRPr="005B1867" w:rsidRDefault="00D734C5" w:rsidP="007D4769">
            <w:pPr>
              <w:pStyle w:val="TableTextRight"/>
              <w:keepNext/>
              <w:keepLines/>
            </w:pPr>
            <w:r>
              <w:rPr>
                <w:rFonts w:cs="Calibri"/>
                <w:szCs w:val="16"/>
              </w:rPr>
              <w:t>3.0</w:t>
            </w:r>
          </w:p>
        </w:tc>
        <w:tc>
          <w:tcPr>
            <w:tcW w:w="534" w:type="pct"/>
            <w:tcBorders>
              <w:top w:val="nil"/>
              <w:left w:val="nil"/>
              <w:right w:val="single" w:sz="4" w:space="0" w:color="auto"/>
            </w:tcBorders>
            <w:shd w:val="clear" w:color="000000" w:fill="FFFFFF"/>
            <w:noWrap/>
            <w:vAlign w:val="center"/>
          </w:tcPr>
          <w:p w14:paraId="310E9CDE" w14:textId="77777777" w:rsidR="00D734C5" w:rsidRPr="005B1867" w:rsidRDefault="00D734C5" w:rsidP="007D4769">
            <w:pPr>
              <w:pStyle w:val="TableTextRight"/>
              <w:keepNext/>
              <w:keepLines/>
            </w:pPr>
            <w:r>
              <w:rPr>
                <w:rFonts w:cs="Calibri"/>
                <w:szCs w:val="16"/>
              </w:rPr>
              <w:t>3.2</w:t>
            </w:r>
          </w:p>
        </w:tc>
        <w:tc>
          <w:tcPr>
            <w:tcW w:w="534" w:type="pct"/>
            <w:tcBorders>
              <w:top w:val="nil"/>
              <w:left w:val="nil"/>
              <w:right w:val="single" w:sz="4" w:space="0" w:color="auto"/>
            </w:tcBorders>
            <w:shd w:val="clear" w:color="000000" w:fill="FFFFFF"/>
            <w:noWrap/>
            <w:vAlign w:val="center"/>
          </w:tcPr>
          <w:p w14:paraId="18A4ABD8" w14:textId="77777777" w:rsidR="00D734C5" w:rsidRPr="005B1867" w:rsidRDefault="00D734C5" w:rsidP="007D4769">
            <w:pPr>
              <w:pStyle w:val="TableTextRight"/>
              <w:keepNext/>
              <w:keepLines/>
            </w:pPr>
            <w:r>
              <w:rPr>
                <w:rFonts w:cs="Calibri"/>
                <w:szCs w:val="16"/>
              </w:rPr>
              <w:t>3.5</w:t>
            </w:r>
          </w:p>
        </w:tc>
      </w:tr>
      <w:tr w:rsidR="001A5494" w:rsidRPr="00B00A98" w14:paraId="282DE940" w14:textId="77777777" w:rsidTr="001A5494">
        <w:trPr>
          <w:trHeight w:val="300"/>
        </w:trPr>
        <w:tc>
          <w:tcPr>
            <w:tcW w:w="1262" w:type="pct"/>
            <w:tcBorders>
              <w:top w:val="nil"/>
              <w:left w:val="single" w:sz="4" w:space="0" w:color="auto"/>
              <w:right w:val="nil"/>
            </w:tcBorders>
            <w:shd w:val="clear" w:color="000000" w:fill="FFFFFF"/>
            <w:noWrap/>
            <w:vAlign w:val="bottom"/>
          </w:tcPr>
          <w:p w14:paraId="2E79A4BD" w14:textId="77777777" w:rsidR="00D734C5" w:rsidRPr="005B1867" w:rsidRDefault="00D734C5" w:rsidP="007D4769">
            <w:pPr>
              <w:pStyle w:val="TableTextLeft"/>
              <w:keepNext/>
              <w:keepLines/>
            </w:pPr>
            <w:r>
              <w:t>SuperStream</w:t>
            </w:r>
          </w:p>
        </w:tc>
        <w:tc>
          <w:tcPr>
            <w:tcW w:w="534" w:type="pct"/>
            <w:tcBorders>
              <w:top w:val="nil"/>
              <w:left w:val="single" w:sz="4" w:space="0" w:color="auto"/>
              <w:right w:val="single" w:sz="4" w:space="0" w:color="auto"/>
            </w:tcBorders>
            <w:shd w:val="clear" w:color="000000" w:fill="FFFFFF"/>
            <w:noWrap/>
            <w:vAlign w:val="center"/>
          </w:tcPr>
          <w:p w14:paraId="0BB1B51D" w14:textId="77777777" w:rsidR="00D734C5" w:rsidRPr="005B1867" w:rsidRDefault="00D734C5" w:rsidP="007D4769">
            <w:pPr>
              <w:pStyle w:val="TableTextRight"/>
              <w:keepNext/>
              <w:keepLines/>
            </w:pPr>
            <w:r>
              <w:rPr>
                <w:rFonts w:cs="Calibri"/>
                <w:szCs w:val="16"/>
              </w:rPr>
              <w:t>99.5</w:t>
            </w:r>
          </w:p>
        </w:tc>
        <w:tc>
          <w:tcPr>
            <w:tcW w:w="534" w:type="pct"/>
            <w:tcBorders>
              <w:top w:val="nil"/>
              <w:left w:val="nil"/>
              <w:right w:val="single" w:sz="4" w:space="0" w:color="auto"/>
            </w:tcBorders>
            <w:shd w:val="clear" w:color="000000" w:fill="FFFFFF"/>
            <w:noWrap/>
            <w:vAlign w:val="center"/>
          </w:tcPr>
          <w:p w14:paraId="3B7DE237" w14:textId="77777777" w:rsidR="00D734C5" w:rsidRPr="005B1867" w:rsidRDefault="00D734C5" w:rsidP="007D4769">
            <w:pPr>
              <w:pStyle w:val="TableTextRight"/>
              <w:keepNext/>
              <w:keepLines/>
            </w:pPr>
            <w:r>
              <w:rPr>
                <w:rFonts w:cs="Calibri"/>
                <w:szCs w:val="16"/>
              </w:rPr>
              <w:t>71.7</w:t>
            </w:r>
          </w:p>
        </w:tc>
        <w:tc>
          <w:tcPr>
            <w:tcW w:w="534" w:type="pct"/>
            <w:tcBorders>
              <w:top w:val="nil"/>
              <w:left w:val="nil"/>
              <w:right w:val="single" w:sz="4" w:space="0" w:color="auto"/>
            </w:tcBorders>
            <w:shd w:val="clear" w:color="000000" w:fill="FFFFFF"/>
            <w:noWrap/>
            <w:vAlign w:val="center"/>
          </w:tcPr>
          <w:p w14:paraId="675C3929" w14:textId="77777777" w:rsidR="00D734C5" w:rsidRPr="005B1867" w:rsidRDefault="00D734C5" w:rsidP="007D4769">
            <w:pPr>
              <w:pStyle w:val="TableTextRight"/>
              <w:keepNext/>
              <w:keepLines/>
            </w:pPr>
            <w:r>
              <w:rPr>
                <w:rFonts w:cs="Calibri"/>
                <w:szCs w:val="16"/>
              </w:rPr>
              <w:t>61.8</w:t>
            </w:r>
          </w:p>
        </w:tc>
        <w:tc>
          <w:tcPr>
            <w:tcW w:w="534" w:type="pct"/>
            <w:tcBorders>
              <w:top w:val="nil"/>
              <w:left w:val="nil"/>
              <w:right w:val="single" w:sz="4" w:space="0" w:color="auto"/>
            </w:tcBorders>
            <w:shd w:val="clear" w:color="000000" w:fill="FFFFFF"/>
            <w:noWrap/>
            <w:vAlign w:val="center"/>
          </w:tcPr>
          <w:p w14:paraId="5809CA49" w14:textId="77777777" w:rsidR="00D734C5" w:rsidRPr="005B1867" w:rsidRDefault="00D734C5" w:rsidP="007D4769">
            <w:pPr>
              <w:pStyle w:val="TableTextRight"/>
              <w:keepNext/>
              <w:keepLines/>
            </w:pPr>
            <w:r>
              <w:rPr>
                <w:rFonts w:cs="Calibri"/>
                <w:szCs w:val="16"/>
              </w:rPr>
              <w:t>35.5</w:t>
            </w:r>
          </w:p>
        </w:tc>
        <w:tc>
          <w:tcPr>
            <w:tcW w:w="534" w:type="pct"/>
            <w:tcBorders>
              <w:top w:val="nil"/>
              <w:left w:val="nil"/>
              <w:right w:val="single" w:sz="4" w:space="0" w:color="auto"/>
            </w:tcBorders>
            <w:shd w:val="clear" w:color="000000" w:fill="FFFFFF"/>
            <w:noWrap/>
            <w:vAlign w:val="center"/>
          </w:tcPr>
          <w:p w14:paraId="0AA23E0C" w14:textId="77777777" w:rsidR="00D734C5" w:rsidRPr="005B1867" w:rsidRDefault="00D734C5" w:rsidP="007D4769">
            <w:pPr>
              <w:pStyle w:val="TableTextRight"/>
              <w:keepNext/>
              <w:keepLines/>
            </w:pPr>
            <w:r>
              <w:rPr>
                <w:rFonts w:cs="Calibri"/>
                <w:szCs w:val="16"/>
              </w:rPr>
              <w:t>35.5</w:t>
            </w:r>
          </w:p>
        </w:tc>
        <w:tc>
          <w:tcPr>
            <w:tcW w:w="534" w:type="pct"/>
            <w:tcBorders>
              <w:top w:val="nil"/>
              <w:left w:val="nil"/>
              <w:right w:val="single" w:sz="4" w:space="0" w:color="auto"/>
            </w:tcBorders>
            <w:shd w:val="clear" w:color="000000" w:fill="FFFFFF"/>
            <w:noWrap/>
            <w:vAlign w:val="center"/>
          </w:tcPr>
          <w:p w14:paraId="0D32F894" w14:textId="77777777" w:rsidR="00D734C5" w:rsidRPr="005B1867" w:rsidRDefault="00D734C5" w:rsidP="007D4769">
            <w:pPr>
              <w:pStyle w:val="TableTextRight"/>
              <w:keepNext/>
              <w:keepLines/>
            </w:pPr>
            <w:r>
              <w:rPr>
                <w:rFonts w:cs="Calibri"/>
                <w:szCs w:val="16"/>
              </w:rPr>
              <w:t>-</w:t>
            </w:r>
          </w:p>
        </w:tc>
        <w:tc>
          <w:tcPr>
            <w:tcW w:w="534" w:type="pct"/>
            <w:tcBorders>
              <w:top w:val="nil"/>
              <w:left w:val="nil"/>
              <w:right w:val="single" w:sz="4" w:space="0" w:color="auto"/>
            </w:tcBorders>
            <w:shd w:val="clear" w:color="000000" w:fill="FFFFFF"/>
            <w:noWrap/>
            <w:vAlign w:val="center"/>
          </w:tcPr>
          <w:p w14:paraId="7776EB4D" w14:textId="77777777" w:rsidR="00D734C5" w:rsidRPr="005B1867" w:rsidRDefault="00D734C5" w:rsidP="007D4769">
            <w:pPr>
              <w:pStyle w:val="TableTextRight"/>
              <w:keepNext/>
              <w:keepLines/>
            </w:pPr>
            <w:r>
              <w:rPr>
                <w:rFonts w:cs="Calibri"/>
                <w:szCs w:val="16"/>
              </w:rPr>
              <w:t>-</w:t>
            </w:r>
          </w:p>
        </w:tc>
      </w:tr>
      <w:tr w:rsidR="001A5494" w:rsidRPr="00B00A98" w14:paraId="7B1387E7" w14:textId="77777777" w:rsidTr="001A5494">
        <w:trPr>
          <w:trHeight w:val="300"/>
        </w:trPr>
        <w:tc>
          <w:tcPr>
            <w:tcW w:w="1262" w:type="pct"/>
            <w:tcBorders>
              <w:top w:val="nil"/>
              <w:left w:val="single" w:sz="4" w:space="0" w:color="auto"/>
              <w:right w:val="nil"/>
            </w:tcBorders>
            <w:shd w:val="clear" w:color="000000" w:fill="FFFFFF"/>
            <w:noWrap/>
            <w:vAlign w:val="bottom"/>
          </w:tcPr>
          <w:p w14:paraId="045A14E5" w14:textId="77777777" w:rsidR="00D734C5" w:rsidRPr="005B1867" w:rsidRDefault="00D734C5" w:rsidP="007D4769">
            <w:pPr>
              <w:pStyle w:val="TableTextLeft"/>
              <w:keepNext/>
              <w:keepLines/>
            </w:pPr>
            <w:r>
              <w:t>GNGB</w:t>
            </w:r>
          </w:p>
        </w:tc>
        <w:tc>
          <w:tcPr>
            <w:tcW w:w="534" w:type="pct"/>
            <w:tcBorders>
              <w:top w:val="nil"/>
              <w:left w:val="single" w:sz="4" w:space="0" w:color="auto"/>
              <w:right w:val="single" w:sz="4" w:space="0" w:color="auto"/>
            </w:tcBorders>
            <w:shd w:val="clear" w:color="000000" w:fill="FFFFFF"/>
            <w:noWrap/>
            <w:vAlign w:val="center"/>
          </w:tcPr>
          <w:p w14:paraId="0EE0441A" w14:textId="77777777" w:rsidR="00D734C5" w:rsidRPr="005B1867" w:rsidRDefault="00D734C5" w:rsidP="007D4769">
            <w:pPr>
              <w:pStyle w:val="TableTextRight"/>
              <w:keepNext/>
              <w:keepLines/>
            </w:pPr>
            <w:r>
              <w:rPr>
                <w:rFonts w:cs="Calibri"/>
                <w:szCs w:val="16"/>
              </w:rPr>
              <w:t>-</w:t>
            </w:r>
          </w:p>
        </w:tc>
        <w:tc>
          <w:tcPr>
            <w:tcW w:w="534" w:type="pct"/>
            <w:tcBorders>
              <w:top w:val="nil"/>
              <w:left w:val="nil"/>
              <w:right w:val="single" w:sz="4" w:space="0" w:color="auto"/>
            </w:tcBorders>
            <w:shd w:val="clear" w:color="000000" w:fill="FFFFFF"/>
            <w:noWrap/>
            <w:vAlign w:val="center"/>
          </w:tcPr>
          <w:p w14:paraId="4CA141AE" w14:textId="77777777" w:rsidR="00D734C5" w:rsidRPr="005B1867" w:rsidRDefault="00D734C5" w:rsidP="007D4769">
            <w:pPr>
              <w:pStyle w:val="TableTextRight"/>
              <w:keepNext/>
              <w:keepLines/>
            </w:pPr>
            <w:r>
              <w:rPr>
                <w:rFonts w:cs="Calibri"/>
                <w:szCs w:val="16"/>
              </w:rPr>
              <w:t>-</w:t>
            </w:r>
          </w:p>
        </w:tc>
        <w:tc>
          <w:tcPr>
            <w:tcW w:w="534" w:type="pct"/>
            <w:tcBorders>
              <w:top w:val="nil"/>
              <w:left w:val="nil"/>
              <w:right w:val="single" w:sz="4" w:space="0" w:color="auto"/>
            </w:tcBorders>
            <w:shd w:val="clear" w:color="000000" w:fill="FFFFFF"/>
            <w:noWrap/>
            <w:vAlign w:val="center"/>
          </w:tcPr>
          <w:p w14:paraId="61619ECE" w14:textId="77777777" w:rsidR="00D734C5" w:rsidRPr="005B1867" w:rsidRDefault="00D734C5" w:rsidP="007D4769">
            <w:pPr>
              <w:pStyle w:val="TableTextRight"/>
              <w:keepNext/>
              <w:keepLines/>
            </w:pPr>
            <w:r>
              <w:rPr>
                <w:rFonts w:cs="Calibri"/>
                <w:szCs w:val="16"/>
              </w:rPr>
              <w:t>-</w:t>
            </w:r>
          </w:p>
        </w:tc>
        <w:tc>
          <w:tcPr>
            <w:tcW w:w="534" w:type="pct"/>
            <w:tcBorders>
              <w:top w:val="nil"/>
              <w:left w:val="nil"/>
              <w:right w:val="single" w:sz="4" w:space="0" w:color="auto"/>
            </w:tcBorders>
            <w:shd w:val="clear" w:color="000000" w:fill="FFFFFF"/>
            <w:noWrap/>
            <w:vAlign w:val="center"/>
          </w:tcPr>
          <w:p w14:paraId="79162291" w14:textId="77777777" w:rsidR="00D734C5" w:rsidRPr="005B1867" w:rsidRDefault="00D734C5" w:rsidP="007D4769">
            <w:pPr>
              <w:pStyle w:val="TableTextRight"/>
              <w:keepNext/>
              <w:keepLines/>
            </w:pPr>
            <w:r>
              <w:rPr>
                <w:rFonts w:cs="Calibri"/>
                <w:szCs w:val="16"/>
              </w:rPr>
              <w:t>-</w:t>
            </w:r>
          </w:p>
        </w:tc>
        <w:tc>
          <w:tcPr>
            <w:tcW w:w="534" w:type="pct"/>
            <w:tcBorders>
              <w:top w:val="nil"/>
              <w:left w:val="nil"/>
              <w:right w:val="single" w:sz="4" w:space="0" w:color="auto"/>
            </w:tcBorders>
            <w:shd w:val="clear" w:color="000000" w:fill="FFFFFF"/>
            <w:noWrap/>
            <w:vAlign w:val="center"/>
          </w:tcPr>
          <w:p w14:paraId="61391DCB" w14:textId="77777777" w:rsidR="00D734C5" w:rsidRPr="005B1867" w:rsidRDefault="00D734C5" w:rsidP="007D4769">
            <w:pPr>
              <w:pStyle w:val="TableTextRight"/>
              <w:keepNext/>
              <w:keepLines/>
            </w:pPr>
            <w:r>
              <w:rPr>
                <w:rFonts w:cs="Calibri"/>
                <w:szCs w:val="16"/>
              </w:rPr>
              <w:t>-</w:t>
            </w:r>
          </w:p>
        </w:tc>
        <w:tc>
          <w:tcPr>
            <w:tcW w:w="534" w:type="pct"/>
            <w:tcBorders>
              <w:top w:val="nil"/>
              <w:left w:val="nil"/>
              <w:right w:val="single" w:sz="4" w:space="0" w:color="auto"/>
            </w:tcBorders>
            <w:shd w:val="clear" w:color="000000" w:fill="FFFFFF"/>
            <w:noWrap/>
            <w:vAlign w:val="center"/>
          </w:tcPr>
          <w:p w14:paraId="6738DE2B" w14:textId="77777777" w:rsidR="00D734C5" w:rsidRPr="005B1867" w:rsidRDefault="00D734C5" w:rsidP="007D4769">
            <w:pPr>
              <w:pStyle w:val="TableTextRight"/>
              <w:keepNext/>
              <w:keepLines/>
            </w:pPr>
            <w:r>
              <w:rPr>
                <w:rFonts w:cs="Calibri"/>
                <w:szCs w:val="16"/>
              </w:rPr>
              <w:t>0.6</w:t>
            </w:r>
          </w:p>
        </w:tc>
        <w:tc>
          <w:tcPr>
            <w:tcW w:w="534" w:type="pct"/>
            <w:tcBorders>
              <w:top w:val="nil"/>
              <w:left w:val="nil"/>
              <w:right w:val="single" w:sz="4" w:space="0" w:color="auto"/>
            </w:tcBorders>
            <w:shd w:val="clear" w:color="000000" w:fill="FFFFFF"/>
            <w:noWrap/>
            <w:vAlign w:val="center"/>
          </w:tcPr>
          <w:p w14:paraId="0BB00745" w14:textId="77777777" w:rsidR="00D734C5" w:rsidRPr="005B1867" w:rsidRDefault="00D734C5" w:rsidP="007D4769">
            <w:pPr>
              <w:pStyle w:val="TableTextRight"/>
              <w:keepNext/>
              <w:keepLines/>
            </w:pPr>
            <w:r>
              <w:rPr>
                <w:rFonts w:cs="Calibri"/>
                <w:szCs w:val="16"/>
              </w:rPr>
              <w:t>0.7</w:t>
            </w:r>
          </w:p>
        </w:tc>
      </w:tr>
      <w:tr w:rsidR="001A5494" w:rsidRPr="00B00A98" w14:paraId="780F5A63" w14:textId="77777777" w:rsidTr="001A5494">
        <w:trPr>
          <w:trHeight w:val="300"/>
        </w:trPr>
        <w:tc>
          <w:tcPr>
            <w:tcW w:w="1262" w:type="pct"/>
            <w:tcBorders>
              <w:top w:val="nil"/>
              <w:left w:val="single" w:sz="4" w:space="0" w:color="auto"/>
              <w:right w:val="nil"/>
            </w:tcBorders>
            <w:shd w:val="clear" w:color="000000" w:fill="FFFFFF"/>
            <w:noWrap/>
            <w:vAlign w:val="bottom"/>
          </w:tcPr>
          <w:p w14:paraId="37519EB5" w14:textId="77777777" w:rsidR="00D734C5" w:rsidRPr="005B1867" w:rsidRDefault="00D734C5" w:rsidP="007D4769">
            <w:pPr>
              <w:pStyle w:val="TableTextLeft"/>
              <w:keepNext/>
              <w:keepLines/>
            </w:pPr>
            <w:r>
              <w:t>Treasury</w:t>
            </w:r>
          </w:p>
        </w:tc>
        <w:tc>
          <w:tcPr>
            <w:tcW w:w="534" w:type="pct"/>
            <w:tcBorders>
              <w:top w:val="nil"/>
              <w:left w:val="single" w:sz="4" w:space="0" w:color="auto"/>
              <w:right w:val="single" w:sz="4" w:space="0" w:color="auto"/>
            </w:tcBorders>
            <w:shd w:val="clear" w:color="000000" w:fill="FFFFFF"/>
            <w:noWrap/>
            <w:vAlign w:val="center"/>
          </w:tcPr>
          <w:p w14:paraId="51424DE9" w14:textId="77777777" w:rsidR="00D734C5" w:rsidRPr="005B1867" w:rsidRDefault="00D734C5" w:rsidP="007D4769">
            <w:pPr>
              <w:pStyle w:val="TableTextRight"/>
              <w:keepNext/>
              <w:keepLines/>
            </w:pPr>
            <w:r>
              <w:rPr>
                <w:rFonts w:cs="Calibri"/>
                <w:szCs w:val="16"/>
              </w:rPr>
              <w:t>-</w:t>
            </w:r>
          </w:p>
        </w:tc>
        <w:tc>
          <w:tcPr>
            <w:tcW w:w="534" w:type="pct"/>
            <w:tcBorders>
              <w:top w:val="nil"/>
              <w:left w:val="nil"/>
              <w:right w:val="single" w:sz="4" w:space="0" w:color="auto"/>
            </w:tcBorders>
            <w:shd w:val="clear" w:color="000000" w:fill="FFFFFF"/>
            <w:noWrap/>
            <w:vAlign w:val="center"/>
          </w:tcPr>
          <w:p w14:paraId="77B3BA69" w14:textId="77777777" w:rsidR="00D734C5" w:rsidRPr="005B1867" w:rsidRDefault="00D734C5" w:rsidP="007D4769">
            <w:pPr>
              <w:pStyle w:val="TableTextRight"/>
              <w:keepNext/>
              <w:keepLines/>
            </w:pPr>
            <w:r>
              <w:rPr>
                <w:rFonts w:cs="Calibri"/>
                <w:szCs w:val="16"/>
              </w:rPr>
              <w:t>-</w:t>
            </w:r>
          </w:p>
        </w:tc>
        <w:tc>
          <w:tcPr>
            <w:tcW w:w="534" w:type="pct"/>
            <w:tcBorders>
              <w:top w:val="nil"/>
              <w:left w:val="nil"/>
              <w:right w:val="single" w:sz="4" w:space="0" w:color="auto"/>
            </w:tcBorders>
            <w:shd w:val="clear" w:color="000000" w:fill="FFFFFF"/>
            <w:noWrap/>
            <w:vAlign w:val="center"/>
          </w:tcPr>
          <w:p w14:paraId="45033505" w14:textId="77777777" w:rsidR="00D734C5" w:rsidRPr="005B1867" w:rsidRDefault="00D734C5" w:rsidP="007D4769">
            <w:pPr>
              <w:pStyle w:val="TableTextRight"/>
              <w:keepNext/>
              <w:keepLines/>
            </w:pPr>
            <w:r>
              <w:rPr>
                <w:rFonts w:cs="Calibri"/>
                <w:szCs w:val="16"/>
              </w:rPr>
              <w:t>-</w:t>
            </w:r>
          </w:p>
        </w:tc>
        <w:tc>
          <w:tcPr>
            <w:tcW w:w="534" w:type="pct"/>
            <w:tcBorders>
              <w:top w:val="nil"/>
              <w:left w:val="nil"/>
              <w:right w:val="single" w:sz="4" w:space="0" w:color="auto"/>
            </w:tcBorders>
            <w:shd w:val="clear" w:color="000000" w:fill="FFFFFF"/>
            <w:noWrap/>
            <w:vAlign w:val="center"/>
          </w:tcPr>
          <w:p w14:paraId="2715E9CB" w14:textId="77777777" w:rsidR="00D734C5" w:rsidRPr="005B1867" w:rsidRDefault="00D734C5" w:rsidP="007D4769">
            <w:pPr>
              <w:pStyle w:val="TableTextRight"/>
              <w:keepNext/>
              <w:keepLines/>
            </w:pPr>
            <w:r>
              <w:rPr>
                <w:rFonts w:cs="Calibri"/>
                <w:szCs w:val="16"/>
              </w:rPr>
              <w:t>-</w:t>
            </w:r>
          </w:p>
        </w:tc>
        <w:tc>
          <w:tcPr>
            <w:tcW w:w="534" w:type="pct"/>
            <w:tcBorders>
              <w:top w:val="nil"/>
              <w:left w:val="nil"/>
              <w:right w:val="single" w:sz="4" w:space="0" w:color="auto"/>
            </w:tcBorders>
            <w:shd w:val="clear" w:color="000000" w:fill="FFFFFF"/>
            <w:noWrap/>
            <w:vAlign w:val="center"/>
          </w:tcPr>
          <w:p w14:paraId="0EB6D695" w14:textId="77777777" w:rsidR="00D734C5" w:rsidRPr="005B1867" w:rsidRDefault="00D734C5" w:rsidP="007D4769">
            <w:pPr>
              <w:pStyle w:val="TableTextRight"/>
              <w:keepNext/>
              <w:keepLines/>
            </w:pPr>
            <w:r>
              <w:rPr>
                <w:rFonts w:cs="Calibri"/>
                <w:szCs w:val="16"/>
              </w:rPr>
              <w:t>-</w:t>
            </w:r>
          </w:p>
        </w:tc>
        <w:tc>
          <w:tcPr>
            <w:tcW w:w="534" w:type="pct"/>
            <w:tcBorders>
              <w:top w:val="nil"/>
              <w:left w:val="nil"/>
              <w:right w:val="single" w:sz="4" w:space="0" w:color="auto"/>
            </w:tcBorders>
            <w:shd w:val="clear" w:color="000000" w:fill="FFFFFF"/>
            <w:noWrap/>
            <w:vAlign w:val="center"/>
          </w:tcPr>
          <w:p w14:paraId="1752D0B2" w14:textId="77777777" w:rsidR="00D734C5" w:rsidRPr="005B1867" w:rsidRDefault="00D734C5" w:rsidP="007D4769">
            <w:pPr>
              <w:pStyle w:val="TableTextRight"/>
              <w:keepNext/>
              <w:keepLines/>
            </w:pPr>
            <w:r>
              <w:rPr>
                <w:rFonts w:cs="Calibri"/>
                <w:szCs w:val="16"/>
              </w:rPr>
              <w:t>-</w:t>
            </w:r>
          </w:p>
        </w:tc>
        <w:tc>
          <w:tcPr>
            <w:tcW w:w="534" w:type="pct"/>
            <w:tcBorders>
              <w:top w:val="nil"/>
              <w:left w:val="nil"/>
              <w:right w:val="single" w:sz="4" w:space="0" w:color="auto"/>
            </w:tcBorders>
            <w:shd w:val="clear" w:color="000000" w:fill="FFFFFF"/>
            <w:noWrap/>
            <w:vAlign w:val="center"/>
          </w:tcPr>
          <w:p w14:paraId="5F1D09D7" w14:textId="77777777" w:rsidR="00D734C5" w:rsidRPr="005B1867" w:rsidRDefault="00D734C5" w:rsidP="007D4769">
            <w:pPr>
              <w:pStyle w:val="TableTextRight"/>
              <w:keepNext/>
              <w:keepLines/>
            </w:pPr>
            <w:r>
              <w:rPr>
                <w:rFonts w:cs="Calibri"/>
                <w:szCs w:val="16"/>
              </w:rPr>
              <w:t>1.0</w:t>
            </w:r>
          </w:p>
        </w:tc>
      </w:tr>
      <w:tr w:rsidR="001A5494" w:rsidRPr="00B00A98" w14:paraId="2753C7C2" w14:textId="77777777" w:rsidTr="001A5494">
        <w:trPr>
          <w:trHeight w:val="300"/>
        </w:trPr>
        <w:tc>
          <w:tcPr>
            <w:tcW w:w="1262" w:type="pct"/>
            <w:tcBorders>
              <w:top w:val="nil"/>
              <w:left w:val="single" w:sz="4" w:space="0" w:color="auto"/>
              <w:right w:val="nil"/>
            </w:tcBorders>
            <w:shd w:val="clear" w:color="000000" w:fill="FFFFFF"/>
            <w:noWrap/>
            <w:vAlign w:val="bottom"/>
            <w:hideMark/>
          </w:tcPr>
          <w:p w14:paraId="000B8DA4" w14:textId="77777777" w:rsidR="00D734C5" w:rsidRPr="005B1867" w:rsidRDefault="00D734C5" w:rsidP="007D4769">
            <w:pPr>
              <w:pStyle w:val="TableTextLeft"/>
              <w:keepNext/>
              <w:keepLines/>
            </w:pPr>
            <w:r>
              <w:t>Non-APRA prior year under-collection recouped</w:t>
            </w:r>
          </w:p>
        </w:tc>
        <w:tc>
          <w:tcPr>
            <w:tcW w:w="534" w:type="pct"/>
            <w:tcBorders>
              <w:top w:val="nil"/>
              <w:left w:val="single" w:sz="4" w:space="0" w:color="auto"/>
              <w:right w:val="single" w:sz="4" w:space="0" w:color="auto"/>
            </w:tcBorders>
            <w:shd w:val="clear" w:color="000000" w:fill="FFFFFF"/>
            <w:noWrap/>
            <w:vAlign w:val="center"/>
            <w:hideMark/>
          </w:tcPr>
          <w:p w14:paraId="564581DA" w14:textId="77777777" w:rsidR="00D734C5" w:rsidRPr="005B1867" w:rsidRDefault="00D734C5" w:rsidP="007D4769">
            <w:pPr>
              <w:pStyle w:val="TableTextRight"/>
              <w:keepNext/>
              <w:keepLines/>
            </w:pPr>
            <w:r>
              <w:rPr>
                <w:rFonts w:cs="Calibri"/>
                <w:szCs w:val="16"/>
              </w:rPr>
              <w:t>-</w:t>
            </w:r>
          </w:p>
        </w:tc>
        <w:tc>
          <w:tcPr>
            <w:tcW w:w="534" w:type="pct"/>
            <w:tcBorders>
              <w:top w:val="nil"/>
              <w:left w:val="nil"/>
              <w:right w:val="single" w:sz="4" w:space="0" w:color="auto"/>
            </w:tcBorders>
            <w:shd w:val="clear" w:color="000000" w:fill="FFFFFF"/>
            <w:noWrap/>
            <w:vAlign w:val="center"/>
            <w:hideMark/>
          </w:tcPr>
          <w:p w14:paraId="439367A8" w14:textId="77777777" w:rsidR="00D734C5" w:rsidRPr="005B1867" w:rsidRDefault="00D734C5" w:rsidP="007D4769">
            <w:pPr>
              <w:pStyle w:val="TableTextRight"/>
              <w:keepNext/>
              <w:keepLines/>
            </w:pPr>
            <w:r>
              <w:rPr>
                <w:rFonts w:cs="Calibri"/>
                <w:szCs w:val="16"/>
              </w:rPr>
              <w:t>-</w:t>
            </w:r>
          </w:p>
        </w:tc>
        <w:tc>
          <w:tcPr>
            <w:tcW w:w="534" w:type="pct"/>
            <w:tcBorders>
              <w:top w:val="nil"/>
              <w:left w:val="nil"/>
              <w:right w:val="single" w:sz="4" w:space="0" w:color="auto"/>
            </w:tcBorders>
            <w:shd w:val="clear" w:color="000000" w:fill="FFFFFF"/>
            <w:noWrap/>
            <w:vAlign w:val="center"/>
            <w:hideMark/>
          </w:tcPr>
          <w:p w14:paraId="08FC68E2" w14:textId="77777777" w:rsidR="00D734C5" w:rsidRPr="005B1867" w:rsidRDefault="00D734C5" w:rsidP="007D4769">
            <w:pPr>
              <w:pStyle w:val="TableTextRight"/>
              <w:keepNext/>
              <w:keepLines/>
            </w:pPr>
            <w:r>
              <w:rPr>
                <w:rFonts w:cs="Calibri"/>
                <w:szCs w:val="16"/>
              </w:rPr>
              <w:t>-</w:t>
            </w:r>
          </w:p>
        </w:tc>
        <w:tc>
          <w:tcPr>
            <w:tcW w:w="534" w:type="pct"/>
            <w:tcBorders>
              <w:top w:val="nil"/>
              <w:left w:val="nil"/>
              <w:right w:val="single" w:sz="4" w:space="0" w:color="auto"/>
            </w:tcBorders>
            <w:shd w:val="clear" w:color="000000" w:fill="FFFFFF"/>
            <w:noWrap/>
            <w:vAlign w:val="center"/>
            <w:hideMark/>
          </w:tcPr>
          <w:p w14:paraId="56505934" w14:textId="77777777" w:rsidR="00D734C5" w:rsidRPr="005B1867" w:rsidRDefault="00D734C5" w:rsidP="007D4769">
            <w:pPr>
              <w:pStyle w:val="TableTextRight"/>
              <w:keepNext/>
              <w:keepLines/>
            </w:pPr>
            <w:r>
              <w:rPr>
                <w:rFonts w:cs="Calibri"/>
                <w:szCs w:val="16"/>
              </w:rPr>
              <w:t>-</w:t>
            </w:r>
          </w:p>
        </w:tc>
        <w:tc>
          <w:tcPr>
            <w:tcW w:w="534" w:type="pct"/>
            <w:tcBorders>
              <w:top w:val="nil"/>
              <w:left w:val="nil"/>
              <w:right w:val="single" w:sz="4" w:space="0" w:color="auto"/>
            </w:tcBorders>
            <w:shd w:val="clear" w:color="000000" w:fill="FFFFFF"/>
            <w:noWrap/>
            <w:vAlign w:val="center"/>
            <w:hideMark/>
          </w:tcPr>
          <w:p w14:paraId="637AF515" w14:textId="77777777" w:rsidR="00D734C5" w:rsidRPr="005B1867" w:rsidRDefault="00D734C5" w:rsidP="007D4769">
            <w:pPr>
              <w:pStyle w:val="TableTextRight"/>
              <w:keepNext/>
              <w:keepLines/>
            </w:pPr>
            <w:r>
              <w:rPr>
                <w:rFonts w:cs="Calibri"/>
                <w:szCs w:val="16"/>
              </w:rPr>
              <w:t>0.9</w:t>
            </w:r>
          </w:p>
        </w:tc>
        <w:tc>
          <w:tcPr>
            <w:tcW w:w="534" w:type="pct"/>
            <w:tcBorders>
              <w:top w:val="nil"/>
              <w:left w:val="nil"/>
              <w:right w:val="single" w:sz="4" w:space="0" w:color="auto"/>
            </w:tcBorders>
            <w:shd w:val="clear" w:color="000000" w:fill="FFFFFF"/>
            <w:noWrap/>
            <w:vAlign w:val="center"/>
            <w:hideMark/>
          </w:tcPr>
          <w:p w14:paraId="7F19149F" w14:textId="77777777" w:rsidR="00D734C5" w:rsidRPr="005B1867" w:rsidRDefault="00D734C5" w:rsidP="007D4769">
            <w:pPr>
              <w:pStyle w:val="TableTextRight"/>
              <w:keepNext/>
              <w:keepLines/>
            </w:pPr>
            <w:r>
              <w:rPr>
                <w:rFonts w:cs="Calibri"/>
                <w:szCs w:val="16"/>
              </w:rPr>
              <w:t>1.5</w:t>
            </w:r>
          </w:p>
        </w:tc>
        <w:tc>
          <w:tcPr>
            <w:tcW w:w="534" w:type="pct"/>
            <w:tcBorders>
              <w:top w:val="nil"/>
              <w:left w:val="nil"/>
              <w:right w:val="single" w:sz="4" w:space="0" w:color="auto"/>
            </w:tcBorders>
            <w:shd w:val="clear" w:color="000000" w:fill="FFFFFF"/>
            <w:noWrap/>
            <w:vAlign w:val="center"/>
            <w:hideMark/>
          </w:tcPr>
          <w:p w14:paraId="00390A7B" w14:textId="77777777" w:rsidR="00D734C5" w:rsidRPr="005B1867" w:rsidRDefault="00D734C5" w:rsidP="007D4769">
            <w:pPr>
              <w:pStyle w:val="TableTextRight"/>
              <w:keepNext/>
              <w:keepLines/>
            </w:pPr>
            <w:r>
              <w:rPr>
                <w:rFonts w:cs="Calibri"/>
                <w:szCs w:val="16"/>
              </w:rPr>
              <w:t>-</w:t>
            </w:r>
          </w:p>
        </w:tc>
      </w:tr>
      <w:tr w:rsidR="001A5494" w:rsidRPr="00B00A98" w14:paraId="50F87CD3" w14:textId="77777777" w:rsidTr="001A5494">
        <w:trPr>
          <w:trHeight w:val="300"/>
        </w:trPr>
        <w:tc>
          <w:tcPr>
            <w:tcW w:w="1262" w:type="pct"/>
            <w:tcBorders>
              <w:top w:val="single" w:sz="4" w:space="0" w:color="auto"/>
              <w:left w:val="single" w:sz="4" w:space="0" w:color="auto"/>
              <w:bottom w:val="single" w:sz="4" w:space="0" w:color="auto"/>
              <w:right w:val="nil"/>
            </w:tcBorders>
            <w:shd w:val="clear" w:color="000000" w:fill="FFFFFF"/>
            <w:noWrap/>
            <w:vAlign w:val="bottom"/>
            <w:hideMark/>
          </w:tcPr>
          <w:p w14:paraId="5423245C" w14:textId="77777777" w:rsidR="00D734C5" w:rsidRPr="005B1867" w:rsidRDefault="00D734C5" w:rsidP="007D4769">
            <w:pPr>
              <w:pStyle w:val="TableColumnHeadingLeft"/>
              <w:keepNext/>
              <w:keepLines/>
            </w:pPr>
            <w:r w:rsidRPr="005B1867">
              <w:t>Total</w:t>
            </w:r>
          </w:p>
        </w:tc>
        <w:tc>
          <w:tcPr>
            <w:tcW w:w="53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36BF34" w14:textId="77777777" w:rsidR="00D734C5" w:rsidRPr="00D973EA" w:rsidRDefault="00D734C5" w:rsidP="007D4769">
            <w:pPr>
              <w:pStyle w:val="TableColumnHeadingRight"/>
              <w:keepNext/>
              <w:keepLines/>
            </w:pPr>
            <w:r w:rsidRPr="00AB2D7E">
              <w:rPr>
                <w:rFonts w:cs="Calibri"/>
                <w:bCs/>
              </w:rPr>
              <w:t>259.0</w:t>
            </w:r>
          </w:p>
        </w:tc>
        <w:tc>
          <w:tcPr>
            <w:tcW w:w="534" w:type="pct"/>
            <w:tcBorders>
              <w:top w:val="single" w:sz="4" w:space="0" w:color="auto"/>
              <w:left w:val="nil"/>
              <w:bottom w:val="single" w:sz="4" w:space="0" w:color="auto"/>
              <w:right w:val="single" w:sz="4" w:space="0" w:color="auto"/>
            </w:tcBorders>
            <w:shd w:val="clear" w:color="000000" w:fill="FFFFFF"/>
            <w:noWrap/>
            <w:vAlign w:val="center"/>
            <w:hideMark/>
          </w:tcPr>
          <w:p w14:paraId="4652094E" w14:textId="77777777" w:rsidR="00D734C5" w:rsidRPr="00D973EA" w:rsidRDefault="00D734C5" w:rsidP="007D4769">
            <w:pPr>
              <w:pStyle w:val="TableColumnHeadingRight"/>
              <w:keepNext/>
              <w:keepLines/>
            </w:pPr>
            <w:r w:rsidRPr="00AB2D7E">
              <w:rPr>
                <w:rFonts w:cs="Calibri"/>
                <w:bCs/>
              </w:rPr>
              <w:t>228.7</w:t>
            </w:r>
          </w:p>
        </w:tc>
        <w:tc>
          <w:tcPr>
            <w:tcW w:w="534" w:type="pct"/>
            <w:tcBorders>
              <w:top w:val="single" w:sz="4" w:space="0" w:color="auto"/>
              <w:left w:val="nil"/>
              <w:bottom w:val="single" w:sz="4" w:space="0" w:color="auto"/>
              <w:right w:val="single" w:sz="4" w:space="0" w:color="auto"/>
            </w:tcBorders>
            <w:shd w:val="clear" w:color="000000" w:fill="FFFFFF"/>
            <w:noWrap/>
            <w:vAlign w:val="center"/>
            <w:hideMark/>
          </w:tcPr>
          <w:p w14:paraId="543BBFE4" w14:textId="77777777" w:rsidR="00D734C5" w:rsidRPr="00D973EA" w:rsidRDefault="00D734C5" w:rsidP="007D4769">
            <w:pPr>
              <w:pStyle w:val="TableColumnHeadingRight"/>
              <w:keepNext/>
              <w:keepLines/>
            </w:pPr>
            <w:r w:rsidRPr="00AB2D7E">
              <w:rPr>
                <w:rFonts w:cs="Calibri"/>
                <w:bCs/>
              </w:rPr>
              <w:t>230.0</w:t>
            </w:r>
          </w:p>
        </w:tc>
        <w:tc>
          <w:tcPr>
            <w:tcW w:w="534" w:type="pct"/>
            <w:tcBorders>
              <w:top w:val="single" w:sz="4" w:space="0" w:color="auto"/>
              <w:left w:val="nil"/>
              <w:bottom w:val="single" w:sz="4" w:space="0" w:color="auto"/>
              <w:right w:val="single" w:sz="4" w:space="0" w:color="auto"/>
            </w:tcBorders>
            <w:shd w:val="clear" w:color="000000" w:fill="FFFFFF"/>
            <w:noWrap/>
            <w:vAlign w:val="center"/>
            <w:hideMark/>
          </w:tcPr>
          <w:p w14:paraId="133D5D68" w14:textId="77777777" w:rsidR="00D734C5" w:rsidRPr="00D973EA" w:rsidRDefault="00D734C5" w:rsidP="007D4769">
            <w:pPr>
              <w:pStyle w:val="TableColumnHeadingRight"/>
              <w:keepNext/>
              <w:keepLines/>
            </w:pPr>
            <w:r w:rsidRPr="00AB2D7E">
              <w:rPr>
                <w:rFonts w:cs="Calibri"/>
                <w:bCs/>
              </w:rPr>
              <w:t>250.7</w:t>
            </w:r>
          </w:p>
        </w:tc>
        <w:tc>
          <w:tcPr>
            <w:tcW w:w="534" w:type="pct"/>
            <w:tcBorders>
              <w:top w:val="single" w:sz="4" w:space="0" w:color="auto"/>
              <w:left w:val="nil"/>
              <w:bottom w:val="single" w:sz="4" w:space="0" w:color="auto"/>
              <w:right w:val="single" w:sz="4" w:space="0" w:color="auto"/>
            </w:tcBorders>
            <w:shd w:val="clear" w:color="000000" w:fill="FFFFFF"/>
            <w:noWrap/>
            <w:vAlign w:val="center"/>
            <w:hideMark/>
          </w:tcPr>
          <w:p w14:paraId="34350E83" w14:textId="77777777" w:rsidR="00D734C5" w:rsidRPr="00D973EA" w:rsidRDefault="00D734C5" w:rsidP="007D4769">
            <w:pPr>
              <w:pStyle w:val="TableColumnHeadingRight"/>
              <w:keepNext/>
              <w:keepLines/>
            </w:pPr>
            <w:r w:rsidRPr="00AB2D7E">
              <w:rPr>
                <w:rFonts w:cs="Calibri"/>
                <w:bCs/>
              </w:rPr>
              <w:t>248.0</w:t>
            </w:r>
          </w:p>
        </w:tc>
        <w:tc>
          <w:tcPr>
            <w:tcW w:w="534" w:type="pct"/>
            <w:tcBorders>
              <w:top w:val="single" w:sz="4" w:space="0" w:color="auto"/>
              <w:left w:val="nil"/>
              <w:bottom w:val="single" w:sz="4" w:space="0" w:color="auto"/>
              <w:right w:val="single" w:sz="4" w:space="0" w:color="auto"/>
            </w:tcBorders>
            <w:shd w:val="clear" w:color="000000" w:fill="FFFFFF"/>
            <w:noWrap/>
            <w:vAlign w:val="center"/>
            <w:hideMark/>
          </w:tcPr>
          <w:p w14:paraId="727A861D" w14:textId="77777777" w:rsidR="00D734C5" w:rsidRPr="00D973EA" w:rsidRDefault="00D734C5" w:rsidP="007D4769">
            <w:pPr>
              <w:pStyle w:val="TableColumnHeadingRight"/>
              <w:keepNext/>
              <w:keepLines/>
            </w:pPr>
            <w:r w:rsidRPr="00AB2D7E">
              <w:rPr>
                <w:rFonts w:cs="Calibri"/>
                <w:bCs/>
              </w:rPr>
              <w:t>213.4</w:t>
            </w:r>
          </w:p>
        </w:tc>
        <w:tc>
          <w:tcPr>
            <w:tcW w:w="534" w:type="pct"/>
            <w:tcBorders>
              <w:top w:val="single" w:sz="4" w:space="0" w:color="auto"/>
              <w:left w:val="nil"/>
              <w:bottom w:val="single" w:sz="4" w:space="0" w:color="auto"/>
              <w:right w:val="single" w:sz="4" w:space="0" w:color="auto"/>
            </w:tcBorders>
            <w:shd w:val="clear" w:color="000000" w:fill="FFFFFF"/>
            <w:noWrap/>
            <w:vAlign w:val="center"/>
            <w:hideMark/>
          </w:tcPr>
          <w:p w14:paraId="6177EE29" w14:textId="77777777" w:rsidR="00D734C5" w:rsidRPr="00D973EA" w:rsidRDefault="00D734C5" w:rsidP="007D4769">
            <w:pPr>
              <w:pStyle w:val="TableColumnHeadingRight"/>
              <w:keepNext/>
              <w:keepLines/>
            </w:pPr>
            <w:r w:rsidRPr="00AB2D7E">
              <w:rPr>
                <w:rFonts w:cs="Calibri"/>
                <w:bCs/>
              </w:rPr>
              <w:t>236.0</w:t>
            </w:r>
          </w:p>
        </w:tc>
      </w:tr>
    </w:tbl>
    <w:p w14:paraId="67D99400" w14:textId="77777777" w:rsidR="00D734C5" w:rsidRDefault="00D734C5" w:rsidP="001A5494">
      <w:pPr>
        <w:pStyle w:val="SingleParagraph"/>
      </w:pPr>
    </w:p>
    <w:p w14:paraId="210FACAD" w14:textId="2C1D3BB8" w:rsidR="00D865DA" w:rsidRDefault="00D865DA" w:rsidP="00D865DA">
      <w:r>
        <w:t>Reviews of the levy-setting arrangements were conducted in 2003,</w:t>
      </w:r>
      <w:r w:rsidR="00023FBB">
        <w:rPr>
          <w:rStyle w:val="FootnoteReference"/>
        </w:rPr>
        <w:footnoteReference w:id="5"/>
      </w:r>
      <w:r w:rsidR="00BC0C22">
        <w:t xml:space="preserve"> </w:t>
      </w:r>
      <w:r>
        <w:t>2005,</w:t>
      </w:r>
      <w:r w:rsidR="00023FBB">
        <w:rPr>
          <w:rStyle w:val="FootnoteReference"/>
        </w:rPr>
        <w:footnoteReference w:id="6"/>
      </w:r>
      <w:r w:rsidR="00BC0C22">
        <w:t xml:space="preserve"> </w:t>
      </w:r>
      <w:r>
        <w:t>2008-09</w:t>
      </w:r>
      <w:r w:rsidR="00023FBB">
        <w:rPr>
          <w:rStyle w:val="FootnoteReference"/>
        </w:rPr>
        <w:footnoteReference w:id="7"/>
      </w:r>
      <w:r w:rsidR="00BC0C22">
        <w:t xml:space="preserve"> </w:t>
      </w:r>
      <w:r>
        <w:t>and 2013</w:t>
      </w:r>
      <w:r w:rsidR="00023FBB">
        <w:rPr>
          <w:rStyle w:val="FootnoteReference"/>
        </w:rPr>
        <w:footnoteReference w:id="8"/>
      </w:r>
      <w:r>
        <w:t xml:space="preserve">. </w:t>
      </w:r>
    </w:p>
    <w:p w14:paraId="7160392B" w14:textId="77777777" w:rsidR="00D865DA" w:rsidRDefault="00D865DA" w:rsidP="00D734C5">
      <w:pPr>
        <w:pStyle w:val="Heading1Numbered"/>
      </w:pPr>
      <w:bookmarkStart w:id="8" w:name="_Toc16757301"/>
      <w:r>
        <w:t>RATIONALE FOR THE LEVIES</w:t>
      </w:r>
      <w:bookmarkEnd w:id="8"/>
    </w:p>
    <w:p w14:paraId="137E1C09" w14:textId="77777777" w:rsidR="00D865DA" w:rsidRDefault="00D865DA" w:rsidP="00D865DA">
      <w:r>
        <w:t xml:space="preserve">Regulators can be funded by industry, government, or a blend of the two. Most countries fund their prudential regulators through a mixture of government and industry funding. </w:t>
      </w:r>
    </w:p>
    <w:p w14:paraId="68065105" w14:textId="77777777" w:rsidR="00D865DA" w:rsidRDefault="00D865DA" w:rsidP="00D865DA">
      <w:r>
        <w:t xml:space="preserve">Prudential regulation can be seen as having public good characteristics, as a stable, well regulated financial sector confers benefits on the entire community,¬ not just the regulated parties. For this reason, an argument can be made that financial regulation should be funded entirely by government. However, calls on government resources need to be balanced against the potential benefits from alternative uses for government funds and against whether government funding would provide adequate resources for regulators. </w:t>
      </w:r>
    </w:p>
    <w:p w14:paraId="555F1F28" w14:textId="77777777" w:rsidR="00D865DA" w:rsidRDefault="00D865DA" w:rsidP="00D865DA">
      <w:r>
        <w:t xml:space="preserve">The desirability of autonomy for prudential regulators is generally taken to include independence from overall budget targets and, consequently, a high degree of industry funding. Australia’s participation in the IMF Financial Stability Assessment Program reinforces the importance of adherence to global ‘Core Principles’ for banking and insurance, which require that a regulator be funded in a way that does not undermine its autonomy or independence from government. </w:t>
      </w:r>
    </w:p>
    <w:p w14:paraId="3D3B226A" w14:textId="77777777" w:rsidR="00D865DA" w:rsidRDefault="00D865DA" w:rsidP="00D865DA">
      <w:r>
        <w:t xml:space="preserve">An industry levy, to meet the general costs of regulation, was recommended by the Wallis Inquiry in 1997 that led to the creation of APRA. The use of a levy ensures that funding for regulators is determined by reference to policies for financial system regulation and supervision rather than targets for the overall budget balance. </w:t>
      </w:r>
    </w:p>
    <w:p w14:paraId="20A41107" w14:textId="77777777" w:rsidR="00D865DA" w:rsidRDefault="00D865DA" w:rsidP="0031550F">
      <w:pPr>
        <w:pStyle w:val="Heading1Numbered"/>
      </w:pPr>
      <w:bookmarkStart w:id="9" w:name="_Toc16757302"/>
      <w:r>
        <w:lastRenderedPageBreak/>
        <w:t>SIZE AND STRUCTURE OF THE FINANCIAL SECTOR</w:t>
      </w:r>
      <w:bookmarkEnd w:id="9"/>
    </w:p>
    <w:p w14:paraId="512E0F2F" w14:textId="77777777" w:rsidR="00D865DA" w:rsidRDefault="00D865DA" w:rsidP="00D865DA">
      <w:r>
        <w:t>APRA currently supervises institutions holding $6.7 trillion assets for Australian depositors, policyholders and superannuation fund members, as at most recent data. In the 1990s and early 2000s, the assets of Australian financial institutions grew by around 10 per cent per annum, but growth has slowed in the decade since the global financial crisis.</w:t>
      </w:r>
    </w:p>
    <w:p w14:paraId="6F096F83" w14:textId="77777777" w:rsidR="00D865DA" w:rsidRDefault="00D865DA" w:rsidP="00D865DA">
      <w:r>
        <w:t>Authorised deposit taking institutions (ADIs) account for nearly 67 per cent of the assets of APRA-regulated institutions. ADI assets are over two times the size of nominal GDP. Australia’s four major banks together hold about 74 per cent of total ADI assets.</w:t>
      </w:r>
    </w:p>
    <w:p w14:paraId="5807F4F1" w14:textId="77777777" w:rsidR="00D865DA" w:rsidRDefault="00D865DA" w:rsidP="00D865DA">
      <w:r>
        <w:t>Life insurance companies, general insurance companies and superannuation funds account for about one third of Australian APRA-regulated institutions’ assets. Life insurance makes up around four per cent of APRA-regulated institutions’ assets. The industry has increasingly focused on wealth management rather than traditional life insurance business, with the industry’s superannuation businesses continuing to account for the vast majority of its assets. The general insurance industry is fairly concentrated, with four large companies dominating the sector.</w:t>
      </w:r>
    </w:p>
    <w:p w14:paraId="444CA13C" w14:textId="77777777" w:rsidR="00D865DA" w:rsidRDefault="00D865DA" w:rsidP="00D865DA">
      <w:r>
        <w:t xml:space="preserve">The Australian superannuation industry is relatively large by international standards. The assets of the APRA-regulated superannuation industry totalled $1.8 trillion at March 2019. </w:t>
      </w:r>
    </w:p>
    <w:p w14:paraId="4AD252EA" w14:textId="77777777" w:rsidR="00D865DA" w:rsidRDefault="00D865DA" w:rsidP="00D865DA">
      <w:r>
        <w:t>The following table outlines the size and structure of the regulated sectors from June 2014 to June2018.</w:t>
      </w:r>
    </w:p>
    <w:p w14:paraId="01C3A5DE" w14:textId="77777777" w:rsidR="00D865DA" w:rsidRDefault="00D865DA" w:rsidP="00D734C5">
      <w:pPr>
        <w:pStyle w:val="TableHeadingContinued"/>
      </w:pPr>
      <w:bookmarkStart w:id="10" w:name="_Toc16757303"/>
      <w:r>
        <w:t>Table 2: Number and asset base of regulated institutions</w:t>
      </w:r>
      <w:bookmarkEnd w:id="10"/>
    </w:p>
    <w:tbl>
      <w:tblPr>
        <w:tblW w:w="5000" w:type="pct"/>
        <w:tblLayout w:type="fixed"/>
        <w:tblLook w:val="04A0" w:firstRow="1" w:lastRow="0" w:firstColumn="1" w:lastColumn="0" w:noHBand="0" w:noVBand="1"/>
      </w:tblPr>
      <w:tblGrid>
        <w:gridCol w:w="1693"/>
        <w:gridCol w:w="710"/>
        <w:gridCol w:w="710"/>
        <w:gridCol w:w="658"/>
        <w:gridCol w:w="821"/>
        <w:gridCol w:w="669"/>
        <w:gridCol w:w="821"/>
        <w:gridCol w:w="669"/>
        <w:gridCol w:w="821"/>
        <w:gridCol w:w="669"/>
        <w:gridCol w:w="819"/>
      </w:tblGrid>
      <w:tr w:rsidR="00D734C5" w:rsidRPr="009E117F" w14:paraId="3C7CFBCD" w14:textId="77777777" w:rsidTr="003D0BB1">
        <w:trPr>
          <w:trHeight w:val="300"/>
        </w:trPr>
        <w:tc>
          <w:tcPr>
            <w:tcW w:w="93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9BED45E" w14:textId="77777777" w:rsidR="00D734C5" w:rsidRPr="003D0BB1" w:rsidRDefault="00D734C5" w:rsidP="007D4769">
            <w:pPr>
              <w:pStyle w:val="TableColumnHeadingCentred"/>
              <w:rPr>
                <w:sz w:val="18"/>
              </w:rPr>
            </w:pPr>
            <w:r w:rsidRPr="003D0BB1">
              <w:rPr>
                <w:sz w:val="18"/>
              </w:rPr>
              <w:t xml:space="preserve">Industry </w:t>
            </w:r>
          </w:p>
        </w:tc>
        <w:tc>
          <w:tcPr>
            <w:tcW w:w="784" w:type="pct"/>
            <w:gridSpan w:val="2"/>
            <w:tcBorders>
              <w:top w:val="single" w:sz="4" w:space="0" w:color="auto"/>
              <w:left w:val="nil"/>
              <w:bottom w:val="single" w:sz="4" w:space="0" w:color="auto"/>
              <w:right w:val="single" w:sz="4" w:space="0" w:color="auto"/>
            </w:tcBorders>
            <w:shd w:val="clear" w:color="auto" w:fill="auto"/>
            <w:vAlign w:val="center"/>
            <w:hideMark/>
          </w:tcPr>
          <w:p w14:paraId="38E60620" w14:textId="77777777" w:rsidR="00D734C5" w:rsidRPr="003D0BB1" w:rsidRDefault="00D734C5" w:rsidP="007D4769">
            <w:pPr>
              <w:pStyle w:val="TableColumnHeadingCentred"/>
              <w:rPr>
                <w:sz w:val="18"/>
              </w:rPr>
            </w:pPr>
            <w:r w:rsidRPr="003D0BB1">
              <w:rPr>
                <w:sz w:val="18"/>
              </w:rPr>
              <w:t>June 2014</w:t>
            </w:r>
          </w:p>
        </w:tc>
        <w:tc>
          <w:tcPr>
            <w:tcW w:w="816" w:type="pct"/>
            <w:gridSpan w:val="2"/>
            <w:tcBorders>
              <w:top w:val="single" w:sz="4" w:space="0" w:color="auto"/>
              <w:left w:val="nil"/>
              <w:bottom w:val="single" w:sz="4" w:space="0" w:color="auto"/>
              <w:right w:val="single" w:sz="4" w:space="0" w:color="auto"/>
            </w:tcBorders>
            <w:shd w:val="clear" w:color="auto" w:fill="auto"/>
            <w:vAlign w:val="center"/>
            <w:hideMark/>
          </w:tcPr>
          <w:p w14:paraId="6B85BA49" w14:textId="77777777" w:rsidR="00D734C5" w:rsidRPr="003D0BB1" w:rsidRDefault="00D734C5" w:rsidP="007D4769">
            <w:pPr>
              <w:pStyle w:val="TableColumnHeadingCentred"/>
              <w:rPr>
                <w:sz w:val="18"/>
              </w:rPr>
            </w:pPr>
            <w:r w:rsidRPr="003D0BB1">
              <w:rPr>
                <w:sz w:val="18"/>
              </w:rPr>
              <w:t>June 2015</w:t>
            </w:r>
          </w:p>
        </w:tc>
        <w:tc>
          <w:tcPr>
            <w:tcW w:w="822" w:type="pct"/>
            <w:gridSpan w:val="2"/>
            <w:tcBorders>
              <w:top w:val="single" w:sz="4" w:space="0" w:color="auto"/>
              <w:left w:val="nil"/>
              <w:bottom w:val="single" w:sz="4" w:space="0" w:color="auto"/>
              <w:right w:val="single" w:sz="4" w:space="0" w:color="auto"/>
            </w:tcBorders>
            <w:shd w:val="clear" w:color="auto" w:fill="auto"/>
            <w:vAlign w:val="center"/>
            <w:hideMark/>
          </w:tcPr>
          <w:p w14:paraId="0448795C" w14:textId="77777777" w:rsidR="00D734C5" w:rsidRPr="003D0BB1" w:rsidRDefault="00D734C5" w:rsidP="007D4769">
            <w:pPr>
              <w:pStyle w:val="TableColumnHeadingCentred"/>
              <w:rPr>
                <w:sz w:val="18"/>
              </w:rPr>
            </w:pPr>
            <w:r w:rsidRPr="003D0BB1">
              <w:rPr>
                <w:sz w:val="18"/>
              </w:rPr>
              <w:t>June 2016</w:t>
            </w:r>
          </w:p>
        </w:tc>
        <w:tc>
          <w:tcPr>
            <w:tcW w:w="822" w:type="pct"/>
            <w:gridSpan w:val="2"/>
            <w:tcBorders>
              <w:top w:val="single" w:sz="4" w:space="0" w:color="auto"/>
              <w:left w:val="nil"/>
              <w:bottom w:val="single" w:sz="4" w:space="0" w:color="auto"/>
              <w:right w:val="single" w:sz="4" w:space="0" w:color="auto"/>
            </w:tcBorders>
            <w:shd w:val="clear" w:color="auto" w:fill="auto"/>
            <w:noWrap/>
            <w:vAlign w:val="center"/>
            <w:hideMark/>
          </w:tcPr>
          <w:p w14:paraId="6B647531" w14:textId="77777777" w:rsidR="00D734C5" w:rsidRPr="003D0BB1" w:rsidRDefault="00D734C5" w:rsidP="007D4769">
            <w:pPr>
              <w:pStyle w:val="TableColumnHeadingCentred"/>
              <w:rPr>
                <w:sz w:val="18"/>
              </w:rPr>
            </w:pPr>
            <w:r w:rsidRPr="003D0BB1">
              <w:rPr>
                <w:sz w:val="18"/>
              </w:rPr>
              <w:t>June 2017</w:t>
            </w:r>
          </w:p>
        </w:tc>
        <w:tc>
          <w:tcPr>
            <w:tcW w:w="821" w:type="pct"/>
            <w:gridSpan w:val="2"/>
            <w:tcBorders>
              <w:top w:val="single" w:sz="4" w:space="0" w:color="auto"/>
              <w:left w:val="nil"/>
              <w:bottom w:val="single" w:sz="4" w:space="0" w:color="auto"/>
              <w:right w:val="single" w:sz="4" w:space="0" w:color="auto"/>
            </w:tcBorders>
            <w:vAlign w:val="center"/>
          </w:tcPr>
          <w:p w14:paraId="07F0D08A" w14:textId="77777777" w:rsidR="00D734C5" w:rsidRPr="003D0BB1" w:rsidRDefault="00D734C5" w:rsidP="007D4769">
            <w:pPr>
              <w:pStyle w:val="TableColumnHeadingCentred"/>
              <w:rPr>
                <w:sz w:val="18"/>
              </w:rPr>
            </w:pPr>
            <w:r w:rsidRPr="003D0BB1">
              <w:rPr>
                <w:sz w:val="18"/>
              </w:rPr>
              <w:t>June 2018</w:t>
            </w:r>
          </w:p>
        </w:tc>
      </w:tr>
      <w:tr w:rsidR="00D734C5" w:rsidRPr="009E117F" w14:paraId="73630C6A" w14:textId="77777777" w:rsidTr="003D0BB1">
        <w:trPr>
          <w:trHeight w:val="465"/>
        </w:trPr>
        <w:tc>
          <w:tcPr>
            <w:tcW w:w="934" w:type="pct"/>
            <w:vMerge/>
            <w:tcBorders>
              <w:top w:val="single" w:sz="4" w:space="0" w:color="auto"/>
              <w:left w:val="single" w:sz="4" w:space="0" w:color="auto"/>
              <w:bottom w:val="single" w:sz="4" w:space="0" w:color="000000"/>
              <w:right w:val="single" w:sz="4" w:space="0" w:color="auto"/>
            </w:tcBorders>
            <w:hideMark/>
          </w:tcPr>
          <w:p w14:paraId="21D4ADC2" w14:textId="77777777" w:rsidR="00D734C5" w:rsidRPr="003D0BB1" w:rsidRDefault="00D734C5" w:rsidP="007D4769">
            <w:pPr>
              <w:pStyle w:val="TableColumnHeadingCentred"/>
              <w:rPr>
                <w:sz w:val="18"/>
              </w:rPr>
            </w:pPr>
          </w:p>
        </w:tc>
        <w:tc>
          <w:tcPr>
            <w:tcW w:w="392" w:type="pct"/>
            <w:tcBorders>
              <w:top w:val="nil"/>
              <w:left w:val="nil"/>
              <w:bottom w:val="single" w:sz="4" w:space="0" w:color="auto"/>
              <w:right w:val="single" w:sz="4" w:space="0" w:color="auto"/>
            </w:tcBorders>
            <w:shd w:val="clear" w:color="auto" w:fill="auto"/>
            <w:vAlign w:val="center"/>
            <w:hideMark/>
          </w:tcPr>
          <w:p w14:paraId="771AAD7C" w14:textId="77777777" w:rsidR="00D734C5" w:rsidRPr="003D0BB1" w:rsidRDefault="00D734C5" w:rsidP="007D4769">
            <w:pPr>
              <w:pStyle w:val="TableColumnHeadingCentred"/>
              <w:rPr>
                <w:sz w:val="18"/>
              </w:rPr>
            </w:pPr>
            <w:r w:rsidRPr="003D0BB1">
              <w:rPr>
                <w:sz w:val="18"/>
              </w:rPr>
              <w:t>No.</w:t>
            </w:r>
          </w:p>
        </w:tc>
        <w:tc>
          <w:tcPr>
            <w:tcW w:w="392" w:type="pct"/>
            <w:tcBorders>
              <w:top w:val="nil"/>
              <w:left w:val="nil"/>
              <w:bottom w:val="single" w:sz="4" w:space="0" w:color="auto"/>
              <w:right w:val="single" w:sz="4" w:space="0" w:color="auto"/>
            </w:tcBorders>
            <w:shd w:val="clear" w:color="auto" w:fill="auto"/>
            <w:vAlign w:val="center"/>
            <w:hideMark/>
          </w:tcPr>
          <w:p w14:paraId="557E6F39" w14:textId="77777777" w:rsidR="00D734C5" w:rsidRPr="003D0BB1" w:rsidRDefault="00D734C5" w:rsidP="007D4769">
            <w:pPr>
              <w:pStyle w:val="TableColumnHeadingCentred"/>
              <w:rPr>
                <w:sz w:val="18"/>
              </w:rPr>
            </w:pPr>
            <w:r w:rsidRPr="003D0BB1">
              <w:rPr>
                <w:sz w:val="18"/>
              </w:rPr>
              <w:t>Total asset base ($b)</w:t>
            </w:r>
          </w:p>
        </w:tc>
        <w:tc>
          <w:tcPr>
            <w:tcW w:w="363" w:type="pct"/>
            <w:tcBorders>
              <w:top w:val="nil"/>
              <w:left w:val="nil"/>
              <w:bottom w:val="single" w:sz="4" w:space="0" w:color="auto"/>
              <w:right w:val="single" w:sz="4" w:space="0" w:color="auto"/>
            </w:tcBorders>
            <w:shd w:val="clear" w:color="auto" w:fill="auto"/>
            <w:vAlign w:val="center"/>
            <w:hideMark/>
          </w:tcPr>
          <w:p w14:paraId="6E7DBD3D" w14:textId="77777777" w:rsidR="00D734C5" w:rsidRPr="003D0BB1" w:rsidRDefault="00D734C5" w:rsidP="007D4769">
            <w:pPr>
              <w:pStyle w:val="TableColumnHeadingCentred"/>
              <w:rPr>
                <w:sz w:val="18"/>
              </w:rPr>
            </w:pPr>
            <w:r w:rsidRPr="003D0BB1">
              <w:rPr>
                <w:sz w:val="18"/>
              </w:rPr>
              <w:t>No.</w:t>
            </w:r>
          </w:p>
        </w:tc>
        <w:tc>
          <w:tcPr>
            <w:tcW w:w="453" w:type="pct"/>
            <w:tcBorders>
              <w:top w:val="nil"/>
              <w:left w:val="nil"/>
              <w:bottom w:val="single" w:sz="4" w:space="0" w:color="auto"/>
              <w:right w:val="single" w:sz="4" w:space="0" w:color="auto"/>
            </w:tcBorders>
            <w:shd w:val="clear" w:color="auto" w:fill="auto"/>
            <w:vAlign w:val="center"/>
            <w:hideMark/>
          </w:tcPr>
          <w:p w14:paraId="68D1BDB3" w14:textId="77777777" w:rsidR="00D734C5" w:rsidRPr="003D0BB1" w:rsidRDefault="00D734C5" w:rsidP="007D4769">
            <w:pPr>
              <w:pStyle w:val="TableColumnHeadingCentred"/>
              <w:rPr>
                <w:sz w:val="18"/>
              </w:rPr>
            </w:pPr>
            <w:r w:rsidRPr="003D0BB1">
              <w:rPr>
                <w:sz w:val="18"/>
              </w:rPr>
              <w:t>Total asset base ($b)</w:t>
            </w:r>
          </w:p>
        </w:tc>
        <w:tc>
          <w:tcPr>
            <w:tcW w:w="369" w:type="pct"/>
            <w:tcBorders>
              <w:top w:val="nil"/>
              <w:left w:val="nil"/>
              <w:bottom w:val="single" w:sz="4" w:space="0" w:color="auto"/>
              <w:right w:val="single" w:sz="4" w:space="0" w:color="auto"/>
            </w:tcBorders>
            <w:shd w:val="clear" w:color="auto" w:fill="auto"/>
            <w:vAlign w:val="center"/>
            <w:hideMark/>
          </w:tcPr>
          <w:p w14:paraId="516775A3" w14:textId="77777777" w:rsidR="00D734C5" w:rsidRPr="003D0BB1" w:rsidRDefault="00D734C5" w:rsidP="007D4769">
            <w:pPr>
              <w:pStyle w:val="TableColumnHeadingCentred"/>
              <w:rPr>
                <w:sz w:val="18"/>
              </w:rPr>
            </w:pPr>
            <w:r w:rsidRPr="003D0BB1">
              <w:rPr>
                <w:sz w:val="18"/>
              </w:rPr>
              <w:t>No.</w:t>
            </w:r>
          </w:p>
        </w:tc>
        <w:tc>
          <w:tcPr>
            <w:tcW w:w="453" w:type="pct"/>
            <w:tcBorders>
              <w:top w:val="nil"/>
              <w:left w:val="nil"/>
              <w:bottom w:val="single" w:sz="4" w:space="0" w:color="auto"/>
              <w:right w:val="single" w:sz="4" w:space="0" w:color="auto"/>
            </w:tcBorders>
            <w:shd w:val="clear" w:color="auto" w:fill="auto"/>
            <w:vAlign w:val="center"/>
            <w:hideMark/>
          </w:tcPr>
          <w:p w14:paraId="0918C07D" w14:textId="77777777" w:rsidR="00D734C5" w:rsidRPr="003D0BB1" w:rsidRDefault="00D734C5" w:rsidP="007D4769">
            <w:pPr>
              <w:pStyle w:val="TableColumnHeadingCentred"/>
              <w:rPr>
                <w:sz w:val="18"/>
              </w:rPr>
            </w:pPr>
            <w:r w:rsidRPr="003D0BB1">
              <w:rPr>
                <w:sz w:val="18"/>
              </w:rPr>
              <w:t>Total asset base ($b)</w:t>
            </w:r>
          </w:p>
        </w:tc>
        <w:tc>
          <w:tcPr>
            <w:tcW w:w="369" w:type="pct"/>
            <w:tcBorders>
              <w:top w:val="nil"/>
              <w:left w:val="nil"/>
              <w:bottom w:val="single" w:sz="4" w:space="0" w:color="auto"/>
              <w:right w:val="single" w:sz="4" w:space="0" w:color="auto"/>
            </w:tcBorders>
            <w:shd w:val="clear" w:color="auto" w:fill="auto"/>
            <w:vAlign w:val="center"/>
            <w:hideMark/>
          </w:tcPr>
          <w:p w14:paraId="159D3FD3" w14:textId="77777777" w:rsidR="00D734C5" w:rsidRPr="003D0BB1" w:rsidRDefault="00D734C5" w:rsidP="007D4769">
            <w:pPr>
              <w:pStyle w:val="TableColumnHeadingCentred"/>
              <w:rPr>
                <w:sz w:val="18"/>
              </w:rPr>
            </w:pPr>
            <w:r w:rsidRPr="003D0BB1">
              <w:rPr>
                <w:sz w:val="18"/>
              </w:rPr>
              <w:t>No.</w:t>
            </w:r>
          </w:p>
        </w:tc>
        <w:tc>
          <w:tcPr>
            <w:tcW w:w="453" w:type="pct"/>
            <w:tcBorders>
              <w:top w:val="nil"/>
              <w:left w:val="nil"/>
              <w:bottom w:val="single" w:sz="4" w:space="0" w:color="auto"/>
              <w:right w:val="single" w:sz="4" w:space="0" w:color="auto"/>
            </w:tcBorders>
            <w:shd w:val="clear" w:color="auto" w:fill="auto"/>
            <w:vAlign w:val="center"/>
            <w:hideMark/>
          </w:tcPr>
          <w:p w14:paraId="4CA62EE9" w14:textId="77777777" w:rsidR="00D734C5" w:rsidRPr="003D0BB1" w:rsidRDefault="00D734C5" w:rsidP="007D4769">
            <w:pPr>
              <w:pStyle w:val="TableColumnHeadingCentred"/>
              <w:rPr>
                <w:sz w:val="18"/>
              </w:rPr>
            </w:pPr>
            <w:r w:rsidRPr="003D0BB1">
              <w:rPr>
                <w:sz w:val="18"/>
              </w:rPr>
              <w:t>Total asset base ($b)</w:t>
            </w:r>
          </w:p>
        </w:tc>
        <w:tc>
          <w:tcPr>
            <w:tcW w:w="369" w:type="pct"/>
            <w:tcBorders>
              <w:top w:val="nil"/>
              <w:left w:val="nil"/>
              <w:bottom w:val="single" w:sz="4" w:space="0" w:color="auto"/>
              <w:right w:val="single" w:sz="4" w:space="0" w:color="auto"/>
            </w:tcBorders>
            <w:vAlign w:val="center"/>
          </w:tcPr>
          <w:p w14:paraId="1E626F66" w14:textId="77777777" w:rsidR="00D734C5" w:rsidRPr="003D0BB1" w:rsidRDefault="00D734C5" w:rsidP="007D4769">
            <w:pPr>
              <w:pStyle w:val="TableColumnHeadingCentred"/>
              <w:rPr>
                <w:sz w:val="18"/>
              </w:rPr>
            </w:pPr>
            <w:r w:rsidRPr="003D0BB1">
              <w:rPr>
                <w:sz w:val="18"/>
              </w:rPr>
              <w:t>No.</w:t>
            </w:r>
          </w:p>
        </w:tc>
        <w:tc>
          <w:tcPr>
            <w:tcW w:w="452" w:type="pct"/>
            <w:tcBorders>
              <w:top w:val="nil"/>
              <w:left w:val="nil"/>
              <w:bottom w:val="single" w:sz="4" w:space="0" w:color="auto"/>
              <w:right w:val="single" w:sz="4" w:space="0" w:color="auto"/>
            </w:tcBorders>
            <w:vAlign w:val="center"/>
          </w:tcPr>
          <w:p w14:paraId="41584BDC" w14:textId="77777777" w:rsidR="00D734C5" w:rsidRPr="003D0BB1" w:rsidRDefault="00D734C5" w:rsidP="007D4769">
            <w:pPr>
              <w:pStyle w:val="TableColumnHeadingCentred"/>
              <w:rPr>
                <w:sz w:val="18"/>
              </w:rPr>
            </w:pPr>
            <w:r w:rsidRPr="003D0BB1">
              <w:rPr>
                <w:sz w:val="18"/>
              </w:rPr>
              <w:t>Total asset base ($b)</w:t>
            </w:r>
          </w:p>
        </w:tc>
      </w:tr>
      <w:tr w:rsidR="00D734C5" w:rsidRPr="009E117F" w14:paraId="7D664CAA" w14:textId="77777777" w:rsidTr="003D0BB1">
        <w:trPr>
          <w:trHeight w:val="300"/>
        </w:trPr>
        <w:tc>
          <w:tcPr>
            <w:tcW w:w="934" w:type="pct"/>
            <w:tcBorders>
              <w:top w:val="nil"/>
              <w:left w:val="single" w:sz="4" w:space="0" w:color="auto"/>
              <w:bottom w:val="single" w:sz="4" w:space="0" w:color="auto"/>
              <w:right w:val="single" w:sz="4" w:space="0" w:color="auto"/>
            </w:tcBorders>
            <w:shd w:val="clear" w:color="auto" w:fill="auto"/>
            <w:noWrap/>
            <w:vAlign w:val="center"/>
            <w:hideMark/>
          </w:tcPr>
          <w:p w14:paraId="39E02203" w14:textId="77777777" w:rsidR="00D734C5" w:rsidRPr="003D0BB1" w:rsidRDefault="00D734C5" w:rsidP="007D4769">
            <w:pPr>
              <w:pStyle w:val="TableColumnHeadingCentred"/>
              <w:jc w:val="left"/>
              <w:rPr>
                <w:sz w:val="18"/>
              </w:rPr>
            </w:pPr>
            <w:r w:rsidRPr="003D0BB1">
              <w:rPr>
                <w:sz w:val="18"/>
              </w:rPr>
              <w:t>ADIs</w:t>
            </w:r>
          </w:p>
        </w:tc>
        <w:tc>
          <w:tcPr>
            <w:tcW w:w="392" w:type="pct"/>
            <w:tcBorders>
              <w:top w:val="nil"/>
              <w:left w:val="nil"/>
              <w:bottom w:val="single" w:sz="4" w:space="0" w:color="auto"/>
              <w:right w:val="single" w:sz="4" w:space="0" w:color="auto"/>
            </w:tcBorders>
            <w:shd w:val="clear" w:color="auto" w:fill="auto"/>
            <w:vAlign w:val="center"/>
            <w:hideMark/>
          </w:tcPr>
          <w:p w14:paraId="6685AF52" w14:textId="77777777" w:rsidR="00D734C5" w:rsidRPr="003D0BB1" w:rsidRDefault="00D734C5" w:rsidP="007D4769">
            <w:pPr>
              <w:pStyle w:val="TableTextRight"/>
              <w:rPr>
                <w:sz w:val="16"/>
                <w:szCs w:val="16"/>
              </w:rPr>
            </w:pPr>
            <w:r w:rsidRPr="003D0BB1">
              <w:rPr>
                <w:rFonts w:cs="Calibri"/>
                <w:sz w:val="16"/>
                <w:szCs w:val="16"/>
              </w:rPr>
              <w:t>169</w:t>
            </w:r>
          </w:p>
        </w:tc>
        <w:tc>
          <w:tcPr>
            <w:tcW w:w="392" w:type="pct"/>
            <w:tcBorders>
              <w:top w:val="nil"/>
              <w:left w:val="nil"/>
              <w:bottom w:val="single" w:sz="4" w:space="0" w:color="auto"/>
              <w:right w:val="single" w:sz="4" w:space="0" w:color="auto"/>
            </w:tcBorders>
            <w:shd w:val="clear" w:color="auto" w:fill="auto"/>
            <w:vAlign w:val="center"/>
          </w:tcPr>
          <w:p w14:paraId="31A3BBA6" w14:textId="77777777" w:rsidR="00D734C5" w:rsidRPr="003D0BB1" w:rsidRDefault="00D734C5" w:rsidP="007D4769">
            <w:pPr>
              <w:pStyle w:val="TableTextRight"/>
              <w:rPr>
                <w:sz w:val="16"/>
                <w:szCs w:val="16"/>
              </w:rPr>
            </w:pPr>
            <w:r w:rsidRPr="003D0BB1">
              <w:rPr>
                <w:rFonts w:cs="Calibri"/>
                <w:sz w:val="16"/>
                <w:szCs w:val="16"/>
              </w:rPr>
              <w:t>3,427.5</w:t>
            </w:r>
          </w:p>
        </w:tc>
        <w:tc>
          <w:tcPr>
            <w:tcW w:w="363" w:type="pct"/>
            <w:tcBorders>
              <w:top w:val="nil"/>
              <w:left w:val="nil"/>
              <w:bottom w:val="single" w:sz="4" w:space="0" w:color="auto"/>
              <w:right w:val="single" w:sz="4" w:space="0" w:color="auto"/>
            </w:tcBorders>
            <w:shd w:val="clear" w:color="auto" w:fill="auto"/>
            <w:vAlign w:val="center"/>
            <w:hideMark/>
          </w:tcPr>
          <w:p w14:paraId="7162A77E" w14:textId="77777777" w:rsidR="00D734C5" w:rsidRPr="003D0BB1" w:rsidRDefault="00D734C5" w:rsidP="007D4769">
            <w:pPr>
              <w:pStyle w:val="TableTextRight"/>
              <w:rPr>
                <w:sz w:val="16"/>
                <w:szCs w:val="16"/>
              </w:rPr>
            </w:pPr>
            <w:r w:rsidRPr="003D0BB1">
              <w:rPr>
                <w:rFonts w:cs="Calibri"/>
                <w:sz w:val="16"/>
                <w:szCs w:val="16"/>
              </w:rPr>
              <w:t>161</w:t>
            </w:r>
          </w:p>
        </w:tc>
        <w:tc>
          <w:tcPr>
            <w:tcW w:w="453" w:type="pct"/>
            <w:tcBorders>
              <w:top w:val="nil"/>
              <w:left w:val="nil"/>
              <w:bottom w:val="single" w:sz="4" w:space="0" w:color="auto"/>
              <w:right w:val="single" w:sz="4" w:space="0" w:color="auto"/>
            </w:tcBorders>
            <w:shd w:val="clear" w:color="auto" w:fill="auto"/>
            <w:vAlign w:val="center"/>
            <w:hideMark/>
          </w:tcPr>
          <w:p w14:paraId="70C084F5" w14:textId="77777777" w:rsidR="00D734C5" w:rsidRPr="003D0BB1" w:rsidRDefault="00D734C5" w:rsidP="007D4769">
            <w:pPr>
              <w:pStyle w:val="TableTextRight"/>
              <w:rPr>
                <w:sz w:val="16"/>
                <w:szCs w:val="16"/>
              </w:rPr>
            </w:pPr>
            <w:r w:rsidRPr="003D0BB1">
              <w:rPr>
                <w:rFonts w:cs="Calibri"/>
                <w:sz w:val="16"/>
                <w:szCs w:val="16"/>
              </w:rPr>
              <w:t>3,853.7</w:t>
            </w:r>
          </w:p>
        </w:tc>
        <w:tc>
          <w:tcPr>
            <w:tcW w:w="369" w:type="pct"/>
            <w:tcBorders>
              <w:top w:val="nil"/>
              <w:left w:val="nil"/>
              <w:bottom w:val="single" w:sz="4" w:space="0" w:color="auto"/>
              <w:right w:val="single" w:sz="4" w:space="0" w:color="auto"/>
            </w:tcBorders>
            <w:shd w:val="clear" w:color="auto" w:fill="auto"/>
            <w:vAlign w:val="center"/>
            <w:hideMark/>
          </w:tcPr>
          <w:p w14:paraId="24B99255" w14:textId="77777777" w:rsidR="00D734C5" w:rsidRPr="003D0BB1" w:rsidRDefault="00D734C5" w:rsidP="007D4769">
            <w:pPr>
              <w:pStyle w:val="TableTextRight"/>
              <w:rPr>
                <w:sz w:val="16"/>
                <w:szCs w:val="16"/>
              </w:rPr>
            </w:pPr>
            <w:r w:rsidRPr="003D0BB1">
              <w:rPr>
                <w:rFonts w:cs="Calibri"/>
                <w:sz w:val="16"/>
                <w:szCs w:val="16"/>
              </w:rPr>
              <w:t>157</w:t>
            </w:r>
          </w:p>
        </w:tc>
        <w:tc>
          <w:tcPr>
            <w:tcW w:w="453" w:type="pct"/>
            <w:tcBorders>
              <w:top w:val="nil"/>
              <w:left w:val="nil"/>
              <w:bottom w:val="single" w:sz="4" w:space="0" w:color="auto"/>
              <w:right w:val="single" w:sz="4" w:space="0" w:color="auto"/>
            </w:tcBorders>
            <w:shd w:val="clear" w:color="auto" w:fill="auto"/>
            <w:vAlign w:val="center"/>
            <w:hideMark/>
          </w:tcPr>
          <w:p w14:paraId="7E2F8CEF" w14:textId="77777777" w:rsidR="00D734C5" w:rsidRPr="003D0BB1" w:rsidRDefault="00D734C5" w:rsidP="007D4769">
            <w:pPr>
              <w:pStyle w:val="TableTextRight"/>
              <w:rPr>
                <w:sz w:val="16"/>
                <w:szCs w:val="16"/>
              </w:rPr>
            </w:pPr>
            <w:r w:rsidRPr="003D0BB1">
              <w:rPr>
                <w:rFonts w:cs="Calibri"/>
                <w:sz w:val="16"/>
                <w:szCs w:val="16"/>
              </w:rPr>
              <w:t>4,171.6</w:t>
            </w:r>
          </w:p>
        </w:tc>
        <w:tc>
          <w:tcPr>
            <w:tcW w:w="369" w:type="pct"/>
            <w:tcBorders>
              <w:top w:val="nil"/>
              <w:left w:val="nil"/>
              <w:bottom w:val="single" w:sz="4" w:space="0" w:color="auto"/>
              <w:right w:val="single" w:sz="4" w:space="0" w:color="auto"/>
            </w:tcBorders>
            <w:shd w:val="clear" w:color="auto" w:fill="auto"/>
            <w:noWrap/>
            <w:vAlign w:val="center"/>
          </w:tcPr>
          <w:p w14:paraId="013EA6A9" w14:textId="77777777" w:rsidR="00D734C5" w:rsidRPr="003D0BB1" w:rsidRDefault="00D734C5" w:rsidP="007D4769">
            <w:pPr>
              <w:pStyle w:val="TableTextRight"/>
              <w:rPr>
                <w:sz w:val="16"/>
                <w:szCs w:val="16"/>
              </w:rPr>
            </w:pPr>
            <w:r w:rsidRPr="003D0BB1">
              <w:rPr>
                <w:rFonts w:cs="Calibri"/>
                <w:sz w:val="16"/>
                <w:szCs w:val="16"/>
              </w:rPr>
              <w:t>149</w:t>
            </w:r>
          </w:p>
        </w:tc>
        <w:tc>
          <w:tcPr>
            <w:tcW w:w="453" w:type="pct"/>
            <w:tcBorders>
              <w:top w:val="nil"/>
              <w:left w:val="nil"/>
              <w:bottom w:val="single" w:sz="4" w:space="0" w:color="auto"/>
              <w:right w:val="single" w:sz="4" w:space="0" w:color="auto"/>
            </w:tcBorders>
            <w:shd w:val="clear" w:color="auto" w:fill="auto"/>
            <w:noWrap/>
            <w:vAlign w:val="center"/>
          </w:tcPr>
          <w:p w14:paraId="5B8C625B" w14:textId="77777777" w:rsidR="00D734C5" w:rsidRPr="003D0BB1" w:rsidRDefault="00D734C5" w:rsidP="007D4769">
            <w:pPr>
              <w:pStyle w:val="TableTextRight"/>
              <w:rPr>
                <w:sz w:val="16"/>
                <w:szCs w:val="16"/>
              </w:rPr>
            </w:pPr>
            <w:r w:rsidRPr="003D0BB1">
              <w:rPr>
                <w:rFonts w:cs="Calibri"/>
                <w:sz w:val="16"/>
                <w:szCs w:val="16"/>
              </w:rPr>
              <w:t>4,242.0</w:t>
            </w:r>
          </w:p>
        </w:tc>
        <w:tc>
          <w:tcPr>
            <w:tcW w:w="369" w:type="pct"/>
            <w:tcBorders>
              <w:top w:val="nil"/>
              <w:left w:val="nil"/>
              <w:bottom w:val="single" w:sz="4" w:space="0" w:color="auto"/>
              <w:right w:val="single" w:sz="4" w:space="0" w:color="auto"/>
            </w:tcBorders>
            <w:vAlign w:val="center"/>
          </w:tcPr>
          <w:p w14:paraId="33A62968" w14:textId="77777777" w:rsidR="00D734C5" w:rsidRPr="003D0BB1" w:rsidRDefault="00D734C5" w:rsidP="007D4769">
            <w:pPr>
              <w:pStyle w:val="TableTextRight"/>
              <w:rPr>
                <w:sz w:val="16"/>
                <w:szCs w:val="16"/>
              </w:rPr>
            </w:pPr>
            <w:r w:rsidRPr="003D0BB1">
              <w:rPr>
                <w:rFonts w:cs="Calibri"/>
                <w:sz w:val="16"/>
                <w:szCs w:val="16"/>
              </w:rPr>
              <w:t>145</w:t>
            </w:r>
          </w:p>
        </w:tc>
        <w:tc>
          <w:tcPr>
            <w:tcW w:w="452" w:type="pct"/>
            <w:tcBorders>
              <w:top w:val="nil"/>
              <w:left w:val="nil"/>
              <w:bottom w:val="single" w:sz="4" w:space="0" w:color="auto"/>
              <w:right w:val="single" w:sz="4" w:space="0" w:color="auto"/>
            </w:tcBorders>
            <w:vAlign w:val="center"/>
          </w:tcPr>
          <w:p w14:paraId="088F52C0" w14:textId="77777777" w:rsidR="00D734C5" w:rsidRPr="003D0BB1" w:rsidRDefault="00D734C5" w:rsidP="007D4769">
            <w:pPr>
              <w:pStyle w:val="TableTextRight"/>
              <w:rPr>
                <w:sz w:val="16"/>
                <w:szCs w:val="16"/>
              </w:rPr>
            </w:pPr>
            <w:r w:rsidRPr="003D0BB1">
              <w:rPr>
                <w:rFonts w:cs="Calibri"/>
                <w:sz w:val="16"/>
                <w:szCs w:val="16"/>
              </w:rPr>
              <w:t>4,322.0</w:t>
            </w:r>
          </w:p>
        </w:tc>
      </w:tr>
      <w:tr w:rsidR="00D734C5" w:rsidRPr="009E117F" w14:paraId="0A28CD25" w14:textId="77777777" w:rsidTr="003D0BB1">
        <w:trPr>
          <w:trHeight w:val="465"/>
        </w:trPr>
        <w:tc>
          <w:tcPr>
            <w:tcW w:w="934" w:type="pct"/>
            <w:tcBorders>
              <w:top w:val="nil"/>
              <w:left w:val="single" w:sz="4" w:space="0" w:color="auto"/>
              <w:bottom w:val="single" w:sz="4" w:space="0" w:color="auto"/>
              <w:right w:val="single" w:sz="4" w:space="0" w:color="auto"/>
            </w:tcBorders>
            <w:shd w:val="clear" w:color="auto" w:fill="auto"/>
            <w:vAlign w:val="center"/>
            <w:hideMark/>
          </w:tcPr>
          <w:p w14:paraId="58980972" w14:textId="77777777" w:rsidR="00D734C5" w:rsidRPr="003D0BB1" w:rsidRDefault="00D734C5" w:rsidP="007D4769">
            <w:pPr>
              <w:pStyle w:val="TableColumnHeadingLeft"/>
              <w:rPr>
                <w:sz w:val="18"/>
              </w:rPr>
            </w:pPr>
            <w:r w:rsidRPr="003D0BB1">
              <w:rPr>
                <w:sz w:val="18"/>
              </w:rPr>
              <w:t>Life insurers and Friendly societies</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BAF45A3" w14:textId="77777777" w:rsidR="00D734C5" w:rsidRPr="003D0BB1" w:rsidRDefault="00D734C5" w:rsidP="007D4769">
            <w:pPr>
              <w:pStyle w:val="TableTextRight"/>
              <w:rPr>
                <w:sz w:val="16"/>
                <w:szCs w:val="16"/>
              </w:rPr>
            </w:pPr>
            <w:r w:rsidRPr="003D0BB1">
              <w:rPr>
                <w:rFonts w:cs="Calibri"/>
                <w:sz w:val="16"/>
                <w:szCs w:val="16"/>
              </w:rPr>
              <w:t>40</w:t>
            </w:r>
          </w:p>
        </w:tc>
        <w:tc>
          <w:tcPr>
            <w:tcW w:w="392" w:type="pct"/>
            <w:tcBorders>
              <w:top w:val="single" w:sz="4" w:space="0" w:color="auto"/>
              <w:left w:val="nil"/>
              <w:bottom w:val="single" w:sz="4" w:space="0" w:color="auto"/>
              <w:right w:val="single" w:sz="4" w:space="0" w:color="auto"/>
            </w:tcBorders>
            <w:shd w:val="clear" w:color="auto" w:fill="auto"/>
            <w:vAlign w:val="center"/>
          </w:tcPr>
          <w:p w14:paraId="6E0F5547" w14:textId="77777777" w:rsidR="00D734C5" w:rsidRPr="003D0BB1" w:rsidRDefault="00D734C5" w:rsidP="007D4769">
            <w:pPr>
              <w:pStyle w:val="TableTextRight"/>
              <w:rPr>
                <w:sz w:val="16"/>
                <w:szCs w:val="16"/>
              </w:rPr>
            </w:pPr>
            <w:r w:rsidRPr="003D0BB1">
              <w:rPr>
                <w:rFonts w:cs="Calibri"/>
                <w:sz w:val="16"/>
                <w:szCs w:val="16"/>
              </w:rPr>
              <w:t>289.3</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5D47878B" w14:textId="77777777" w:rsidR="00D734C5" w:rsidRPr="003D0BB1" w:rsidRDefault="00D734C5" w:rsidP="007D4769">
            <w:pPr>
              <w:pStyle w:val="TableTextRight"/>
              <w:rPr>
                <w:sz w:val="16"/>
                <w:szCs w:val="16"/>
              </w:rPr>
            </w:pPr>
            <w:r w:rsidRPr="003D0BB1">
              <w:rPr>
                <w:rFonts w:cs="Calibri"/>
                <w:sz w:val="16"/>
                <w:szCs w:val="16"/>
              </w:rPr>
              <w:t>39</w:t>
            </w: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1C27B7FD" w14:textId="77777777" w:rsidR="00D734C5" w:rsidRPr="003D0BB1" w:rsidRDefault="00D734C5" w:rsidP="007D4769">
            <w:pPr>
              <w:pStyle w:val="TableTextRight"/>
              <w:rPr>
                <w:sz w:val="16"/>
                <w:szCs w:val="16"/>
              </w:rPr>
            </w:pPr>
            <w:r w:rsidRPr="003D0BB1">
              <w:rPr>
                <w:rFonts w:cs="Calibri"/>
                <w:sz w:val="16"/>
                <w:szCs w:val="16"/>
              </w:rPr>
              <w:t>305.8</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3ACA2C3E" w14:textId="77777777" w:rsidR="00D734C5" w:rsidRPr="003D0BB1" w:rsidRDefault="00D734C5" w:rsidP="007D4769">
            <w:pPr>
              <w:pStyle w:val="TableTextRight"/>
              <w:rPr>
                <w:sz w:val="16"/>
                <w:szCs w:val="16"/>
              </w:rPr>
            </w:pPr>
            <w:r w:rsidRPr="003D0BB1">
              <w:rPr>
                <w:rFonts w:cs="Calibri"/>
                <w:sz w:val="16"/>
                <w:szCs w:val="16"/>
              </w:rPr>
              <w:t>40</w:t>
            </w: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79101D5D" w14:textId="77777777" w:rsidR="00D734C5" w:rsidRPr="003D0BB1" w:rsidRDefault="00D734C5" w:rsidP="007D4769">
            <w:pPr>
              <w:pStyle w:val="TableTextRight"/>
              <w:rPr>
                <w:sz w:val="16"/>
                <w:szCs w:val="16"/>
              </w:rPr>
            </w:pPr>
            <w:r w:rsidRPr="003D0BB1">
              <w:rPr>
                <w:rFonts w:cs="Calibri"/>
                <w:sz w:val="16"/>
                <w:szCs w:val="16"/>
              </w:rPr>
              <w:t>299.7</w:t>
            </w:r>
          </w:p>
        </w:tc>
        <w:tc>
          <w:tcPr>
            <w:tcW w:w="369" w:type="pct"/>
            <w:tcBorders>
              <w:top w:val="single" w:sz="4" w:space="0" w:color="auto"/>
              <w:left w:val="nil"/>
              <w:bottom w:val="single" w:sz="4" w:space="0" w:color="auto"/>
              <w:right w:val="single" w:sz="4" w:space="0" w:color="auto"/>
            </w:tcBorders>
            <w:shd w:val="clear" w:color="auto" w:fill="auto"/>
            <w:noWrap/>
            <w:vAlign w:val="center"/>
          </w:tcPr>
          <w:p w14:paraId="7A4366A0" w14:textId="77777777" w:rsidR="00D734C5" w:rsidRPr="003D0BB1" w:rsidRDefault="00D734C5" w:rsidP="007D4769">
            <w:pPr>
              <w:pStyle w:val="TableTextRight"/>
              <w:rPr>
                <w:sz w:val="16"/>
                <w:szCs w:val="16"/>
              </w:rPr>
            </w:pPr>
            <w:r w:rsidRPr="003D0BB1">
              <w:rPr>
                <w:rFonts w:cs="Calibri"/>
                <w:sz w:val="16"/>
                <w:szCs w:val="16"/>
              </w:rPr>
              <w:t>41</w:t>
            </w:r>
          </w:p>
        </w:tc>
        <w:tc>
          <w:tcPr>
            <w:tcW w:w="453" w:type="pct"/>
            <w:tcBorders>
              <w:top w:val="single" w:sz="4" w:space="0" w:color="auto"/>
              <w:left w:val="nil"/>
              <w:bottom w:val="single" w:sz="4" w:space="0" w:color="auto"/>
              <w:right w:val="single" w:sz="4" w:space="0" w:color="auto"/>
            </w:tcBorders>
            <w:shd w:val="clear" w:color="auto" w:fill="auto"/>
            <w:noWrap/>
            <w:vAlign w:val="center"/>
          </w:tcPr>
          <w:p w14:paraId="06C5136C" w14:textId="77777777" w:rsidR="00D734C5" w:rsidRPr="003D0BB1" w:rsidRDefault="00D734C5" w:rsidP="007D4769">
            <w:pPr>
              <w:pStyle w:val="TableTextRight"/>
              <w:rPr>
                <w:sz w:val="16"/>
                <w:szCs w:val="16"/>
              </w:rPr>
            </w:pPr>
            <w:r w:rsidRPr="003D0BB1">
              <w:rPr>
                <w:rFonts w:cs="Calibri"/>
                <w:sz w:val="16"/>
                <w:szCs w:val="16"/>
              </w:rPr>
              <w:t>236.7</w:t>
            </w:r>
          </w:p>
        </w:tc>
        <w:tc>
          <w:tcPr>
            <w:tcW w:w="369" w:type="pct"/>
            <w:tcBorders>
              <w:top w:val="single" w:sz="4" w:space="0" w:color="auto"/>
              <w:left w:val="nil"/>
              <w:bottom w:val="single" w:sz="4" w:space="0" w:color="auto"/>
              <w:right w:val="single" w:sz="4" w:space="0" w:color="auto"/>
            </w:tcBorders>
            <w:vAlign w:val="center"/>
          </w:tcPr>
          <w:p w14:paraId="5186BD1F" w14:textId="77777777" w:rsidR="00D734C5" w:rsidRPr="003D0BB1" w:rsidRDefault="00D734C5" w:rsidP="007D4769">
            <w:pPr>
              <w:pStyle w:val="TableTextRight"/>
              <w:rPr>
                <w:sz w:val="16"/>
                <w:szCs w:val="16"/>
              </w:rPr>
            </w:pPr>
            <w:r w:rsidRPr="003D0BB1">
              <w:rPr>
                <w:rFonts w:cs="Calibri"/>
                <w:sz w:val="16"/>
                <w:szCs w:val="16"/>
              </w:rPr>
              <w:t>41</w:t>
            </w:r>
          </w:p>
        </w:tc>
        <w:tc>
          <w:tcPr>
            <w:tcW w:w="452" w:type="pct"/>
            <w:tcBorders>
              <w:top w:val="single" w:sz="4" w:space="0" w:color="auto"/>
              <w:left w:val="nil"/>
              <w:bottom w:val="single" w:sz="4" w:space="0" w:color="auto"/>
              <w:right w:val="single" w:sz="4" w:space="0" w:color="auto"/>
            </w:tcBorders>
            <w:vAlign w:val="center"/>
          </w:tcPr>
          <w:p w14:paraId="39123284" w14:textId="77777777" w:rsidR="00D734C5" w:rsidRPr="003D0BB1" w:rsidRDefault="00D734C5" w:rsidP="007D4769">
            <w:pPr>
              <w:pStyle w:val="TableTextRight"/>
              <w:rPr>
                <w:sz w:val="16"/>
                <w:szCs w:val="16"/>
              </w:rPr>
            </w:pPr>
            <w:r w:rsidRPr="003D0BB1">
              <w:rPr>
                <w:rFonts w:cs="Calibri"/>
                <w:sz w:val="16"/>
                <w:szCs w:val="16"/>
              </w:rPr>
              <w:t>240.0</w:t>
            </w:r>
          </w:p>
        </w:tc>
      </w:tr>
      <w:tr w:rsidR="00D734C5" w:rsidRPr="009E117F" w14:paraId="1162EFB9" w14:textId="77777777" w:rsidTr="003D0BB1">
        <w:trPr>
          <w:trHeight w:val="300"/>
        </w:trPr>
        <w:tc>
          <w:tcPr>
            <w:tcW w:w="934" w:type="pct"/>
            <w:tcBorders>
              <w:top w:val="nil"/>
              <w:left w:val="single" w:sz="4" w:space="0" w:color="auto"/>
              <w:bottom w:val="single" w:sz="4" w:space="0" w:color="auto"/>
              <w:right w:val="single" w:sz="4" w:space="0" w:color="auto"/>
            </w:tcBorders>
            <w:shd w:val="clear" w:color="auto" w:fill="auto"/>
            <w:noWrap/>
            <w:vAlign w:val="center"/>
            <w:hideMark/>
          </w:tcPr>
          <w:p w14:paraId="5A52BA17" w14:textId="77777777" w:rsidR="00D734C5" w:rsidRPr="003D0BB1" w:rsidRDefault="00D734C5" w:rsidP="007D4769">
            <w:pPr>
              <w:pStyle w:val="TableColumnHeadingLeft"/>
              <w:rPr>
                <w:sz w:val="18"/>
              </w:rPr>
            </w:pPr>
            <w:r w:rsidRPr="003D0BB1">
              <w:rPr>
                <w:sz w:val="18"/>
              </w:rPr>
              <w:t>General insurers</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32B9E04B" w14:textId="77777777" w:rsidR="00D734C5" w:rsidRPr="003D0BB1" w:rsidRDefault="00D734C5" w:rsidP="007D4769">
            <w:pPr>
              <w:pStyle w:val="TableTextRight"/>
              <w:rPr>
                <w:sz w:val="16"/>
                <w:szCs w:val="16"/>
              </w:rPr>
            </w:pPr>
            <w:r w:rsidRPr="003D0BB1">
              <w:rPr>
                <w:rFonts w:cs="Calibri"/>
                <w:sz w:val="16"/>
                <w:szCs w:val="16"/>
              </w:rPr>
              <w:t>115</w:t>
            </w:r>
          </w:p>
        </w:tc>
        <w:tc>
          <w:tcPr>
            <w:tcW w:w="392" w:type="pct"/>
            <w:tcBorders>
              <w:top w:val="single" w:sz="4" w:space="0" w:color="auto"/>
              <w:left w:val="nil"/>
              <w:bottom w:val="single" w:sz="4" w:space="0" w:color="auto"/>
              <w:right w:val="single" w:sz="4" w:space="0" w:color="auto"/>
            </w:tcBorders>
            <w:shd w:val="clear" w:color="auto" w:fill="auto"/>
            <w:vAlign w:val="center"/>
          </w:tcPr>
          <w:p w14:paraId="1FDE7238" w14:textId="77777777" w:rsidR="00D734C5" w:rsidRPr="003D0BB1" w:rsidRDefault="00D734C5" w:rsidP="007D4769">
            <w:pPr>
              <w:pStyle w:val="TableTextRight"/>
              <w:rPr>
                <w:sz w:val="16"/>
                <w:szCs w:val="16"/>
              </w:rPr>
            </w:pPr>
            <w:r w:rsidRPr="003D0BB1">
              <w:rPr>
                <w:rFonts w:cs="Calibri"/>
                <w:sz w:val="16"/>
                <w:szCs w:val="16"/>
              </w:rPr>
              <w:t>114.5</w:t>
            </w:r>
          </w:p>
        </w:tc>
        <w:tc>
          <w:tcPr>
            <w:tcW w:w="363" w:type="pct"/>
            <w:tcBorders>
              <w:top w:val="single" w:sz="4" w:space="0" w:color="auto"/>
              <w:left w:val="nil"/>
              <w:bottom w:val="single" w:sz="4" w:space="0" w:color="auto"/>
              <w:right w:val="single" w:sz="4" w:space="0" w:color="auto"/>
            </w:tcBorders>
            <w:shd w:val="clear" w:color="auto" w:fill="auto"/>
            <w:vAlign w:val="center"/>
            <w:hideMark/>
          </w:tcPr>
          <w:p w14:paraId="33D08112" w14:textId="77777777" w:rsidR="00D734C5" w:rsidRPr="003D0BB1" w:rsidRDefault="00D734C5" w:rsidP="007D4769">
            <w:pPr>
              <w:pStyle w:val="TableTextRight"/>
              <w:rPr>
                <w:sz w:val="16"/>
                <w:szCs w:val="16"/>
              </w:rPr>
            </w:pPr>
            <w:r w:rsidRPr="003D0BB1">
              <w:rPr>
                <w:rFonts w:cs="Calibri"/>
                <w:sz w:val="16"/>
                <w:szCs w:val="16"/>
              </w:rPr>
              <w:t>115</w:t>
            </w: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60F46841" w14:textId="77777777" w:rsidR="00D734C5" w:rsidRPr="003D0BB1" w:rsidRDefault="00D734C5" w:rsidP="007D4769">
            <w:pPr>
              <w:pStyle w:val="TableTextRight"/>
              <w:rPr>
                <w:sz w:val="16"/>
                <w:szCs w:val="16"/>
              </w:rPr>
            </w:pPr>
            <w:r w:rsidRPr="003D0BB1">
              <w:rPr>
                <w:rFonts w:cs="Calibri"/>
                <w:sz w:val="16"/>
                <w:szCs w:val="16"/>
              </w:rPr>
              <w:t>121.2</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1B5061DA" w14:textId="77777777" w:rsidR="00D734C5" w:rsidRPr="003D0BB1" w:rsidRDefault="00D734C5" w:rsidP="007D4769">
            <w:pPr>
              <w:pStyle w:val="TableTextRight"/>
              <w:rPr>
                <w:sz w:val="16"/>
                <w:szCs w:val="16"/>
              </w:rPr>
            </w:pPr>
            <w:r w:rsidRPr="003D0BB1">
              <w:rPr>
                <w:rFonts w:cs="Calibri"/>
                <w:sz w:val="16"/>
                <w:szCs w:val="16"/>
              </w:rPr>
              <w:t>108</w:t>
            </w: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75C6B2AC" w14:textId="77777777" w:rsidR="00D734C5" w:rsidRPr="003D0BB1" w:rsidRDefault="00D734C5" w:rsidP="007D4769">
            <w:pPr>
              <w:pStyle w:val="TableTextRight"/>
              <w:rPr>
                <w:sz w:val="16"/>
                <w:szCs w:val="16"/>
              </w:rPr>
            </w:pPr>
            <w:r w:rsidRPr="003D0BB1">
              <w:rPr>
                <w:rFonts w:cs="Calibri"/>
                <w:sz w:val="16"/>
                <w:szCs w:val="16"/>
              </w:rPr>
              <w:t>122.8</w:t>
            </w:r>
          </w:p>
        </w:tc>
        <w:tc>
          <w:tcPr>
            <w:tcW w:w="369" w:type="pct"/>
            <w:tcBorders>
              <w:top w:val="single" w:sz="4" w:space="0" w:color="auto"/>
              <w:left w:val="nil"/>
              <w:bottom w:val="single" w:sz="4" w:space="0" w:color="auto"/>
              <w:right w:val="single" w:sz="4" w:space="0" w:color="auto"/>
            </w:tcBorders>
            <w:shd w:val="clear" w:color="auto" w:fill="auto"/>
            <w:noWrap/>
            <w:vAlign w:val="center"/>
          </w:tcPr>
          <w:p w14:paraId="62C15F74" w14:textId="77777777" w:rsidR="00D734C5" w:rsidRPr="003D0BB1" w:rsidRDefault="00D734C5" w:rsidP="007D4769">
            <w:pPr>
              <w:pStyle w:val="TableTextRight"/>
              <w:rPr>
                <w:sz w:val="16"/>
                <w:szCs w:val="16"/>
              </w:rPr>
            </w:pPr>
            <w:r w:rsidRPr="003D0BB1">
              <w:rPr>
                <w:rFonts w:cs="Calibri"/>
                <w:sz w:val="16"/>
                <w:szCs w:val="16"/>
              </w:rPr>
              <w:t>104</w:t>
            </w:r>
          </w:p>
        </w:tc>
        <w:tc>
          <w:tcPr>
            <w:tcW w:w="453" w:type="pct"/>
            <w:tcBorders>
              <w:top w:val="single" w:sz="4" w:space="0" w:color="auto"/>
              <w:left w:val="nil"/>
              <w:bottom w:val="single" w:sz="4" w:space="0" w:color="auto"/>
              <w:right w:val="single" w:sz="4" w:space="0" w:color="auto"/>
            </w:tcBorders>
            <w:shd w:val="clear" w:color="auto" w:fill="auto"/>
            <w:noWrap/>
            <w:vAlign w:val="center"/>
          </w:tcPr>
          <w:p w14:paraId="2F77BF6E" w14:textId="77777777" w:rsidR="00D734C5" w:rsidRPr="003D0BB1" w:rsidRDefault="00D734C5" w:rsidP="007D4769">
            <w:pPr>
              <w:pStyle w:val="TableTextRight"/>
              <w:rPr>
                <w:sz w:val="16"/>
                <w:szCs w:val="16"/>
              </w:rPr>
            </w:pPr>
            <w:r w:rsidRPr="003D0BB1">
              <w:rPr>
                <w:rFonts w:cs="Calibri"/>
                <w:sz w:val="16"/>
                <w:szCs w:val="16"/>
              </w:rPr>
              <w:t>125.0</w:t>
            </w:r>
          </w:p>
        </w:tc>
        <w:tc>
          <w:tcPr>
            <w:tcW w:w="369" w:type="pct"/>
            <w:tcBorders>
              <w:top w:val="single" w:sz="4" w:space="0" w:color="auto"/>
              <w:left w:val="nil"/>
              <w:bottom w:val="single" w:sz="4" w:space="0" w:color="auto"/>
              <w:right w:val="single" w:sz="4" w:space="0" w:color="auto"/>
            </w:tcBorders>
            <w:vAlign w:val="center"/>
          </w:tcPr>
          <w:p w14:paraId="1FF7B415" w14:textId="77777777" w:rsidR="00D734C5" w:rsidRPr="003D0BB1" w:rsidRDefault="00D734C5" w:rsidP="007D4769">
            <w:pPr>
              <w:pStyle w:val="TableTextRight"/>
              <w:rPr>
                <w:sz w:val="16"/>
                <w:szCs w:val="16"/>
              </w:rPr>
            </w:pPr>
            <w:r w:rsidRPr="003D0BB1">
              <w:rPr>
                <w:rFonts w:cs="Calibri"/>
                <w:sz w:val="16"/>
                <w:szCs w:val="16"/>
              </w:rPr>
              <w:t>95</w:t>
            </w:r>
          </w:p>
        </w:tc>
        <w:tc>
          <w:tcPr>
            <w:tcW w:w="452" w:type="pct"/>
            <w:tcBorders>
              <w:top w:val="single" w:sz="4" w:space="0" w:color="auto"/>
              <w:left w:val="nil"/>
              <w:bottom w:val="single" w:sz="4" w:space="0" w:color="auto"/>
              <w:right w:val="single" w:sz="4" w:space="0" w:color="auto"/>
            </w:tcBorders>
            <w:vAlign w:val="center"/>
          </w:tcPr>
          <w:p w14:paraId="7CC44A4A" w14:textId="77777777" w:rsidR="00D734C5" w:rsidRPr="003D0BB1" w:rsidRDefault="00D734C5" w:rsidP="007D4769">
            <w:pPr>
              <w:pStyle w:val="TableTextRight"/>
              <w:rPr>
                <w:sz w:val="16"/>
                <w:szCs w:val="16"/>
              </w:rPr>
            </w:pPr>
            <w:r w:rsidRPr="003D0BB1">
              <w:rPr>
                <w:rFonts w:cs="Calibri"/>
                <w:sz w:val="16"/>
                <w:szCs w:val="16"/>
              </w:rPr>
              <w:t>121.4</w:t>
            </w:r>
          </w:p>
        </w:tc>
      </w:tr>
      <w:tr w:rsidR="00D734C5" w:rsidRPr="009E117F" w14:paraId="45A1F467" w14:textId="77777777" w:rsidTr="003D0BB1">
        <w:trPr>
          <w:trHeight w:val="300"/>
        </w:trPr>
        <w:tc>
          <w:tcPr>
            <w:tcW w:w="934" w:type="pct"/>
            <w:tcBorders>
              <w:top w:val="nil"/>
              <w:left w:val="single" w:sz="4" w:space="0" w:color="auto"/>
              <w:bottom w:val="single" w:sz="4" w:space="0" w:color="auto"/>
              <w:right w:val="single" w:sz="4" w:space="0" w:color="auto"/>
            </w:tcBorders>
            <w:shd w:val="clear" w:color="auto" w:fill="auto"/>
            <w:noWrap/>
            <w:vAlign w:val="center"/>
          </w:tcPr>
          <w:p w14:paraId="1B9342FB" w14:textId="77777777" w:rsidR="00D734C5" w:rsidRPr="003D0BB1" w:rsidRDefault="00D734C5" w:rsidP="007D4769">
            <w:pPr>
              <w:pStyle w:val="TableColumnHeadingLeft"/>
              <w:rPr>
                <w:sz w:val="18"/>
              </w:rPr>
            </w:pPr>
            <w:r w:rsidRPr="003D0BB1">
              <w:rPr>
                <w:sz w:val="18"/>
              </w:rPr>
              <w:t>Licensed trustees</w:t>
            </w:r>
          </w:p>
        </w:tc>
        <w:tc>
          <w:tcPr>
            <w:tcW w:w="392" w:type="pct"/>
            <w:tcBorders>
              <w:top w:val="single" w:sz="4" w:space="0" w:color="auto"/>
              <w:left w:val="nil"/>
              <w:bottom w:val="single" w:sz="4" w:space="0" w:color="auto"/>
              <w:right w:val="single" w:sz="4" w:space="0" w:color="auto"/>
            </w:tcBorders>
            <w:shd w:val="clear" w:color="auto" w:fill="auto"/>
            <w:vAlign w:val="center"/>
          </w:tcPr>
          <w:p w14:paraId="7B7D688D" w14:textId="77777777" w:rsidR="00D734C5" w:rsidRPr="003D0BB1" w:rsidRDefault="00D734C5" w:rsidP="007D4769">
            <w:pPr>
              <w:pStyle w:val="TableTextRight"/>
              <w:rPr>
                <w:sz w:val="16"/>
                <w:szCs w:val="16"/>
              </w:rPr>
            </w:pPr>
            <w:r w:rsidRPr="003D0BB1">
              <w:rPr>
                <w:rFonts w:cs="Calibri"/>
                <w:sz w:val="16"/>
                <w:szCs w:val="16"/>
              </w:rPr>
              <w:t>170</w:t>
            </w:r>
          </w:p>
        </w:tc>
        <w:tc>
          <w:tcPr>
            <w:tcW w:w="392" w:type="pct"/>
            <w:tcBorders>
              <w:top w:val="single" w:sz="4" w:space="0" w:color="auto"/>
              <w:left w:val="nil"/>
              <w:bottom w:val="single" w:sz="4" w:space="0" w:color="auto"/>
              <w:right w:val="single" w:sz="4" w:space="0" w:color="auto"/>
            </w:tcBorders>
            <w:shd w:val="clear" w:color="auto" w:fill="auto"/>
            <w:vAlign w:val="center"/>
          </w:tcPr>
          <w:p w14:paraId="1520F378" w14:textId="77777777" w:rsidR="00D734C5" w:rsidRPr="003D0BB1" w:rsidRDefault="00D734C5" w:rsidP="007D4769">
            <w:pPr>
              <w:pStyle w:val="TableTextRight"/>
              <w:rPr>
                <w:sz w:val="16"/>
                <w:szCs w:val="16"/>
              </w:rPr>
            </w:pPr>
            <w:r w:rsidRPr="003D0BB1">
              <w:rPr>
                <w:rFonts w:cs="Calibri"/>
                <w:sz w:val="16"/>
                <w:szCs w:val="16"/>
              </w:rPr>
              <w:t> </w:t>
            </w:r>
          </w:p>
        </w:tc>
        <w:tc>
          <w:tcPr>
            <w:tcW w:w="363" w:type="pct"/>
            <w:tcBorders>
              <w:top w:val="single" w:sz="4" w:space="0" w:color="auto"/>
              <w:left w:val="nil"/>
              <w:bottom w:val="single" w:sz="4" w:space="0" w:color="auto"/>
              <w:right w:val="single" w:sz="4" w:space="0" w:color="auto"/>
            </w:tcBorders>
            <w:shd w:val="clear" w:color="auto" w:fill="auto"/>
            <w:vAlign w:val="center"/>
          </w:tcPr>
          <w:p w14:paraId="2C28FB04" w14:textId="77777777" w:rsidR="00D734C5" w:rsidRPr="003D0BB1" w:rsidRDefault="00D734C5" w:rsidP="007D4769">
            <w:pPr>
              <w:pStyle w:val="TableTextRight"/>
              <w:rPr>
                <w:sz w:val="16"/>
                <w:szCs w:val="16"/>
              </w:rPr>
            </w:pPr>
            <w:r w:rsidRPr="003D0BB1">
              <w:rPr>
                <w:rFonts w:cs="Calibri"/>
                <w:sz w:val="16"/>
                <w:szCs w:val="16"/>
              </w:rPr>
              <w:t>156</w:t>
            </w:r>
          </w:p>
        </w:tc>
        <w:tc>
          <w:tcPr>
            <w:tcW w:w="453" w:type="pct"/>
            <w:tcBorders>
              <w:top w:val="single" w:sz="4" w:space="0" w:color="auto"/>
              <w:left w:val="nil"/>
              <w:bottom w:val="single" w:sz="4" w:space="0" w:color="auto"/>
              <w:right w:val="single" w:sz="4" w:space="0" w:color="auto"/>
            </w:tcBorders>
            <w:shd w:val="clear" w:color="auto" w:fill="auto"/>
            <w:vAlign w:val="center"/>
          </w:tcPr>
          <w:p w14:paraId="3B3299AD" w14:textId="77777777" w:rsidR="00D734C5" w:rsidRPr="003D0BB1" w:rsidRDefault="00D734C5" w:rsidP="007D4769">
            <w:pPr>
              <w:pStyle w:val="TableTextRight"/>
              <w:rPr>
                <w:sz w:val="16"/>
                <w:szCs w:val="16"/>
              </w:rPr>
            </w:pPr>
            <w:r w:rsidRPr="003D0BB1">
              <w:rPr>
                <w:rFonts w:cs="Calibri"/>
                <w:sz w:val="16"/>
                <w:szCs w:val="16"/>
              </w:rPr>
              <w:t> </w:t>
            </w:r>
          </w:p>
        </w:tc>
        <w:tc>
          <w:tcPr>
            <w:tcW w:w="369" w:type="pct"/>
            <w:tcBorders>
              <w:top w:val="single" w:sz="4" w:space="0" w:color="auto"/>
              <w:left w:val="nil"/>
              <w:bottom w:val="single" w:sz="4" w:space="0" w:color="auto"/>
              <w:right w:val="single" w:sz="4" w:space="0" w:color="auto"/>
            </w:tcBorders>
            <w:shd w:val="clear" w:color="auto" w:fill="auto"/>
            <w:vAlign w:val="center"/>
          </w:tcPr>
          <w:p w14:paraId="1F3E57CB" w14:textId="77777777" w:rsidR="00D734C5" w:rsidRPr="003D0BB1" w:rsidRDefault="00D734C5" w:rsidP="007D4769">
            <w:pPr>
              <w:pStyle w:val="TableTextRight"/>
              <w:rPr>
                <w:sz w:val="16"/>
                <w:szCs w:val="16"/>
              </w:rPr>
            </w:pPr>
            <w:r w:rsidRPr="003D0BB1">
              <w:rPr>
                <w:rFonts w:cs="Calibri"/>
                <w:sz w:val="16"/>
                <w:szCs w:val="16"/>
              </w:rPr>
              <w:t>145</w:t>
            </w:r>
          </w:p>
        </w:tc>
        <w:tc>
          <w:tcPr>
            <w:tcW w:w="453" w:type="pct"/>
            <w:tcBorders>
              <w:top w:val="single" w:sz="4" w:space="0" w:color="auto"/>
              <w:left w:val="nil"/>
              <w:bottom w:val="single" w:sz="4" w:space="0" w:color="auto"/>
              <w:right w:val="single" w:sz="4" w:space="0" w:color="auto"/>
            </w:tcBorders>
            <w:shd w:val="clear" w:color="auto" w:fill="auto"/>
            <w:vAlign w:val="center"/>
          </w:tcPr>
          <w:p w14:paraId="35BAC756" w14:textId="77777777" w:rsidR="00D734C5" w:rsidRPr="003D0BB1" w:rsidRDefault="00D734C5" w:rsidP="007D4769">
            <w:pPr>
              <w:pStyle w:val="TableTextRight"/>
              <w:rPr>
                <w:sz w:val="16"/>
                <w:szCs w:val="16"/>
              </w:rPr>
            </w:pPr>
            <w:r w:rsidRPr="003D0BB1">
              <w:rPr>
                <w:rFonts w:cs="Calibri"/>
                <w:sz w:val="16"/>
                <w:szCs w:val="16"/>
              </w:rPr>
              <w:t> </w:t>
            </w:r>
          </w:p>
        </w:tc>
        <w:tc>
          <w:tcPr>
            <w:tcW w:w="369" w:type="pct"/>
            <w:tcBorders>
              <w:top w:val="single" w:sz="4" w:space="0" w:color="auto"/>
              <w:left w:val="nil"/>
              <w:bottom w:val="single" w:sz="4" w:space="0" w:color="auto"/>
              <w:right w:val="single" w:sz="4" w:space="0" w:color="auto"/>
            </w:tcBorders>
            <w:shd w:val="clear" w:color="auto" w:fill="auto"/>
            <w:noWrap/>
            <w:vAlign w:val="center"/>
          </w:tcPr>
          <w:p w14:paraId="597DF7BF" w14:textId="77777777" w:rsidR="00D734C5" w:rsidRPr="003D0BB1" w:rsidRDefault="00D734C5" w:rsidP="007D4769">
            <w:pPr>
              <w:pStyle w:val="TableTextRight"/>
              <w:rPr>
                <w:sz w:val="16"/>
                <w:szCs w:val="16"/>
              </w:rPr>
            </w:pPr>
            <w:r w:rsidRPr="003D0BB1">
              <w:rPr>
                <w:rFonts w:cs="Calibri"/>
                <w:sz w:val="16"/>
                <w:szCs w:val="16"/>
              </w:rPr>
              <w:t>139</w:t>
            </w:r>
          </w:p>
        </w:tc>
        <w:tc>
          <w:tcPr>
            <w:tcW w:w="453" w:type="pct"/>
            <w:tcBorders>
              <w:top w:val="single" w:sz="4" w:space="0" w:color="auto"/>
              <w:left w:val="nil"/>
              <w:bottom w:val="single" w:sz="4" w:space="0" w:color="auto"/>
              <w:right w:val="single" w:sz="4" w:space="0" w:color="auto"/>
            </w:tcBorders>
            <w:shd w:val="clear" w:color="auto" w:fill="auto"/>
            <w:noWrap/>
            <w:vAlign w:val="center"/>
          </w:tcPr>
          <w:p w14:paraId="50963B7E" w14:textId="77777777" w:rsidR="00D734C5" w:rsidRPr="003D0BB1" w:rsidRDefault="00D734C5" w:rsidP="007D4769">
            <w:pPr>
              <w:pStyle w:val="TableTextRight"/>
              <w:rPr>
                <w:sz w:val="16"/>
                <w:szCs w:val="16"/>
              </w:rPr>
            </w:pPr>
            <w:r w:rsidRPr="003D0BB1">
              <w:rPr>
                <w:rFonts w:cs="Calibri"/>
                <w:sz w:val="16"/>
                <w:szCs w:val="16"/>
              </w:rPr>
              <w:t> </w:t>
            </w:r>
          </w:p>
        </w:tc>
        <w:tc>
          <w:tcPr>
            <w:tcW w:w="369" w:type="pct"/>
            <w:tcBorders>
              <w:top w:val="single" w:sz="4" w:space="0" w:color="auto"/>
              <w:left w:val="nil"/>
              <w:bottom w:val="single" w:sz="4" w:space="0" w:color="auto"/>
              <w:right w:val="single" w:sz="4" w:space="0" w:color="auto"/>
            </w:tcBorders>
            <w:vAlign w:val="center"/>
          </w:tcPr>
          <w:p w14:paraId="2E753A33" w14:textId="77777777" w:rsidR="00D734C5" w:rsidRPr="003D0BB1" w:rsidRDefault="00D734C5" w:rsidP="007D4769">
            <w:pPr>
              <w:pStyle w:val="TableTextRight"/>
              <w:rPr>
                <w:sz w:val="16"/>
                <w:szCs w:val="16"/>
              </w:rPr>
            </w:pPr>
            <w:r w:rsidRPr="003D0BB1">
              <w:rPr>
                <w:rFonts w:cs="Calibri"/>
                <w:sz w:val="16"/>
                <w:szCs w:val="16"/>
              </w:rPr>
              <w:t>130</w:t>
            </w:r>
          </w:p>
        </w:tc>
        <w:tc>
          <w:tcPr>
            <w:tcW w:w="452" w:type="pct"/>
            <w:tcBorders>
              <w:top w:val="single" w:sz="4" w:space="0" w:color="auto"/>
              <w:left w:val="nil"/>
              <w:bottom w:val="single" w:sz="4" w:space="0" w:color="auto"/>
              <w:right w:val="single" w:sz="4" w:space="0" w:color="auto"/>
            </w:tcBorders>
            <w:vAlign w:val="center"/>
          </w:tcPr>
          <w:p w14:paraId="62467FCE" w14:textId="77777777" w:rsidR="00D734C5" w:rsidRPr="003D0BB1" w:rsidRDefault="00D734C5" w:rsidP="007D4769">
            <w:pPr>
              <w:pStyle w:val="TableTextRight"/>
              <w:rPr>
                <w:sz w:val="16"/>
                <w:szCs w:val="16"/>
              </w:rPr>
            </w:pPr>
            <w:r w:rsidRPr="003D0BB1">
              <w:rPr>
                <w:rFonts w:cs="Calibri"/>
                <w:sz w:val="16"/>
                <w:szCs w:val="16"/>
              </w:rPr>
              <w:t> </w:t>
            </w:r>
          </w:p>
        </w:tc>
      </w:tr>
      <w:tr w:rsidR="00D734C5" w:rsidRPr="009E117F" w14:paraId="6C238F02" w14:textId="77777777" w:rsidTr="003D0BB1">
        <w:trPr>
          <w:trHeight w:val="300"/>
        </w:trPr>
        <w:tc>
          <w:tcPr>
            <w:tcW w:w="934" w:type="pct"/>
            <w:tcBorders>
              <w:top w:val="nil"/>
              <w:left w:val="single" w:sz="4" w:space="0" w:color="auto"/>
              <w:bottom w:val="single" w:sz="4" w:space="0" w:color="auto"/>
              <w:right w:val="single" w:sz="4" w:space="0" w:color="auto"/>
            </w:tcBorders>
            <w:shd w:val="clear" w:color="auto" w:fill="auto"/>
            <w:noWrap/>
            <w:vAlign w:val="center"/>
          </w:tcPr>
          <w:p w14:paraId="7129E2D7" w14:textId="77777777" w:rsidR="00D734C5" w:rsidRPr="003D0BB1" w:rsidRDefault="00D734C5" w:rsidP="007D4769">
            <w:pPr>
              <w:pStyle w:val="TableColumnHeadingLeft"/>
              <w:rPr>
                <w:sz w:val="18"/>
              </w:rPr>
            </w:pPr>
            <w:r w:rsidRPr="003D0BB1">
              <w:rPr>
                <w:sz w:val="18"/>
              </w:rPr>
              <w:t>Non</w:t>
            </w:r>
            <w:r w:rsidRPr="003D0BB1">
              <w:rPr>
                <w:sz w:val="18"/>
              </w:rPr>
              <w:noBreakHyphen/>
              <w:t>operating holding companies</w:t>
            </w:r>
          </w:p>
        </w:tc>
        <w:tc>
          <w:tcPr>
            <w:tcW w:w="392" w:type="pct"/>
            <w:tcBorders>
              <w:top w:val="single" w:sz="4" w:space="0" w:color="auto"/>
              <w:left w:val="nil"/>
              <w:bottom w:val="single" w:sz="4" w:space="0" w:color="auto"/>
              <w:right w:val="single" w:sz="4" w:space="0" w:color="auto"/>
            </w:tcBorders>
            <w:shd w:val="clear" w:color="auto" w:fill="auto"/>
            <w:vAlign w:val="center"/>
          </w:tcPr>
          <w:p w14:paraId="6EF0409F" w14:textId="77777777" w:rsidR="00D734C5" w:rsidRPr="003D0BB1" w:rsidRDefault="00D734C5" w:rsidP="007D4769">
            <w:pPr>
              <w:pStyle w:val="TableTextRight"/>
              <w:rPr>
                <w:sz w:val="16"/>
                <w:szCs w:val="16"/>
              </w:rPr>
            </w:pPr>
            <w:r w:rsidRPr="003D0BB1">
              <w:rPr>
                <w:rFonts w:cs="Calibri"/>
                <w:sz w:val="16"/>
                <w:szCs w:val="16"/>
              </w:rPr>
              <w:t>25</w:t>
            </w:r>
          </w:p>
        </w:tc>
        <w:tc>
          <w:tcPr>
            <w:tcW w:w="392" w:type="pct"/>
            <w:tcBorders>
              <w:top w:val="single" w:sz="4" w:space="0" w:color="auto"/>
              <w:left w:val="nil"/>
              <w:bottom w:val="single" w:sz="4" w:space="0" w:color="auto"/>
              <w:right w:val="single" w:sz="4" w:space="0" w:color="auto"/>
            </w:tcBorders>
            <w:shd w:val="clear" w:color="auto" w:fill="auto"/>
            <w:vAlign w:val="center"/>
          </w:tcPr>
          <w:p w14:paraId="11EC10F8" w14:textId="77777777" w:rsidR="00D734C5" w:rsidRPr="003D0BB1" w:rsidRDefault="00D734C5" w:rsidP="007D4769">
            <w:pPr>
              <w:pStyle w:val="TableTextRight"/>
              <w:rPr>
                <w:sz w:val="16"/>
                <w:szCs w:val="16"/>
              </w:rPr>
            </w:pPr>
            <w:r w:rsidRPr="003D0BB1">
              <w:rPr>
                <w:rFonts w:cs="Calibri"/>
                <w:sz w:val="16"/>
                <w:szCs w:val="16"/>
              </w:rPr>
              <w:t> </w:t>
            </w:r>
          </w:p>
        </w:tc>
        <w:tc>
          <w:tcPr>
            <w:tcW w:w="363" w:type="pct"/>
            <w:tcBorders>
              <w:top w:val="single" w:sz="4" w:space="0" w:color="auto"/>
              <w:left w:val="nil"/>
              <w:bottom w:val="single" w:sz="4" w:space="0" w:color="auto"/>
              <w:right w:val="single" w:sz="4" w:space="0" w:color="auto"/>
            </w:tcBorders>
            <w:shd w:val="clear" w:color="auto" w:fill="auto"/>
            <w:vAlign w:val="center"/>
          </w:tcPr>
          <w:p w14:paraId="2853C1A7" w14:textId="77777777" w:rsidR="00D734C5" w:rsidRPr="003D0BB1" w:rsidRDefault="00D734C5" w:rsidP="007D4769">
            <w:pPr>
              <w:pStyle w:val="TableTextRight"/>
              <w:rPr>
                <w:sz w:val="16"/>
                <w:szCs w:val="16"/>
              </w:rPr>
            </w:pPr>
            <w:r w:rsidRPr="003D0BB1">
              <w:rPr>
                <w:rFonts w:cs="Calibri"/>
                <w:sz w:val="16"/>
                <w:szCs w:val="16"/>
              </w:rPr>
              <w:t>25</w:t>
            </w:r>
          </w:p>
        </w:tc>
        <w:tc>
          <w:tcPr>
            <w:tcW w:w="453" w:type="pct"/>
            <w:tcBorders>
              <w:top w:val="single" w:sz="4" w:space="0" w:color="auto"/>
              <w:left w:val="nil"/>
              <w:bottom w:val="single" w:sz="4" w:space="0" w:color="auto"/>
              <w:right w:val="single" w:sz="4" w:space="0" w:color="auto"/>
            </w:tcBorders>
            <w:shd w:val="clear" w:color="auto" w:fill="auto"/>
            <w:vAlign w:val="center"/>
          </w:tcPr>
          <w:p w14:paraId="3038E90E" w14:textId="77777777" w:rsidR="00D734C5" w:rsidRPr="003D0BB1" w:rsidRDefault="00D734C5" w:rsidP="007D4769">
            <w:pPr>
              <w:pStyle w:val="TableTextRight"/>
              <w:rPr>
                <w:sz w:val="16"/>
                <w:szCs w:val="16"/>
              </w:rPr>
            </w:pPr>
            <w:r w:rsidRPr="003D0BB1">
              <w:rPr>
                <w:rFonts w:cs="Calibri"/>
                <w:sz w:val="16"/>
                <w:szCs w:val="16"/>
              </w:rPr>
              <w:t> </w:t>
            </w:r>
          </w:p>
        </w:tc>
        <w:tc>
          <w:tcPr>
            <w:tcW w:w="369" w:type="pct"/>
            <w:tcBorders>
              <w:top w:val="single" w:sz="4" w:space="0" w:color="auto"/>
              <w:left w:val="nil"/>
              <w:bottom w:val="single" w:sz="4" w:space="0" w:color="auto"/>
              <w:right w:val="single" w:sz="4" w:space="0" w:color="auto"/>
            </w:tcBorders>
            <w:shd w:val="clear" w:color="auto" w:fill="auto"/>
            <w:vAlign w:val="center"/>
          </w:tcPr>
          <w:p w14:paraId="12517935" w14:textId="77777777" w:rsidR="00D734C5" w:rsidRPr="003D0BB1" w:rsidRDefault="00D734C5" w:rsidP="007D4769">
            <w:pPr>
              <w:pStyle w:val="TableTextRight"/>
              <w:rPr>
                <w:sz w:val="16"/>
                <w:szCs w:val="16"/>
              </w:rPr>
            </w:pPr>
            <w:r w:rsidRPr="003D0BB1">
              <w:rPr>
                <w:rFonts w:cs="Calibri"/>
                <w:sz w:val="16"/>
                <w:szCs w:val="16"/>
              </w:rPr>
              <w:t>24</w:t>
            </w:r>
          </w:p>
        </w:tc>
        <w:tc>
          <w:tcPr>
            <w:tcW w:w="453" w:type="pct"/>
            <w:tcBorders>
              <w:top w:val="single" w:sz="4" w:space="0" w:color="auto"/>
              <w:left w:val="nil"/>
              <w:bottom w:val="single" w:sz="4" w:space="0" w:color="auto"/>
              <w:right w:val="single" w:sz="4" w:space="0" w:color="auto"/>
            </w:tcBorders>
            <w:shd w:val="clear" w:color="auto" w:fill="auto"/>
            <w:vAlign w:val="center"/>
          </w:tcPr>
          <w:p w14:paraId="5AA3A5CB" w14:textId="77777777" w:rsidR="00D734C5" w:rsidRPr="003D0BB1" w:rsidRDefault="00D734C5" w:rsidP="007D4769">
            <w:pPr>
              <w:pStyle w:val="TableTextRight"/>
              <w:rPr>
                <w:sz w:val="16"/>
                <w:szCs w:val="16"/>
              </w:rPr>
            </w:pPr>
            <w:r w:rsidRPr="003D0BB1">
              <w:rPr>
                <w:rFonts w:cs="Calibri"/>
                <w:sz w:val="16"/>
                <w:szCs w:val="16"/>
              </w:rPr>
              <w:t> </w:t>
            </w:r>
          </w:p>
        </w:tc>
        <w:tc>
          <w:tcPr>
            <w:tcW w:w="369" w:type="pct"/>
            <w:tcBorders>
              <w:top w:val="single" w:sz="4" w:space="0" w:color="auto"/>
              <w:left w:val="nil"/>
              <w:bottom w:val="single" w:sz="4" w:space="0" w:color="auto"/>
              <w:right w:val="single" w:sz="4" w:space="0" w:color="auto"/>
            </w:tcBorders>
            <w:shd w:val="clear" w:color="auto" w:fill="auto"/>
            <w:noWrap/>
            <w:vAlign w:val="center"/>
          </w:tcPr>
          <w:p w14:paraId="531C37C8" w14:textId="77777777" w:rsidR="00D734C5" w:rsidRPr="003D0BB1" w:rsidRDefault="00D734C5" w:rsidP="007D4769">
            <w:pPr>
              <w:pStyle w:val="TableTextRight"/>
              <w:rPr>
                <w:sz w:val="16"/>
                <w:szCs w:val="16"/>
              </w:rPr>
            </w:pPr>
            <w:r w:rsidRPr="003D0BB1">
              <w:rPr>
                <w:rFonts w:cs="Calibri"/>
                <w:sz w:val="16"/>
                <w:szCs w:val="16"/>
              </w:rPr>
              <w:t>25</w:t>
            </w:r>
          </w:p>
        </w:tc>
        <w:tc>
          <w:tcPr>
            <w:tcW w:w="453" w:type="pct"/>
            <w:tcBorders>
              <w:top w:val="single" w:sz="4" w:space="0" w:color="auto"/>
              <w:left w:val="nil"/>
              <w:bottom w:val="single" w:sz="4" w:space="0" w:color="auto"/>
              <w:right w:val="single" w:sz="4" w:space="0" w:color="auto"/>
            </w:tcBorders>
            <w:shd w:val="clear" w:color="auto" w:fill="auto"/>
            <w:noWrap/>
            <w:vAlign w:val="center"/>
          </w:tcPr>
          <w:p w14:paraId="7C94E817" w14:textId="77777777" w:rsidR="00D734C5" w:rsidRPr="003D0BB1" w:rsidRDefault="00D734C5" w:rsidP="007D4769">
            <w:pPr>
              <w:pStyle w:val="TableTextRight"/>
              <w:rPr>
                <w:sz w:val="16"/>
                <w:szCs w:val="16"/>
              </w:rPr>
            </w:pPr>
            <w:r w:rsidRPr="003D0BB1">
              <w:rPr>
                <w:rFonts w:cs="Calibri"/>
                <w:sz w:val="16"/>
                <w:szCs w:val="16"/>
              </w:rPr>
              <w:t> </w:t>
            </w:r>
          </w:p>
        </w:tc>
        <w:tc>
          <w:tcPr>
            <w:tcW w:w="369" w:type="pct"/>
            <w:tcBorders>
              <w:top w:val="single" w:sz="4" w:space="0" w:color="auto"/>
              <w:left w:val="nil"/>
              <w:bottom w:val="single" w:sz="4" w:space="0" w:color="auto"/>
              <w:right w:val="single" w:sz="4" w:space="0" w:color="auto"/>
            </w:tcBorders>
            <w:vAlign w:val="center"/>
          </w:tcPr>
          <w:p w14:paraId="7798C4E5" w14:textId="77777777" w:rsidR="00D734C5" w:rsidRPr="003D0BB1" w:rsidRDefault="00D734C5" w:rsidP="007D4769">
            <w:pPr>
              <w:pStyle w:val="TableTextRight"/>
              <w:rPr>
                <w:sz w:val="16"/>
                <w:szCs w:val="16"/>
              </w:rPr>
            </w:pPr>
            <w:r w:rsidRPr="003D0BB1">
              <w:rPr>
                <w:rFonts w:cs="Calibri"/>
                <w:sz w:val="16"/>
                <w:szCs w:val="16"/>
              </w:rPr>
              <w:t>27</w:t>
            </w:r>
          </w:p>
        </w:tc>
        <w:tc>
          <w:tcPr>
            <w:tcW w:w="452" w:type="pct"/>
            <w:tcBorders>
              <w:top w:val="single" w:sz="4" w:space="0" w:color="auto"/>
              <w:left w:val="nil"/>
              <w:bottom w:val="single" w:sz="4" w:space="0" w:color="auto"/>
              <w:right w:val="single" w:sz="4" w:space="0" w:color="auto"/>
            </w:tcBorders>
            <w:vAlign w:val="center"/>
          </w:tcPr>
          <w:p w14:paraId="3AC67FDA" w14:textId="77777777" w:rsidR="00D734C5" w:rsidRPr="003D0BB1" w:rsidRDefault="00D734C5" w:rsidP="007D4769">
            <w:pPr>
              <w:pStyle w:val="TableTextRight"/>
              <w:rPr>
                <w:sz w:val="16"/>
                <w:szCs w:val="16"/>
              </w:rPr>
            </w:pPr>
            <w:r w:rsidRPr="003D0BB1">
              <w:rPr>
                <w:rFonts w:cs="Calibri"/>
                <w:sz w:val="16"/>
                <w:szCs w:val="16"/>
              </w:rPr>
              <w:t> </w:t>
            </w:r>
          </w:p>
        </w:tc>
      </w:tr>
      <w:tr w:rsidR="00D734C5" w:rsidRPr="009E117F" w14:paraId="47C745BD" w14:textId="77777777" w:rsidTr="003D0BB1">
        <w:trPr>
          <w:trHeight w:val="417"/>
        </w:trPr>
        <w:tc>
          <w:tcPr>
            <w:tcW w:w="934" w:type="pct"/>
            <w:tcBorders>
              <w:top w:val="nil"/>
              <w:left w:val="single" w:sz="4" w:space="0" w:color="auto"/>
              <w:bottom w:val="single" w:sz="4" w:space="0" w:color="auto"/>
              <w:right w:val="single" w:sz="4" w:space="0" w:color="auto"/>
            </w:tcBorders>
            <w:shd w:val="clear" w:color="auto" w:fill="auto"/>
            <w:vAlign w:val="center"/>
          </w:tcPr>
          <w:p w14:paraId="2B321E23" w14:textId="77777777" w:rsidR="00D734C5" w:rsidRPr="003D0BB1" w:rsidRDefault="00D734C5" w:rsidP="007D4769">
            <w:pPr>
              <w:pStyle w:val="TableColumnHeadingLeft"/>
              <w:rPr>
                <w:sz w:val="18"/>
              </w:rPr>
            </w:pPr>
            <w:r w:rsidRPr="003D0BB1">
              <w:rPr>
                <w:sz w:val="18"/>
              </w:rPr>
              <w:t>Private Health Insurers</w:t>
            </w:r>
          </w:p>
        </w:tc>
        <w:tc>
          <w:tcPr>
            <w:tcW w:w="392" w:type="pct"/>
            <w:tcBorders>
              <w:top w:val="nil"/>
              <w:left w:val="nil"/>
              <w:bottom w:val="single" w:sz="4" w:space="0" w:color="auto"/>
              <w:right w:val="single" w:sz="4" w:space="0" w:color="auto"/>
            </w:tcBorders>
            <w:shd w:val="clear" w:color="auto" w:fill="auto"/>
            <w:vAlign w:val="center"/>
          </w:tcPr>
          <w:p w14:paraId="3CBAF976" w14:textId="77777777" w:rsidR="00D734C5" w:rsidRPr="003D0BB1" w:rsidRDefault="00D734C5" w:rsidP="007D4769">
            <w:pPr>
              <w:pStyle w:val="TableTextRight"/>
              <w:rPr>
                <w:sz w:val="16"/>
                <w:szCs w:val="16"/>
              </w:rPr>
            </w:pPr>
            <w:r w:rsidRPr="003D0BB1">
              <w:rPr>
                <w:rFonts w:cs="Calibri"/>
                <w:sz w:val="16"/>
                <w:szCs w:val="16"/>
              </w:rPr>
              <w:t>34</w:t>
            </w:r>
          </w:p>
        </w:tc>
        <w:tc>
          <w:tcPr>
            <w:tcW w:w="392" w:type="pct"/>
            <w:tcBorders>
              <w:top w:val="nil"/>
              <w:left w:val="nil"/>
              <w:bottom w:val="single" w:sz="4" w:space="0" w:color="auto"/>
              <w:right w:val="single" w:sz="4" w:space="0" w:color="auto"/>
            </w:tcBorders>
            <w:shd w:val="clear" w:color="auto" w:fill="auto"/>
            <w:vAlign w:val="center"/>
          </w:tcPr>
          <w:p w14:paraId="6C00E80D" w14:textId="77777777" w:rsidR="00D734C5" w:rsidRPr="003D0BB1" w:rsidRDefault="00D734C5" w:rsidP="007D4769">
            <w:pPr>
              <w:pStyle w:val="TableTextRight"/>
              <w:rPr>
                <w:sz w:val="16"/>
                <w:szCs w:val="16"/>
              </w:rPr>
            </w:pPr>
          </w:p>
        </w:tc>
        <w:tc>
          <w:tcPr>
            <w:tcW w:w="363" w:type="pct"/>
            <w:tcBorders>
              <w:top w:val="nil"/>
              <w:left w:val="nil"/>
              <w:bottom w:val="single" w:sz="4" w:space="0" w:color="auto"/>
              <w:right w:val="single" w:sz="4" w:space="0" w:color="auto"/>
            </w:tcBorders>
            <w:shd w:val="clear" w:color="auto" w:fill="auto"/>
            <w:vAlign w:val="center"/>
          </w:tcPr>
          <w:p w14:paraId="79D31FCC" w14:textId="77777777" w:rsidR="00D734C5" w:rsidRPr="003D0BB1" w:rsidRDefault="00D734C5" w:rsidP="007D4769">
            <w:pPr>
              <w:pStyle w:val="TableTextRight"/>
              <w:rPr>
                <w:sz w:val="16"/>
                <w:szCs w:val="16"/>
              </w:rPr>
            </w:pPr>
            <w:r w:rsidRPr="003D0BB1">
              <w:rPr>
                <w:rFonts w:cs="Calibri"/>
                <w:sz w:val="16"/>
                <w:szCs w:val="16"/>
              </w:rPr>
              <w:t>33</w:t>
            </w:r>
          </w:p>
        </w:tc>
        <w:tc>
          <w:tcPr>
            <w:tcW w:w="453" w:type="pct"/>
            <w:tcBorders>
              <w:top w:val="nil"/>
              <w:left w:val="nil"/>
              <w:bottom w:val="single" w:sz="4" w:space="0" w:color="auto"/>
              <w:right w:val="single" w:sz="4" w:space="0" w:color="auto"/>
            </w:tcBorders>
            <w:shd w:val="clear" w:color="auto" w:fill="auto"/>
            <w:vAlign w:val="center"/>
          </w:tcPr>
          <w:p w14:paraId="3377D6A9" w14:textId="77777777" w:rsidR="00D734C5" w:rsidRPr="003D0BB1" w:rsidRDefault="00D734C5" w:rsidP="007D4769">
            <w:pPr>
              <w:pStyle w:val="TableTextRight"/>
              <w:rPr>
                <w:sz w:val="16"/>
                <w:szCs w:val="16"/>
              </w:rPr>
            </w:pPr>
            <w:r w:rsidRPr="003D0BB1">
              <w:rPr>
                <w:rFonts w:cs="Calibri"/>
                <w:sz w:val="16"/>
                <w:szCs w:val="16"/>
              </w:rPr>
              <w:t>11.8</w:t>
            </w:r>
          </w:p>
        </w:tc>
        <w:tc>
          <w:tcPr>
            <w:tcW w:w="369" w:type="pct"/>
            <w:tcBorders>
              <w:top w:val="nil"/>
              <w:left w:val="nil"/>
              <w:bottom w:val="single" w:sz="4" w:space="0" w:color="auto"/>
              <w:right w:val="single" w:sz="4" w:space="0" w:color="auto"/>
            </w:tcBorders>
            <w:shd w:val="clear" w:color="auto" w:fill="auto"/>
            <w:vAlign w:val="center"/>
          </w:tcPr>
          <w:p w14:paraId="1772ED7C" w14:textId="77777777" w:rsidR="00D734C5" w:rsidRPr="003D0BB1" w:rsidRDefault="00D734C5" w:rsidP="007D4769">
            <w:pPr>
              <w:pStyle w:val="TableTextRight"/>
              <w:rPr>
                <w:sz w:val="16"/>
                <w:szCs w:val="16"/>
              </w:rPr>
            </w:pPr>
            <w:r w:rsidRPr="003D0BB1">
              <w:rPr>
                <w:rFonts w:cs="Calibri"/>
                <w:sz w:val="16"/>
                <w:szCs w:val="16"/>
              </w:rPr>
              <w:t>33</w:t>
            </w:r>
          </w:p>
        </w:tc>
        <w:tc>
          <w:tcPr>
            <w:tcW w:w="453" w:type="pct"/>
            <w:tcBorders>
              <w:top w:val="nil"/>
              <w:left w:val="nil"/>
              <w:bottom w:val="single" w:sz="4" w:space="0" w:color="auto"/>
              <w:right w:val="single" w:sz="4" w:space="0" w:color="auto"/>
            </w:tcBorders>
            <w:shd w:val="clear" w:color="auto" w:fill="auto"/>
            <w:vAlign w:val="center"/>
          </w:tcPr>
          <w:p w14:paraId="2F0D6A97" w14:textId="77777777" w:rsidR="00D734C5" w:rsidRPr="003D0BB1" w:rsidRDefault="00D734C5" w:rsidP="007D4769">
            <w:pPr>
              <w:pStyle w:val="TableTextRight"/>
              <w:rPr>
                <w:sz w:val="16"/>
                <w:szCs w:val="16"/>
              </w:rPr>
            </w:pPr>
            <w:r w:rsidRPr="003D0BB1">
              <w:rPr>
                <w:rFonts w:cs="Calibri"/>
                <w:sz w:val="16"/>
                <w:szCs w:val="16"/>
              </w:rPr>
              <w:t>12.8</w:t>
            </w:r>
          </w:p>
        </w:tc>
        <w:tc>
          <w:tcPr>
            <w:tcW w:w="369" w:type="pct"/>
            <w:tcBorders>
              <w:top w:val="nil"/>
              <w:left w:val="nil"/>
              <w:bottom w:val="single" w:sz="4" w:space="0" w:color="auto"/>
              <w:right w:val="single" w:sz="4" w:space="0" w:color="auto"/>
            </w:tcBorders>
            <w:shd w:val="clear" w:color="auto" w:fill="auto"/>
            <w:noWrap/>
            <w:vAlign w:val="center"/>
          </w:tcPr>
          <w:p w14:paraId="30BEF3B4" w14:textId="77777777" w:rsidR="00D734C5" w:rsidRPr="003D0BB1" w:rsidRDefault="00D734C5" w:rsidP="007D4769">
            <w:pPr>
              <w:pStyle w:val="TableTextRight"/>
              <w:rPr>
                <w:sz w:val="16"/>
                <w:szCs w:val="16"/>
              </w:rPr>
            </w:pPr>
            <w:r w:rsidRPr="003D0BB1">
              <w:rPr>
                <w:rFonts w:cs="Calibri"/>
                <w:sz w:val="16"/>
                <w:szCs w:val="16"/>
              </w:rPr>
              <w:t>37</w:t>
            </w:r>
          </w:p>
        </w:tc>
        <w:tc>
          <w:tcPr>
            <w:tcW w:w="453" w:type="pct"/>
            <w:tcBorders>
              <w:top w:val="nil"/>
              <w:left w:val="nil"/>
              <w:bottom w:val="single" w:sz="4" w:space="0" w:color="auto"/>
              <w:right w:val="single" w:sz="4" w:space="0" w:color="auto"/>
            </w:tcBorders>
            <w:shd w:val="clear" w:color="auto" w:fill="auto"/>
            <w:noWrap/>
            <w:vAlign w:val="center"/>
          </w:tcPr>
          <w:p w14:paraId="289819DB" w14:textId="77777777" w:rsidR="00D734C5" w:rsidRPr="003D0BB1" w:rsidRDefault="00D734C5" w:rsidP="007D4769">
            <w:pPr>
              <w:pStyle w:val="TableTextRight"/>
              <w:rPr>
                <w:sz w:val="16"/>
                <w:szCs w:val="16"/>
              </w:rPr>
            </w:pPr>
            <w:r w:rsidRPr="003D0BB1">
              <w:rPr>
                <w:rFonts w:cs="Calibri"/>
                <w:sz w:val="16"/>
                <w:szCs w:val="16"/>
              </w:rPr>
              <w:t>13.8</w:t>
            </w:r>
          </w:p>
        </w:tc>
        <w:tc>
          <w:tcPr>
            <w:tcW w:w="369" w:type="pct"/>
            <w:tcBorders>
              <w:top w:val="nil"/>
              <w:left w:val="nil"/>
              <w:bottom w:val="single" w:sz="4" w:space="0" w:color="auto"/>
              <w:right w:val="single" w:sz="4" w:space="0" w:color="auto"/>
            </w:tcBorders>
            <w:vAlign w:val="center"/>
          </w:tcPr>
          <w:p w14:paraId="6E24BBC0" w14:textId="77777777" w:rsidR="00D734C5" w:rsidRPr="003D0BB1" w:rsidRDefault="00D734C5" w:rsidP="007D4769">
            <w:pPr>
              <w:pStyle w:val="TableTextRight"/>
              <w:rPr>
                <w:sz w:val="16"/>
                <w:szCs w:val="16"/>
              </w:rPr>
            </w:pPr>
            <w:r w:rsidRPr="003D0BB1">
              <w:rPr>
                <w:rFonts w:cs="Calibri"/>
                <w:sz w:val="16"/>
                <w:szCs w:val="16"/>
              </w:rPr>
              <w:t>37</w:t>
            </w:r>
          </w:p>
        </w:tc>
        <w:tc>
          <w:tcPr>
            <w:tcW w:w="452" w:type="pct"/>
            <w:tcBorders>
              <w:top w:val="nil"/>
              <w:left w:val="nil"/>
              <w:bottom w:val="single" w:sz="4" w:space="0" w:color="auto"/>
              <w:right w:val="single" w:sz="4" w:space="0" w:color="auto"/>
            </w:tcBorders>
            <w:vAlign w:val="center"/>
          </w:tcPr>
          <w:p w14:paraId="1243A2BF" w14:textId="77777777" w:rsidR="00D734C5" w:rsidRPr="003D0BB1" w:rsidRDefault="00D734C5" w:rsidP="007D4769">
            <w:pPr>
              <w:pStyle w:val="TableTextRight"/>
              <w:rPr>
                <w:sz w:val="16"/>
                <w:szCs w:val="16"/>
              </w:rPr>
            </w:pPr>
            <w:r w:rsidRPr="003D0BB1">
              <w:rPr>
                <w:rFonts w:cs="Calibri"/>
                <w:sz w:val="16"/>
                <w:szCs w:val="16"/>
              </w:rPr>
              <w:t>14.3</w:t>
            </w:r>
          </w:p>
        </w:tc>
      </w:tr>
      <w:tr w:rsidR="00D734C5" w:rsidRPr="009E117F" w14:paraId="235091B0" w14:textId="77777777" w:rsidTr="003D0BB1">
        <w:trPr>
          <w:trHeight w:val="690"/>
        </w:trPr>
        <w:tc>
          <w:tcPr>
            <w:tcW w:w="934" w:type="pct"/>
            <w:tcBorders>
              <w:top w:val="nil"/>
              <w:left w:val="single" w:sz="4" w:space="0" w:color="auto"/>
              <w:bottom w:val="single" w:sz="4" w:space="0" w:color="auto"/>
              <w:right w:val="single" w:sz="4" w:space="0" w:color="auto"/>
            </w:tcBorders>
            <w:shd w:val="clear" w:color="auto" w:fill="auto"/>
            <w:vAlign w:val="center"/>
            <w:hideMark/>
          </w:tcPr>
          <w:p w14:paraId="42CB4105" w14:textId="77777777" w:rsidR="00D734C5" w:rsidRPr="003D0BB1" w:rsidRDefault="00D734C5" w:rsidP="007D4769">
            <w:pPr>
              <w:pStyle w:val="TableColumnHeadingLeft"/>
              <w:rPr>
                <w:sz w:val="18"/>
              </w:rPr>
            </w:pPr>
            <w:r w:rsidRPr="003D0BB1">
              <w:rPr>
                <w:sz w:val="18"/>
              </w:rPr>
              <w:t>APRA</w:t>
            </w:r>
            <w:r w:rsidRPr="003D0BB1">
              <w:rPr>
                <w:sz w:val="18"/>
              </w:rPr>
              <w:noBreakHyphen/>
              <w:t>regulated superannuation institutions</w:t>
            </w:r>
          </w:p>
        </w:tc>
        <w:tc>
          <w:tcPr>
            <w:tcW w:w="392" w:type="pct"/>
            <w:tcBorders>
              <w:top w:val="nil"/>
              <w:left w:val="nil"/>
              <w:bottom w:val="single" w:sz="4" w:space="0" w:color="auto"/>
              <w:right w:val="single" w:sz="4" w:space="0" w:color="auto"/>
            </w:tcBorders>
            <w:shd w:val="clear" w:color="auto" w:fill="auto"/>
            <w:vAlign w:val="center"/>
            <w:hideMark/>
          </w:tcPr>
          <w:p w14:paraId="0A8A4319" w14:textId="77777777" w:rsidR="00D734C5" w:rsidRPr="003D0BB1" w:rsidRDefault="00D734C5" w:rsidP="007D4769">
            <w:pPr>
              <w:pStyle w:val="TableTextRight"/>
              <w:rPr>
                <w:sz w:val="16"/>
                <w:szCs w:val="16"/>
              </w:rPr>
            </w:pPr>
            <w:r w:rsidRPr="003D0BB1">
              <w:rPr>
                <w:rFonts w:cs="Calibri"/>
                <w:sz w:val="16"/>
                <w:szCs w:val="16"/>
              </w:rPr>
              <w:t>2,749</w:t>
            </w:r>
          </w:p>
        </w:tc>
        <w:tc>
          <w:tcPr>
            <w:tcW w:w="392" w:type="pct"/>
            <w:tcBorders>
              <w:top w:val="nil"/>
              <w:left w:val="nil"/>
              <w:bottom w:val="single" w:sz="4" w:space="0" w:color="auto"/>
              <w:right w:val="single" w:sz="4" w:space="0" w:color="auto"/>
            </w:tcBorders>
            <w:shd w:val="clear" w:color="auto" w:fill="auto"/>
            <w:vAlign w:val="center"/>
          </w:tcPr>
          <w:p w14:paraId="753CC73B" w14:textId="77777777" w:rsidR="00D734C5" w:rsidRPr="003D0BB1" w:rsidRDefault="00D734C5" w:rsidP="007D4769">
            <w:pPr>
              <w:pStyle w:val="TableTextRight"/>
              <w:rPr>
                <w:sz w:val="16"/>
                <w:szCs w:val="16"/>
              </w:rPr>
            </w:pPr>
            <w:r w:rsidRPr="003D0BB1">
              <w:rPr>
                <w:rFonts w:cs="Calibri"/>
                <w:sz w:val="16"/>
                <w:szCs w:val="16"/>
              </w:rPr>
              <w:t>1,107.3</w:t>
            </w:r>
          </w:p>
        </w:tc>
        <w:tc>
          <w:tcPr>
            <w:tcW w:w="363" w:type="pct"/>
            <w:tcBorders>
              <w:top w:val="nil"/>
              <w:left w:val="nil"/>
              <w:bottom w:val="single" w:sz="4" w:space="0" w:color="auto"/>
              <w:right w:val="single" w:sz="4" w:space="0" w:color="auto"/>
            </w:tcBorders>
            <w:shd w:val="clear" w:color="auto" w:fill="auto"/>
            <w:vAlign w:val="center"/>
            <w:hideMark/>
          </w:tcPr>
          <w:p w14:paraId="37B428A2" w14:textId="77777777" w:rsidR="00D734C5" w:rsidRPr="003D0BB1" w:rsidRDefault="00D734C5" w:rsidP="007D4769">
            <w:pPr>
              <w:pStyle w:val="TableTextRight"/>
              <w:rPr>
                <w:sz w:val="16"/>
                <w:szCs w:val="16"/>
              </w:rPr>
            </w:pPr>
            <w:r w:rsidRPr="003D0BB1">
              <w:rPr>
                <w:rFonts w:cs="Calibri"/>
                <w:sz w:val="16"/>
                <w:szCs w:val="16"/>
              </w:rPr>
              <w:t>2,518</w:t>
            </w:r>
          </w:p>
        </w:tc>
        <w:tc>
          <w:tcPr>
            <w:tcW w:w="453" w:type="pct"/>
            <w:tcBorders>
              <w:top w:val="nil"/>
              <w:left w:val="nil"/>
              <w:bottom w:val="single" w:sz="4" w:space="0" w:color="auto"/>
              <w:right w:val="single" w:sz="4" w:space="0" w:color="auto"/>
            </w:tcBorders>
            <w:shd w:val="clear" w:color="auto" w:fill="auto"/>
            <w:vAlign w:val="center"/>
            <w:hideMark/>
          </w:tcPr>
          <w:p w14:paraId="15878E9E" w14:textId="77777777" w:rsidR="00D734C5" w:rsidRPr="003D0BB1" w:rsidRDefault="00D734C5" w:rsidP="007D4769">
            <w:pPr>
              <w:pStyle w:val="TableTextRight"/>
              <w:rPr>
                <w:sz w:val="16"/>
                <w:szCs w:val="16"/>
              </w:rPr>
            </w:pPr>
            <w:r w:rsidRPr="003D0BB1">
              <w:rPr>
                <w:rFonts w:cs="Calibri"/>
                <w:sz w:val="16"/>
                <w:szCs w:val="16"/>
              </w:rPr>
              <w:t>1,237.3</w:t>
            </w:r>
          </w:p>
        </w:tc>
        <w:tc>
          <w:tcPr>
            <w:tcW w:w="369" w:type="pct"/>
            <w:tcBorders>
              <w:top w:val="nil"/>
              <w:left w:val="nil"/>
              <w:bottom w:val="single" w:sz="4" w:space="0" w:color="auto"/>
              <w:right w:val="single" w:sz="4" w:space="0" w:color="auto"/>
            </w:tcBorders>
            <w:shd w:val="clear" w:color="auto" w:fill="auto"/>
            <w:vAlign w:val="center"/>
            <w:hideMark/>
          </w:tcPr>
          <w:p w14:paraId="0C770CFB" w14:textId="77777777" w:rsidR="00D734C5" w:rsidRPr="003D0BB1" w:rsidRDefault="00D734C5" w:rsidP="007D4769">
            <w:pPr>
              <w:pStyle w:val="TableTextRight"/>
              <w:rPr>
                <w:sz w:val="16"/>
                <w:szCs w:val="16"/>
              </w:rPr>
            </w:pPr>
            <w:r w:rsidRPr="003D0BB1">
              <w:rPr>
                <w:rFonts w:cs="Calibri"/>
                <w:sz w:val="16"/>
                <w:szCs w:val="16"/>
              </w:rPr>
              <w:t>2,321</w:t>
            </w:r>
          </w:p>
        </w:tc>
        <w:tc>
          <w:tcPr>
            <w:tcW w:w="453" w:type="pct"/>
            <w:tcBorders>
              <w:top w:val="nil"/>
              <w:left w:val="nil"/>
              <w:bottom w:val="single" w:sz="4" w:space="0" w:color="auto"/>
              <w:right w:val="single" w:sz="4" w:space="0" w:color="auto"/>
            </w:tcBorders>
            <w:shd w:val="clear" w:color="auto" w:fill="auto"/>
            <w:vAlign w:val="center"/>
            <w:hideMark/>
          </w:tcPr>
          <w:p w14:paraId="4E39BAE5" w14:textId="77777777" w:rsidR="00D734C5" w:rsidRPr="003D0BB1" w:rsidRDefault="00D734C5" w:rsidP="007D4769">
            <w:pPr>
              <w:pStyle w:val="TableTextRight"/>
              <w:rPr>
                <w:sz w:val="16"/>
                <w:szCs w:val="16"/>
              </w:rPr>
            </w:pPr>
            <w:r w:rsidRPr="003D0BB1">
              <w:rPr>
                <w:rFonts w:cs="Calibri"/>
                <w:sz w:val="16"/>
                <w:szCs w:val="16"/>
              </w:rPr>
              <w:t>1,292.4</w:t>
            </w:r>
          </w:p>
        </w:tc>
        <w:tc>
          <w:tcPr>
            <w:tcW w:w="369" w:type="pct"/>
            <w:tcBorders>
              <w:top w:val="nil"/>
              <w:left w:val="nil"/>
              <w:bottom w:val="single" w:sz="4" w:space="0" w:color="auto"/>
              <w:right w:val="single" w:sz="4" w:space="0" w:color="auto"/>
            </w:tcBorders>
            <w:shd w:val="clear" w:color="auto" w:fill="auto"/>
            <w:noWrap/>
            <w:vAlign w:val="center"/>
          </w:tcPr>
          <w:p w14:paraId="17C3C87F" w14:textId="77777777" w:rsidR="00D734C5" w:rsidRPr="003D0BB1" w:rsidRDefault="00D734C5" w:rsidP="007D4769">
            <w:pPr>
              <w:pStyle w:val="TableTextRight"/>
              <w:rPr>
                <w:sz w:val="16"/>
                <w:szCs w:val="16"/>
              </w:rPr>
            </w:pPr>
            <w:r w:rsidRPr="003D0BB1">
              <w:rPr>
                <w:rFonts w:cs="Calibri"/>
                <w:sz w:val="16"/>
                <w:szCs w:val="16"/>
              </w:rPr>
              <w:t>2,167</w:t>
            </w:r>
          </w:p>
        </w:tc>
        <w:tc>
          <w:tcPr>
            <w:tcW w:w="453" w:type="pct"/>
            <w:tcBorders>
              <w:top w:val="nil"/>
              <w:left w:val="nil"/>
              <w:bottom w:val="single" w:sz="4" w:space="0" w:color="auto"/>
              <w:right w:val="single" w:sz="4" w:space="0" w:color="auto"/>
            </w:tcBorders>
            <w:shd w:val="clear" w:color="auto" w:fill="auto"/>
            <w:noWrap/>
            <w:vAlign w:val="center"/>
          </w:tcPr>
          <w:p w14:paraId="4CEF79CA" w14:textId="77777777" w:rsidR="00D734C5" w:rsidRPr="003D0BB1" w:rsidRDefault="00D734C5" w:rsidP="007D4769">
            <w:pPr>
              <w:pStyle w:val="TableTextRight"/>
              <w:rPr>
                <w:sz w:val="16"/>
                <w:szCs w:val="16"/>
              </w:rPr>
            </w:pPr>
            <w:r w:rsidRPr="003D0BB1">
              <w:rPr>
                <w:rFonts w:cs="Calibri"/>
                <w:sz w:val="16"/>
                <w:szCs w:val="16"/>
              </w:rPr>
              <w:t>1,616.7</w:t>
            </w:r>
          </w:p>
        </w:tc>
        <w:tc>
          <w:tcPr>
            <w:tcW w:w="369" w:type="pct"/>
            <w:tcBorders>
              <w:top w:val="nil"/>
              <w:left w:val="nil"/>
              <w:bottom w:val="single" w:sz="4" w:space="0" w:color="auto"/>
              <w:right w:val="single" w:sz="4" w:space="0" w:color="auto"/>
            </w:tcBorders>
            <w:vAlign w:val="center"/>
          </w:tcPr>
          <w:p w14:paraId="1A20296E" w14:textId="77777777" w:rsidR="00D734C5" w:rsidRPr="003D0BB1" w:rsidRDefault="00D734C5" w:rsidP="007D4769">
            <w:pPr>
              <w:pStyle w:val="TableTextRight"/>
              <w:rPr>
                <w:sz w:val="16"/>
                <w:szCs w:val="16"/>
              </w:rPr>
            </w:pPr>
            <w:r w:rsidRPr="003D0BB1">
              <w:rPr>
                <w:rFonts w:cs="Calibri"/>
                <w:sz w:val="16"/>
                <w:szCs w:val="16"/>
              </w:rPr>
              <w:t>1,999</w:t>
            </w:r>
          </w:p>
        </w:tc>
        <w:tc>
          <w:tcPr>
            <w:tcW w:w="452" w:type="pct"/>
            <w:tcBorders>
              <w:top w:val="nil"/>
              <w:left w:val="nil"/>
              <w:bottom w:val="single" w:sz="4" w:space="0" w:color="auto"/>
              <w:right w:val="single" w:sz="4" w:space="0" w:color="auto"/>
            </w:tcBorders>
            <w:vAlign w:val="center"/>
          </w:tcPr>
          <w:p w14:paraId="5EE21BC7" w14:textId="77777777" w:rsidR="00D734C5" w:rsidRPr="003D0BB1" w:rsidRDefault="00D734C5" w:rsidP="007D4769">
            <w:pPr>
              <w:pStyle w:val="TableTextRight"/>
              <w:rPr>
                <w:sz w:val="16"/>
                <w:szCs w:val="16"/>
              </w:rPr>
            </w:pPr>
            <w:r w:rsidRPr="003D0BB1">
              <w:rPr>
                <w:rFonts w:cs="Calibri"/>
                <w:sz w:val="16"/>
                <w:szCs w:val="16"/>
              </w:rPr>
              <w:t>1,774.1</w:t>
            </w:r>
          </w:p>
        </w:tc>
      </w:tr>
      <w:tr w:rsidR="00D734C5" w:rsidRPr="009E117F" w14:paraId="0DA2D78D" w14:textId="77777777" w:rsidTr="003D0BB1">
        <w:trPr>
          <w:trHeight w:val="450"/>
        </w:trPr>
        <w:tc>
          <w:tcPr>
            <w:tcW w:w="934" w:type="pct"/>
            <w:tcBorders>
              <w:top w:val="nil"/>
              <w:left w:val="single" w:sz="4" w:space="0" w:color="auto"/>
              <w:bottom w:val="single" w:sz="4" w:space="0" w:color="auto"/>
              <w:right w:val="single" w:sz="4" w:space="0" w:color="auto"/>
            </w:tcBorders>
            <w:shd w:val="clear" w:color="auto" w:fill="auto"/>
            <w:vAlign w:val="center"/>
            <w:hideMark/>
          </w:tcPr>
          <w:p w14:paraId="64F1D218" w14:textId="77777777" w:rsidR="00D734C5" w:rsidRPr="003D0BB1" w:rsidRDefault="00D734C5" w:rsidP="007D4769">
            <w:pPr>
              <w:pStyle w:val="TableColumnHeadingLeft"/>
              <w:rPr>
                <w:sz w:val="18"/>
              </w:rPr>
            </w:pPr>
            <w:r w:rsidRPr="003D0BB1">
              <w:rPr>
                <w:sz w:val="18"/>
              </w:rPr>
              <w:t>Excluding small funds</w:t>
            </w:r>
          </w:p>
        </w:tc>
        <w:tc>
          <w:tcPr>
            <w:tcW w:w="392" w:type="pct"/>
            <w:tcBorders>
              <w:top w:val="nil"/>
              <w:left w:val="nil"/>
              <w:bottom w:val="single" w:sz="4" w:space="0" w:color="auto"/>
              <w:right w:val="single" w:sz="4" w:space="0" w:color="auto"/>
            </w:tcBorders>
            <w:shd w:val="clear" w:color="auto" w:fill="auto"/>
            <w:vAlign w:val="center"/>
            <w:hideMark/>
          </w:tcPr>
          <w:p w14:paraId="2C15D5A9" w14:textId="77777777" w:rsidR="00D734C5" w:rsidRPr="003D0BB1" w:rsidRDefault="00D734C5" w:rsidP="007D4769">
            <w:pPr>
              <w:pStyle w:val="TableTextRight"/>
              <w:rPr>
                <w:sz w:val="16"/>
                <w:szCs w:val="16"/>
              </w:rPr>
            </w:pPr>
            <w:r w:rsidRPr="003D0BB1">
              <w:rPr>
                <w:rFonts w:cs="Calibri"/>
                <w:sz w:val="16"/>
                <w:szCs w:val="16"/>
              </w:rPr>
              <w:t>299</w:t>
            </w:r>
          </w:p>
        </w:tc>
        <w:tc>
          <w:tcPr>
            <w:tcW w:w="392" w:type="pct"/>
            <w:tcBorders>
              <w:top w:val="nil"/>
              <w:left w:val="nil"/>
              <w:bottom w:val="single" w:sz="4" w:space="0" w:color="auto"/>
              <w:right w:val="single" w:sz="4" w:space="0" w:color="auto"/>
            </w:tcBorders>
            <w:shd w:val="clear" w:color="auto" w:fill="auto"/>
            <w:vAlign w:val="center"/>
          </w:tcPr>
          <w:p w14:paraId="5CB2804C" w14:textId="77777777" w:rsidR="00D734C5" w:rsidRPr="003D0BB1" w:rsidRDefault="00D734C5" w:rsidP="007D4769">
            <w:pPr>
              <w:pStyle w:val="TableTextRight"/>
              <w:rPr>
                <w:sz w:val="16"/>
                <w:szCs w:val="16"/>
              </w:rPr>
            </w:pPr>
            <w:r w:rsidRPr="003D0BB1">
              <w:rPr>
                <w:rFonts w:cs="Calibri"/>
                <w:sz w:val="16"/>
                <w:szCs w:val="16"/>
              </w:rPr>
              <w:t>1,105.2</w:t>
            </w:r>
          </w:p>
        </w:tc>
        <w:tc>
          <w:tcPr>
            <w:tcW w:w="363" w:type="pct"/>
            <w:tcBorders>
              <w:top w:val="nil"/>
              <w:left w:val="nil"/>
              <w:bottom w:val="single" w:sz="4" w:space="0" w:color="auto"/>
              <w:right w:val="single" w:sz="4" w:space="0" w:color="auto"/>
            </w:tcBorders>
            <w:shd w:val="clear" w:color="auto" w:fill="auto"/>
            <w:vAlign w:val="center"/>
            <w:hideMark/>
          </w:tcPr>
          <w:p w14:paraId="46F0BD86" w14:textId="77777777" w:rsidR="00D734C5" w:rsidRPr="003D0BB1" w:rsidRDefault="00D734C5" w:rsidP="007D4769">
            <w:pPr>
              <w:pStyle w:val="TableTextRight"/>
              <w:rPr>
                <w:sz w:val="16"/>
                <w:szCs w:val="16"/>
              </w:rPr>
            </w:pPr>
            <w:r w:rsidRPr="003D0BB1">
              <w:rPr>
                <w:rFonts w:cs="Calibri"/>
                <w:sz w:val="16"/>
                <w:szCs w:val="16"/>
              </w:rPr>
              <w:t>284</w:t>
            </w:r>
          </w:p>
        </w:tc>
        <w:tc>
          <w:tcPr>
            <w:tcW w:w="453" w:type="pct"/>
            <w:tcBorders>
              <w:top w:val="nil"/>
              <w:left w:val="nil"/>
              <w:bottom w:val="single" w:sz="4" w:space="0" w:color="auto"/>
              <w:right w:val="single" w:sz="4" w:space="0" w:color="auto"/>
            </w:tcBorders>
            <w:shd w:val="clear" w:color="auto" w:fill="auto"/>
            <w:vAlign w:val="center"/>
            <w:hideMark/>
          </w:tcPr>
          <w:p w14:paraId="1CA39653" w14:textId="77777777" w:rsidR="00D734C5" w:rsidRPr="003D0BB1" w:rsidRDefault="00D734C5" w:rsidP="007D4769">
            <w:pPr>
              <w:pStyle w:val="TableTextRight"/>
              <w:rPr>
                <w:sz w:val="16"/>
                <w:szCs w:val="16"/>
              </w:rPr>
            </w:pPr>
            <w:r w:rsidRPr="003D0BB1">
              <w:rPr>
                <w:rFonts w:cs="Calibri"/>
                <w:sz w:val="16"/>
                <w:szCs w:val="16"/>
              </w:rPr>
              <w:t>1,235.2</w:t>
            </w:r>
          </w:p>
        </w:tc>
        <w:tc>
          <w:tcPr>
            <w:tcW w:w="369" w:type="pct"/>
            <w:tcBorders>
              <w:top w:val="nil"/>
              <w:left w:val="nil"/>
              <w:bottom w:val="single" w:sz="4" w:space="0" w:color="auto"/>
              <w:right w:val="single" w:sz="4" w:space="0" w:color="auto"/>
            </w:tcBorders>
            <w:shd w:val="clear" w:color="auto" w:fill="auto"/>
            <w:vAlign w:val="center"/>
            <w:hideMark/>
          </w:tcPr>
          <w:p w14:paraId="4ACA9D0F" w14:textId="77777777" w:rsidR="00D734C5" w:rsidRPr="003D0BB1" w:rsidRDefault="00D734C5" w:rsidP="007D4769">
            <w:pPr>
              <w:pStyle w:val="TableTextRight"/>
              <w:rPr>
                <w:sz w:val="16"/>
                <w:szCs w:val="16"/>
              </w:rPr>
            </w:pPr>
            <w:r w:rsidRPr="003D0BB1">
              <w:rPr>
                <w:rFonts w:cs="Calibri"/>
                <w:sz w:val="16"/>
                <w:szCs w:val="16"/>
              </w:rPr>
              <w:t>266</w:t>
            </w:r>
          </w:p>
        </w:tc>
        <w:tc>
          <w:tcPr>
            <w:tcW w:w="453" w:type="pct"/>
            <w:tcBorders>
              <w:top w:val="nil"/>
              <w:left w:val="nil"/>
              <w:bottom w:val="single" w:sz="4" w:space="0" w:color="auto"/>
              <w:right w:val="single" w:sz="4" w:space="0" w:color="auto"/>
            </w:tcBorders>
            <w:shd w:val="clear" w:color="auto" w:fill="auto"/>
            <w:vAlign w:val="center"/>
            <w:hideMark/>
          </w:tcPr>
          <w:p w14:paraId="59F8170C" w14:textId="77777777" w:rsidR="00D734C5" w:rsidRPr="003D0BB1" w:rsidRDefault="00D734C5" w:rsidP="007D4769">
            <w:pPr>
              <w:pStyle w:val="TableTextRight"/>
              <w:rPr>
                <w:sz w:val="16"/>
                <w:szCs w:val="16"/>
              </w:rPr>
            </w:pPr>
            <w:r w:rsidRPr="003D0BB1">
              <w:rPr>
                <w:rFonts w:cs="Calibri"/>
                <w:sz w:val="16"/>
                <w:szCs w:val="16"/>
              </w:rPr>
              <w:t>1,290.4</w:t>
            </w:r>
          </w:p>
        </w:tc>
        <w:tc>
          <w:tcPr>
            <w:tcW w:w="369" w:type="pct"/>
            <w:tcBorders>
              <w:top w:val="nil"/>
              <w:left w:val="nil"/>
              <w:bottom w:val="single" w:sz="4" w:space="0" w:color="auto"/>
              <w:right w:val="single" w:sz="4" w:space="0" w:color="auto"/>
            </w:tcBorders>
            <w:shd w:val="clear" w:color="auto" w:fill="auto"/>
            <w:noWrap/>
            <w:vAlign w:val="center"/>
          </w:tcPr>
          <w:p w14:paraId="1D9915F5" w14:textId="77777777" w:rsidR="00D734C5" w:rsidRPr="003D0BB1" w:rsidRDefault="00D734C5" w:rsidP="007D4769">
            <w:pPr>
              <w:pStyle w:val="TableTextRight"/>
              <w:rPr>
                <w:sz w:val="16"/>
                <w:szCs w:val="16"/>
              </w:rPr>
            </w:pPr>
            <w:r w:rsidRPr="003D0BB1">
              <w:rPr>
                <w:rFonts w:cs="Calibri"/>
                <w:sz w:val="16"/>
                <w:szCs w:val="16"/>
              </w:rPr>
              <w:t>240</w:t>
            </w:r>
          </w:p>
        </w:tc>
        <w:tc>
          <w:tcPr>
            <w:tcW w:w="453" w:type="pct"/>
            <w:tcBorders>
              <w:top w:val="nil"/>
              <w:left w:val="nil"/>
              <w:bottom w:val="single" w:sz="4" w:space="0" w:color="auto"/>
              <w:right w:val="single" w:sz="4" w:space="0" w:color="auto"/>
            </w:tcBorders>
            <w:shd w:val="clear" w:color="auto" w:fill="auto"/>
            <w:noWrap/>
            <w:vAlign w:val="center"/>
          </w:tcPr>
          <w:p w14:paraId="14EC0F61" w14:textId="77777777" w:rsidR="00D734C5" w:rsidRPr="003D0BB1" w:rsidRDefault="00D734C5" w:rsidP="007D4769">
            <w:pPr>
              <w:pStyle w:val="TableTextRight"/>
              <w:rPr>
                <w:sz w:val="16"/>
                <w:szCs w:val="16"/>
              </w:rPr>
            </w:pPr>
            <w:r w:rsidRPr="003D0BB1">
              <w:rPr>
                <w:rFonts w:cs="Calibri"/>
                <w:sz w:val="16"/>
                <w:szCs w:val="16"/>
              </w:rPr>
              <w:t>1,614.6</w:t>
            </w:r>
          </w:p>
        </w:tc>
        <w:tc>
          <w:tcPr>
            <w:tcW w:w="369" w:type="pct"/>
            <w:tcBorders>
              <w:top w:val="nil"/>
              <w:left w:val="nil"/>
              <w:bottom w:val="single" w:sz="4" w:space="0" w:color="auto"/>
              <w:right w:val="single" w:sz="4" w:space="0" w:color="auto"/>
            </w:tcBorders>
            <w:vAlign w:val="center"/>
          </w:tcPr>
          <w:p w14:paraId="3F16B8A2" w14:textId="77777777" w:rsidR="00D734C5" w:rsidRPr="003D0BB1" w:rsidRDefault="00D734C5" w:rsidP="007D4769">
            <w:pPr>
              <w:pStyle w:val="TableTextRight"/>
              <w:rPr>
                <w:sz w:val="16"/>
                <w:szCs w:val="16"/>
              </w:rPr>
            </w:pPr>
            <w:r w:rsidRPr="003D0BB1">
              <w:rPr>
                <w:rFonts w:cs="Calibri"/>
                <w:sz w:val="16"/>
                <w:szCs w:val="16"/>
              </w:rPr>
              <w:t>222</w:t>
            </w:r>
          </w:p>
        </w:tc>
        <w:tc>
          <w:tcPr>
            <w:tcW w:w="452" w:type="pct"/>
            <w:tcBorders>
              <w:top w:val="nil"/>
              <w:left w:val="nil"/>
              <w:bottom w:val="single" w:sz="4" w:space="0" w:color="auto"/>
              <w:right w:val="single" w:sz="4" w:space="0" w:color="auto"/>
            </w:tcBorders>
            <w:vAlign w:val="center"/>
          </w:tcPr>
          <w:p w14:paraId="65B5E1C3" w14:textId="77777777" w:rsidR="00D734C5" w:rsidRPr="003D0BB1" w:rsidRDefault="00D734C5" w:rsidP="007D4769">
            <w:pPr>
              <w:pStyle w:val="TableTextRight"/>
              <w:rPr>
                <w:sz w:val="16"/>
                <w:szCs w:val="16"/>
              </w:rPr>
            </w:pPr>
            <w:r w:rsidRPr="003D0BB1">
              <w:rPr>
                <w:rFonts w:cs="Calibri"/>
                <w:sz w:val="16"/>
                <w:szCs w:val="16"/>
              </w:rPr>
              <w:t>1,772.0</w:t>
            </w:r>
          </w:p>
        </w:tc>
      </w:tr>
      <w:tr w:rsidR="00D734C5" w:rsidRPr="009E117F" w14:paraId="07F0B262" w14:textId="77777777" w:rsidTr="003D0BB1">
        <w:trPr>
          <w:trHeight w:val="300"/>
        </w:trPr>
        <w:tc>
          <w:tcPr>
            <w:tcW w:w="934" w:type="pct"/>
            <w:tcBorders>
              <w:top w:val="nil"/>
              <w:left w:val="single" w:sz="4" w:space="0" w:color="auto"/>
              <w:bottom w:val="single" w:sz="4" w:space="0" w:color="auto"/>
              <w:right w:val="single" w:sz="4" w:space="0" w:color="auto"/>
            </w:tcBorders>
            <w:shd w:val="clear" w:color="auto" w:fill="auto"/>
            <w:noWrap/>
            <w:vAlign w:val="center"/>
            <w:hideMark/>
          </w:tcPr>
          <w:p w14:paraId="3B33EA4E" w14:textId="77777777" w:rsidR="00D734C5" w:rsidRPr="003D0BB1" w:rsidRDefault="00D734C5" w:rsidP="007D4769">
            <w:pPr>
              <w:pStyle w:val="TableColumnHeadingLeft"/>
              <w:rPr>
                <w:sz w:val="18"/>
              </w:rPr>
            </w:pPr>
            <w:r w:rsidRPr="003D0BB1">
              <w:rPr>
                <w:sz w:val="18"/>
              </w:rPr>
              <w:t>Small funds</w:t>
            </w:r>
          </w:p>
        </w:tc>
        <w:tc>
          <w:tcPr>
            <w:tcW w:w="392" w:type="pct"/>
            <w:tcBorders>
              <w:top w:val="nil"/>
              <w:left w:val="nil"/>
              <w:bottom w:val="single" w:sz="4" w:space="0" w:color="auto"/>
              <w:right w:val="single" w:sz="4" w:space="0" w:color="auto"/>
            </w:tcBorders>
            <w:shd w:val="clear" w:color="auto" w:fill="auto"/>
            <w:vAlign w:val="center"/>
            <w:hideMark/>
          </w:tcPr>
          <w:p w14:paraId="51B08103" w14:textId="77777777" w:rsidR="00D734C5" w:rsidRPr="003D0BB1" w:rsidRDefault="00D734C5" w:rsidP="007D4769">
            <w:pPr>
              <w:pStyle w:val="TableTextRight"/>
              <w:rPr>
                <w:sz w:val="16"/>
                <w:szCs w:val="16"/>
              </w:rPr>
            </w:pPr>
            <w:r w:rsidRPr="003D0BB1">
              <w:rPr>
                <w:rFonts w:cs="Calibri"/>
                <w:sz w:val="16"/>
                <w:szCs w:val="16"/>
              </w:rPr>
              <w:t>2,450</w:t>
            </w:r>
          </w:p>
        </w:tc>
        <w:tc>
          <w:tcPr>
            <w:tcW w:w="392" w:type="pct"/>
            <w:tcBorders>
              <w:top w:val="nil"/>
              <w:left w:val="nil"/>
              <w:bottom w:val="single" w:sz="4" w:space="0" w:color="auto"/>
              <w:right w:val="single" w:sz="4" w:space="0" w:color="auto"/>
            </w:tcBorders>
            <w:shd w:val="clear" w:color="auto" w:fill="auto"/>
            <w:vAlign w:val="center"/>
          </w:tcPr>
          <w:p w14:paraId="7B521F49" w14:textId="77777777" w:rsidR="00D734C5" w:rsidRPr="003D0BB1" w:rsidRDefault="00D734C5" w:rsidP="007D4769">
            <w:pPr>
              <w:pStyle w:val="TableTextRight"/>
              <w:rPr>
                <w:sz w:val="16"/>
                <w:szCs w:val="16"/>
              </w:rPr>
            </w:pPr>
            <w:r w:rsidRPr="003D0BB1">
              <w:rPr>
                <w:rFonts w:cs="Calibri"/>
                <w:sz w:val="16"/>
                <w:szCs w:val="16"/>
              </w:rPr>
              <w:t>2.1</w:t>
            </w:r>
          </w:p>
        </w:tc>
        <w:tc>
          <w:tcPr>
            <w:tcW w:w="363" w:type="pct"/>
            <w:tcBorders>
              <w:top w:val="nil"/>
              <w:left w:val="nil"/>
              <w:bottom w:val="single" w:sz="4" w:space="0" w:color="auto"/>
              <w:right w:val="single" w:sz="4" w:space="0" w:color="auto"/>
            </w:tcBorders>
            <w:shd w:val="clear" w:color="auto" w:fill="auto"/>
            <w:vAlign w:val="center"/>
            <w:hideMark/>
          </w:tcPr>
          <w:p w14:paraId="18873380" w14:textId="77777777" w:rsidR="00D734C5" w:rsidRPr="003D0BB1" w:rsidRDefault="00D734C5" w:rsidP="007D4769">
            <w:pPr>
              <w:pStyle w:val="TableTextRight"/>
              <w:rPr>
                <w:sz w:val="16"/>
                <w:szCs w:val="16"/>
              </w:rPr>
            </w:pPr>
            <w:r w:rsidRPr="003D0BB1">
              <w:rPr>
                <w:rFonts w:cs="Calibri"/>
                <w:sz w:val="16"/>
                <w:szCs w:val="16"/>
              </w:rPr>
              <w:t>2,234</w:t>
            </w:r>
          </w:p>
        </w:tc>
        <w:tc>
          <w:tcPr>
            <w:tcW w:w="453" w:type="pct"/>
            <w:tcBorders>
              <w:top w:val="nil"/>
              <w:left w:val="nil"/>
              <w:bottom w:val="single" w:sz="4" w:space="0" w:color="auto"/>
              <w:right w:val="single" w:sz="4" w:space="0" w:color="auto"/>
            </w:tcBorders>
            <w:shd w:val="clear" w:color="auto" w:fill="auto"/>
            <w:vAlign w:val="center"/>
            <w:hideMark/>
          </w:tcPr>
          <w:p w14:paraId="15CF7245" w14:textId="77777777" w:rsidR="00D734C5" w:rsidRPr="003D0BB1" w:rsidRDefault="00D734C5" w:rsidP="007D4769">
            <w:pPr>
              <w:pStyle w:val="TableTextRight"/>
              <w:rPr>
                <w:sz w:val="16"/>
                <w:szCs w:val="16"/>
              </w:rPr>
            </w:pPr>
            <w:r w:rsidRPr="003D0BB1">
              <w:rPr>
                <w:rFonts w:cs="Calibri"/>
                <w:sz w:val="16"/>
                <w:szCs w:val="16"/>
              </w:rPr>
              <w:t>2.1</w:t>
            </w:r>
          </w:p>
        </w:tc>
        <w:tc>
          <w:tcPr>
            <w:tcW w:w="369" w:type="pct"/>
            <w:tcBorders>
              <w:top w:val="nil"/>
              <w:left w:val="nil"/>
              <w:bottom w:val="single" w:sz="4" w:space="0" w:color="auto"/>
              <w:right w:val="single" w:sz="4" w:space="0" w:color="auto"/>
            </w:tcBorders>
            <w:shd w:val="clear" w:color="auto" w:fill="auto"/>
            <w:vAlign w:val="center"/>
            <w:hideMark/>
          </w:tcPr>
          <w:p w14:paraId="525F8074" w14:textId="77777777" w:rsidR="00D734C5" w:rsidRPr="003D0BB1" w:rsidRDefault="00D734C5" w:rsidP="007D4769">
            <w:pPr>
              <w:pStyle w:val="TableTextRight"/>
              <w:rPr>
                <w:sz w:val="16"/>
                <w:szCs w:val="16"/>
              </w:rPr>
            </w:pPr>
            <w:r w:rsidRPr="003D0BB1">
              <w:rPr>
                <w:rFonts w:cs="Calibri"/>
                <w:sz w:val="16"/>
                <w:szCs w:val="16"/>
              </w:rPr>
              <w:t>2,055</w:t>
            </w:r>
          </w:p>
        </w:tc>
        <w:tc>
          <w:tcPr>
            <w:tcW w:w="453" w:type="pct"/>
            <w:tcBorders>
              <w:top w:val="nil"/>
              <w:left w:val="nil"/>
              <w:bottom w:val="single" w:sz="4" w:space="0" w:color="auto"/>
              <w:right w:val="single" w:sz="4" w:space="0" w:color="auto"/>
            </w:tcBorders>
            <w:shd w:val="clear" w:color="auto" w:fill="auto"/>
            <w:vAlign w:val="center"/>
            <w:hideMark/>
          </w:tcPr>
          <w:p w14:paraId="34CFD59B" w14:textId="77777777" w:rsidR="00D734C5" w:rsidRPr="003D0BB1" w:rsidRDefault="00D734C5" w:rsidP="007D4769">
            <w:pPr>
              <w:pStyle w:val="TableTextRight"/>
              <w:rPr>
                <w:sz w:val="16"/>
                <w:szCs w:val="16"/>
              </w:rPr>
            </w:pPr>
            <w:r w:rsidRPr="003D0BB1">
              <w:rPr>
                <w:rFonts w:cs="Calibri"/>
                <w:sz w:val="16"/>
                <w:szCs w:val="16"/>
              </w:rPr>
              <w:t>2.0</w:t>
            </w:r>
          </w:p>
        </w:tc>
        <w:tc>
          <w:tcPr>
            <w:tcW w:w="369" w:type="pct"/>
            <w:tcBorders>
              <w:top w:val="nil"/>
              <w:left w:val="nil"/>
              <w:bottom w:val="single" w:sz="4" w:space="0" w:color="auto"/>
              <w:right w:val="single" w:sz="4" w:space="0" w:color="auto"/>
            </w:tcBorders>
            <w:shd w:val="clear" w:color="auto" w:fill="auto"/>
            <w:noWrap/>
            <w:vAlign w:val="center"/>
          </w:tcPr>
          <w:p w14:paraId="244271A1" w14:textId="77777777" w:rsidR="00D734C5" w:rsidRPr="003D0BB1" w:rsidRDefault="00D734C5" w:rsidP="007D4769">
            <w:pPr>
              <w:pStyle w:val="TableTextRight"/>
              <w:rPr>
                <w:sz w:val="16"/>
                <w:szCs w:val="16"/>
              </w:rPr>
            </w:pPr>
            <w:r w:rsidRPr="003D0BB1">
              <w:rPr>
                <w:rFonts w:cs="Calibri"/>
                <w:sz w:val="16"/>
                <w:szCs w:val="16"/>
              </w:rPr>
              <w:t>1,927</w:t>
            </w:r>
          </w:p>
        </w:tc>
        <w:tc>
          <w:tcPr>
            <w:tcW w:w="453" w:type="pct"/>
            <w:tcBorders>
              <w:top w:val="nil"/>
              <w:left w:val="nil"/>
              <w:bottom w:val="single" w:sz="4" w:space="0" w:color="auto"/>
              <w:right w:val="single" w:sz="4" w:space="0" w:color="auto"/>
            </w:tcBorders>
            <w:shd w:val="clear" w:color="auto" w:fill="auto"/>
            <w:noWrap/>
            <w:vAlign w:val="center"/>
          </w:tcPr>
          <w:p w14:paraId="240DEA8F" w14:textId="77777777" w:rsidR="00D734C5" w:rsidRPr="003D0BB1" w:rsidRDefault="00D734C5" w:rsidP="007D4769">
            <w:pPr>
              <w:pStyle w:val="TableTextRight"/>
              <w:rPr>
                <w:sz w:val="16"/>
                <w:szCs w:val="16"/>
              </w:rPr>
            </w:pPr>
            <w:r w:rsidRPr="003D0BB1">
              <w:rPr>
                <w:rFonts w:cs="Calibri"/>
                <w:sz w:val="16"/>
                <w:szCs w:val="16"/>
              </w:rPr>
              <w:t>2.1</w:t>
            </w:r>
          </w:p>
        </w:tc>
        <w:tc>
          <w:tcPr>
            <w:tcW w:w="369" w:type="pct"/>
            <w:tcBorders>
              <w:top w:val="nil"/>
              <w:left w:val="nil"/>
              <w:bottom w:val="single" w:sz="4" w:space="0" w:color="auto"/>
              <w:right w:val="single" w:sz="4" w:space="0" w:color="auto"/>
            </w:tcBorders>
            <w:vAlign w:val="center"/>
          </w:tcPr>
          <w:p w14:paraId="44EC24D9" w14:textId="77777777" w:rsidR="00D734C5" w:rsidRPr="003D0BB1" w:rsidRDefault="00D734C5" w:rsidP="007D4769">
            <w:pPr>
              <w:pStyle w:val="TableTextRight"/>
              <w:rPr>
                <w:sz w:val="16"/>
                <w:szCs w:val="16"/>
              </w:rPr>
            </w:pPr>
            <w:r w:rsidRPr="003D0BB1">
              <w:rPr>
                <w:rFonts w:cs="Calibri"/>
                <w:sz w:val="16"/>
                <w:szCs w:val="16"/>
              </w:rPr>
              <w:t>1,777</w:t>
            </w:r>
          </w:p>
        </w:tc>
        <w:tc>
          <w:tcPr>
            <w:tcW w:w="452" w:type="pct"/>
            <w:tcBorders>
              <w:top w:val="nil"/>
              <w:left w:val="nil"/>
              <w:bottom w:val="single" w:sz="4" w:space="0" w:color="auto"/>
              <w:right w:val="single" w:sz="4" w:space="0" w:color="auto"/>
            </w:tcBorders>
            <w:vAlign w:val="center"/>
          </w:tcPr>
          <w:p w14:paraId="324E7BD0" w14:textId="77777777" w:rsidR="00D734C5" w:rsidRPr="003D0BB1" w:rsidRDefault="00D734C5" w:rsidP="007D4769">
            <w:pPr>
              <w:pStyle w:val="TableTextRight"/>
              <w:rPr>
                <w:sz w:val="16"/>
                <w:szCs w:val="16"/>
              </w:rPr>
            </w:pPr>
            <w:r w:rsidRPr="003D0BB1">
              <w:rPr>
                <w:rFonts w:cs="Calibri"/>
                <w:sz w:val="16"/>
                <w:szCs w:val="16"/>
              </w:rPr>
              <w:t>2.1</w:t>
            </w:r>
          </w:p>
        </w:tc>
      </w:tr>
      <w:tr w:rsidR="00D734C5" w:rsidRPr="009E117F" w14:paraId="4A75E434" w14:textId="77777777" w:rsidTr="003D0BB1">
        <w:trPr>
          <w:trHeight w:val="300"/>
        </w:trPr>
        <w:tc>
          <w:tcPr>
            <w:tcW w:w="934" w:type="pct"/>
            <w:tcBorders>
              <w:top w:val="nil"/>
              <w:left w:val="single" w:sz="4" w:space="0" w:color="auto"/>
              <w:bottom w:val="single" w:sz="4" w:space="0" w:color="auto"/>
              <w:right w:val="single" w:sz="4" w:space="0" w:color="auto"/>
            </w:tcBorders>
            <w:shd w:val="clear" w:color="auto" w:fill="auto"/>
            <w:noWrap/>
            <w:vAlign w:val="center"/>
            <w:hideMark/>
          </w:tcPr>
          <w:p w14:paraId="37F80895" w14:textId="77777777" w:rsidR="00D734C5" w:rsidRPr="003D0BB1" w:rsidRDefault="00D734C5" w:rsidP="007D4769">
            <w:pPr>
              <w:pStyle w:val="TableColumnHeadingCentred"/>
              <w:jc w:val="left"/>
              <w:rPr>
                <w:sz w:val="18"/>
              </w:rPr>
            </w:pPr>
            <w:r w:rsidRPr="003D0BB1">
              <w:rPr>
                <w:sz w:val="18"/>
              </w:rPr>
              <w:t>Total</w:t>
            </w:r>
          </w:p>
        </w:tc>
        <w:tc>
          <w:tcPr>
            <w:tcW w:w="392" w:type="pct"/>
            <w:tcBorders>
              <w:top w:val="nil"/>
              <w:left w:val="nil"/>
              <w:bottom w:val="single" w:sz="4" w:space="0" w:color="auto"/>
              <w:right w:val="single" w:sz="4" w:space="0" w:color="auto"/>
            </w:tcBorders>
            <w:shd w:val="clear" w:color="auto" w:fill="auto"/>
            <w:vAlign w:val="center"/>
            <w:hideMark/>
          </w:tcPr>
          <w:p w14:paraId="416E11B2" w14:textId="77777777" w:rsidR="00D734C5" w:rsidRPr="003D0BB1" w:rsidRDefault="00D734C5" w:rsidP="007D4769">
            <w:pPr>
              <w:pStyle w:val="TableTextRight"/>
              <w:rPr>
                <w:b/>
                <w:sz w:val="16"/>
                <w:szCs w:val="16"/>
              </w:rPr>
            </w:pPr>
            <w:r w:rsidRPr="003D0BB1">
              <w:rPr>
                <w:rFonts w:cs="Calibri"/>
                <w:b/>
                <w:bCs/>
                <w:sz w:val="16"/>
                <w:szCs w:val="16"/>
              </w:rPr>
              <w:t>3,302</w:t>
            </w:r>
          </w:p>
        </w:tc>
        <w:tc>
          <w:tcPr>
            <w:tcW w:w="392" w:type="pct"/>
            <w:tcBorders>
              <w:top w:val="nil"/>
              <w:left w:val="nil"/>
              <w:bottom w:val="single" w:sz="4" w:space="0" w:color="auto"/>
              <w:right w:val="single" w:sz="4" w:space="0" w:color="auto"/>
            </w:tcBorders>
            <w:shd w:val="clear" w:color="auto" w:fill="auto"/>
            <w:vAlign w:val="center"/>
            <w:hideMark/>
          </w:tcPr>
          <w:p w14:paraId="36A9C423" w14:textId="77777777" w:rsidR="00D734C5" w:rsidRPr="003D0BB1" w:rsidRDefault="00D734C5" w:rsidP="007D4769">
            <w:pPr>
              <w:pStyle w:val="TableTextRight"/>
              <w:rPr>
                <w:b/>
                <w:sz w:val="16"/>
                <w:szCs w:val="16"/>
              </w:rPr>
            </w:pPr>
            <w:r w:rsidRPr="003D0BB1">
              <w:rPr>
                <w:rFonts w:cs="Calibri"/>
                <w:b/>
                <w:bCs/>
                <w:sz w:val="16"/>
                <w:szCs w:val="16"/>
              </w:rPr>
              <w:t>4,938.6</w:t>
            </w:r>
          </w:p>
        </w:tc>
        <w:tc>
          <w:tcPr>
            <w:tcW w:w="363" w:type="pct"/>
            <w:tcBorders>
              <w:top w:val="nil"/>
              <w:left w:val="nil"/>
              <w:bottom w:val="single" w:sz="4" w:space="0" w:color="auto"/>
              <w:right w:val="single" w:sz="4" w:space="0" w:color="auto"/>
            </w:tcBorders>
            <w:shd w:val="clear" w:color="auto" w:fill="auto"/>
            <w:vAlign w:val="center"/>
            <w:hideMark/>
          </w:tcPr>
          <w:p w14:paraId="29D650D4" w14:textId="77777777" w:rsidR="00D734C5" w:rsidRPr="003D0BB1" w:rsidRDefault="00D734C5" w:rsidP="007D4769">
            <w:pPr>
              <w:pStyle w:val="TableTextRight"/>
              <w:rPr>
                <w:b/>
                <w:sz w:val="16"/>
                <w:szCs w:val="16"/>
              </w:rPr>
            </w:pPr>
            <w:r w:rsidRPr="003D0BB1">
              <w:rPr>
                <w:rFonts w:cs="Calibri"/>
                <w:b/>
                <w:bCs/>
                <w:sz w:val="16"/>
                <w:szCs w:val="16"/>
              </w:rPr>
              <w:t>3,047</w:t>
            </w:r>
          </w:p>
        </w:tc>
        <w:tc>
          <w:tcPr>
            <w:tcW w:w="453" w:type="pct"/>
            <w:tcBorders>
              <w:top w:val="nil"/>
              <w:left w:val="nil"/>
              <w:bottom w:val="single" w:sz="4" w:space="0" w:color="auto"/>
              <w:right w:val="single" w:sz="4" w:space="0" w:color="auto"/>
            </w:tcBorders>
            <w:shd w:val="clear" w:color="auto" w:fill="auto"/>
            <w:vAlign w:val="center"/>
            <w:hideMark/>
          </w:tcPr>
          <w:p w14:paraId="1DE78DE3" w14:textId="77777777" w:rsidR="00D734C5" w:rsidRPr="003D0BB1" w:rsidRDefault="00D734C5" w:rsidP="007D4769">
            <w:pPr>
              <w:pStyle w:val="TableTextRight"/>
              <w:rPr>
                <w:b/>
                <w:sz w:val="16"/>
                <w:szCs w:val="16"/>
              </w:rPr>
            </w:pPr>
            <w:r w:rsidRPr="003D0BB1">
              <w:rPr>
                <w:rFonts w:cs="Calibri"/>
                <w:b/>
                <w:bCs/>
                <w:sz w:val="16"/>
                <w:szCs w:val="16"/>
              </w:rPr>
              <w:t>5,529.8</w:t>
            </w:r>
          </w:p>
        </w:tc>
        <w:tc>
          <w:tcPr>
            <w:tcW w:w="369" w:type="pct"/>
            <w:tcBorders>
              <w:top w:val="nil"/>
              <w:left w:val="nil"/>
              <w:bottom w:val="single" w:sz="4" w:space="0" w:color="auto"/>
              <w:right w:val="single" w:sz="4" w:space="0" w:color="auto"/>
            </w:tcBorders>
            <w:shd w:val="clear" w:color="auto" w:fill="auto"/>
            <w:vAlign w:val="center"/>
            <w:hideMark/>
          </w:tcPr>
          <w:p w14:paraId="573B1222" w14:textId="77777777" w:rsidR="00D734C5" w:rsidRPr="003D0BB1" w:rsidRDefault="00D734C5" w:rsidP="007D4769">
            <w:pPr>
              <w:pStyle w:val="TableTextRight"/>
              <w:rPr>
                <w:b/>
                <w:sz w:val="16"/>
                <w:szCs w:val="16"/>
              </w:rPr>
            </w:pPr>
            <w:r w:rsidRPr="003D0BB1">
              <w:rPr>
                <w:rFonts w:cs="Calibri"/>
                <w:b/>
                <w:bCs/>
                <w:sz w:val="16"/>
                <w:szCs w:val="16"/>
              </w:rPr>
              <w:t>2,828</w:t>
            </w:r>
          </w:p>
        </w:tc>
        <w:tc>
          <w:tcPr>
            <w:tcW w:w="453" w:type="pct"/>
            <w:tcBorders>
              <w:top w:val="nil"/>
              <w:left w:val="nil"/>
              <w:bottom w:val="single" w:sz="4" w:space="0" w:color="auto"/>
              <w:right w:val="single" w:sz="4" w:space="0" w:color="auto"/>
            </w:tcBorders>
            <w:shd w:val="clear" w:color="auto" w:fill="auto"/>
            <w:vAlign w:val="center"/>
            <w:hideMark/>
          </w:tcPr>
          <w:p w14:paraId="103385EF" w14:textId="77777777" w:rsidR="00D734C5" w:rsidRPr="003D0BB1" w:rsidRDefault="00D734C5" w:rsidP="007D4769">
            <w:pPr>
              <w:pStyle w:val="TableTextRight"/>
              <w:rPr>
                <w:b/>
                <w:sz w:val="16"/>
                <w:szCs w:val="16"/>
              </w:rPr>
            </w:pPr>
            <w:r w:rsidRPr="003D0BB1">
              <w:rPr>
                <w:rFonts w:cs="Calibri"/>
                <w:b/>
                <w:bCs/>
                <w:sz w:val="16"/>
                <w:szCs w:val="16"/>
              </w:rPr>
              <w:t>5,899.3</w:t>
            </w:r>
          </w:p>
        </w:tc>
        <w:tc>
          <w:tcPr>
            <w:tcW w:w="369" w:type="pct"/>
            <w:tcBorders>
              <w:top w:val="nil"/>
              <w:left w:val="nil"/>
              <w:bottom w:val="single" w:sz="4" w:space="0" w:color="auto"/>
              <w:right w:val="single" w:sz="4" w:space="0" w:color="auto"/>
            </w:tcBorders>
            <w:shd w:val="clear" w:color="auto" w:fill="auto"/>
            <w:noWrap/>
            <w:vAlign w:val="center"/>
          </w:tcPr>
          <w:p w14:paraId="23A5E4AA" w14:textId="77777777" w:rsidR="00D734C5" w:rsidRPr="003D0BB1" w:rsidRDefault="00D734C5" w:rsidP="007D4769">
            <w:pPr>
              <w:pStyle w:val="TableTextRight"/>
              <w:rPr>
                <w:b/>
                <w:sz w:val="16"/>
                <w:szCs w:val="16"/>
              </w:rPr>
            </w:pPr>
            <w:r w:rsidRPr="003D0BB1">
              <w:rPr>
                <w:rFonts w:cs="Calibri"/>
                <w:b/>
                <w:bCs/>
                <w:sz w:val="16"/>
                <w:szCs w:val="16"/>
              </w:rPr>
              <w:t>2,662</w:t>
            </w:r>
          </w:p>
        </w:tc>
        <w:tc>
          <w:tcPr>
            <w:tcW w:w="453" w:type="pct"/>
            <w:tcBorders>
              <w:top w:val="nil"/>
              <w:left w:val="nil"/>
              <w:bottom w:val="single" w:sz="4" w:space="0" w:color="auto"/>
              <w:right w:val="single" w:sz="4" w:space="0" w:color="auto"/>
            </w:tcBorders>
            <w:shd w:val="clear" w:color="auto" w:fill="auto"/>
            <w:noWrap/>
            <w:vAlign w:val="center"/>
          </w:tcPr>
          <w:p w14:paraId="2E420222" w14:textId="77777777" w:rsidR="00D734C5" w:rsidRPr="003D0BB1" w:rsidRDefault="00D734C5" w:rsidP="007D4769">
            <w:pPr>
              <w:pStyle w:val="TableTextRight"/>
              <w:rPr>
                <w:b/>
                <w:sz w:val="16"/>
                <w:szCs w:val="16"/>
              </w:rPr>
            </w:pPr>
            <w:r w:rsidRPr="003D0BB1">
              <w:rPr>
                <w:rFonts w:cs="Calibri"/>
                <w:b/>
                <w:bCs/>
                <w:sz w:val="16"/>
                <w:szCs w:val="16"/>
              </w:rPr>
              <w:t>6,234.2</w:t>
            </w:r>
          </w:p>
        </w:tc>
        <w:tc>
          <w:tcPr>
            <w:tcW w:w="369" w:type="pct"/>
            <w:tcBorders>
              <w:top w:val="nil"/>
              <w:left w:val="nil"/>
              <w:bottom w:val="single" w:sz="4" w:space="0" w:color="auto"/>
              <w:right w:val="single" w:sz="4" w:space="0" w:color="auto"/>
            </w:tcBorders>
            <w:vAlign w:val="center"/>
          </w:tcPr>
          <w:p w14:paraId="3558AAEB" w14:textId="77777777" w:rsidR="00D734C5" w:rsidRPr="003D0BB1" w:rsidRDefault="00D734C5" w:rsidP="007D4769">
            <w:pPr>
              <w:pStyle w:val="TableTextRight"/>
              <w:rPr>
                <w:b/>
                <w:sz w:val="16"/>
                <w:szCs w:val="16"/>
              </w:rPr>
            </w:pPr>
            <w:r w:rsidRPr="003D0BB1">
              <w:rPr>
                <w:rFonts w:cs="Calibri"/>
                <w:b/>
                <w:bCs/>
                <w:sz w:val="16"/>
                <w:szCs w:val="16"/>
              </w:rPr>
              <w:t>2,474</w:t>
            </w:r>
          </w:p>
        </w:tc>
        <w:tc>
          <w:tcPr>
            <w:tcW w:w="452" w:type="pct"/>
            <w:tcBorders>
              <w:top w:val="nil"/>
              <w:left w:val="nil"/>
              <w:bottom w:val="single" w:sz="4" w:space="0" w:color="auto"/>
              <w:right w:val="single" w:sz="4" w:space="0" w:color="auto"/>
            </w:tcBorders>
            <w:vAlign w:val="center"/>
          </w:tcPr>
          <w:p w14:paraId="25A1C7AC" w14:textId="77777777" w:rsidR="00D734C5" w:rsidRPr="003D0BB1" w:rsidRDefault="00D734C5" w:rsidP="007D4769">
            <w:pPr>
              <w:pStyle w:val="TableTextRight"/>
              <w:rPr>
                <w:b/>
                <w:sz w:val="16"/>
                <w:szCs w:val="16"/>
              </w:rPr>
            </w:pPr>
            <w:r w:rsidRPr="003D0BB1">
              <w:rPr>
                <w:rFonts w:cs="Calibri"/>
                <w:b/>
                <w:bCs/>
                <w:sz w:val="16"/>
                <w:szCs w:val="16"/>
              </w:rPr>
              <w:t>6,471.8</w:t>
            </w:r>
          </w:p>
        </w:tc>
      </w:tr>
    </w:tbl>
    <w:p w14:paraId="27C08D1D" w14:textId="77777777" w:rsidR="00D865DA" w:rsidRDefault="00D865DA" w:rsidP="00023FBB">
      <w:pPr>
        <w:pStyle w:val="ChartorTableNote"/>
      </w:pPr>
      <w:r>
        <w:t>Note: The addition of ‘excluding small funds’ and ‘small funds’ in Table 1 gives the total of ‘APRA regulated superannuation institutions’.</w:t>
      </w:r>
    </w:p>
    <w:p w14:paraId="20F24C6E" w14:textId="77777777" w:rsidR="00D865DA" w:rsidRDefault="00D865DA" w:rsidP="0031550F">
      <w:pPr>
        <w:pStyle w:val="Heading1Numbered"/>
      </w:pPr>
      <w:bookmarkStart w:id="11" w:name="_Toc16757304"/>
      <w:r w:rsidRPr="0031550F">
        <w:lastRenderedPageBreak/>
        <w:t>CALCULATION</w:t>
      </w:r>
      <w:r>
        <w:t xml:space="preserve"> OF THE LEVIES</w:t>
      </w:r>
      <w:bookmarkEnd w:id="11"/>
    </w:p>
    <w:p w14:paraId="0A6AE8F6" w14:textId="77777777" w:rsidR="00D865DA" w:rsidRDefault="00D865DA" w:rsidP="0031550F">
      <w:pPr>
        <w:pStyle w:val="Heading2Numbered"/>
      </w:pPr>
      <w:bookmarkStart w:id="12" w:name="_Toc16757305"/>
      <w:r>
        <w:t>APRA’S COMPONENT OF THE LEVIES</w:t>
      </w:r>
      <w:bookmarkEnd w:id="12"/>
    </w:p>
    <w:p w14:paraId="4277E668" w14:textId="77777777" w:rsidR="00D865DA" w:rsidRDefault="00D865DA" w:rsidP="0031550F">
      <w:r>
        <w:t>APRA’s activities fall into four main categories:</w:t>
      </w:r>
    </w:p>
    <w:p w14:paraId="0CCEF0BC" w14:textId="77777777" w:rsidR="00D865DA" w:rsidRDefault="00D865DA" w:rsidP="0031550F">
      <w:pPr>
        <w:pStyle w:val="Bullet"/>
      </w:pPr>
      <w:r>
        <w:t>establishing prudential standards to be observed by supervised institutions (levy recovery);</w:t>
      </w:r>
    </w:p>
    <w:p w14:paraId="79F624AD" w14:textId="77777777" w:rsidR="00D865DA" w:rsidRDefault="00D865DA" w:rsidP="0031550F">
      <w:pPr>
        <w:pStyle w:val="Bullet"/>
      </w:pPr>
      <w:r>
        <w:t>assessing new licence applications (licencing charge recovery);</w:t>
      </w:r>
    </w:p>
    <w:p w14:paraId="72E9EC84" w14:textId="77777777" w:rsidR="00D865DA" w:rsidRDefault="00D865DA" w:rsidP="0031550F">
      <w:pPr>
        <w:pStyle w:val="Bullet"/>
      </w:pPr>
      <w:r>
        <w:t>assessing the safety and soundness of supervised institutions (levy recovery); and</w:t>
      </w:r>
    </w:p>
    <w:p w14:paraId="132384E8" w14:textId="77777777" w:rsidR="00D865DA" w:rsidRDefault="00D865DA" w:rsidP="0031550F">
      <w:pPr>
        <w:pStyle w:val="Bullet"/>
      </w:pPr>
      <w:r>
        <w:t xml:space="preserve">where necessary, carrying out APRA’s resolution authority responsibilities or other remediation, crisis response and enforcement activities (levy recovery). </w:t>
      </w:r>
    </w:p>
    <w:p w14:paraId="54AE82FC" w14:textId="77777777" w:rsidR="00D865DA" w:rsidRDefault="00D865DA" w:rsidP="00D865DA">
      <w:r>
        <w:t xml:space="preserve">APRA is largely funded through levies recovered from regulated institutions, which is set by the Government through the annual Budget process. APRA’s budget is included in the annual Treasury Portfolio Budget Statements. If APRA is asked to undertake significant new activities, or considers it is inadequately funded to meet future demands, it will submit a New Policy Proposal (NPP) for Government’s consideration. Any NPP will be considered in the context of its relative burden across the regulated industries. Following an NPP process, Government decides how much additional funding, if any, will be provided to APRA. As part of the standard Budget process any public comments or concerns about APRA’s overall resourcing and activities can be raised in pre-Budget submissions. </w:t>
      </w:r>
    </w:p>
    <w:p w14:paraId="45E3DB0F" w14:textId="77777777" w:rsidR="00D865DA" w:rsidRDefault="00D865DA" w:rsidP="00D865DA">
      <w:r>
        <w:t xml:space="preserve">APRA also undertakes a range of fee-for-service activities which are directly recovered from relevant institutions.  </w:t>
      </w:r>
    </w:p>
    <w:p w14:paraId="51579C4D" w14:textId="5F9C7E38" w:rsidR="00D865DA" w:rsidRDefault="00D865DA" w:rsidP="00D865DA">
      <w:r>
        <w:t>The current levies methodology is designed to recoup APRA’s costs. It is based on the time APRA estimates that it spends on supervising each industry sector. The levy has two components:</w:t>
      </w:r>
      <w:r w:rsidR="00023FBB">
        <w:rPr>
          <w:rStyle w:val="FootnoteReference"/>
        </w:rPr>
        <w:footnoteReference w:id="9"/>
      </w:r>
      <w:r>
        <w:t xml:space="preserve"> </w:t>
      </w:r>
    </w:p>
    <w:p w14:paraId="29140540" w14:textId="77777777" w:rsidR="00D865DA" w:rsidRDefault="00D865DA" w:rsidP="0031550F">
      <w:pPr>
        <w:pStyle w:val="Bullet"/>
      </w:pPr>
      <w:r>
        <w:t>A restricted levy component, reflecting the cost of supervision for an industry. This is structured as a percentage rate on assets, subject to minimum and maximum amounts. Activities covered by this component include costs associated with APRA’s onsite and offsite analysis, supervision and risk assessment of individual institutions and its legal and enforcement activities; and</w:t>
      </w:r>
    </w:p>
    <w:p w14:paraId="001A2279" w14:textId="77777777" w:rsidR="00D865DA" w:rsidRDefault="00D865DA" w:rsidP="0031550F">
      <w:pPr>
        <w:pStyle w:val="Bullet"/>
      </w:pPr>
      <w:r>
        <w:t>An unrestricted levy component, which covers costs relating to ‘systemic’ regulation, rather than costs that can be allocated to an individual institution or industry. While this is also structured as a percentage rate on assets, the key difference is that there are no minimum or maximum amounts. This aims to ensure that the larger institutions pay more according to their size. Activities covered by this component include costs associated with the development of APRA’s prudential framework for the industries it supervises, as well as its statistical data collection and publications.</w:t>
      </w:r>
    </w:p>
    <w:p w14:paraId="05A9349B" w14:textId="77777777" w:rsidR="00D865DA" w:rsidRDefault="00D865DA" w:rsidP="00D865DA">
      <w:r>
        <w:t>One of the challenges in the levies methodology is the avoidance of cross-subsidisation within each industry. This occurs where a disproportionately large or small levy is charged to a section of the industry, when compared to the actual cost of APRA supervision. To mitigate this, APRA periodically analyses detailed time-recording data on the actual cost of supervision available through its internal time recording system.</w:t>
      </w:r>
    </w:p>
    <w:p w14:paraId="4753DE13" w14:textId="77777777" w:rsidR="00D865DA" w:rsidRDefault="00D865DA" w:rsidP="00D865DA">
      <w:r>
        <w:lastRenderedPageBreak/>
        <w:t>One of the modifications resulting from this process has been a steady increase in the levy minimums for each industry from a previously low level. For 2019-20 there was a pause in the increase to the levy minimums to allow the impact of these recent increases to settle more within each industry. APRA will conduct further analysis of time recording data during 2019-20 and the results of that analysis will continue to be an input to the levy-setting process for the 2020-21 financial year.</w:t>
      </w:r>
    </w:p>
    <w:p w14:paraId="777B56DA" w14:textId="77777777" w:rsidR="00D865DA" w:rsidRDefault="00D865DA" w:rsidP="00D865DA">
      <w:r>
        <w:t>Consistent with the levy minimums review process, the levy maximums have been considered and modified each year, reflecting the observed cost of supervision. Changes to the maximums are discussed further in section 6.1.</w:t>
      </w:r>
    </w:p>
    <w:p w14:paraId="51BFDBFC" w14:textId="77777777" w:rsidR="00D865DA" w:rsidRDefault="00D865DA" w:rsidP="00D865DA">
      <w:r>
        <w:t>The industry sectors covered by the levies process are:</w:t>
      </w:r>
    </w:p>
    <w:p w14:paraId="486736E0" w14:textId="77777777" w:rsidR="00D865DA" w:rsidRDefault="00D865DA" w:rsidP="0031550F">
      <w:pPr>
        <w:pStyle w:val="Bullet"/>
      </w:pPr>
      <w:r>
        <w:t>Authorised deposit-taking institutions (ADIs) comprising banks, building societies and credit unions;</w:t>
      </w:r>
    </w:p>
    <w:p w14:paraId="3AB11188" w14:textId="77777777" w:rsidR="00D865DA" w:rsidRDefault="00D865DA" w:rsidP="0031550F">
      <w:pPr>
        <w:pStyle w:val="Bullet"/>
      </w:pPr>
      <w:r>
        <w:t>Life insurance companies (LIs), comprising life insurance companies and friendly societies;</w:t>
      </w:r>
    </w:p>
    <w:p w14:paraId="35FA664C" w14:textId="77777777" w:rsidR="00D865DA" w:rsidRDefault="00D865DA" w:rsidP="0031550F">
      <w:pPr>
        <w:pStyle w:val="Bullet"/>
      </w:pPr>
      <w:r>
        <w:t>General insurance &amp; reinsurance companies (GIs);</w:t>
      </w:r>
    </w:p>
    <w:p w14:paraId="62334DEB" w14:textId="77777777" w:rsidR="00D865DA" w:rsidRDefault="00D865DA" w:rsidP="0031550F">
      <w:pPr>
        <w:pStyle w:val="Bullet"/>
      </w:pPr>
      <w:r>
        <w:t>Private health insurers (PHIs); and</w:t>
      </w:r>
    </w:p>
    <w:p w14:paraId="6541282E" w14:textId="77777777" w:rsidR="00D865DA" w:rsidRDefault="00D865DA" w:rsidP="0031550F">
      <w:pPr>
        <w:pStyle w:val="Bullet"/>
      </w:pPr>
      <w:r>
        <w:t>Superannuation entities, excluding self-managed superannuation funds (Super).</w:t>
      </w:r>
    </w:p>
    <w:p w14:paraId="0FAF5790" w14:textId="0A78DDCF" w:rsidR="00D865DA" w:rsidRDefault="00D865DA" w:rsidP="00D865DA">
      <w:r>
        <w:t>The levy allocation methodology is designed to fully recover the costs from each industry sector and minimise cross</w:t>
      </w:r>
      <w:r w:rsidR="00236A3F">
        <w:t>-</w:t>
      </w:r>
      <w:r>
        <w:t xml:space="preserve">subsidies across sectors. </w:t>
      </w:r>
    </w:p>
    <w:p w14:paraId="54BEE389" w14:textId="77777777" w:rsidR="00D865DA" w:rsidRDefault="00D865DA" w:rsidP="00D865DA">
      <w:r>
        <w:t>The estimated asset value of each institution is used as a basis for allocating the quantum of the sectoral levy to each regulated institution.</w:t>
      </w:r>
    </w:p>
    <w:p w14:paraId="3A2BEFC3" w14:textId="77777777" w:rsidR="00D865DA" w:rsidRDefault="00D865DA" w:rsidP="00D865DA">
      <w:r>
        <w:t xml:space="preserve">For simplicity, the levies model is adjusted by over and under collection of the levies in prior periods by sector. Over or under collection occurs from time to time, mainly from either a difference in the actual asset values of institutions or from changes in the population of regulated institutions. </w:t>
      </w:r>
    </w:p>
    <w:p w14:paraId="4299E262" w14:textId="6D5766BC" w:rsidR="00D865DA" w:rsidRDefault="001A5494" w:rsidP="0031550F">
      <w:pPr>
        <w:pStyle w:val="TableMainHeading"/>
      </w:pPr>
      <w:bookmarkStart w:id="13" w:name="_Toc16757306"/>
      <w:r>
        <w:t xml:space="preserve">Table 3: </w:t>
      </w:r>
      <w:r w:rsidR="00D865DA">
        <w:t>APRA’s levy requirement by industry for 2019 20 ($’million)</w:t>
      </w:r>
      <w:bookmarkEnd w:id="13"/>
      <w:r>
        <w:rPr>
          <w:rStyle w:val="FootnoteReference"/>
        </w:rPr>
        <w:footnoteReference w:id="10"/>
      </w:r>
      <w:r w:rsidR="00D865DA">
        <w:t xml:space="preserve"> </w:t>
      </w:r>
    </w:p>
    <w:tbl>
      <w:tblPr>
        <w:tblW w:w="4599" w:type="pct"/>
        <w:tblLook w:val="0000" w:firstRow="0" w:lastRow="0" w:firstColumn="0" w:lastColumn="0" w:noHBand="0" w:noVBand="0"/>
      </w:tblPr>
      <w:tblGrid>
        <w:gridCol w:w="2948"/>
        <w:gridCol w:w="1618"/>
        <w:gridCol w:w="1785"/>
        <w:gridCol w:w="1982"/>
      </w:tblGrid>
      <w:tr w:rsidR="003D0BB1" w:rsidRPr="00095A07" w14:paraId="6331DF35" w14:textId="77777777" w:rsidTr="00236A3F">
        <w:trPr>
          <w:trHeight w:val="902"/>
        </w:trPr>
        <w:tc>
          <w:tcPr>
            <w:tcW w:w="1769" w:type="pct"/>
            <w:tcBorders>
              <w:top w:val="single" w:sz="4" w:space="0" w:color="auto"/>
              <w:left w:val="single" w:sz="4" w:space="0" w:color="auto"/>
              <w:bottom w:val="single" w:sz="4" w:space="0" w:color="auto"/>
              <w:right w:val="single" w:sz="4" w:space="0" w:color="auto"/>
            </w:tcBorders>
          </w:tcPr>
          <w:p w14:paraId="248E9B93" w14:textId="06B0ADCD" w:rsidR="003D0BB1" w:rsidRPr="00095A07" w:rsidRDefault="003D0BB1" w:rsidP="003D0BB1">
            <w:pPr>
              <w:pStyle w:val="TableColumnHeadingCentred"/>
              <w:keepNext/>
              <w:keepLines/>
              <w:spacing w:before="120"/>
            </w:pPr>
            <w:r w:rsidRPr="00095A07">
              <w:t>Industry</w:t>
            </w:r>
          </w:p>
        </w:tc>
        <w:tc>
          <w:tcPr>
            <w:tcW w:w="971" w:type="pct"/>
            <w:tcBorders>
              <w:top w:val="single" w:sz="4" w:space="0" w:color="auto"/>
              <w:left w:val="single" w:sz="4" w:space="0" w:color="auto"/>
              <w:right w:val="single" w:sz="4" w:space="0" w:color="auto"/>
            </w:tcBorders>
          </w:tcPr>
          <w:p w14:paraId="651D4EE1" w14:textId="77777777" w:rsidR="003D0BB1" w:rsidRPr="00095A07" w:rsidRDefault="003D0BB1" w:rsidP="003D0BB1">
            <w:pPr>
              <w:pStyle w:val="TableColumnHeadingCentred"/>
              <w:keepNext/>
              <w:keepLines/>
              <w:spacing w:before="120" w:after="120"/>
            </w:pPr>
            <w:r>
              <w:t>2019-20</w:t>
            </w:r>
          </w:p>
          <w:p w14:paraId="0DF3254E" w14:textId="3068045A" w:rsidR="003D0BB1" w:rsidRPr="00095A07" w:rsidRDefault="003D0BB1" w:rsidP="003D0BB1">
            <w:pPr>
              <w:pStyle w:val="TableColumnHeadingCentred"/>
              <w:keepNext/>
              <w:keepLines/>
            </w:pPr>
            <w:r w:rsidRPr="009E0DD4">
              <w:t>Restricted component</w:t>
            </w:r>
          </w:p>
        </w:tc>
        <w:tc>
          <w:tcPr>
            <w:tcW w:w="1071" w:type="pct"/>
            <w:tcBorders>
              <w:top w:val="single" w:sz="4" w:space="0" w:color="auto"/>
              <w:left w:val="single" w:sz="4" w:space="0" w:color="auto"/>
              <w:right w:val="single" w:sz="4" w:space="0" w:color="auto"/>
            </w:tcBorders>
          </w:tcPr>
          <w:p w14:paraId="62B2B691" w14:textId="77777777" w:rsidR="003D0BB1" w:rsidRPr="00095A07" w:rsidRDefault="003D0BB1" w:rsidP="003D0BB1">
            <w:pPr>
              <w:pStyle w:val="TableColumnHeadingCentred"/>
              <w:keepNext/>
              <w:keepLines/>
              <w:spacing w:before="120" w:after="120"/>
            </w:pPr>
            <w:r w:rsidRPr="00095A07">
              <w:t>201</w:t>
            </w:r>
            <w:r>
              <w:t>9-20</w:t>
            </w:r>
          </w:p>
          <w:p w14:paraId="7D12BA27" w14:textId="43083AAF" w:rsidR="003D0BB1" w:rsidRDefault="003D0BB1" w:rsidP="003D0BB1">
            <w:pPr>
              <w:pStyle w:val="TableColumnHeadingCentred"/>
              <w:keepNext/>
              <w:keepLines/>
            </w:pPr>
            <w:r w:rsidRPr="009E0DD4">
              <w:t>Unrestricted</w:t>
            </w:r>
          </w:p>
          <w:p w14:paraId="43EADF14" w14:textId="527C766F" w:rsidR="003D0BB1" w:rsidRPr="00095A07" w:rsidRDefault="003D0BB1" w:rsidP="003D0BB1">
            <w:pPr>
              <w:pStyle w:val="TableColumnHeadingCentred"/>
              <w:keepNext/>
              <w:keepLines/>
            </w:pPr>
            <w:r w:rsidRPr="009E0DD4">
              <w:t>component</w:t>
            </w:r>
          </w:p>
        </w:tc>
        <w:tc>
          <w:tcPr>
            <w:tcW w:w="1189" w:type="pct"/>
            <w:tcBorders>
              <w:top w:val="single" w:sz="4" w:space="0" w:color="auto"/>
              <w:left w:val="single" w:sz="4" w:space="0" w:color="auto"/>
              <w:right w:val="single" w:sz="4" w:space="0" w:color="auto"/>
            </w:tcBorders>
          </w:tcPr>
          <w:p w14:paraId="6018C009" w14:textId="77777777" w:rsidR="003D0BB1" w:rsidRDefault="003D0BB1" w:rsidP="003D0BB1">
            <w:pPr>
              <w:pStyle w:val="TableColumnHeadingCentred"/>
              <w:keepNext/>
              <w:keepLines/>
              <w:spacing w:before="120" w:after="120"/>
            </w:pPr>
            <w:r w:rsidRPr="00095A07">
              <w:t>2</w:t>
            </w:r>
            <w:r>
              <w:t>019-20</w:t>
            </w:r>
          </w:p>
          <w:p w14:paraId="247CCF85" w14:textId="6AB986F6" w:rsidR="003D0BB1" w:rsidRPr="00095A07" w:rsidRDefault="003D0BB1" w:rsidP="003D0BB1">
            <w:pPr>
              <w:pStyle w:val="TableColumnHeadingCentred"/>
              <w:keepNext/>
              <w:keepLines/>
            </w:pPr>
            <w:r w:rsidRPr="00095A07">
              <w:t>Total</w:t>
            </w:r>
          </w:p>
        </w:tc>
      </w:tr>
      <w:tr w:rsidR="0031550F" w:rsidRPr="00D837C9" w14:paraId="31ED2CFF" w14:textId="77777777" w:rsidTr="00236A3F">
        <w:trPr>
          <w:trHeight w:val="284"/>
        </w:trPr>
        <w:tc>
          <w:tcPr>
            <w:tcW w:w="1769" w:type="pct"/>
            <w:tcBorders>
              <w:top w:val="single" w:sz="4" w:space="0" w:color="auto"/>
              <w:left w:val="single" w:sz="4" w:space="0" w:color="auto"/>
              <w:right w:val="single" w:sz="4" w:space="0" w:color="auto"/>
            </w:tcBorders>
            <w:vAlign w:val="center"/>
          </w:tcPr>
          <w:p w14:paraId="07B42B60" w14:textId="77777777" w:rsidR="0031550F" w:rsidRPr="00D837C9" w:rsidRDefault="0031550F" w:rsidP="007D4769">
            <w:pPr>
              <w:pStyle w:val="TableColumnHeadingLeft"/>
              <w:keepNext/>
              <w:keepLines/>
            </w:pPr>
            <w:r w:rsidRPr="00D837C9">
              <w:t>ADIs</w:t>
            </w:r>
          </w:p>
        </w:tc>
        <w:tc>
          <w:tcPr>
            <w:tcW w:w="971" w:type="pct"/>
            <w:tcBorders>
              <w:top w:val="single" w:sz="4" w:space="0" w:color="auto"/>
              <w:left w:val="single" w:sz="4" w:space="0" w:color="auto"/>
              <w:right w:val="single" w:sz="4" w:space="0" w:color="auto"/>
            </w:tcBorders>
            <w:vAlign w:val="center"/>
          </w:tcPr>
          <w:p w14:paraId="25F0A611" w14:textId="77777777" w:rsidR="0031550F" w:rsidRPr="00BF1E13" w:rsidRDefault="0031550F" w:rsidP="007D4769">
            <w:pPr>
              <w:pStyle w:val="TableTextRight"/>
              <w:keepNext/>
              <w:keepLines/>
            </w:pPr>
            <w:r>
              <w:t>46.6</w:t>
            </w:r>
          </w:p>
        </w:tc>
        <w:tc>
          <w:tcPr>
            <w:tcW w:w="1071" w:type="pct"/>
            <w:tcBorders>
              <w:top w:val="single" w:sz="4" w:space="0" w:color="auto"/>
              <w:left w:val="single" w:sz="4" w:space="0" w:color="auto"/>
              <w:right w:val="single" w:sz="4" w:space="0" w:color="auto"/>
            </w:tcBorders>
            <w:vAlign w:val="center"/>
          </w:tcPr>
          <w:p w14:paraId="1C1FA9C1" w14:textId="77777777" w:rsidR="0031550F" w:rsidRPr="00BF1E13" w:rsidRDefault="0031550F" w:rsidP="007D4769">
            <w:pPr>
              <w:pStyle w:val="TableTextRight"/>
              <w:keepNext/>
              <w:keepLines/>
            </w:pPr>
            <w:r>
              <w:t>38.5</w:t>
            </w:r>
          </w:p>
        </w:tc>
        <w:tc>
          <w:tcPr>
            <w:tcW w:w="1189" w:type="pct"/>
            <w:tcBorders>
              <w:top w:val="single" w:sz="4" w:space="0" w:color="auto"/>
              <w:left w:val="single" w:sz="4" w:space="0" w:color="auto"/>
              <w:right w:val="single" w:sz="4" w:space="0" w:color="auto"/>
            </w:tcBorders>
            <w:vAlign w:val="center"/>
          </w:tcPr>
          <w:p w14:paraId="05C000D9" w14:textId="77777777" w:rsidR="0031550F" w:rsidRPr="00D837C9" w:rsidRDefault="0031550F" w:rsidP="007D4769">
            <w:pPr>
              <w:pStyle w:val="TableTextRight"/>
              <w:keepNext/>
              <w:keepLines/>
              <w:rPr>
                <w:b/>
              </w:rPr>
            </w:pPr>
            <w:r>
              <w:rPr>
                <w:b/>
              </w:rPr>
              <w:t>85.1</w:t>
            </w:r>
          </w:p>
        </w:tc>
      </w:tr>
      <w:tr w:rsidR="0031550F" w:rsidRPr="00D837C9" w14:paraId="4840770D" w14:textId="77777777" w:rsidTr="00236A3F">
        <w:trPr>
          <w:trHeight w:val="284"/>
        </w:trPr>
        <w:tc>
          <w:tcPr>
            <w:tcW w:w="1769" w:type="pct"/>
            <w:tcBorders>
              <w:top w:val="nil"/>
              <w:left w:val="single" w:sz="4" w:space="0" w:color="auto"/>
              <w:right w:val="single" w:sz="4" w:space="0" w:color="auto"/>
            </w:tcBorders>
            <w:vAlign w:val="center"/>
          </w:tcPr>
          <w:p w14:paraId="72E3F3E5" w14:textId="77777777" w:rsidR="0031550F" w:rsidRPr="00D837C9" w:rsidRDefault="0031550F" w:rsidP="007D4769">
            <w:pPr>
              <w:pStyle w:val="TableColumnHeadingLeft"/>
              <w:keepNext/>
              <w:keepLines/>
            </w:pPr>
            <w:r>
              <w:t>Life insurance/ f</w:t>
            </w:r>
            <w:r w:rsidRPr="00D837C9">
              <w:t>riendly societies</w:t>
            </w:r>
          </w:p>
        </w:tc>
        <w:tc>
          <w:tcPr>
            <w:tcW w:w="971" w:type="pct"/>
            <w:tcBorders>
              <w:left w:val="single" w:sz="4" w:space="0" w:color="auto"/>
              <w:right w:val="single" w:sz="4" w:space="0" w:color="auto"/>
            </w:tcBorders>
            <w:vAlign w:val="center"/>
          </w:tcPr>
          <w:p w14:paraId="2E10A06A" w14:textId="77777777" w:rsidR="0031550F" w:rsidRPr="00BF1E13" w:rsidRDefault="0031550F" w:rsidP="007D4769">
            <w:pPr>
              <w:pStyle w:val="TableTextRight"/>
              <w:keepNext/>
              <w:keepLines/>
            </w:pPr>
            <w:r>
              <w:t>12.8</w:t>
            </w:r>
          </w:p>
        </w:tc>
        <w:tc>
          <w:tcPr>
            <w:tcW w:w="1071" w:type="pct"/>
            <w:tcBorders>
              <w:left w:val="single" w:sz="4" w:space="0" w:color="auto"/>
              <w:right w:val="single" w:sz="4" w:space="0" w:color="auto"/>
            </w:tcBorders>
            <w:vAlign w:val="center"/>
          </w:tcPr>
          <w:p w14:paraId="4EE6BEAD" w14:textId="77777777" w:rsidR="0031550F" w:rsidRPr="00BF1E13" w:rsidRDefault="0031550F" w:rsidP="007D4769">
            <w:pPr>
              <w:pStyle w:val="TableTextRight"/>
              <w:keepNext/>
              <w:keepLines/>
            </w:pPr>
            <w:r>
              <w:t>7.3</w:t>
            </w:r>
          </w:p>
        </w:tc>
        <w:tc>
          <w:tcPr>
            <w:tcW w:w="1189" w:type="pct"/>
            <w:tcBorders>
              <w:left w:val="single" w:sz="4" w:space="0" w:color="auto"/>
              <w:right w:val="single" w:sz="4" w:space="0" w:color="auto"/>
            </w:tcBorders>
            <w:vAlign w:val="center"/>
          </w:tcPr>
          <w:p w14:paraId="052DC739" w14:textId="77777777" w:rsidR="0031550F" w:rsidRPr="00D837C9" w:rsidRDefault="0031550F" w:rsidP="007D4769">
            <w:pPr>
              <w:pStyle w:val="TableTextRight"/>
              <w:keepNext/>
              <w:keepLines/>
              <w:rPr>
                <w:b/>
              </w:rPr>
            </w:pPr>
            <w:r>
              <w:rPr>
                <w:b/>
              </w:rPr>
              <w:t>20.1</w:t>
            </w:r>
          </w:p>
        </w:tc>
      </w:tr>
      <w:tr w:rsidR="0031550F" w:rsidRPr="00D837C9" w14:paraId="5066A40C" w14:textId="77777777" w:rsidTr="00236A3F">
        <w:trPr>
          <w:trHeight w:val="284"/>
        </w:trPr>
        <w:tc>
          <w:tcPr>
            <w:tcW w:w="1769" w:type="pct"/>
            <w:tcBorders>
              <w:top w:val="nil"/>
              <w:left w:val="single" w:sz="4" w:space="0" w:color="auto"/>
              <w:right w:val="single" w:sz="4" w:space="0" w:color="auto"/>
            </w:tcBorders>
            <w:vAlign w:val="center"/>
          </w:tcPr>
          <w:p w14:paraId="6C24010A" w14:textId="77777777" w:rsidR="0031550F" w:rsidRPr="00D837C9" w:rsidRDefault="0031550F" w:rsidP="007D4769">
            <w:pPr>
              <w:pStyle w:val="TableColumnHeadingLeft"/>
              <w:keepNext/>
              <w:keepLines/>
            </w:pPr>
            <w:r w:rsidRPr="00D837C9">
              <w:t>General insurance</w:t>
            </w:r>
          </w:p>
        </w:tc>
        <w:tc>
          <w:tcPr>
            <w:tcW w:w="971" w:type="pct"/>
            <w:tcBorders>
              <w:left w:val="single" w:sz="4" w:space="0" w:color="auto"/>
              <w:right w:val="single" w:sz="4" w:space="0" w:color="auto"/>
            </w:tcBorders>
            <w:vAlign w:val="center"/>
          </w:tcPr>
          <w:p w14:paraId="3C48DC3C" w14:textId="77777777" w:rsidR="0031550F" w:rsidRPr="00BF1E13" w:rsidRDefault="0031550F" w:rsidP="007D4769">
            <w:pPr>
              <w:pStyle w:val="TableTextRight"/>
              <w:keepNext/>
              <w:keepLines/>
            </w:pPr>
            <w:r>
              <w:t>21.0</w:t>
            </w:r>
          </w:p>
        </w:tc>
        <w:tc>
          <w:tcPr>
            <w:tcW w:w="1071" w:type="pct"/>
            <w:tcBorders>
              <w:left w:val="single" w:sz="4" w:space="0" w:color="auto"/>
              <w:right w:val="single" w:sz="4" w:space="0" w:color="auto"/>
            </w:tcBorders>
            <w:vAlign w:val="center"/>
          </w:tcPr>
          <w:p w14:paraId="5235D086" w14:textId="77777777" w:rsidR="0031550F" w:rsidRPr="00BF1E13" w:rsidRDefault="0031550F" w:rsidP="007D4769">
            <w:pPr>
              <w:pStyle w:val="TableTextRight"/>
              <w:keepNext/>
              <w:keepLines/>
            </w:pPr>
            <w:r>
              <w:t>9.5</w:t>
            </w:r>
          </w:p>
        </w:tc>
        <w:tc>
          <w:tcPr>
            <w:tcW w:w="1189" w:type="pct"/>
            <w:tcBorders>
              <w:left w:val="single" w:sz="4" w:space="0" w:color="auto"/>
              <w:right w:val="single" w:sz="4" w:space="0" w:color="auto"/>
            </w:tcBorders>
            <w:vAlign w:val="center"/>
          </w:tcPr>
          <w:p w14:paraId="758D7FA4" w14:textId="77777777" w:rsidR="0031550F" w:rsidRPr="00D837C9" w:rsidRDefault="0031550F" w:rsidP="007D4769">
            <w:pPr>
              <w:pStyle w:val="TableTextRight"/>
              <w:keepNext/>
              <w:keepLines/>
              <w:rPr>
                <w:b/>
              </w:rPr>
            </w:pPr>
            <w:r>
              <w:rPr>
                <w:b/>
              </w:rPr>
              <w:t>30.5</w:t>
            </w:r>
          </w:p>
        </w:tc>
      </w:tr>
      <w:tr w:rsidR="0031550F" w:rsidRPr="00D837C9" w14:paraId="11618CEC" w14:textId="77777777" w:rsidTr="00236A3F">
        <w:trPr>
          <w:trHeight w:val="284"/>
        </w:trPr>
        <w:tc>
          <w:tcPr>
            <w:tcW w:w="1769" w:type="pct"/>
            <w:tcBorders>
              <w:top w:val="nil"/>
              <w:left w:val="single" w:sz="4" w:space="0" w:color="auto"/>
              <w:bottom w:val="single" w:sz="4" w:space="0" w:color="auto"/>
              <w:right w:val="single" w:sz="4" w:space="0" w:color="auto"/>
            </w:tcBorders>
            <w:vAlign w:val="center"/>
          </w:tcPr>
          <w:p w14:paraId="0CB048BD" w14:textId="77777777" w:rsidR="0031550F" w:rsidRPr="00D837C9" w:rsidRDefault="0031550F" w:rsidP="007D4769">
            <w:pPr>
              <w:pStyle w:val="TableColumnHeadingLeft"/>
              <w:keepNext/>
              <w:keepLines/>
            </w:pPr>
            <w:r w:rsidRPr="00D837C9">
              <w:t>Superannuation</w:t>
            </w:r>
          </w:p>
        </w:tc>
        <w:tc>
          <w:tcPr>
            <w:tcW w:w="971" w:type="pct"/>
            <w:tcBorders>
              <w:left w:val="single" w:sz="4" w:space="0" w:color="auto"/>
              <w:bottom w:val="single" w:sz="4" w:space="0" w:color="auto"/>
              <w:right w:val="single" w:sz="4" w:space="0" w:color="auto"/>
            </w:tcBorders>
            <w:vAlign w:val="center"/>
          </w:tcPr>
          <w:p w14:paraId="61E32F1C" w14:textId="77777777" w:rsidR="0031550F" w:rsidRPr="00BF1E13" w:rsidRDefault="0031550F" w:rsidP="007D4769">
            <w:pPr>
              <w:pStyle w:val="TableTextRight"/>
              <w:keepNext/>
              <w:keepLines/>
            </w:pPr>
            <w:r>
              <w:t>30.0</w:t>
            </w:r>
          </w:p>
        </w:tc>
        <w:tc>
          <w:tcPr>
            <w:tcW w:w="1071" w:type="pct"/>
            <w:tcBorders>
              <w:left w:val="single" w:sz="4" w:space="0" w:color="auto"/>
              <w:bottom w:val="single" w:sz="4" w:space="0" w:color="auto"/>
              <w:right w:val="single" w:sz="4" w:space="0" w:color="auto"/>
            </w:tcBorders>
            <w:vAlign w:val="center"/>
          </w:tcPr>
          <w:p w14:paraId="639324B4" w14:textId="77777777" w:rsidR="0031550F" w:rsidRPr="00BF1E13" w:rsidRDefault="0031550F" w:rsidP="007D4769">
            <w:pPr>
              <w:pStyle w:val="TableTextRight"/>
              <w:keepNext/>
              <w:keepLines/>
            </w:pPr>
            <w:r>
              <w:t>14.3</w:t>
            </w:r>
          </w:p>
        </w:tc>
        <w:tc>
          <w:tcPr>
            <w:tcW w:w="1189" w:type="pct"/>
            <w:tcBorders>
              <w:left w:val="single" w:sz="4" w:space="0" w:color="auto"/>
              <w:bottom w:val="single" w:sz="4" w:space="0" w:color="auto"/>
              <w:right w:val="single" w:sz="4" w:space="0" w:color="auto"/>
            </w:tcBorders>
            <w:vAlign w:val="center"/>
          </w:tcPr>
          <w:p w14:paraId="1EF3FDEF" w14:textId="77777777" w:rsidR="0031550F" w:rsidRPr="00D837C9" w:rsidRDefault="0031550F" w:rsidP="007D4769">
            <w:pPr>
              <w:pStyle w:val="TableTextRight"/>
              <w:keepNext/>
              <w:keepLines/>
              <w:rPr>
                <w:b/>
              </w:rPr>
            </w:pPr>
            <w:r>
              <w:rPr>
                <w:b/>
              </w:rPr>
              <w:t>44.3</w:t>
            </w:r>
          </w:p>
        </w:tc>
      </w:tr>
      <w:tr w:rsidR="0031550F" w:rsidRPr="001B6458" w14:paraId="30BAFBE2" w14:textId="77777777" w:rsidTr="00236A3F">
        <w:trPr>
          <w:trHeight w:val="284"/>
        </w:trPr>
        <w:tc>
          <w:tcPr>
            <w:tcW w:w="1769" w:type="pct"/>
            <w:tcBorders>
              <w:top w:val="single" w:sz="4" w:space="0" w:color="auto"/>
              <w:left w:val="single" w:sz="4" w:space="0" w:color="auto"/>
              <w:bottom w:val="single" w:sz="4" w:space="0" w:color="auto"/>
              <w:right w:val="single" w:sz="4" w:space="0" w:color="auto"/>
            </w:tcBorders>
            <w:vAlign w:val="center"/>
          </w:tcPr>
          <w:p w14:paraId="6667FE11" w14:textId="77777777" w:rsidR="0031550F" w:rsidRPr="001B6458" w:rsidRDefault="0031550F" w:rsidP="007D4769">
            <w:pPr>
              <w:pStyle w:val="TableTextLeft"/>
              <w:keepNext/>
              <w:keepLines/>
              <w:rPr>
                <w:b/>
              </w:rPr>
            </w:pPr>
            <w:r w:rsidRPr="001B6458">
              <w:rPr>
                <w:b/>
              </w:rPr>
              <w:t>Total</w:t>
            </w:r>
          </w:p>
        </w:tc>
        <w:tc>
          <w:tcPr>
            <w:tcW w:w="971" w:type="pct"/>
            <w:tcBorders>
              <w:top w:val="single" w:sz="4" w:space="0" w:color="auto"/>
              <w:left w:val="single" w:sz="4" w:space="0" w:color="auto"/>
              <w:bottom w:val="single" w:sz="4" w:space="0" w:color="auto"/>
              <w:right w:val="single" w:sz="4" w:space="0" w:color="auto"/>
            </w:tcBorders>
            <w:vAlign w:val="center"/>
          </w:tcPr>
          <w:p w14:paraId="3E8AC531" w14:textId="77777777" w:rsidR="0031550F" w:rsidRPr="001B6458" w:rsidRDefault="0031550F" w:rsidP="007D4769">
            <w:pPr>
              <w:pStyle w:val="TableTextRight"/>
              <w:keepNext/>
              <w:keepLines/>
              <w:rPr>
                <w:b/>
              </w:rPr>
            </w:pPr>
            <w:r>
              <w:rPr>
                <w:b/>
              </w:rPr>
              <w:t>110.4</w:t>
            </w:r>
          </w:p>
        </w:tc>
        <w:tc>
          <w:tcPr>
            <w:tcW w:w="1071" w:type="pct"/>
            <w:tcBorders>
              <w:top w:val="single" w:sz="4" w:space="0" w:color="auto"/>
              <w:left w:val="single" w:sz="4" w:space="0" w:color="auto"/>
              <w:bottom w:val="single" w:sz="4" w:space="0" w:color="auto"/>
              <w:right w:val="single" w:sz="4" w:space="0" w:color="auto"/>
            </w:tcBorders>
            <w:vAlign w:val="center"/>
          </w:tcPr>
          <w:p w14:paraId="6CBBBBAB" w14:textId="77777777" w:rsidR="0031550F" w:rsidRPr="001B6458" w:rsidRDefault="0031550F" w:rsidP="007D4769">
            <w:pPr>
              <w:pStyle w:val="TableTextRight"/>
              <w:keepNext/>
              <w:keepLines/>
              <w:rPr>
                <w:b/>
              </w:rPr>
            </w:pPr>
            <w:r>
              <w:rPr>
                <w:b/>
              </w:rPr>
              <w:t>69.6</w:t>
            </w:r>
          </w:p>
        </w:tc>
        <w:tc>
          <w:tcPr>
            <w:tcW w:w="1189" w:type="pct"/>
            <w:tcBorders>
              <w:top w:val="single" w:sz="4" w:space="0" w:color="auto"/>
              <w:left w:val="single" w:sz="4" w:space="0" w:color="auto"/>
              <w:bottom w:val="single" w:sz="4" w:space="0" w:color="auto"/>
              <w:right w:val="single" w:sz="4" w:space="0" w:color="auto"/>
            </w:tcBorders>
            <w:vAlign w:val="center"/>
          </w:tcPr>
          <w:p w14:paraId="791B8B46" w14:textId="77777777" w:rsidR="0031550F" w:rsidRPr="001B6458" w:rsidRDefault="0031550F" w:rsidP="007D4769">
            <w:pPr>
              <w:pStyle w:val="TableTextRight"/>
              <w:keepNext/>
              <w:keepLines/>
              <w:rPr>
                <w:b/>
              </w:rPr>
            </w:pPr>
            <w:r>
              <w:rPr>
                <w:b/>
              </w:rPr>
              <w:t>180.0</w:t>
            </w:r>
          </w:p>
        </w:tc>
      </w:tr>
    </w:tbl>
    <w:p w14:paraId="105DE5E5" w14:textId="77777777" w:rsidR="00D865DA" w:rsidRDefault="00D865DA" w:rsidP="0031550F">
      <w:pPr>
        <w:pStyle w:val="Heading2Numbered"/>
      </w:pPr>
      <w:bookmarkStart w:id="14" w:name="_Toc16757307"/>
      <w:r>
        <w:t>OTHER COMPONENTS OF THE LEVIES</w:t>
      </w:r>
      <w:bookmarkEnd w:id="14"/>
    </w:p>
    <w:p w14:paraId="7D493F08" w14:textId="77777777" w:rsidR="00D865DA" w:rsidRDefault="00D865DA" w:rsidP="00D865DA">
      <w:r>
        <w:t xml:space="preserve">APRA has authority to recover other specific costs incurred by certain Commonwealth agencies and departments. </w:t>
      </w:r>
    </w:p>
    <w:p w14:paraId="7E0402A0" w14:textId="77777777" w:rsidR="00D865DA" w:rsidRDefault="00D865DA" w:rsidP="00D865DA">
      <w:r>
        <w:t>The specific costs to be recovered are included in the determined levy rates by industry sector and the estimated asset value is used as the basis for the calculation of the quantum of the levy component.</w:t>
      </w:r>
    </w:p>
    <w:p w14:paraId="7AE5A38A" w14:textId="7333F7BE" w:rsidR="00D865DA" w:rsidRDefault="001A5494" w:rsidP="0031550F">
      <w:pPr>
        <w:pStyle w:val="TableMainHeading"/>
      </w:pPr>
      <w:bookmarkStart w:id="15" w:name="_Toc16757308"/>
      <w:r>
        <w:lastRenderedPageBreak/>
        <w:t xml:space="preserve">Table 4: </w:t>
      </w:r>
      <w:r w:rsidR="00D865DA">
        <w:t>Other Commonwealth agency levy requirements by industry for 2019 20 ($’million)</w:t>
      </w:r>
      <w:bookmarkEnd w:id="15"/>
    </w:p>
    <w:tbl>
      <w:tblPr>
        <w:tblW w:w="4940" w:type="pct"/>
        <w:tblLook w:val="0000" w:firstRow="0" w:lastRow="0" w:firstColumn="0" w:lastColumn="0" w:noHBand="0" w:noVBand="0"/>
      </w:tblPr>
      <w:tblGrid>
        <w:gridCol w:w="2035"/>
        <w:gridCol w:w="1133"/>
        <w:gridCol w:w="1133"/>
        <w:gridCol w:w="1133"/>
        <w:gridCol w:w="1078"/>
        <w:gridCol w:w="1078"/>
        <w:gridCol w:w="1361"/>
      </w:tblGrid>
      <w:tr w:rsidR="003D0BB1" w:rsidRPr="00095A07" w14:paraId="5AB7679D" w14:textId="77777777" w:rsidTr="003D0BB1">
        <w:trPr>
          <w:trHeight w:val="323"/>
        </w:trPr>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14:paraId="56BFE93B" w14:textId="77777777" w:rsidR="0031550F" w:rsidRPr="00095A07" w:rsidRDefault="0031550F" w:rsidP="007D4769">
            <w:pPr>
              <w:pStyle w:val="TableColumnHeadingCentred"/>
            </w:pPr>
            <w:r w:rsidRPr="00095A07">
              <w:t xml:space="preserve">Industry </w:t>
            </w:r>
          </w:p>
        </w:tc>
        <w:tc>
          <w:tcPr>
            <w:tcW w:w="633" w:type="pct"/>
            <w:tcBorders>
              <w:top w:val="single" w:sz="4" w:space="0" w:color="auto"/>
              <w:left w:val="single" w:sz="4" w:space="0" w:color="auto"/>
              <w:right w:val="single" w:sz="4" w:space="0" w:color="auto"/>
            </w:tcBorders>
            <w:shd w:val="clear" w:color="auto" w:fill="auto"/>
            <w:vAlign w:val="center"/>
          </w:tcPr>
          <w:p w14:paraId="1B635F44" w14:textId="77777777" w:rsidR="0031550F" w:rsidRPr="00095A07" w:rsidRDefault="0031550F" w:rsidP="007D4769">
            <w:pPr>
              <w:pStyle w:val="TableColumnHeadingCentred"/>
            </w:pPr>
            <w:r>
              <w:t>ATO</w:t>
            </w:r>
          </w:p>
        </w:tc>
        <w:tc>
          <w:tcPr>
            <w:tcW w:w="633" w:type="pct"/>
            <w:tcBorders>
              <w:top w:val="single" w:sz="4" w:space="0" w:color="auto"/>
              <w:left w:val="single" w:sz="4" w:space="0" w:color="auto"/>
              <w:right w:val="single" w:sz="4" w:space="0" w:color="auto"/>
            </w:tcBorders>
            <w:shd w:val="clear" w:color="auto" w:fill="auto"/>
            <w:vAlign w:val="center"/>
          </w:tcPr>
          <w:p w14:paraId="4E4A7D95" w14:textId="77777777" w:rsidR="0031550F" w:rsidRPr="00095A07" w:rsidRDefault="0031550F" w:rsidP="007D4769">
            <w:pPr>
              <w:pStyle w:val="TableColumnHeadingCentred"/>
            </w:pPr>
            <w:r>
              <w:t>ASIC</w:t>
            </w:r>
          </w:p>
        </w:tc>
        <w:tc>
          <w:tcPr>
            <w:tcW w:w="633" w:type="pct"/>
            <w:tcBorders>
              <w:top w:val="single" w:sz="4" w:space="0" w:color="auto"/>
              <w:left w:val="single" w:sz="4" w:space="0" w:color="auto"/>
              <w:right w:val="single" w:sz="4" w:space="0" w:color="auto"/>
            </w:tcBorders>
            <w:vAlign w:val="center"/>
          </w:tcPr>
          <w:p w14:paraId="1AC09AB8" w14:textId="77777777" w:rsidR="0031550F" w:rsidRDefault="0031550F" w:rsidP="007D4769">
            <w:pPr>
              <w:pStyle w:val="TableColumnHeadingCentred"/>
            </w:pPr>
            <w:r>
              <w:t>GNGB</w:t>
            </w:r>
          </w:p>
        </w:tc>
        <w:tc>
          <w:tcPr>
            <w:tcW w:w="602" w:type="pct"/>
            <w:tcBorders>
              <w:top w:val="single" w:sz="4" w:space="0" w:color="auto"/>
              <w:left w:val="single" w:sz="4" w:space="0" w:color="auto"/>
              <w:right w:val="single" w:sz="4" w:space="0" w:color="auto"/>
            </w:tcBorders>
            <w:shd w:val="clear" w:color="auto" w:fill="auto"/>
            <w:vAlign w:val="center"/>
          </w:tcPr>
          <w:p w14:paraId="69FC334C" w14:textId="77777777" w:rsidR="0031550F" w:rsidRPr="00095A07" w:rsidRDefault="0031550F" w:rsidP="007D4769">
            <w:pPr>
              <w:pStyle w:val="TableColumnHeadingCentred"/>
            </w:pPr>
            <w:r>
              <w:t>ACCC</w:t>
            </w:r>
          </w:p>
        </w:tc>
        <w:tc>
          <w:tcPr>
            <w:tcW w:w="602" w:type="pct"/>
            <w:tcBorders>
              <w:top w:val="single" w:sz="4" w:space="0" w:color="auto"/>
              <w:left w:val="single" w:sz="4" w:space="0" w:color="auto"/>
              <w:right w:val="single" w:sz="4" w:space="0" w:color="auto"/>
            </w:tcBorders>
            <w:vAlign w:val="center"/>
          </w:tcPr>
          <w:p w14:paraId="0B48DC21" w14:textId="77777777" w:rsidR="0031550F" w:rsidRDefault="0031550F" w:rsidP="007D4769">
            <w:pPr>
              <w:pStyle w:val="TableColumnHeadingCentred"/>
            </w:pPr>
            <w:r>
              <w:t>Treasury</w:t>
            </w:r>
          </w:p>
        </w:tc>
        <w:tc>
          <w:tcPr>
            <w:tcW w:w="760" w:type="pct"/>
            <w:tcBorders>
              <w:top w:val="single" w:sz="4" w:space="0" w:color="auto"/>
              <w:left w:val="single" w:sz="4" w:space="0" w:color="auto"/>
              <w:right w:val="single" w:sz="4" w:space="0" w:color="auto"/>
            </w:tcBorders>
          </w:tcPr>
          <w:p w14:paraId="05319896" w14:textId="77777777" w:rsidR="0031550F" w:rsidRPr="00095A07" w:rsidRDefault="0031550F" w:rsidP="007D4769">
            <w:pPr>
              <w:pStyle w:val="TableColumnHeadingCentred"/>
            </w:pPr>
            <w:r>
              <w:t>Total 2019</w:t>
            </w:r>
            <w:r>
              <w:noBreakHyphen/>
              <w:t>20 levy</w:t>
            </w:r>
          </w:p>
        </w:tc>
      </w:tr>
      <w:tr w:rsidR="003D0BB1" w:rsidRPr="00D837C9" w14:paraId="4C9EE4F2" w14:textId="77777777" w:rsidTr="003D0BB1">
        <w:trPr>
          <w:trHeight w:val="284"/>
        </w:trPr>
        <w:tc>
          <w:tcPr>
            <w:tcW w:w="1136" w:type="pct"/>
            <w:tcBorders>
              <w:top w:val="single" w:sz="4" w:space="0" w:color="auto"/>
              <w:left w:val="single" w:sz="4" w:space="0" w:color="auto"/>
              <w:right w:val="single" w:sz="4" w:space="0" w:color="auto"/>
            </w:tcBorders>
            <w:shd w:val="clear" w:color="auto" w:fill="auto"/>
            <w:vAlign w:val="center"/>
          </w:tcPr>
          <w:p w14:paraId="490EE9EC" w14:textId="77777777" w:rsidR="0031550F" w:rsidRPr="00D837C9" w:rsidRDefault="0031550F" w:rsidP="007D4769">
            <w:pPr>
              <w:pStyle w:val="TableColumnHeadingLeft"/>
            </w:pPr>
            <w:r w:rsidRPr="00D837C9">
              <w:t>ADIs</w:t>
            </w:r>
          </w:p>
        </w:tc>
        <w:tc>
          <w:tcPr>
            <w:tcW w:w="633" w:type="pct"/>
            <w:tcBorders>
              <w:top w:val="single" w:sz="4" w:space="0" w:color="auto"/>
              <w:left w:val="single" w:sz="4" w:space="0" w:color="auto"/>
              <w:right w:val="single" w:sz="4" w:space="0" w:color="auto"/>
            </w:tcBorders>
            <w:shd w:val="clear" w:color="auto" w:fill="auto"/>
            <w:vAlign w:val="center"/>
          </w:tcPr>
          <w:p w14:paraId="5C30CE30" w14:textId="77777777" w:rsidR="0031550F" w:rsidRPr="00BF1E13" w:rsidRDefault="0031550F" w:rsidP="007D4769">
            <w:pPr>
              <w:pStyle w:val="TableTextRight"/>
            </w:pPr>
            <w:r>
              <w:rPr>
                <w:rFonts w:cs="Calibri"/>
              </w:rPr>
              <w:t>-</w:t>
            </w:r>
          </w:p>
        </w:tc>
        <w:tc>
          <w:tcPr>
            <w:tcW w:w="633" w:type="pct"/>
            <w:tcBorders>
              <w:top w:val="single" w:sz="4" w:space="0" w:color="auto"/>
              <w:left w:val="single" w:sz="4" w:space="0" w:color="auto"/>
              <w:right w:val="single" w:sz="4" w:space="0" w:color="auto"/>
            </w:tcBorders>
            <w:shd w:val="clear" w:color="auto" w:fill="auto"/>
            <w:vAlign w:val="center"/>
          </w:tcPr>
          <w:p w14:paraId="5762DDE7" w14:textId="77777777" w:rsidR="0031550F" w:rsidRPr="00BF1E13" w:rsidRDefault="0031550F" w:rsidP="007D4769">
            <w:pPr>
              <w:pStyle w:val="TableTextRight"/>
            </w:pPr>
            <w:r>
              <w:rPr>
                <w:rFonts w:cs="Calibri"/>
              </w:rPr>
              <w:t>-</w:t>
            </w:r>
          </w:p>
        </w:tc>
        <w:tc>
          <w:tcPr>
            <w:tcW w:w="633" w:type="pct"/>
            <w:tcBorders>
              <w:top w:val="single" w:sz="4" w:space="0" w:color="auto"/>
              <w:left w:val="single" w:sz="4" w:space="0" w:color="auto"/>
              <w:right w:val="single" w:sz="4" w:space="0" w:color="auto"/>
            </w:tcBorders>
            <w:vAlign w:val="center"/>
          </w:tcPr>
          <w:p w14:paraId="06E7D84A" w14:textId="77777777" w:rsidR="0031550F" w:rsidRDefault="0031550F" w:rsidP="007D4769">
            <w:pPr>
              <w:pStyle w:val="TableTextRight"/>
            </w:pPr>
            <w:r>
              <w:rPr>
                <w:rFonts w:cs="Calibri"/>
                <w:szCs w:val="16"/>
              </w:rPr>
              <w:t>-</w:t>
            </w:r>
          </w:p>
        </w:tc>
        <w:tc>
          <w:tcPr>
            <w:tcW w:w="602" w:type="pct"/>
            <w:tcBorders>
              <w:top w:val="single" w:sz="4" w:space="0" w:color="auto"/>
              <w:left w:val="single" w:sz="4" w:space="0" w:color="auto"/>
              <w:right w:val="single" w:sz="4" w:space="0" w:color="auto"/>
            </w:tcBorders>
            <w:shd w:val="clear" w:color="auto" w:fill="auto"/>
            <w:vAlign w:val="center"/>
          </w:tcPr>
          <w:p w14:paraId="07613B8B" w14:textId="77777777" w:rsidR="0031550F" w:rsidRPr="009C6CFB" w:rsidRDefault="0031550F" w:rsidP="007D4769">
            <w:pPr>
              <w:pStyle w:val="TableTextRight"/>
            </w:pPr>
            <w:r>
              <w:rPr>
                <w:rFonts w:cs="Calibri"/>
              </w:rPr>
              <w:t>3.5</w:t>
            </w:r>
          </w:p>
        </w:tc>
        <w:tc>
          <w:tcPr>
            <w:tcW w:w="602" w:type="pct"/>
            <w:tcBorders>
              <w:top w:val="single" w:sz="4" w:space="0" w:color="auto"/>
              <w:left w:val="single" w:sz="4" w:space="0" w:color="auto"/>
              <w:right w:val="single" w:sz="4" w:space="0" w:color="auto"/>
            </w:tcBorders>
            <w:vAlign w:val="center"/>
          </w:tcPr>
          <w:p w14:paraId="383600DD" w14:textId="77777777" w:rsidR="0031550F" w:rsidRPr="00D86194" w:rsidRDefault="0031550F" w:rsidP="007D4769">
            <w:pPr>
              <w:pStyle w:val="TableTextRight"/>
            </w:pPr>
            <w:r>
              <w:rPr>
                <w:rFonts w:cs="Calibri"/>
              </w:rPr>
              <w:t>0.6</w:t>
            </w:r>
          </w:p>
        </w:tc>
        <w:tc>
          <w:tcPr>
            <w:tcW w:w="760" w:type="pct"/>
            <w:tcBorders>
              <w:top w:val="single" w:sz="4" w:space="0" w:color="auto"/>
              <w:left w:val="single" w:sz="4" w:space="0" w:color="auto"/>
              <w:right w:val="single" w:sz="4" w:space="0" w:color="auto"/>
            </w:tcBorders>
            <w:vAlign w:val="center"/>
          </w:tcPr>
          <w:p w14:paraId="0ACBEF10" w14:textId="77777777" w:rsidR="0031550F" w:rsidRPr="009C6CFB" w:rsidRDefault="0031550F" w:rsidP="007D4769">
            <w:pPr>
              <w:pStyle w:val="TableTextRight"/>
            </w:pPr>
            <w:r>
              <w:rPr>
                <w:rFonts w:cs="Calibri"/>
              </w:rPr>
              <w:t>4.1</w:t>
            </w:r>
          </w:p>
        </w:tc>
      </w:tr>
      <w:tr w:rsidR="003D0BB1" w:rsidRPr="00D837C9" w14:paraId="00D226FC" w14:textId="77777777" w:rsidTr="003D0BB1">
        <w:trPr>
          <w:trHeight w:val="284"/>
        </w:trPr>
        <w:tc>
          <w:tcPr>
            <w:tcW w:w="1136" w:type="pct"/>
            <w:tcBorders>
              <w:top w:val="nil"/>
              <w:left w:val="single" w:sz="4" w:space="0" w:color="auto"/>
              <w:right w:val="single" w:sz="4" w:space="0" w:color="auto"/>
            </w:tcBorders>
            <w:shd w:val="clear" w:color="auto" w:fill="auto"/>
            <w:vAlign w:val="center"/>
          </w:tcPr>
          <w:p w14:paraId="06C1F13B" w14:textId="77777777" w:rsidR="0031550F" w:rsidRPr="00D837C9" w:rsidRDefault="0031550F" w:rsidP="007D4769">
            <w:pPr>
              <w:pStyle w:val="TableColumnHeadingLeft"/>
            </w:pPr>
            <w:r>
              <w:t>Life insurance/ f</w:t>
            </w:r>
            <w:r w:rsidRPr="00D837C9">
              <w:t>riendly societies</w:t>
            </w:r>
          </w:p>
        </w:tc>
        <w:tc>
          <w:tcPr>
            <w:tcW w:w="633" w:type="pct"/>
            <w:tcBorders>
              <w:left w:val="single" w:sz="4" w:space="0" w:color="auto"/>
              <w:right w:val="single" w:sz="4" w:space="0" w:color="auto"/>
            </w:tcBorders>
            <w:shd w:val="clear" w:color="auto" w:fill="auto"/>
            <w:vAlign w:val="center"/>
          </w:tcPr>
          <w:p w14:paraId="59502BB0" w14:textId="77777777" w:rsidR="0031550F" w:rsidRPr="00BF1E13" w:rsidRDefault="0031550F" w:rsidP="007D4769">
            <w:pPr>
              <w:pStyle w:val="TableTextRight"/>
            </w:pPr>
            <w:r>
              <w:rPr>
                <w:rFonts w:cs="Calibri"/>
              </w:rPr>
              <w:t>-</w:t>
            </w:r>
          </w:p>
        </w:tc>
        <w:tc>
          <w:tcPr>
            <w:tcW w:w="633" w:type="pct"/>
            <w:tcBorders>
              <w:left w:val="single" w:sz="4" w:space="0" w:color="auto"/>
              <w:right w:val="single" w:sz="4" w:space="0" w:color="auto"/>
            </w:tcBorders>
            <w:shd w:val="clear" w:color="auto" w:fill="auto"/>
            <w:vAlign w:val="center"/>
          </w:tcPr>
          <w:p w14:paraId="73A8F52C" w14:textId="77777777" w:rsidR="0031550F" w:rsidRPr="00BF1E13" w:rsidRDefault="0031550F" w:rsidP="007D4769">
            <w:pPr>
              <w:pStyle w:val="TableTextRight"/>
            </w:pPr>
            <w:r>
              <w:rPr>
                <w:rFonts w:cs="Calibri"/>
              </w:rPr>
              <w:t>-</w:t>
            </w:r>
          </w:p>
        </w:tc>
        <w:tc>
          <w:tcPr>
            <w:tcW w:w="633" w:type="pct"/>
            <w:tcBorders>
              <w:left w:val="single" w:sz="4" w:space="0" w:color="auto"/>
              <w:right w:val="single" w:sz="4" w:space="0" w:color="auto"/>
            </w:tcBorders>
            <w:vAlign w:val="center"/>
          </w:tcPr>
          <w:p w14:paraId="33D28AF4" w14:textId="77777777" w:rsidR="0031550F" w:rsidRDefault="0031550F" w:rsidP="007D4769">
            <w:pPr>
              <w:pStyle w:val="TableTextRight"/>
            </w:pPr>
            <w:r>
              <w:rPr>
                <w:rFonts w:cs="Calibri"/>
                <w:szCs w:val="16"/>
              </w:rPr>
              <w:t>-</w:t>
            </w:r>
          </w:p>
        </w:tc>
        <w:tc>
          <w:tcPr>
            <w:tcW w:w="602" w:type="pct"/>
            <w:tcBorders>
              <w:left w:val="single" w:sz="4" w:space="0" w:color="auto"/>
              <w:right w:val="single" w:sz="4" w:space="0" w:color="auto"/>
            </w:tcBorders>
            <w:shd w:val="clear" w:color="auto" w:fill="auto"/>
            <w:vAlign w:val="center"/>
          </w:tcPr>
          <w:p w14:paraId="2F2970C2" w14:textId="77777777" w:rsidR="0031550F" w:rsidRPr="009C6CFB" w:rsidRDefault="0031550F" w:rsidP="007D4769">
            <w:pPr>
              <w:pStyle w:val="TableTextRight"/>
            </w:pPr>
            <w:r>
              <w:rPr>
                <w:rFonts w:cs="Calibri"/>
              </w:rPr>
              <w:t>-</w:t>
            </w:r>
          </w:p>
        </w:tc>
        <w:tc>
          <w:tcPr>
            <w:tcW w:w="602" w:type="pct"/>
            <w:tcBorders>
              <w:left w:val="single" w:sz="4" w:space="0" w:color="auto"/>
              <w:right w:val="single" w:sz="4" w:space="0" w:color="auto"/>
            </w:tcBorders>
            <w:vAlign w:val="center"/>
          </w:tcPr>
          <w:p w14:paraId="63D78C34" w14:textId="77777777" w:rsidR="0031550F" w:rsidRPr="00D86194" w:rsidRDefault="0031550F" w:rsidP="007D4769">
            <w:pPr>
              <w:pStyle w:val="TableTextRight"/>
            </w:pPr>
            <w:r>
              <w:rPr>
                <w:rFonts w:cs="Calibri"/>
              </w:rPr>
              <w:t>0.1</w:t>
            </w:r>
          </w:p>
        </w:tc>
        <w:tc>
          <w:tcPr>
            <w:tcW w:w="760" w:type="pct"/>
            <w:tcBorders>
              <w:left w:val="single" w:sz="4" w:space="0" w:color="auto"/>
              <w:right w:val="single" w:sz="4" w:space="0" w:color="auto"/>
            </w:tcBorders>
            <w:vAlign w:val="center"/>
          </w:tcPr>
          <w:p w14:paraId="5F2A9CE7" w14:textId="77777777" w:rsidR="0031550F" w:rsidRPr="009C6CFB" w:rsidRDefault="0031550F" w:rsidP="007D4769">
            <w:pPr>
              <w:pStyle w:val="TableTextRight"/>
            </w:pPr>
            <w:r>
              <w:rPr>
                <w:rFonts w:cs="Calibri"/>
              </w:rPr>
              <w:t>0.1</w:t>
            </w:r>
          </w:p>
        </w:tc>
      </w:tr>
      <w:tr w:rsidR="003D0BB1" w:rsidRPr="00D837C9" w14:paraId="2FE3201D" w14:textId="77777777" w:rsidTr="003D0BB1">
        <w:trPr>
          <w:trHeight w:val="284"/>
        </w:trPr>
        <w:tc>
          <w:tcPr>
            <w:tcW w:w="1136" w:type="pct"/>
            <w:tcBorders>
              <w:top w:val="nil"/>
              <w:left w:val="single" w:sz="4" w:space="0" w:color="auto"/>
              <w:right w:val="single" w:sz="4" w:space="0" w:color="auto"/>
            </w:tcBorders>
            <w:shd w:val="clear" w:color="auto" w:fill="auto"/>
            <w:vAlign w:val="center"/>
          </w:tcPr>
          <w:p w14:paraId="192E3597" w14:textId="77777777" w:rsidR="0031550F" w:rsidRPr="00D837C9" w:rsidRDefault="0031550F" w:rsidP="007D4769">
            <w:pPr>
              <w:pStyle w:val="TableColumnHeadingLeft"/>
            </w:pPr>
            <w:r w:rsidRPr="00D837C9">
              <w:t>General insurance</w:t>
            </w:r>
          </w:p>
        </w:tc>
        <w:tc>
          <w:tcPr>
            <w:tcW w:w="633" w:type="pct"/>
            <w:tcBorders>
              <w:left w:val="single" w:sz="4" w:space="0" w:color="auto"/>
              <w:right w:val="single" w:sz="4" w:space="0" w:color="auto"/>
            </w:tcBorders>
            <w:shd w:val="clear" w:color="auto" w:fill="auto"/>
            <w:vAlign w:val="center"/>
          </w:tcPr>
          <w:p w14:paraId="1CCAA37F" w14:textId="77777777" w:rsidR="0031550F" w:rsidRPr="00BF1E13" w:rsidRDefault="0031550F" w:rsidP="007D4769">
            <w:pPr>
              <w:pStyle w:val="TableTextRight"/>
            </w:pPr>
            <w:r>
              <w:rPr>
                <w:rFonts w:cs="Calibri"/>
              </w:rPr>
              <w:t>-</w:t>
            </w:r>
          </w:p>
        </w:tc>
        <w:tc>
          <w:tcPr>
            <w:tcW w:w="633" w:type="pct"/>
            <w:tcBorders>
              <w:left w:val="single" w:sz="4" w:space="0" w:color="auto"/>
              <w:right w:val="single" w:sz="4" w:space="0" w:color="auto"/>
            </w:tcBorders>
            <w:shd w:val="clear" w:color="auto" w:fill="auto"/>
            <w:vAlign w:val="center"/>
          </w:tcPr>
          <w:p w14:paraId="24EF029D" w14:textId="77777777" w:rsidR="0031550F" w:rsidRPr="00BF1E13" w:rsidRDefault="0031550F" w:rsidP="007D4769">
            <w:pPr>
              <w:pStyle w:val="TableTextRight"/>
            </w:pPr>
            <w:r>
              <w:rPr>
                <w:rFonts w:cs="Calibri"/>
              </w:rPr>
              <w:t>-</w:t>
            </w:r>
          </w:p>
        </w:tc>
        <w:tc>
          <w:tcPr>
            <w:tcW w:w="633" w:type="pct"/>
            <w:tcBorders>
              <w:left w:val="single" w:sz="4" w:space="0" w:color="auto"/>
              <w:right w:val="single" w:sz="4" w:space="0" w:color="auto"/>
            </w:tcBorders>
            <w:vAlign w:val="center"/>
          </w:tcPr>
          <w:p w14:paraId="0043F71A" w14:textId="77777777" w:rsidR="0031550F" w:rsidRDefault="0031550F" w:rsidP="007D4769">
            <w:pPr>
              <w:pStyle w:val="TableTextRight"/>
            </w:pPr>
            <w:r>
              <w:rPr>
                <w:rFonts w:cs="Calibri"/>
                <w:szCs w:val="16"/>
              </w:rPr>
              <w:t>-</w:t>
            </w:r>
          </w:p>
        </w:tc>
        <w:tc>
          <w:tcPr>
            <w:tcW w:w="602" w:type="pct"/>
            <w:tcBorders>
              <w:left w:val="single" w:sz="4" w:space="0" w:color="auto"/>
              <w:right w:val="single" w:sz="4" w:space="0" w:color="auto"/>
            </w:tcBorders>
            <w:shd w:val="clear" w:color="auto" w:fill="auto"/>
            <w:vAlign w:val="center"/>
          </w:tcPr>
          <w:p w14:paraId="4A6B42CD" w14:textId="77777777" w:rsidR="0031550F" w:rsidRPr="009C6CFB" w:rsidRDefault="0031550F" w:rsidP="007D4769">
            <w:pPr>
              <w:pStyle w:val="TableTextRight"/>
            </w:pPr>
            <w:r>
              <w:rPr>
                <w:rFonts w:cs="Calibri"/>
              </w:rPr>
              <w:t>-</w:t>
            </w:r>
          </w:p>
        </w:tc>
        <w:tc>
          <w:tcPr>
            <w:tcW w:w="602" w:type="pct"/>
            <w:tcBorders>
              <w:left w:val="single" w:sz="4" w:space="0" w:color="auto"/>
              <w:right w:val="single" w:sz="4" w:space="0" w:color="auto"/>
            </w:tcBorders>
            <w:vAlign w:val="center"/>
          </w:tcPr>
          <w:p w14:paraId="0FEE83F6" w14:textId="77777777" w:rsidR="0031550F" w:rsidRPr="00D86194" w:rsidRDefault="0031550F" w:rsidP="007D4769">
            <w:pPr>
              <w:pStyle w:val="TableTextRight"/>
            </w:pPr>
            <w:r>
              <w:rPr>
                <w:rFonts w:cs="Calibri"/>
              </w:rPr>
              <w:t>0.1</w:t>
            </w:r>
          </w:p>
        </w:tc>
        <w:tc>
          <w:tcPr>
            <w:tcW w:w="760" w:type="pct"/>
            <w:tcBorders>
              <w:left w:val="single" w:sz="4" w:space="0" w:color="auto"/>
              <w:right w:val="single" w:sz="4" w:space="0" w:color="auto"/>
            </w:tcBorders>
            <w:vAlign w:val="center"/>
          </w:tcPr>
          <w:p w14:paraId="4C493781" w14:textId="77777777" w:rsidR="0031550F" w:rsidRPr="009C6CFB" w:rsidRDefault="0031550F" w:rsidP="007D4769">
            <w:pPr>
              <w:pStyle w:val="TableTextRight"/>
            </w:pPr>
            <w:r>
              <w:rPr>
                <w:rFonts w:cs="Calibri"/>
                <w:szCs w:val="16"/>
              </w:rPr>
              <w:t>0.1</w:t>
            </w:r>
          </w:p>
        </w:tc>
      </w:tr>
      <w:tr w:rsidR="003D0BB1" w:rsidRPr="00D837C9" w14:paraId="5438F881" w14:textId="77777777" w:rsidTr="003D0BB1">
        <w:trPr>
          <w:trHeight w:val="284"/>
        </w:trPr>
        <w:tc>
          <w:tcPr>
            <w:tcW w:w="1136" w:type="pct"/>
            <w:tcBorders>
              <w:top w:val="nil"/>
              <w:left w:val="single" w:sz="4" w:space="0" w:color="auto"/>
              <w:bottom w:val="single" w:sz="4" w:space="0" w:color="auto"/>
              <w:right w:val="single" w:sz="4" w:space="0" w:color="auto"/>
            </w:tcBorders>
            <w:shd w:val="clear" w:color="auto" w:fill="auto"/>
            <w:vAlign w:val="center"/>
          </w:tcPr>
          <w:p w14:paraId="3753C09E" w14:textId="77777777" w:rsidR="0031550F" w:rsidRPr="00D837C9" w:rsidRDefault="0031550F" w:rsidP="007D4769">
            <w:pPr>
              <w:pStyle w:val="TableColumnHeadingLeft"/>
            </w:pPr>
            <w:r w:rsidRPr="00D837C9">
              <w:t>Superannuation</w:t>
            </w:r>
          </w:p>
        </w:tc>
        <w:tc>
          <w:tcPr>
            <w:tcW w:w="633" w:type="pct"/>
            <w:tcBorders>
              <w:left w:val="single" w:sz="4" w:space="0" w:color="auto"/>
              <w:bottom w:val="single" w:sz="4" w:space="0" w:color="auto"/>
              <w:right w:val="single" w:sz="4" w:space="0" w:color="auto"/>
            </w:tcBorders>
            <w:shd w:val="clear" w:color="auto" w:fill="auto"/>
            <w:vAlign w:val="center"/>
          </w:tcPr>
          <w:p w14:paraId="23113D33" w14:textId="77777777" w:rsidR="0031550F" w:rsidRPr="00BF1E13" w:rsidRDefault="0031550F" w:rsidP="007D4769">
            <w:pPr>
              <w:pStyle w:val="TableTextRight"/>
            </w:pPr>
            <w:r>
              <w:rPr>
                <w:rFonts w:cs="Calibri"/>
              </w:rPr>
              <w:t>36.3</w:t>
            </w:r>
          </w:p>
        </w:tc>
        <w:tc>
          <w:tcPr>
            <w:tcW w:w="633" w:type="pct"/>
            <w:tcBorders>
              <w:left w:val="single" w:sz="4" w:space="0" w:color="auto"/>
              <w:bottom w:val="single" w:sz="4" w:space="0" w:color="auto"/>
              <w:right w:val="single" w:sz="4" w:space="0" w:color="auto"/>
            </w:tcBorders>
            <w:shd w:val="clear" w:color="auto" w:fill="auto"/>
            <w:vAlign w:val="center"/>
          </w:tcPr>
          <w:p w14:paraId="67659229" w14:textId="77777777" w:rsidR="0031550F" w:rsidRPr="00BF1E13" w:rsidRDefault="0031550F" w:rsidP="007D4769">
            <w:pPr>
              <w:pStyle w:val="TableTextRight"/>
            </w:pPr>
            <w:r>
              <w:rPr>
                <w:rFonts w:cs="Calibri"/>
              </w:rPr>
              <w:t>8.4</w:t>
            </w:r>
          </w:p>
        </w:tc>
        <w:tc>
          <w:tcPr>
            <w:tcW w:w="633" w:type="pct"/>
            <w:tcBorders>
              <w:left w:val="single" w:sz="4" w:space="0" w:color="auto"/>
              <w:bottom w:val="single" w:sz="4" w:space="0" w:color="auto"/>
              <w:right w:val="single" w:sz="4" w:space="0" w:color="auto"/>
            </w:tcBorders>
            <w:vAlign w:val="center"/>
          </w:tcPr>
          <w:p w14:paraId="3EA5176B" w14:textId="77777777" w:rsidR="0031550F" w:rsidRDefault="0031550F" w:rsidP="007D4769">
            <w:pPr>
              <w:pStyle w:val="TableTextRight"/>
            </w:pPr>
            <w:r>
              <w:rPr>
                <w:rFonts w:cs="Calibri"/>
                <w:szCs w:val="16"/>
              </w:rPr>
              <w:t>0.7</w:t>
            </w:r>
          </w:p>
        </w:tc>
        <w:tc>
          <w:tcPr>
            <w:tcW w:w="602" w:type="pct"/>
            <w:tcBorders>
              <w:left w:val="single" w:sz="4" w:space="0" w:color="auto"/>
              <w:bottom w:val="single" w:sz="4" w:space="0" w:color="auto"/>
              <w:right w:val="single" w:sz="4" w:space="0" w:color="auto"/>
            </w:tcBorders>
            <w:shd w:val="clear" w:color="auto" w:fill="auto"/>
            <w:vAlign w:val="center"/>
          </w:tcPr>
          <w:p w14:paraId="5E804C9F" w14:textId="77777777" w:rsidR="0031550F" w:rsidRPr="009C6CFB" w:rsidRDefault="0031550F" w:rsidP="007D4769">
            <w:pPr>
              <w:pStyle w:val="TableTextRight"/>
            </w:pPr>
            <w:r>
              <w:rPr>
                <w:rFonts w:cs="Calibri"/>
              </w:rPr>
              <w:t>-</w:t>
            </w:r>
          </w:p>
        </w:tc>
        <w:tc>
          <w:tcPr>
            <w:tcW w:w="602" w:type="pct"/>
            <w:tcBorders>
              <w:left w:val="single" w:sz="4" w:space="0" w:color="auto"/>
              <w:bottom w:val="single" w:sz="4" w:space="0" w:color="auto"/>
              <w:right w:val="single" w:sz="4" w:space="0" w:color="auto"/>
            </w:tcBorders>
            <w:vAlign w:val="center"/>
          </w:tcPr>
          <w:p w14:paraId="7B08470D" w14:textId="77777777" w:rsidR="0031550F" w:rsidRDefault="0031550F" w:rsidP="007D4769">
            <w:pPr>
              <w:pStyle w:val="TableTextRight"/>
            </w:pPr>
            <w:r>
              <w:rPr>
                <w:rFonts w:cs="Calibri"/>
              </w:rPr>
              <w:t>0.2</w:t>
            </w:r>
          </w:p>
        </w:tc>
        <w:tc>
          <w:tcPr>
            <w:tcW w:w="760" w:type="pct"/>
            <w:tcBorders>
              <w:left w:val="single" w:sz="4" w:space="0" w:color="auto"/>
              <w:bottom w:val="single" w:sz="4" w:space="0" w:color="auto"/>
              <w:right w:val="single" w:sz="4" w:space="0" w:color="auto"/>
            </w:tcBorders>
            <w:vAlign w:val="center"/>
          </w:tcPr>
          <w:p w14:paraId="079AAF05" w14:textId="77777777" w:rsidR="0031550F" w:rsidRPr="009C6CFB" w:rsidRDefault="0031550F" w:rsidP="007D4769">
            <w:pPr>
              <w:pStyle w:val="TableTextRight"/>
            </w:pPr>
            <w:r>
              <w:rPr>
                <w:rFonts w:cs="Calibri"/>
                <w:szCs w:val="16"/>
              </w:rPr>
              <w:t>45.6</w:t>
            </w:r>
          </w:p>
        </w:tc>
      </w:tr>
      <w:tr w:rsidR="003D0BB1" w:rsidRPr="002934E3" w14:paraId="4587B6AA" w14:textId="77777777" w:rsidTr="003D0BB1">
        <w:trPr>
          <w:trHeight w:val="284"/>
        </w:trPr>
        <w:tc>
          <w:tcPr>
            <w:tcW w:w="1136" w:type="pct"/>
            <w:tcBorders>
              <w:top w:val="single" w:sz="4" w:space="0" w:color="auto"/>
              <w:left w:val="single" w:sz="4" w:space="0" w:color="auto"/>
              <w:bottom w:val="single" w:sz="4" w:space="0" w:color="auto"/>
              <w:right w:val="single" w:sz="4" w:space="0" w:color="auto"/>
            </w:tcBorders>
            <w:shd w:val="clear" w:color="auto" w:fill="auto"/>
            <w:vAlign w:val="center"/>
          </w:tcPr>
          <w:p w14:paraId="28A254B7" w14:textId="77777777" w:rsidR="0031550F" w:rsidRPr="00D837C9" w:rsidRDefault="0031550F" w:rsidP="007D4769">
            <w:pPr>
              <w:pStyle w:val="TableColumnHeadingLeft"/>
            </w:pPr>
            <w:r w:rsidRPr="003D0BB1">
              <w:rPr>
                <w:color w:val="auto"/>
              </w:rPr>
              <w:t>Total</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14:paraId="7698C0E0" w14:textId="77777777" w:rsidR="0031550F" w:rsidRPr="00D837C9" w:rsidRDefault="0031550F" w:rsidP="007D4769">
            <w:pPr>
              <w:pStyle w:val="TableTextRight"/>
              <w:rPr>
                <w:b/>
              </w:rPr>
            </w:pPr>
            <w:r>
              <w:rPr>
                <w:rFonts w:cs="Calibri"/>
                <w:b/>
              </w:rPr>
              <w:t>36.3</w:t>
            </w:r>
          </w:p>
        </w:tc>
        <w:tc>
          <w:tcPr>
            <w:tcW w:w="633" w:type="pct"/>
            <w:tcBorders>
              <w:top w:val="single" w:sz="4" w:space="0" w:color="auto"/>
              <w:left w:val="single" w:sz="4" w:space="0" w:color="auto"/>
              <w:bottom w:val="single" w:sz="4" w:space="0" w:color="auto"/>
              <w:right w:val="single" w:sz="4" w:space="0" w:color="auto"/>
            </w:tcBorders>
            <w:shd w:val="clear" w:color="auto" w:fill="auto"/>
            <w:vAlign w:val="center"/>
          </w:tcPr>
          <w:p w14:paraId="5D2C4DC1" w14:textId="77777777" w:rsidR="0031550F" w:rsidRPr="00D837C9" w:rsidRDefault="0031550F" w:rsidP="007D4769">
            <w:pPr>
              <w:pStyle w:val="TableTextRight"/>
              <w:rPr>
                <w:b/>
              </w:rPr>
            </w:pPr>
            <w:r>
              <w:rPr>
                <w:rFonts w:cs="Calibri"/>
                <w:b/>
              </w:rPr>
              <w:t>8.4</w:t>
            </w:r>
          </w:p>
        </w:tc>
        <w:tc>
          <w:tcPr>
            <w:tcW w:w="633" w:type="pct"/>
            <w:tcBorders>
              <w:top w:val="single" w:sz="4" w:space="0" w:color="auto"/>
              <w:left w:val="single" w:sz="4" w:space="0" w:color="auto"/>
              <w:bottom w:val="single" w:sz="4" w:space="0" w:color="auto"/>
              <w:right w:val="single" w:sz="4" w:space="0" w:color="auto"/>
            </w:tcBorders>
            <w:vAlign w:val="center"/>
          </w:tcPr>
          <w:p w14:paraId="07AFD309" w14:textId="77777777" w:rsidR="0031550F" w:rsidRDefault="0031550F" w:rsidP="007D4769">
            <w:pPr>
              <w:pStyle w:val="TableTextRight"/>
              <w:rPr>
                <w:b/>
              </w:rPr>
            </w:pPr>
            <w:r>
              <w:rPr>
                <w:rFonts w:cs="Calibri"/>
                <w:b/>
                <w:bCs/>
                <w:szCs w:val="16"/>
              </w:rPr>
              <w:t>0.7</w:t>
            </w:r>
          </w:p>
        </w:tc>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14:paraId="7F3FC5A6" w14:textId="77777777" w:rsidR="0031550F" w:rsidRPr="00D837C9" w:rsidRDefault="0031550F" w:rsidP="007D4769">
            <w:pPr>
              <w:pStyle w:val="TableTextRight"/>
              <w:rPr>
                <w:b/>
              </w:rPr>
            </w:pPr>
            <w:r>
              <w:rPr>
                <w:rFonts w:cs="Calibri"/>
                <w:b/>
              </w:rPr>
              <w:t>3.5</w:t>
            </w:r>
          </w:p>
        </w:tc>
        <w:tc>
          <w:tcPr>
            <w:tcW w:w="602" w:type="pct"/>
            <w:tcBorders>
              <w:top w:val="single" w:sz="4" w:space="0" w:color="auto"/>
              <w:left w:val="single" w:sz="4" w:space="0" w:color="auto"/>
              <w:bottom w:val="single" w:sz="4" w:space="0" w:color="auto"/>
              <w:right w:val="single" w:sz="4" w:space="0" w:color="auto"/>
            </w:tcBorders>
            <w:vAlign w:val="center"/>
          </w:tcPr>
          <w:p w14:paraId="4C8E7926" w14:textId="77777777" w:rsidR="0031550F" w:rsidRDefault="0031550F" w:rsidP="007D4769">
            <w:pPr>
              <w:pStyle w:val="TableTextRight"/>
              <w:rPr>
                <w:b/>
              </w:rPr>
            </w:pPr>
            <w:r>
              <w:rPr>
                <w:rFonts w:cs="Calibri"/>
                <w:b/>
              </w:rPr>
              <w:t>1.0</w:t>
            </w:r>
          </w:p>
        </w:tc>
        <w:tc>
          <w:tcPr>
            <w:tcW w:w="760" w:type="pct"/>
            <w:tcBorders>
              <w:top w:val="single" w:sz="4" w:space="0" w:color="auto"/>
              <w:left w:val="single" w:sz="4" w:space="0" w:color="auto"/>
              <w:bottom w:val="single" w:sz="4" w:space="0" w:color="auto"/>
              <w:right w:val="single" w:sz="4" w:space="0" w:color="auto"/>
            </w:tcBorders>
            <w:vAlign w:val="center"/>
          </w:tcPr>
          <w:p w14:paraId="10CA8CC9" w14:textId="77777777" w:rsidR="0031550F" w:rsidRPr="00D86194" w:rsidRDefault="0031550F" w:rsidP="007D4769">
            <w:pPr>
              <w:pStyle w:val="TableTextRight"/>
              <w:rPr>
                <w:b/>
              </w:rPr>
            </w:pPr>
            <w:r>
              <w:rPr>
                <w:rFonts w:cs="Calibri"/>
                <w:b/>
              </w:rPr>
              <w:t>49.9</w:t>
            </w:r>
          </w:p>
        </w:tc>
      </w:tr>
    </w:tbl>
    <w:p w14:paraId="027761B7" w14:textId="77777777" w:rsidR="00D865DA" w:rsidRDefault="00D865DA" w:rsidP="0031550F">
      <w:pPr>
        <w:pStyle w:val="Heading1Numbered"/>
      </w:pPr>
      <w:bookmarkStart w:id="16" w:name="_Toc16757309"/>
      <w:r>
        <w:t>RECENT DEVELOPMENTS IN THE FINANCIAL INSTITUTIONS SUPERVISORY LEVIES</w:t>
      </w:r>
      <w:bookmarkEnd w:id="16"/>
    </w:p>
    <w:p w14:paraId="38EC67AC" w14:textId="77777777" w:rsidR="00D865DA" w:rsidRDefault="00D865DA" w:rsidP="00D865DA">
      <w:r>
        <w:t xml:space="preserve">Funding for Commonwealth agencies and departments through the Financial Institutions Supervisory Levies is considered in the Government’s annual budget process. As part of this process, agencies may bring forward new spending proposals and identify how they will be funded. In these instances, the Expenditure Review Committee of Cabinet considers whether it is appropriate to fund these proposals through the levies. </w:t>
      </w:r>
    </w:p>
    <w:p w14:paraId="6052022F" w14:textId="77777777" w:rsidR="00D865DA" w:rsidRDefault="00D865DA" w:rsidP="00D865DA">
      <w:r>
        <w:t>During 2018-19, APRA’s funding was increased significantly through two funding measures approved in both the Mid-Year Economic and Fiscal Outlook and Commonwealth Budget processes. These increased APRA’s funding over the forward estimates by approximately $210 million, with a corresponding increase in APRA’s approved cost base occurring in 2019-20. The measures were:</w:t>
      </w:r>
    </w:p>
    <w:p w14:paraId="452AA79B" w14:textId="77777777" w:rsidR="00D865DA" w:rsidRDefault="00D865DA" w:rsidP="0031550F">
      <w:pPr>
        <w:pStyle w:val="Bullet"/>
      </w:pPr>
      <w:r w:rsidRPr="0031550F">
        <w:rPr>
          <w:i/>
        </w:rPr>
        <w:t xml:space="preserve">Government Response to the Royal Commission into Misconduct in the Banking, Superannuation and Financial Services Industry; </w:t>
      </w:r>
      <w:r>
        <w:t>and</w:t>
      </w:r>
    </w:p>
    <w:p w14:paraId="106CB9AE" w14:textId="77777777" w:rsidR="00D865DA" w:rsidRDefault="00D865DA" w:rsidP="0031550F">
      <w:pPr>
        <w:pStyle w:val="Bullet"/>
      </w:pPr>
      <w:r w:rsidRPr="0031550F">
        <w:rPr>
          <w:i/>
        </w:rPr>
        <w:t>Australian Prudential Regulation Authority – New and expanded functions</w:t>
      </w:r>
      <w:r>
        <w:t>.</w:t>
      </w:r>
    </w:p>
    <w:p w14:paraId="361C0FEB" w14:textId="77777777" w:rsidR="00D865DA" w:rsidRDefault="00D865DA" w:rsidP="00D865DA">
      <w:r>
        <w:t>To maintain equity within the industries for the restricted levy components, the levy maximums for Super, LIs and GIs were increased significantly by around 85, 48 and 44 per cent respectively to accommodate this large overall increase.</w:t>
      </w:r>
    </w:p>
    <w:p w14:paraId="6D9B7DB0" w14:textId="696119E0" w:rsidR="00D865DA" w:rsidRDefault="00D865DA" w:rsidP="00D865DA">
      <w:r>
        <w:t>The ADI industry sector had a smaller increase of 4.2 per cent in its levy maximum from $3.0 million to $3.125 million due to the maximum allowable under the current legislation (the statutory maximum).</w:t>
      </w:r>
      <w:r w:rsidR="001A5494">
        <w:rPr>
          <w:rStyle w:val="FootnoteReference"/>
        </w:rPr>
        <w:footnoteReference w:id="11"/>
      </w:r>
      <w:r>
        <w:t xml:space="preserve"> To address this restriction, $3.1 million of the Australian Prudential Regulation Authority – New and expanded functions measure for the supervision of the largest and most complex institutions, was deferred from 2019-20 to 2020-21. Part of this decision includes conducting a review of the statutory maximums to be completed prior to the setting of the 2020-21 levies, and to ensure these institutions continue to pay their fair share of APRA’s supervisory effort.</w:t>
      </w:r>
    </w:p>
    <w:p w14:paraId="0131C88B" w14:textId="4DE2E53A" w:rsidR="00D865DA" w:rsidRDefault="00D865DA" w:rsidP="00D865DA">
      <w:r>
        <w:t>The small increase in the ADI maximum, along with the deferral of the $3.1 million will have enabled, over the two years,</w:t>
      </w:r>
      <w:r w:rsidR="001A5494">
        <w:rPr>
          <w:rStyle w:val="FootnoteReference"/>
        </w:rPr>
        <w:footnoteReference w:id="12"/>
      </w:r>
      <w:r>
        <w:t xml:space="preserve"> equity within the ADI industry sector to be broadly maintained.</w:t>
      </w:r>
    </w:p>
    <w:p w14:paraId="6DE73CDB" w14:textId="77777777" w:rsidR="00D865DA" w:rsidRDefault="00D865DA" w:rsidP="0031550F">
      <w:pPr>
        <w:pStyle w:val="Heading1Numbered"/>
      </w:pPr>
      <w:bookmarkStart w:id="17" w:name="_Toc16757310"/>
      <w:r>
        <w:lastRenderedPageBreak/>
        <w:t>CONSULTATION ISSUES</w:t>
      </w:r>
      <w:bookmarkEnd w:id="17"/>
    </w:p>
    <w:tbl>
      <w:tblPr>
        <w:tblW w:w="5000" w:type="pct"/>
        <w:shd w:val="clear" w:color="auto" w:fill="E3E7F0"/>
        <w:tblLook w:val="01E0" w:firstRow="1" w:lastRow="1" w:firstColumn="1" w:lastColumn="1" w:noHBand="0" w:noVBand="0"/>
      </w:tblPr>
      <w:tblGrid>
        <w:gridCol w:w="9070"/>
      </w:tblGrid>
      <w:tr w:rsidR="00BC0C22" w14:paraId="0867426D" w14:textId="77777777" w:rsidTr="007D4769">
        <w:tc>
          <w:tcPr>
            <w:tcW w:w="5000" w:type="pct"/>
            <w:shd w:val="clear" w:color="auto" w:fill="E3E7F0"/>
          </w:tcPr>
          <w:p w14:paraId="5B169EE2" w14:textId="77777777" w:rsidR="00BC0C22" w:rsidRDefault="00BC0C22" w:rsidP="00BC0C22">
            <w:pPr>
              <w:pStyle w:val="BoxText"/>
            </w:pPr>
            <w:r>
              <w:t xml:space="preserve">Since the introduction of the levies, the scope of the levies imposition has expanded to include a broader range of activities relating to the APRA-regulated financial services sector. In addition, the financial services sector has undergone substantial change over the same period. </w:t>
            </w:r>
          </w:p>
          <w:p w14:paraId="0DDA3D1D" w14:textId="77777777" w:rsidR="00BC0C22" w:rsidRPr="008950C5" w:rsidRDefault="00BC0C22" w:rsidP="00BC0C22">
            <w:pPr>
              <w:pStyle w:val="BoxText"/>
            </w:pPr>
            <w:r>
              <w:t>Comments are sought broadly on the design and operation of the levies framework and whether it is still fit for purpose. Stakeholders are also encouraged to respond to the specific questions below.</w:t>
            </w:r>
          </w:p>
        </w:tc>
      </w:tr>
    </w:tbl>
    <w:p w14:paraId="7C6C0E9C" w14:textId="77777777" w:rsidR="00D865DA" w:rsidRDefault="00D865DA" w:rsidP="0031550F">
      <w:pPr>
        <w:pStyle w:val="Heading2Numbered"/>
      </w:pPr>
      <w:bookmarkStart w:id="18" w:name="_Toc16757311"/>
      <w:r>
        <w:t>THE LEVY BASE USED FOR EACH INDUSTRY SECTOR</w:t>
      </w:r>
      <w:bookmarkEnd w:id="18"/>
      <w:r>
        <w:t xml:space="preserve"> </w:t>
      </w:r>
    </w:p>
    <w:p w14:paraId="58796DA8" w14:textId="77777777" w:rsidR="00D865DA" w:rsidRDefault="00D865DA" w:rsidP="00BC0C22">
      <w:r>
        <w:t>The current base used for the calculation of the levies is the asset value at the asset date (30 June and 31 March for superannuation institutions and non</w:t>
      </w:r>
      <w:r w:rsidR="00BC0C22">
        <w:t>-</w:t>
      </w:r>
      <w:r>
        <w:t>superannuation institutions, respectively). In order to conduct its modelling effectively, APRA must:</w:t>
      </w:r>
    </w:p>
    <w:p w14:paraId="4570B0F4" w14:textId="77777777" w:rsidR="00D865DA" w:rsidRDefault="00D865DA" w:rsidP="00BC0C22">
      <w:pPr>
        <w:pStyle w:val="Bullet"/>
      </w:pPr>
      <w:r>
        <w:t>collect and confirm leviable entities’ asset values; and</w:t>
      </w:r>
    </w:p>
    <w:p w14:paraId="0F416233" w14:textId="77777777" w:rsidR="00D865DA" w:rsidRDefault="00D865DA" w:rsidP="00BC0C22">
      <w:pPr>
        <w:pStyle w:val="Bullet"/>
      </w:pPr>
      <w:r>
        <w:t>in the case of superannuation, as necessary, adjust the asset value data using factors that take into account likely asset growth from the modelled date to 30 June – and for all other industries, adjust for any industry consolidation that may have occurred between the asset/modelled date and the end of the financial year.</w:t>
      </w:r>
    </w:p>
    <w:p w14:paraId="5A610509" w14:textId="77777777" w:rsidR="00D865DA" w:rsidRDefault="00D865DA" w:rsidP="00BC0C22">
      <w:r>
        <w:t xml:space="preserve">To date, there has been minimal industry concern regarding the use of asset values to calculate the levies; although stakeholders have raised concerns regarding the levels that the minimum and maximum are set at for the restricted component of the levies. </w:t>
      </w:r>
    </w:p>
    <w:p w14:paraId="570B012F" w14:textId="3CE20A84" w:rsidR="00D865DA" w:rsidRDefault="00D865DA" w:rsidP="00D865DA">
      <w:r>
        <w:t>In its 2013 Performance Audit of the Determination and Collection of Financial Industry Levies, the Australian National Audit Office (ANAO) found that the methodology developed to implement the levies met the Government’s intent of recovering the full costs of APRA’s administration, was administratively simple and uniform; and equity and competitive neutrality had been applied when the lev</w:t>
      </w:r>
      <w:r w:rsidR="00BC0C22">
        <w:t>ies were imposed on entities.</w:t>
      </w:r>
      <w:r w:rsidR="001A5494">
        <w:rPr>
          <w:rStyle w:val="FootnoteReference"/>
        </w:rPr>
        <w:footnoteReference w:id="13"/>
      </w:r>
    </w:p>
    <w:tbl>
      <w:tblPr>
        <w:tblStyle w:val="TableGrid"/>
        <w:tblW w:w="5000" w:type="pct"/>
        <w:shd w:val="clear" w:color="auto" w:fill="FFF8EA"/>
        <w:tblLook w:val="04A0" w:firstRow="1" w:lastRow="0" w:firstColumn="1" w:lastColumn="0" w:noHBand="0" w:noVBand="1"/>
      </w:tblPr>
      <w:tblGrid>
        <w:gridCol w:w="9070"/>
      </w:tblGrid>
      <w:tr w:rsidR="00BC0C22" w14:paraId="1FAD5120" w14:textId="77777777" w:rsidTr="007D4769">
        <w:tc>
          <w:tcPr>
            <w:tcW w:w="5000" w:type="pct"/>
            <w:shd w:val="clear" w:color="auto" w:fill="FFF8EA"/>
          </w:tcPr>
          <w:p w14:paraId="5C395CE3" w14:textId="77777777" w:rsidR="00BC0C22" w:rsidRDefault="00BC0C22" w:rsidP="00BC0C22">
            <w:pPr>
              <w:pStyle w:val="BoxText"/>
            </w:pPr>
            <w:r w:rsidRPr="00BC0C22">
              <w:rPr>
                <w:b/>
                <w:color w:val="00827F" w:themeColor="accent3"/>
                <w:sz w:val="26"/>
                <w:szCs w:val="26"/>
              </w:rPr>
              <w:t>Question 1 – Is the current levy base appropriate for each industry sector?</w:t>
            </w:r>
          </w:p>
        </w:tc>
      </w:tr>
    </w:tbl>
    <w:p w14:paraId="570DF83D" w14:textId="77777777" w:rsidR="00D865DA" w:rsidRDefault="00D865DA" w:rsidP="001A5494">
      <w:pPr>
        <w:pStyle w:val="Heading2Numbered"/>
      </w:pPr>
      <w:bookmarkStart w:id="19" w:name="_Toc16757312"/>
      <w:r>
        <w:t xml:space="preserve">THE CURRENT SETTING OF RESTRICTED (SUPERVISORY) AND </w:t>
      </w:r>
      <w:r w:rsidRPr="001A5494">
        <w:t>UNRESTRICTED</w:t>
      </w:r>
      <w:r>
        <w:t xml:space="preserve"> (SYSTEMIC) LEVY AMOUNTS FOR AUTHORISED DEPOSIT TAKING INSTITUTIONS</w:t>
      </w:r>
      <w:bookmarkEnd w:id="19"/>
      <w:r>
        <w:t xml:space="preserve"> </w:t>
      </w:r>
    </w:p>
    <w:p w14:paraId="4DF91E2A" w14:textId="77777777" w:rsidR="00D865DA" w:rsidRDefault="00D865DA" w:rsidP="00D865DA">
      <w:r>
        <w:t xml:space="preserve">Section 4.1 of this paper outlines the methodology used to calculate the levy to recoup APRA’s costs. </w:t>
      </w:r>
    </w:p>
    <w:p w14:paraId="69072193" w14:textId="77777777" w:rsidR="00D865DA" w:rsidRDefault="00D865DA" w:rsidP="00D865DA">
      <w:r>
        <w:t xml:space="preserve">As explained above, APRA’s activities and the time spent on them are broadly broken down into the cost of supervision (the restricted component) and the system impact (the unrestricted component). Each component is then apportioned across the different industries based on the total resources APRA expects to dedicate to each industry. </w:t>
      </w:r>
    </w:p>
    <w:p w14:paraId="49E88375" w14:textId="66945816" w:rsidR="00C666B1" w:rsidRDefault="00C666B1" w:rsidP="00C666B1">
      <w:r>
        <w:t xml:space="preserve">The restricted component reflects the cost of prudential supervision for an industry. It is subject to </w:t>
      </w:r>
      <w:r w:rsidR="0095494F">
        <w:t xml:space="preserve">Treasurer determined </w:t>
      </w:r>
      <w:r w:rsidR="000E77B1">
        <w:t xml:space="preserve">minimum and maximum </w:t>
      </w:r>
      <w:r w:rsidR="0030016A">
        <w:t>amounts</w:t>
      </w:r>
      <w:r w:rsidR="000E77B1">
        <w:t xml:space="preserve"> </w:t>
      </w:r>
      <w:r>
        <w:t>as provided for in the relevant industry Imposition Act</w:t>
      </w:r>
      <w:r w:rsidR="000E77B1">
        <w:t>. The maximum cannot exceed the statutory cap set out in the Act</w:t>
      </w:r>
      <w:r>
        <w:t xml:space="preserve">, which </w:t>
      </w:r>
      <w:r w:rsidR="000E77B1">
        <w:t>is</w:t>
      </w:r>
      <w:r>
        <w:t xml:space="preserve"> indexed to </w:t>
      </w:r>
      <w:r>
        <w:lastRenderedPageBreak/>
        <w:t xml:space="preserve">CPI. </w:t>
      </w:r>
      <w:r w:rsidR="000E77B1">
        <w:t>The minimum and maximum</w:t>
      </w:r>
      <w:r w:rsidR="00B30761">
        <w:t xml:space="preserve"> parameters</w:t>
      </w:r>
      <w:r>
        <w:t xml:space="preserve"> reflect that the cost of APRA’s prudential supervision does not fall below a certain amount, or rise above a certain amount, regardless of an institution’s size. </w:t>
      </w:r>
    </w:p>
    <w:p w14:paraId="519FE8F5" w14:textId="5A5590F1" w:rsidR="00D865DA" w:rsidRDefault="00D865DA" w:rsidP="00D865DA">
      <w:r>
        <w:t xml:space="preserve">Adjustments to the minimum and maximum parameters for the restricted levy component are made annually </w:t>
      </w:r>
      <w:r w:rsidR="000E77B1">
        <w:t xml:space="preserve">by the Treasurer </w:t>
      </w:r>
      <w:r>
        <w:t>following industry consultation</w:t>
      </w:r>
      <w:r w:rsidR="000E77B1">
        <w:t xml:space="preserve"> through the annual FISL process</w:t>
      </w:r>
      <w:r>
        <w:t>. These adjustments are designed to support an equitable sharing of the levy burden within each industry sector.</w:t>
      </w:r>
    </w:p>
    <w:p w14:paraId="7EB8CFB3" w14:textId="09D62B10" w:rsidR="00D865DA" w:rsidRDefault="00D865DA" w:rsidP="00D865DA">
      <w:r>
        <w:t>The introduction of the unrestricted levy component in 2005</w:t>
      </w:r>
      <w:r w:rsidR="00481700">
        <w:t>-</w:t>
      </w:r>
      <w:r>
        <w:t xml:space="preserve">06 sought to resolve the issue of ensuring that the larger institutions are levied proportionately more in accordance with their size, compared to smaller ones. Specifically, having a levy component that is </w:t>
      </w:r>
      <w:r w:rsidDel="00911ABF">
        <w:t xml:space="preserve">uncapped </w:t>
      </w:r>
      <w:r>
        <w:t xml:space="preserve">ensures that larger institutions are subject to a higher levy amount. </w:t>
      </w:r>
    </w:p>
    <w:p w14:paraId="40A7CFCF" w14:textId="6CD9E013" w:rsidR="00D865DA" w:rsidRDefault="00C87012" w:rsidP="00D865DA">
      <w:r>
        <w:t xml:space="preserve">For </w:t>
      </w:r>
      <w:r w:rsidR="00954D02">
        <w:t>ADIs</w:t>
      </w:r>
      <w:r>
        <w:t>,</w:t>
      </w:r>
      <w:r w:rsidR="00D865DA" w:rsidDel="00C666B1">
        <w:t xml:space="preserve"> the </w:t>
      </w:r>
      <w:r w:rsidR="00D865DA">
        <w:t xml:space="preserve">maximum </w:t>
      </w:r>
      <w:r w:rsidR="00810E89">
        <w:t>for the restricted levy component</w:t>
      </w:r>
      <w:r>
        <w:t xml:space="preserve"> is now set at the statutory cap.</w:t>
      </w:r>
      <w:r w:rsidR="00D865DA">
        <w:t xml:space="preserve"> As set out in the consultation </w:t>
      </w:r>
      <w:r>
        <w:t xml:space="preserve">paper </w:t>
      </w:r>
      <w:r w:rsidR="00D865DA">
        <w:t>on the proposed levies</w:t>
      </w:r>
      <w:r w:rsidR="00954D02">
        <w:t xml:space="preserve"> for 2019-20</w:t>
      </w:r>
      <w:r w:rsidR="00D865DA">
        <w:t>, following an increase in APRA’s funding, it was necessary to defer $3.1</w:t>
      </w:r>
      <w:r w:rsidR="00954D02">
        <w:t> </w:t>
      </w:r>
      <w:r w:rsidR="00D865DA">
        <w:t>million in supervisory levies payable by these largest institutions to ensure they continued to pay their share of APRA’s supervisory effort.</w:t>
      </w:r>
    </w:p>
    <w:p w14:paraId="00DBFF16" w14:textId="500F0CB5" w:rsidR="002C1424" w:rsidRDefault="00D865DA" w:rsidP="00D865DA">
      <w:r>
        <w:t xml:space="preserve">Reflecting its role, APRA’s regulatory intensity of the largest institutions has significantly increased over recent years (and therefore its level of funding). To avoid further deferrals of levies payable by these institutions, it is appropriate to reconsider the statutory </w:t>
      </w:r>
      <w:r w:rsidR="00BE2D88">
        <w:t xml:space="preserve">cap </w:t>
      </w:r>
      <w:r>
        <w:t xml:space="preserve">provided for in the legislation (currently $3.125 million). </w:t>
      </w:r>
    </w:p>
    <w:tbl>
      <w:tblPr>
        <w:tblStyle w:val="TableGrid"/>
        <w:tblW w:w="5000" w:type="pct"/>
        <w:shd w:val="clear" w:color="auto" w:fill="FFF8EA"/>
        <w:tblLook w:val="04A0" w:firstRow="1" w:lastRow="0" w:firstColumn="1" w:lastColumn="0" w:noHBand="0" w:noVBand="1"/>
      </w:tblPr>
      <w:tblGrid>
        <w:gridCol w:w="9070"/>
      </w:tblGrid>
      <w:tr w:rsidR="00BC0C22" w14:paraId="27CF7264" w14:textId="77777777" w:rsidTr="007D4769">
        <w:tc>
          <w:tcPr>
            <w:tcW w:w="5000" w:type="pct"/>
            <w:shd w:val="clear" w:color="auto" w:fill="FFF8EA"/>
          </w:tcPr>
          <w:p w14:paraId="12D59C07" w14:textId="77777777" w:rsidR="00BC0C22" w:rsidRDefault="00BC0C22" w:rsidP="00BC0C22">
            <w:pPr>
              <w:pStyle w:val="BoxText"/>
            </w:pPr>
            <w:r w:rsidRPr="00BC0C22">
              <w:rPr>
                <w:b/>
                <w:color w:val="00827F" w:themeColor="accent3"/>
                <w:sz w:val="26"/>
                <w:szCs w:val="26"/>
              </w:rPr>
              <w:t>Question 2 – What is the appropriate level for the statutory cap for the restricted component of the levies on ADIs?</w:t>
            </w:r>
          </w:p>
        </w:tc>
      </w:tr>
    </w:tbl>
    <w:p w14:paraId="5C642DFF" w14:textId="77777777" w:rsidR="00D865DA" w:rsidRDefault="00D865DA" w:rsidP="00BC0C22">
      <w:pPr>
        <w:pStyle w:val="Heading2Numbered"/>
      </w:pPr>
      <w:bookmarkStart w:id="20" w:name="_Toc16757313"/>
      <w:r>
        <w:t>‘DOES THE CURRENT LEVIES METHODOLOGY PROVIDE ADEQUATE TRANSPARENCY AND IS IT APPROPRIATE FOR INDUSTRY SUB SECTORS?’</w:t>
      </w:r>
      <w:bookmarkEnd w:id="20"/>
    </w:p>
    <w:p w14:paraId="0A4572A8" w14:textId="4EBAAA28" w:rsidR="00D865DA" w:rsidRDefault="00D865DA" w:rsidP="00D865DA">
      <w:r>
        <w:t xml:space="preserve">Information concerning APRA costs is provided in the annual ‘Proposed Financial Institutions Levies’ paper and in APRA’s annual report. Further transparency of the process is achieved by a Cost Recovery Impact Statement (CRIS) to be released for each levy year </w:t>
      </w:r>
      <w:r w:rsidR="00BE4C19">
        <w:t>—</w:t>
      </w:r>
      <w:r>
        <w:t xml:space="preserve"> with the next one to be prepared following the outcome of this methodology review. Regarding the timing of the annual CRISs, industry has indicated concerns during annual consultations that APRA publishes its CRIS after the consultation process.</w:t>
      </w:r>
    </w:p>
    <w:p w14:paraId="254C5F1D" w14:textId="77777777" w:rsidR="00D865DA" w:rsidRDefault="00D865DA" w:rsidP="00D865DA">
      <w:r>
        <w:t xml:space="preserve">The CRIS contains further expenditure information where appropriate. It demonstrates consistency, transparency and accountability of such cost recovered activities and promotes the efficient allocation of resources and compliance with the Australian Government Cost Recovery Guidelines July 2014 (CRGs) under the Australian Government Charging Framework. The CRIS also covers APRA’s current licensing and authorisation charging activities. These charging activities were reviewed as part of a Treasury portfolio charging review in 2016-17. </w:t>
      </w:r>
    </w:p>
    <w:tbl>
      <w:tblPr>
        <w:tblStyle w:val="TableGrid"/>
        <w:tblW w:w="5000" w:type="pct"/>
        <w:shd w:val="clear" w:color="auto" w:fill="FFF8EA"/>
        <w:tblLook w:val="04A0" w:firstRow="1" w:lastRow="0" w:firstColumn="1" w:lastColumn="0" w:noHBand="0" w:noVBand="1"/>
      </w:tblPr>
      <w:tblGrid>
        <w:gridCol w:w="9070"/>
      </w:tblGrid>
      <w:tr w:rsidR="00BC0C22" w14:paraId="085EC6E1" w14:textId="77777777" w:rsidTr="007D4769">
        <w:tc>
          <w:tcPr>
            <w:tcW w:w="5000" w:type="pct"/>
            <w:shd w:val="clear" w:color="auto" w:fill="FFF8EA"/>
          </w:tcPr>
          <w:p w14:paraId="7DE9AB55" w14:textId="77777777" w:rsidR="00BC0C22" w:rsidRDefault="00BC0C22" w:rsidP="00BC0C22">
            <w:pPr>
              <w:pStyle w:val="BoxText"/>
            </w:pPr>
            <w:r w:rsidRPr="00BC0C22">
              <w:rPr>
                <w:b/>
                <w:color w:val="00827F" w:themeColor="accent3"/>
                <w:sz w:val="26"/>
                <w:szCs w:val="26"/>
              </w:rPr>
              <w:t xml:space="preserve">Question 3 – What changes would stakeholders find useful to the annual levies consultation process? </w:t>
            </w:r>
          </w:p>
        </w:tc>
      </w:tr>
    </w:tbl>
    <w:p w14:paraId="370067E7" w14:textId="77777777" w:rsidR="00D865DA" w:rsidRDefault="00D865DA" w:rsidP="00BC0C22"/>
    <w:sectPr w:rsidR="00D865DA" w:rsidSect="00E1136B">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E7BFA1" w14:textId="77777777" w:rsidR="00127EAA" w:rsidRDefault="00127EAA">
      <w:pPr>
        <w:spacing w:before="0" w:after="0"/>
      </w:pPr>
      <w:r>
        <w:separator/>
      </w:r>
    </w:p>
  </w:endnote>
  <w:endnote w:type="continuationSeparator" w:id="0">
    <w:p w14:paraId="04EF0AE9" w14:textId="77777777" w:rsidR="00127EAA" w:rsidRDefault="00127EAA">
      <w:pPr>
        <w:spacing w:before="0" w:after="0"/>
      </w:pPr>
      <w:r>
        <w:continuationSeparator/>
      </w:r>
    </w:p>
  </w:endnote>
  <w:endnote w:type="continuationNotice" w:id="1">
    <w:p w14:paraId="5DFC6A42" w14:textId="77777777" w:rsidR="00127EAA" w:rsidRDefault="00127EA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9B338" w14:textId="77777777" w:rsidR="00127EAA" w:rsidRPr="00E77C89" w:rsidRDefault="00127EAA" w:rsidP="0017089D">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01BF3" w14:textId="77777777" w:rsidR="00127EAA" w:rsidRPr="00E77C89" w:rsidRDefault="00127EAA" w:rsidP="0017089D"/>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F8EB5" w14:textId="3F52F097" w:rsidR="00127EAA" w:rsidRPr="00E1136B" w:rsidRDefault="00127EAA" w:rsidP="00E1136B">
    <w:pPr>
      <w:pStyle w:val="Footer"/>
    </w:pPr>
    <w:r>
      <w:fldChar w:fldCharType="begin"/>
    </w:r>
    <w:r>
      <w:instrText xml:space="preserve"> PAGE   \* MERGEFORMAT </w:instrText>
    </w:r>
    <w:r>
      <w:fldChar w:fldCharType="separate"/>
    </w:r>
    <w:r w:rsidR="00026E8D">
      <w:rPr>
        <w:noProof/>
      </w:rPr>
      <w:t>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F4637" w14:textId="77777777" w:rsidR="00127EAA" w:rsidRDefault="00127E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83892A" w14:textId="77777777" w:rsidR="00127EAA" w:rsidRDefault="00127EAA">
      <w:pPr>
        <w:spacing w:before="0" w:after="0"/>
      </w:pPr>
      <w:r>
        <w:separator/>
      </w:r>
    </w:p>
  </w:footnote>
  <w:footnote w:type="continuationSeparator" w:id="0">
    <w:p w14:paraId="2F318955" w14:textId="77777777" w:rsidR="00127EAA" w:rsidRDefault="00127EAA">
      <w:pPr>
        <w:spacing w:before="0" w:after="0"/>
      </w:pPr>
      <w:r>
        <w:continuationSeparator/>
      </w:r>
    </w:p>
  </w:footnote>
  <w:footnote w:type="continuationNotice" w:id="1">
    <w:p w14:paraId="12D92086" w14:textId="77777777" w:rsidR="00127EAA" w:rsidRDefault="00127EAA">
      <w:pPr>
        <w:spacing w:before="0" w:after="0"/>
      </w:pPr>
    </w:p>
  </w:footnote>
  <w:footnote w:id="2">
    <w:p w14:paraId="2CE77A3C" w14:textId="77777777" w:rsidR="00127EAA" w:rsidRDefault="00127EAA">
      <w:pPr>
        <w:pStyle w:val="FootnoteText"/>
      </w:pPr>
      <w:r w:rsidRPr="00474D96">
        <w:rPr>
          <w:rStyle w:val="FootnoteReference"/>
          <w:vertAlign w:val="baseline"/>
        </w:rPr>
        <w:footnoteRef/>
      </w:r>
      <w:r w:rsidRPr="00474D96">
        <w:t xml:space="preserve"> </w:t>
      </w:r>
      <w:r>
        <w:tab/>
      </w:r>
      <w:r w:rsidRPr="00051E45">
        <w:t>https://treasury.gov.au/consultation/c2019-382473</w:t>
      </w:r>
    </w:p>
  </w:footnote>
  <w:footnote w:id="3">
    <w:p w14:paraId="474910AF" w14:textId="77777777" w:rsidR="00127EAA" w:rsidRPr="00051E45" w:rsidRDefault="00127EAA" w:rsidP="00051E45">
      <w:pPr>
        <w:pStyle w:val="FootnoteText"/>
      </w:pPr>
      <w:r w:rsidRPr="00051E45">
        <w:rPr>
          <w:rStyle w:val="FootnoteReference"/>
          <w:vertAlign w:val="baseline"/>
        </w:rPr>
        <w:footnoteRef/>
      </w:r>
      <w:r w:rsidRPr="00051E45">
        <w:t xml:space="preserve"> </w:t>
      </w:r>
      <w:r>
        <w:tab/>
      </w:r>
      <w:r w:rsidRPr="00051E45">
        <w:t>Note that the Private Health Insurance Supervisory Levy is the exception with a different method of determination of levies payable.</w:t>
      </w:r>
    </w:p>
  </w:footnote>
  <w:footnote w:id="4">
    <w:p w14:paraId="5F927E90" w14:textId="02C7BB96" w:rsidR="00127EAA" w:rsidRDefault="00127EAA">
      <w:pPr>
        <w:pStyle w:val="FootnoteText"/>
      </w:pPr>
      <w:r w:rsidRPr="00023FBB">
        <w:rPr>
          <w:rStyle w:val="FootnoteReference"/>
          <w:vertAlign w:val="baseline"/>
        </w:rPr>
        <w:footnoteRef/>
      </w:r>
      <w:r>
        <w:t xml:space="preserve"> </w:t>
      </w:r>
      <w:r>
        <w:tab/>
      </w:r>
      <w:r w:rsidRPr="00023FBB">
        <w:t>In 2018-19 the Early Release of Superannuation Benefits on compassionate grounds program was transferred from the Department of Human Services to the ATO.</w:t>
      </w:r>
    </w:p>
  </w:footnote>
  <w:footnote w:id="5">
    <w:p w14:paraId="71325153" w14:textId="43394B15" w:rsidR="00127EAA" w:rsidRPr="00023FBB" w:rsidRDefault="00127EAA" w:rsidP="00023FBB">
      <w:pPr>
        <w:pStyle w:val="FootnoteText"/>
      </w:pPr>
      <w:r w:rsidRPr="00023FBB">
        <w:rPr>
          <w:rStyle w:val="FootnoteReference"/>
          <w:vertAlign w:val="baseline"/>
        </w:rPr>
        <w:footnoteRef/>
      </w:r>
      <w:r w:rsidRPr="00023FBB">
        <w:t xml:space="preserve"> </w:t>
      </w:r>
      <w:r>
        <w:tab/>
      </w:r>
      <w:r w:rsidRPr="00023FBB">
        <w:t>http://archive.treasury.gov.au/documents/587/PDF/FSL.pdf</w:t>
      </w:r>
    </w:p>
  </w:footnote>
  <w:footnote w:id="6">
    <w:p w14:paraId="3901D4E4" w14:textId="5AD46FAF" w:rsidR="00127EAA" w:rsidRDefault="00127EAA">
      <w:pPr>
        <w:pStyle w:val="FootnoteText"/>
      </w:pPr>
      <w:r w:rsidRPr="00023FBB">
        <w:rPr>
          <w:rStyle w:val="FootnoteReference"/>
          <w:vertAlign w:val="baseline"/>
        </w:rPr>
        <w:footnoteRef/>
      </w:r>
      <w:r w:rsidRPr="00023FBB">
        <w:t xml:space="preserve"> </w:t>
      </w:r>
      <w:r>
        <w:tab/>
      </w:r>
      <w:r w:rsidRPr="00023FBB">
        <w:t>http://archive.treasury.gov.au/documents/966/PDF/Review_impact_on_levies_31_Mar_2005.pdf</w:t>
      </w:r>
    </w:p>
  </w:footnote>
  <w:footnote w:id="7">
    <w:p w14:paraId="66A03A5F" w14:textId="19CD3058" w:rsidR="00127EAA" w:rsidRDefault="00127EAA">
      <w:pPr>
        <w:pStyle w:val="FootnoteText"/>
      </w:pPr>
      <w:r w:rsidRPr="00023FBB">
        <w:rPr>
          <w:rStyle w:val="FootnoteReference"/>
          <w:vertAlign w:val="baseline"/>
        </w:rPr>
        <w:footnoteRef/>
      </w:r>
      <w:r w:rsidRPr="00023FBB">
        <w:t xml:space="preserve"> </w:t>
      </w:r>
      <w:r>
        <w:tab/>
      </w:r>
      <w:r w:rsidRPr="00023FBB">
        <w:t>http://archive.treasury.gov.au/documents/1708/PDF/Review_of_Financial_Sector_Levies.pdf</w:t>
      </w:r>
    </w:p>
  </w:footnote>
  <w:footnote w:id="8">
    <w:p w14:paraId="7888CF04" w14:textId="7E4A2906" w:rsidR="00127EAA" w:rsidRPr="00023FBB" w:rsidRDefault="00127EAA" w:rsidP="00023FBB">
      <w:pPr>
        <w:pStyle w:val="FootnoteText"/>
      </w:pPr>
      <w:r w:rsidRPr="00023FBB">
        <w:rPr>
          <w:rStyle w:val="FootnoteReference"/>
          <w:vertAlign w:val="baseline"/>
        </w:rPr>
        <w:footnoteRef/>
      </w:r>
      <w:r>
        <w:t xml:space="preserve"> </w:t>
      </w:r>
      <w:r>
        <w:tab/>
      </w:r>
      <w:r w:rsidRPr="00023FBB">
        <w:t>https://treasury.gov.au/consultation/financial-industry-supervisory-levy-methodology</w:t>
      </w:r>
    </w:p>
  </w:footnote>
  <w:footnote w:id="9">
    <w:p w14:paraId="11A312CC" w14:textId="21C3EAEA" w:rsidR="00127EAA" w:rsidRPr="00023FBB" w:rsidRDefault="00127EAA" w:rsidP="00023FBB">
      <w:pPr>
        <w:pStyle w:val="FootnoteText"/>
      </w:pPr>
      <w:r w:rsidRPr="00023FBB">
        <w:rPr>
          <w:rStyle w:val="FootnoteReference"/>
          <w:vertAlign w:val="baseline"/>
        </w:rPr>
        <w:footnoteRef/>
      </w:r>
      <w:r w:rsidRPr="00023FBB">
        <w:t xml:space="preserve"> </w:t>
      </w:r>
      <w:r>
        <w:tab/>
      </w:r>
      <w:r w:rsidRPr="00023FBB">
        <w:t>To date APRA’s costs for the PHI industry have been collected differently – as a fixed price levy based on June policy data and the total amount collected derived from transitional costing calculations. There are no minimum or maximum amounts. For 2019-20 APRA will commence transitioning to a method of industry allocation consistent with the methodology that is applied to other industries.</w:t>
      </w:r>
    </w:p>
  </w:footnote>
  <w:footnote w:id="10">
    <w:p w14:paraId="0C5C8FE4" w14:textId="74A43E99" w:rsidR="00127EAA" w:rsidRPr="001A5494" w:rsidRDefault="00127EAA" w:rsidP="001A5494">
      <w:pPr>
        <w:pStyle w:val="FootnoteText"/>
      </w:pPr>
      <w:r w:rsidRPr="001A5494">
        <w:rPr>
          <w:rStyle w:val="FootnoteReference"/>
          <w:vertAlign w:val="baseline"/>
        </w:rPr>
        <w:footnoteRef/>
      </w:r>
      <w:r w:rsidRPr="001A5494">
        <w:t xml:space="preserve"> </w:t>
      </w:r>
      <w:r>
        <w:tab/>
      </w:r>
      <w:r w:rsidRPr="001A5494">
        <w:t>Excluding PHI industry levies of $6.1 million.</w:t>
      </w:r>
    </w:p>
  </w:footnote>
  <w:footnote w:id="11">
    <w:p w14:paraId="4D2A9BF0" w14:textId="1C3FCE19" w:rsidR="00127EAA" w:rsidRDefault="00127EAA">
      <w:pPr>
        <w:pStyle w:val="FootnoteText"/>
      </w:pPr>
      <w:r w:rsidRPr="001A5494">
        <w:rPr>
          <w:rStyle w:val="FootnoteReference"/>
          <w:vertAlign w:val="baseline"/>
        </w:rPr>
        <w:footnoteRef/>
      </w:r>
      <w:r>
        <w:t xml:space="preserve"> </w:t>
      </w:r>
      <w:r>
        <w:tab/>
      </w:r>
      <w:r w:rsidRPr="001A5494">
        <w:t xml:space="preserve">‘Statutory upper limit’ as defined in the Authorised deposit-taking Institutions </w:t>
      </w:r>
      <w:r w:rsidRPr="001A5494">
        <w:rPr>
          <w:i/>
        </w:rPr>
        <w:t>Supervisory Levy Imposition Act 1998</w:t>
      </w:r>
      <w:r w:rsidRPr="001A5494">
        <w:t>.</w:t>
      </w:r>
    </w:p>
  </w:footnote>
  <w:footnote w:id="12">
    <w:p w14:paraId="1480C49B" w14:textId="0C8E8251" w:rsidR="00127EAA" w:rsidRDefault="00127EAA">
      <w:pPr>
        <w:pStyle w:val="FootnoteText"/>
      </w:pPr>
      <w:r w:rsidRPr="001A5494">
        <w:rPr>
          <w:rStyle w:val="FootnoteReference"/>
          <w:vertAlign w:val="baseline"/>
        </w:rPr>
        <w:footnoteRef/>
      </w:r>
      <w:r w:rsidRPr="001A5494">
        <w:t xml:space="preserve"> </w:t>
      </w:r>
      <w:r>
        <w:tab/>
      </w:r>
      <w:r w:rsidRPr="001A5494">
        <w:t>Subject to the outcome of the review of statutory maximums.</w:t>
      </w:r>
    </w:p>
  </w:footnote>
  <w:footnote w:id="13">
    <w:p w14:paraId="46BA3628" w14:textId="6B73043C" w:rsidR="00127EAA" w:rsidRPr="001A5494" w:rsidRDefault="00127EAA" w:rsidP="001A5494">
      <w:pPr>
        <w:pStyle w:val="FootnoteText"/>
      </w:pPr>
      <w:r w:rsidRPr="001A5494">
        <w:rPr>
          <w:rStyle w:val="FootnoteReference"/>
          <w:vertAlign w:val="baseline"/>
        </w:rPr>
        <w:footnoteRef/>
      </w:r>
      <w:r>
        <w:t xml:space="preserve"> </w:t>
      </w:r>
      <w:r>
        <w:tab/>
      </w:r>
      <w:r w:rsidRPr="001A5494">
        <w:t>https://www.anao.gov.au/sites/default/files/AuditReport_2013-2014_09.pdf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4B252" w14:textId="77777777" w:rsidR="00127EAA" w:rsidRDefault="00127EAA">
    <w:pPr>
      <w:pStyle w:val="Header"/>
    </w:pPr>
    <w:r>
      <w:rPr>
        <w:noProof/>
      </w:rPr>
      <w:drawing>
        <wp:anchor distT="0" distB="0" distL="114300" distR="114300" simplePos="0" relativeHeight="251658240" behindDoc="1" locked="0" layoutInCell="1" allowOverlap="1" wp14:anchorId="7E8EC267" wp14:editId="45C4E08E">
          <wp:simplePos x="0" y="0"/>
          <wp:positionH relativeFrom="page">
            <wp:align>center</wp:align>
          </wp:positionH>
          <wp:positionV relativeFrom="page">
            <wp:posOffset>180340</wp:posOffset>
          </wp:positionV>
          <wp:extent cx="7200000" cy="10184400"/>
          <wp:effectExtent l="0" t="0" r="127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200000" cy="1018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31167" w14:textId="77777777" w:rsidR="00127EAA" w:rsidRPr="001F3912" w:rsidRDefault="00127EAA" w:rsidP="0017089D">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18421" w14:textId="77777777" w:rsidR="00127EAA" w:rsidRPr="001F3912" w:rsidRDefault="00127EAA" w:rsidP="0017089D"/>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044E2" w14:textId="77777777" w:rsidR="00127EAA" w:rsidRPr="001F3912" w:rsidRDefault="00127EAA" w:rsidP="0017089D"/>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C4D98" w14:textId="7F789F32" w:rsidR="00127EAA" w:rsidRPr="001F3912" w:rsidRDefault="00026E8D" w:rsidP="001606CF">
    <w:pPr>
      <w:pStyle w:val="Header"/>
    </w:pPr>
    <w:r>
      <w:fldChar w:fldCharType="begin"/>
    </w:r>
    <w:r>
      <w:instrText xml:space="preserve"> STYLEREF  Title  \* MERGEFORMAT </w:instrText>
    </w:r>
    <w:r>
      <w:fldChar w:fldCharType="separate"/>
    </w:r>
    <w:r>
      <w:rPr>
        <w:noProof/>
      </w:rPr>
      <w:t>Financial Institutions Supervisory Levies methodology</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B0B42" w14:textId="77777777" w:rsidR="00127EAA" w:rsidRDefault="00127E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CC4E5D"/>
    <w:multiLevelType w:val="multilevel"/>
    <w:tmpl w:val="D10E9CF6"/>
    <w:numStyleLink w:val="OneLevelList"/>
  </w:abstractNum>
  <w:abstractNum w:abstractNumId="4"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7440C8B"/>
    <w:multiLevelType w:val="multilevel"/>
    <w:tmpl w:val="CB5C4156"/>
    <w:name w:val="StandardBulletedList_"/>
    <w:lvl w:ilvl="0">
      <w:start w:val="1"/>
      <w:numFmt w:val="bullet"/>
      <w:lvlRestart w:val="0"/>
      <w:lvlText w:val="•"/>
      <w:lvlJc w:val="left"/>
      <w:pPr>
        <w:tabs>
          <w:tab w:val="num" w:pos="566"/>
        </w:tabs>
        <w:ind w:left="566" w:hanging="566"/>
      </w:pPr>
      <w:rPr>
        <w:rFonts w:ascii="Times New Roman" w:hAnsi="Times New Roman" w:cs="Times New Roman"/>
        <w:b w:val="0"/>
        <w:i w:val="0"/>
      </w:rPr>
    </w:lvl>
    <w:lvl w:ilvl="1">
      <w:start w:val="1"/>
      <w:numFmt w:val="bullet"/>
      <w:lvlText w:val="–"/>
      <w:lvlJc w:val="left"/>
      <w:pPr>
        <w:tabs>
          <w:tab w:val="num" w:pos="1134"/>
        </w:tabs>
        <w:ind w:left="1134" w:hanging="568"/>
      </w:pPr>
      <w:rPr>
        <w:rFonts w:ascii="Times New Roman" w:hAnsi="Times New Roman" w:cs="Times New Roman"/>
        <w:b w:val="0"/>
        <w:i w:val="0"/>
      </w:rPr>
    </w:lvl>
    <w:lvl w:ilvl="2">
      <w:start w:val="1"/>
      <w:numFmt w:val="bullet"/>
      <w:lvlText w:val=":"/>
      <w:lvlJc w:val="left"/>
      <w:pPr>
        <w:tabs>
          <w:tab w:val="num" w:pos="1700"/>
        </w:tabs>
        <w:ind w:left="1700" w:hanging="566"/>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6"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8"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CE06931"/>
    <w:multiLevelType w:val="singleLevel"/>
    <w:tmpl w:val="4366EF18"/>
    <w:name w:val="ChartTableFootnoteAlpha"/>
    <w:lvl w:ilvl="0">
      <w:start w:val="1"/>
      <w:numFmt w:val="lowerLetter"/>
      <w:lvlRestart w:val="0"/>
      <w:lvlText w:val="(%1)"/>
      <w:lvlJc w:val="left"/>
      <w:pPr>
        <w:tabs>
          <w:tab w:val="num" w:pos="283"/>
        </w:tabs>
        <w:ind w:left="283" w:hanging="283"/>
      </w:pPr>
      <w:rPr>
        <w:rFonts w:ascii="Arial" w:hAnsi="Arial" w:cs="Arial" w:hint="default"/>
        <w:b w:val="0"/>
        <w:i w:val="0"/>
        <w:sz w:val="16"/>
      </w:rPr>
    </w:lvl>
  </w:abstractNum>
  <w:abstractNum w:abstractNumId="11" w15:restartNumberingAfterBreak="0">
    <w:nsid w:val="510D2021"/>
    <w:multiLevelType w:val="multilevel"/>
    <w:tmpl w:val="72F8140E"/>
    <w:numStyleLink w:val="OutlineList"/>
  </w:abstractNum>
  <w:abstractNum w:abstractNumId="12" w15:restartNumberingAfterBreak="0">
    <w:nsid w:val="78663746"/>
    <w:multiLevelType w:val="multilevel"/>
    <w:tmpl w:val="2DB61A66"/>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7"/>
  </w:num>
  <w:num w:numId="2">
    <w:abstractNumId w:val="0"/>
  </w:num>
  <w:num w:numId="3">
    <w:abstractNumId w:val="9"/>
  </w:num>
  <w:num w:numId="4">
    <w:abstractNumId w:val="2"/>
  </w:num>
  <w:num w:numId="5">
    <w:abstractNumId w:val="3"/>
  </w:num>
  <w:num w:numId="6">
    <w:abstractNumId w:val="11"/>
  </w:num>
  <w:num w:numId="7">
    <w:abstractNumId w:val="8"/>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4"/>
  </w:num>
  <w:num w:numId="9">
    <w:abstractNumId w:val="1"/>
  </w:num>
  <w:num w:numId="10">
    <w:abstractNumId w:val="6"/>
  </w:num>
  <w:num w:numId="11">
    <w:abstractNumId w:val="13"/>
  </w:num>
  <w:num w:numId="12">
    <w:abstractNumId w:val="11"/>
  </w:num>
  <w:num w:numId="13">
    <w:abstractNumId w:val="6"/>
  </w:num>
  <w:num w:numId="14">
    <w:abstractNumId w:val="8"/>
  </w:num>
  <w:num w:numId="15">
    <w:abstractNumId w:val="5"/>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5DA"/>
    <w:rsid w:val="000073F3"/>
    <w:rsid w:val="00011725"/>
    <w:rsid w:val="00012C62"/>
    <w:rsid w:val="00023FBB"/>
    <w:rsid w:val="0002544D"/>
    <w:rsid w:val="0002609F"/>
    <w:rsid w:val="00026E8D"/>
    <w:rsid w:val="00041A8B"/>
    <w:rsid w:val="0004274D"/>
    <w:rsid w:val="00044C0A"/>
    <w:rsid w:val="00051E45"/>
    <w:rsid w:val="00056880"/>
    <w:rsid w:val="00065260"/>
    <w:rsid w:val="000675D1"/>
    <w:rsid w:val="0007102C"/>
    <w:rsid w:val="00072352"/>
    <w:rsid w:val="00073521"/>
    <w:rsid w:val="000775DE"/>
    <w:rsid w:val="000858F2"/>
    <w:rsid w:val="00087FAF"/>
    <w:rsid w:val="000A3349"/>
    <w:rsid w:val="000C5F40"/>
    <w:rsid w:val="000E0B74"/>
    <w:rsid w:val="000E77B1"/>
    <w:rsid w:val="000F0BF8"/>
    <w:rsid w:val="000F7517"/>
    <w:rsid w:val="0010695F"/>
    <w:rsid w:val="00127EAA"/>
    <w:rsid w:val="0014091C"/>
    <w:rsid w:val="001606CF"/>
    <w:rsid w:val="0016128D"/>
    <w:rsid w:val="0017089D"/>
    <w:rsid w:val="0019101A"/>
    <w:rsid w:val="001A5494"/>
    <w:rsid w:val="001C358D"/>
    <w:rsid w:val="001D4EAA"/>
    <w:rsid w:val="0022190E"/>
    <w:rsid w:val="00231049"/>
    <w:rsid w:val="002314D2"/>
    <w:rsid w:val="00236A3F"/>
    <w:rsid w:val="002372A6"/>
    <w:rsid w:val="00251D08"/>
    <w:rsid w:val="00257AEE"/>
    <w:rsid w:val="00263B6C"/>
    <w:rsid w:val="0027590B"/>
    <w:rsid w:val="00285969"/>
    <w:rsid w:val="002940EC"/>
    <w:rsid w:val="00295620"/>
    <w:rsid w:val="002B3829"/>
    <w:rsid w:val="002B4D4D"/>
    <w:rsid w:val="002B5C39"/>
    <w:rsid w:val="002C1424"/>
    <w:rsid w:val="002D488F"/>
    <w:rsid w:val="002F617F"/>
    <w:rsid w:val="0030016A"/>
    <w:rsid w:val="003122F4"/>
    <w:rsid w:val="0031550F"/>
    <w:rsid w:val="003268D5"/>
    <w:rsid w:val="00333FA6"/>
    <w:rsid w:val="00344779"/>
    <w:rsid w:val="00354D27"/>
    <w:rsid w:val="00354FBB"/>
    <w:rsid w:val="003839F0"/>
    <w:rsid w:val="003858A6"/>
    <w:rsid w:val="00392DCC"/>
    <w:rsid w:val="003D0BB1"/>
    <w:rsid w:val="003E27B0"/>
    <w:rsid w:val="003E4D87"/>
    <w:rsid w:val="003F71F2"/>
    <w:rsid w:val="00416762"/>
    <w:rsid w:val="00421351"/>
    <w:rsid w:val="00445265"/>
    <w:rsid w:val="004559CE"/>
    <w:rsid w:val="00474D96"/>
    <w:rsid w:val="00475B7B"/>
    <w:rsid w:val="00475F4D"/>
    <w:rsid w:val="00481700"/>
    <w:rsid w:val="00482AD1"/>
    <w:rsid w:val="00483049"/>
    <w:rsid w:val="00492FCB"/>
    <w:rsid w:val="004938D1"/>
    <w:rsid w:val="004951A8"/>
    <w:rsid w:val="004A7BC2"/>
    <w:rsid w:val="004C5CF4"/>
    <w:rsid w:val="004F1164"/>
    <w:rsid w:val="00516785"/>
    <w:rsid w:val="0052419D"/>
    <w:rsid w:val="005301F8"/>
    <w:rsid w:val="005312FC"/>
    <w:rsid w:val="0053603D"/>
    <w:rsid w:val="005868DE"/>
    <w:rsid w:val="00603BC5"/>
    <w:rsid w:val="0060595B"/>
    <w:rsid w:val="00605AFD"/>
    <w:rsid w:val="00607C7C"/>
    <w:rsid w:val="006123D4"/>
    <w:rsid w:val="00637C14"/>
    <w:rsid w:val="00656356"/>
    <w:rsid w:val="0067151F"/>
    <w:rsid w:val="006755BF"/>
    <w:rsid w:val="00686165"/>
    <w:rsid w:val="00691CB5"/>
    <w:rsid w:val="006A6EE1"/>
    <w:rsid w:val="006B5E7C"/>
    <w:rsid w:val="006C645D"/>
    <w:rsid w:val="006D42C7"/>
    <w:rsid w:val="006D55BF"/>
    <w:rsid w:val="006E0694"/>
    <w:rsid w:val="006E3CC3"/>
    <w:rsid w:val="006F656C"/>
    <w:rsid w:val="00707014"/>
    <w:rsid w:val="00745A87"/>
    <w:rsid w:val="0076306E"/>
    <w:rsid w:val="0078509F"/>
    <w:rsid w:val="00792BF6"/>
    <w:rsid w:val="00794499"/>
    <w:rsid w:val="007D4769"/>
    <w:rsid w:val="007D5AA6"/>
    <w:rsid w:val="007E2AB9"/>
    <w:rsid w:val="007E6456"/>
    <w:rsid w:val="00810E89"/>
    <w:rsid w:val="008174B8"/>
    <w:rsid w:val="00834243"/>
    <w:rsid w:val="00851EC6"/>
    <w:rsid w:val="00855618"/>
    <w:rsid w:val="00857969"/>
    <w:rsid w:val="008A1187"/>
    <w:rsid w:val="008A17DC"/>
    <w:rsid w:val="008B1499"/>
    <w:rsid w:val="008B7BE2"/>
    <w:rsid w:val="008C0F1B"/>
    <w:rsid w:val="008D1705"/>
    <w:rsid w:val="008D339F"/>
    <w:rsid w:val="008D76D4"/>
    <w:rsid w:val="008D7F38"/>
    <w:rsid w:val="008E6292"/>
    <w:rsid w:val="008F5F84"/>
    <w:rsid w:val="00911ABF"/>
    <w:rsid w:val="00925AA5"/>
    <w:rsid w:val="00926030"/>
    <w:rsid w:val="0094019D"/>
    <w:rsid w:val="00942C11"/>
    <w:rsid w:val="0095494F"/>
    <w:rsid w:val="00954D02"/>
    <w:rsid w:val="009732EC"/>
    <w:rsid w:val="009821CE"/>
    <w:rsid w:val="009852CF"/>
    <w:rsid w:val="009916C5"/>
    <w:rsid w:val="00997EB7"/>
    <w:rsid w:val="009A658F"/>
    <w:rsid w:val="009A668A"/>
    <w:rsid w:val="009C7BE1"/>
    <w:rsid w:val="00A16E03"/>
    <w:rsid w:val="00A260CD"/>
    <w:rsid w:val="00A3749B"/>
    <w:rsid w:val="00A6215F"/>
    <w:rsid w:val="00A624BB"/>
    <w:rsid w:val="00A62E42"/>
    <w:rsid w:val="00A64A71"/>
    <w:rsid w:val="00AA66AF"/>
    <w:rsid w:val="00AD0AF8"/>
    <w:rsid w:val="00AE2F90"/>
    <w:rsid w:val="00B13DB6"/>
    <w:rsid w:val="00B30761"/>
    <w:rsid w:val="00B3149D"/>
    <w:rsid w:val="00B770FF"/>
    <w:rsid w:val="00B82EF9"/>
    <w:rsid w:val="00B85F47"/>
    <w:rsid w:val="00B87927"/>
    <w:rsid w:val="00B92619"/>
    <w:rsid w:val="00BC0C22"/>
    <w:rsid w:val="00BD5650"/>
    <w:rsid w:val="00BE11B1"/>
    <w:rsid w:val="00BE2D88"/>
    <w:rsid w:val="00BE4C19"/>
    <w:rsid w:val="00C000FC"/>
    <w:rsid w:val="00C30297"/>
    <w:rsid w:val="00C54E4E"/>
    <w:rsid w:val="00C626F8"/>
    <w:rsid w:val="00C64B61"/>
    <w:rsid w:val="00C663AB"/>
    <w:rsid w:val="00C666B1"/>
    <w:rsid w:val="00C85314"/>
    <w:rsid w:val="00C87012"/>
    <w:rsid w:val="00CA46D6"/>
    <w:rsid w:val="00CA4BC0"/>
    <w:rsid w:val="00CC4B2A"/>
    <w:rsid w:val="00CC559D"/>
    <w:rsid w:val="00CD654B"/>
    <w:rsid w:val="00CD6BD4"/>
    <w:rsid w:val="00CE223E"/>
    <w:rsid w:val="00CE5B0C"/>
    <w:rsid w:val="00D145F5"/>
    <w:rsid w:val="00D355F0"/>
    <w:rsid w:val="00D40D83"/>
    <w:rsid w:val="00D45AF8"/>
    <w:rsid w:val="00D51C05"/>
    <w:rsid w:val="00D734C5"/>
    <w:rsid w:val="00D83BD9"/>
    <w:rsid w:val="00D865DA"/>
    <w:rsid w:val="00D95FB9"/>
    <w:rsid w:val="00DA686B"/>
    <w:rsid w:val="00DB7F09"/>
    <w:rsid w:val="00DC00E8"/>
    <w:rsid w:val="00E10D39"/>
    <w:rsid w:val="00E1136B"/>
    <w:rsid w:val="00E22D51"/>
    <w:rsid w:val="00E35FA1"/>
    <w:rsid w:val="00E50E7C"/>
    <w:rsid w:val="00E51545"/>
    <w:rsid w:val="00E55326"/>
    <w:rsid w:val="00E60CA2"/>
    <w:rsid w:val="00E711D7"/>
    <w:rsid w:val="00E83F24"/>
    <w:rsid w:val="00E902B0"/>
    <w:rsid w:val="00E902E8"/>
    <w:rsid w:val="00EA0A1E"/>
    <w:rsid w:val="00EB030F"/>
    <w:rsid w:val="00EC6B16"/>
    <w:rsid w:val="00EE4D37"/>
    <w:rsid w:val="00EE677F"/>
    <w:rsid w:val="00F0082D"/>
    <w:rsid w:val="00F07C90"/>
    <w:rsid w:val="00F20469"/>
    <w:rsid w:val="00F35551"/>
    <w:rsid w:val="00F47DD6"/>
    <w:rsid w:val="00F66B9F"/>
    <w:rsid w:val="00F71A0E"/>
    <w:rsid w:val="00F84F9B"/>
    <w:rsid w:val="00F92279"/>
    <w:rsid w:val="00FA7A4D"/>
    <w:rsid w:val="00FB5AE6"/>
    <w:rsid w:val="00FB64AA"/>
    <w:rsid w:val="00FC6ADA"/>
    <w:rsid w:val="00FE49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D961816"/>
  <w15:docId w15:val="{72A3A66E-594F-4170-A8C4-AF2CCEFDB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7C14"/>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354FBB"/>
    <w:pPr>
      <w:spacing w:before="240"/>
      <w:outlineLvl w:val="2"/>
    </w:pPr>
    <w:rPr>
      <w:bCs w:val="0"/>
      <w:color w:val="00827F" w:themeColor="accent3"/>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354FBB"/>
    <w:rPr>
      <w:rFonts w:ascii="Calibri" w:eastAsia="Times New Roman" w:hAnsi="Calibri" w:cs="Arial"/>
      <w:color w:val="00827F" w:themeColor="accent3"/>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3"/>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354FBB"/>
    <w:pPr>
      <w:keepNext/>
      <w:spacing w:before="240"/>
    </w:pPr>
    <w:rPr>
      <w:b/>
      <w:color w:val="00827F" w:themeColor="accent3"/>
      <w:sz w:val="26"/>
      <w:szCs w:val="26"/>
    </w:rPr>
  </w:style>
  <w:style w:type="paragraph" w:customStyle="1" w:styleId="BoxText">
    <w:name w:val="Box Text"/>
    <w:basedOn w:val="Normal"/>
    <w:rsid w:val="000E0B74"/>
  </w:style>
  <w:style w:type="paragraph" w:customStyle="1" w:styleId="Bullet">
    <w:name w:val="Bullet"/>
    <w:aliases w:val="b"/>
    <w:basedOn w:val="Normal"/>
    <w:rsid w:val="000E0B74"/>
    <w:pPr>
      <w:numPr>
        <w:numId w:val="1"/>
      </w:numPr>
      <w:spacing w:before="0"/>
      <w:ind w:left="284" w:hanging="284"/>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0E0B7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0E0B7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CE5B0C"/>
    <w:rPr>
      <w:color w:val="3A6FAF"/>
      <w:u w:val="none"/>
    </w:rPr>
  </w:style>
  <w:style w:type="paragraph" w:customStyle="1" w:styleId="OutlineNumbered1">
    <w:name w:val="Outline Numbered 1"/>
    <w:basedOn w:val="Normal"/>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E35FA1"/>
    <w:pPr>
      <w:numPr>
        <w:numId w:val="13"/>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0E0B74"/>
    <w:pPr>
      <w:jc w:val="center"/>
    </w:pPr>
    <w:rPr>
      <w:b/>
      <w:color w:val="004A7F"/>
      <w:sz w:val="20"/>
    </w:rPr>
  </w:style>
  <w:style w:type="paragraph" w:customStyle="1" w:styleId="TableColumnHeadingLeft">
    <w:name w:val="Table Column Heading Left"/>
    <w:basedOn w:val="TableTextLeft"/>
    <w:rsid w:val="000E0B74"/>
    <w:rPr>
      <w:b/>
      <w:color w:val="004A7F"/>
      <w:sz w:val="20"/>
    </w:rPr>
  </w:style>
  <w:style w:type="paragraph" w:customStyle="1" w:styleId="TableColumnHeadingRight">
    <w:name w:val="Table Column Heading Right"/>
    <w:basedOn w:val="TableTextLeft"/>
    <w:rsid w:val="000E0B74"/>
    <w:pPr>
      <w:jc w:val="right"/>
    </w:pPr>
    <w:rPr>
      <w:b/>
      <w:color w:val="004A7F"/>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656356"/>
    <w:pPr>
      <w:keepNext/>
      <w:tabs>
        <w:tab w:val="right" w:leader="dot" w:pos="9072"/>
      </w:tabs>
      <w:spacing w:before="180" w:after="0"/>
      <w:ind w:right="-2"/>
    </w:pPr>
    <w:rPr>
      <w:b/>
      <w:noProof/>
      <w:color w:val="004A7F"/>
      <w:szCs w:val="22"/>
    </w:rPr>
  </w:style>
  <w:style w:type="paragraph" w:styleId="TOC2">
    <w:name w:val="toc 2"/>
    <w:basedOn w:val="Normal"/>
    <w:next w:val="Normal"/>
    <w:uiPriority w:val="39"/>
    <w:qFormat/>
    <w:rsid w:val="00656356"/>
    <w:pPr>
      <w:keepNext/>
      <w:tabs>
        <w:tab w:val="right" w:leader="dot" w:pos="9072"/>
      </w:tabs>
      <w:spacing w:before="40" w:after="20"/>
      <w:ind w:right="-2"/>
    </w:pPr>
    <w:rPr>
      <w:noProof/>
      <w:color w:val="004A7F"/>
    </w:rPr>
  </w:style>
  <w:style w:type="paragraph" w:styleId="TOC3">
    <w:name w:val="toc 3"/>
    <w:basedOn w:val="Normal"/>
    <w:next w:val="Normal"/>
    <w:uiPriority w:val="39"/>
    <w:qFormat/>
    <w:rsid w:val="00E55326"/>
    <w:pPr>
      <w:tabs>
        <w:tab w:val="right" w:leader="dot" w:pos="9072"/>
      </w:tabs>
      <w:spacing w:before="20" w:after="0"/>
      <w:ind w:left="284" w:right="-2"/>
    </w:pPr>
    <w:rPr>
      <w:rFonts w:cs="Calibri"/>
      <w:noProof/>
      <w:color w:val="7F7F7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BC0C22"/>
    <w:pPr>
      <w:numPr>
        <w:numId w:val="8"/>
      </w:numPr>
      <w:ind w:left="567" w:hanging="567"/>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1A5494"/>
    <w:pPr>
      <w:numPr>
        <w:ilvl w:val="1"/>
        <w:numId w:val="8"/>
      </w:numPr>
      <w:ind w:left="567" w:hanging="567"/>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F06252"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F06252"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051E45"/>
    <w:pPr>
      <w:spacing w:before="0" w:after="0"/>
      <w:ind w:left="284" w:hanging="284"/>
    </w:pPr>
    <w:rPr>
      <w:sz w:val="20"/>
    </w:rPr>
  </w:style>
  <w:style w:type="character" w:customStyle="1" w:styleId="FootnoteTextChar">
    <w:name w:val="Footnote Text Char"/>
    <w:basedOn w:val="DefaultParagraphFont"/>
    <w:link w:val="FootnoteText"/>
    <w:uiPriority w:val="99"/>
    <w:rsid w:val="00051E45"/>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character" w:styleId="CommentReference">
    <w:name w:val="annotation reference"/>
    <w:basedOn w:val="DefaultParagraphFont"/>
    <w:uiPriority w:val="99"/>
    <w:semiHidden/>
    <w:unhideWhenUsed/>
    <w:rsid w:val="000E77B1"/>
    <w:rPr>
      <w:sz w:val="16"/>
      <w:szCs w:val="16"/>
    </w:rPr>
  </w:style>
  <w:style w:type="paragraph" w:styleId="CommentText">
    <w:name w:val="annotation text"/>
    <w:basedOn w:val="Normal"/>
    <w:link w:val="CommentTextChar"/>
    <w:uiPriority w:val="99"/>
    <w:semiHidden/>
    <w:unhideWhenUsed/>
    <w:rsid w:val="000E77B1"/>
    <w:rPr>
      <w:sz w:val="20"/>
    </w:rPr>
  </w:style>
  <w:style w:type="character" w:customStyle="1" w:styleId="CommentTextChar">
    <w:name w:val="Comment Text Char"/>
    <w:basedOn w:val="DefaultParagraphFont"/>
    <w:link w:val="CommentText"/>
    <w:uiPriority w:val="99"/>
    <w:semiHidden/>
    <w:rsid w:val="000E77B1"/>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E77B1"/>
    <w:rPr>
      <w:b/>
      <w:bCs/>
    </w:rPr>
  </w:style>
  <w:style w:type="character" w:customStyle="1" w:styleId="CommentSubjectChar">
    <w:name w:val="Comment Subject Char"/>
    <w:basedOn w:val="CommentTextChar"/>
    <w:link w:val="CommentSubject"/>
    <w:uiPriority w:val="99"/>
    <w:semiHidden/>
    <w:rsid w:val="000E77B1"/>
    <w:rPr>
      <w:rFonts w:ascii="Calibri" w:eastAsia="Times New Roman" w:hAnsi="Calibri" w:cs="Times New Roman"/>
      <w:b/>
      <w:bCs/>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creativecommons.org/licenses/by/3.0/au/deed.en"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wmf"/><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creativecommons.org/licenses/by/3.0/au/legalcode" TargetMode="External"/><Relationship Id="rId20" Type="http://schemas.openxmlformats.org/officeDocument/2006/relationships/hyperlink" Target="mailto:medialiaison@treasury.gov.au"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creativecommons.org/licenses/by/3.0/au/deed.en" TargetMode="External"/><Relationship Id="rId23" Type="http://schemas.openxmlformats.org/officeDocument/2006/relationships/footer" Target="footer1.xml"/><Relationship Id="rId28" Type="http://schemas.openxmlformats.org/officeDocument/2006/relationships/header" Target="header6.xml"/><Relationship Id="rId10" Type="http://schemas.openxmlformats.org/officeDocument/2006/relationships/settings" Target="settings.xml"/><Relationship Id="rId19" Type="http://schemas.openxmlformats.org/officeDocument/2006/relationships/hyperlink" Target="http://www.pmc.gov.au/government/commonwealth-coat-arm"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footer" Target="footer3.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80EEB3963BB409B8753B63F09650BF4"/>
        <w:category>
          <w:name w:val="General"/>
          <w:gallery w:val="placeholder"/>
        </w:category>
        <w:types>
          <w:type w:val="bbPlcHdr"/>
        </w:types>
        <w:behaviors>
          <w:behavior w:val="content"/>
        </w:behaviors>
        <w:guid w:val="{9BA0E61C-13EC-4949-84DE-1065274C635B}"/>
      </w:docPartPr>
      <w:docPartBody>
        <w:p w:rsidR="00030603" w:rsidRDefault="0058710F">
          <w:pPr>
            <w:pStyle w:val="280EEB3963BB409B8753B63F09650BF4"/>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10F"/>
    <w:rsid w:val="00030603"/>
    <w:rsid w:val="005871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D27E11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63C4B873174B85BEF39B441540D8DF">
    <w:name w:val="B063C4B873174B85BEF39B441540D8DF"/>
  </w:style>
  <w:style w:type="character" w:styleId="PlaceholderText">
    <w:name w:val="Placeholder Text"/>
    <w:basedOn w:val="DefaultParagraphFont"/>
    <w:uiPriority w:val="99"/>
    <w:semiHidden/>
    <w:rPr>
      <w:color w:val="808080"/>
    </w:rPr>
  </w:style>
  <w:style w:type="paragraph" w:customStyle="1" w:styleId="4CF60AF31C344B0C839A07FE94E5C3E7">
    <w:name w:val="4CF60AF31C344B0C839A07FE94E5C3E7"/>
  </w:style>
  <w:style w:type="paragraph" w:customStyle="1" w:styleId="280EEB3963BB409B8753B63F09650BF4">
    <w:name w:val="280EEB3963BB409B8753B63F09650B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rporate">
      <a:dk1>
        <a:sysClr val="windowText" lastClr="000000"/>
      </a:dk1>
      <a:lt1>
        <a:sysClr val="window" lastClr="FFFFFF"/>
      </a:lt1>
      <a:dk2>
        <a:srgbClr val="F06252"/>
      </a:dk2>
      <a:lt2>
        <a:srgbClr val="E2E0CB"/>
      </a:lt2>
      <a:accent1>
        <a:srgbClr val="002C47"/>
      </a:accent1>
      <a:accent2>
        <a:srgbClr val="3A6FAF"/>
      </a:accent2>
      <a:accent3>
        <a:srgbClr val="00827F"/>
      </a:accent3>
      <a:accent4>
        <a:srgbClr val="F7901E"/>
      </a:accent4>
      <a:accent5>
        <a:srgbClr val="00ABBD"/>
      </a:accent5>
      <a:accent6>
        <a:srgbClr val="844D9E"/>
      </a:accent6>
      <a:hlink>
        <a:srgbClr val="3A6FAF"/>
      </a:hlink>
      <a:folHlink>
        <a:srgbClr val="E61E2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0f563589-9cf9-4143-b1eb-fb0534803d38">
      <Value>7</Value>
    </TaxCatchAll>
    <_dlc_DocId xmlns="0f563589-9cf9-4143-b1eb-fb0534803d38">2019MG-88-110295</_dlc_DocId>
    <_dlc_DocIdUrl xmlns="0f563589-9cf9-4143-b1eb-fb0534803d38">
      <Url>http://tweb/sites/mg/fsd/_layouts/15/DocIdRedir.aspx?ID=2019MG-88-110295</Url>
      <Description>2019MG-88-110295</Description>
    </_dlc_DocIdUrl>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RA-9072 - Retain as national archives</TermName>
          <TermId xmlns="http://schemas.microsoft.com/office/infopath/2007/PartnerControls">d71911a4-1e32-4fc6-834f-26c4fc33e217</TermId>
        </TermInfo>
      </Terms>
    </lb508a4dc5e84436a0fe496b536466aa>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8F705419D6AC784B849D443887C087B3" ma:contentTypeVersion="22245" ma:contentTypeDescription=" " ma:contentTypeScope="" ma:versionID="1a1ec820993b3536ab5c98f4fb148ba3">
  <xsd:schema xmlns:xsd="http://www.w3.org/2001/XMLSchema" xmlns:xs="http://www.w3.org/2001/XMLSchema" xmlns:p="http://schemas.microsoft.com/office/2006/metadata/properties" xmlns:ns1="http://schemas.microsoft.com/sharepoint/v3" xmlns:ns2="0f563589-9cf9-4143-b1eb-fb0534803d38" xmlns:ns3="d4dd4adf-ddb3-46a3-8d7c-fab3fb2a6bc7" xmlns:ns5="http://schemas.microsoft.com/sharepoint/v4" targetNamespace="http://schemas.microsoft.com/office/2006/metadata/properties" ma:root="true" ma:fieldsID="4a2b0690821ddd3715cb082ccb7d4423" ns1:_="" ns2:_="" ns3:_="" ns5:_="">
    <xsd:import namespace="http://schemas.microsoft.com/sharepoint/v3"/>
    <xsd:import namespace="0f563589-9cf9-4143-b1eb-fb0534803d38"/>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5:IconOverlay"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7;#TSY RA-9072 - Retain as national archives|d71911a4-1e32-4fc6-834f-26c4fc33e217"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6.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A70A6-C367-4416-A953-9B55E80D084E}">
  <ds:schemaRefs>
    <ds:schemaRef ds:uri="http://schemas.microsoft.com/sharepoint/events"/>
  </ds:schemaRefs>
</ds:datastoreItem>
</file>

<file path=customXml/itemProps2.xml><?xml version="1.0" encoding="utf-8"?>
<ds:datastoreItem xmlns:ds="http://schemas.openxmlformats.org/officeDocument/2006/customXml" ds:itemID="{0BD5C45F-62BC-44EA-94DA-2CD2F5A73B4D}">
  <ds:schemaRefs>
    <ds:schemaRef ds:uri="d4dd4adf-ddb3-46a3-8d7c-fab3fb2a6bc7"/>
    <ds:schemaRef ds:uri="http://schemas.microsoft.com/sharepoint/v4"/>
    <ds:schemaRef ds:uri="http://schemas.microsoft.com/sharepoint/v3"/>
    <ds:schemaRef ds:uri="http://schemas.openxmlformats.org/package/2006/metadata/core-properties"/>
    <ds:schemaRef ds:uri="http://www.w3.org/XML/1998/namespace"/>
    <ds:schemaRef ds:uri="http://schemas.microsoft.com/office/2006/documentManagement/types"/>
    <ds:schemaRef ds:uri="http://purl.org/dc/elements/1.1/"/>
    <ds:schemaRef ds:uri="http://schemas.microsoft.com/office/2006/metadata/properties"/>
    <ds:schemaRef ds:uri="http://purl.org/dc/terms/"/>
    <ds:schemaRef ds:uri="http://purl.org/dc/dcmitype/"/>
    <ds:schemaRef ds:uri="http://schemas.microsoft.com/office/infopath/2007/PartnerControls"/>
    <ds:schemaRef ds:uri="0f563589-9cf9-4143-b1eb-fb0534803d38"/>
  </ds:schemaRefs>
</ds:datastoreItem>
</file>

<file path=customXml/itemProps3.xml><?xml version="1.0" encoding="utf-8"?>
<ds:datastoreItem xmlns:ds="http://schemas.openxmlformats.org/officeDocument/2006/customXml" ds:itemID="{B55FF90B-0EDB-4CA4-BAC1-7521D6DA22F4}">
  <ds:schemaRefs>
    <ds:schemaRef ds:uri="http://schemas.microsoft.com/sharepoint/v3/contenttype/forms"/>
  </ds:schemaRefs>
</ds:datastoreItem>
</file>

<file path=customXml/itemProps4.xml><?xml version="1.0" encoding="utf-8"?>
<ds:datastoreItem xmlns:ds="http://schemas.openxmlformats.org/officeDocument/2006/customXml" ds:itemID="{4A85E7C5-15F0-4EA7-958D-2CB0582554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AB85A64-6626-4BF3-BCCA-03E5494C2D3E}">
  <ds:schemaRefs>
    <ds:schemaRef ds:uri="office.server.policy"/>
  </ds:schemaRefs>
</ds:datastoreItem>
</file>

<file path=customXml/itemProps6.xml><?xml version="1.0" encoding="utf-8"?>
<ds:datastoreItem xmlns:ds="http://schemas.openxmlformats.org/officeDocument/2006/customXml" ds:itemID="{0B0C90E3-EEAD-414E-830E-35016277B295}">
  <ds:schemaRefs>
    <ds:schemaRef ds:uri="http://schemas.microsoft.com/sharepoint/events"/>
  </ds:schemaRefs>
</ds:datastoreItem>
</file>

<file path=customXml/itemProps7.xml><?xml version="1.0" encoding="utf-8"?>
<ds:datastoreItem xmlns:ds="http://schemas.openxmlformats.org/officeDocument/2006/customXml" ds:itemID="{034CC3C2-82FE-4B91-B74B-F8E11BC5E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2</TotalTime>
  <Pages>13</Pages>
  <Words>4003</Words>
  <Characters>22818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Australian Government - The Treasury</Company>
  <LinksUpToDate>false</LinksUpToDate>
  <CharactersWithSpaces>26768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Scarano, David</dc:creator>
  <cp:keywords/>
  <dc:description/>
  <cp:lastModifiedBy>Stoner, Rumesh</cp:lastModifiedBy>
  <cp:revision>2</cp:revision>
  <dcterms:created xsi:type="dcterms:W3CDTF">2019-08-21T05:45:00Z</dcterms:created>
  <dcterms:modified xsi:type="dcterms:W3CDTF">2019-08-21T05:45:00Z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0x010100E95D40E5DFEA714B90E88DB5CE07A6B5008F705419D6AC784B849D443887C087B3</vt:lpwstr>
  </property>
  <property fmtid="{D5CDD505-2E9C-101B-9397-08002B2CF9AE}" pid="3" name="RecordPoint_ActiveItemUniqueId">
    <vt:lpwstr>{f808cbea-5b4c-4e17-a00d-3a54b8fa8c8c}</vt:lpwstr>
  </property>
  <property fmtid="{D5CDD505-2E9C-101B-9397-08002B2CF9AE}" pid="4" name="TSYRecordClass">
    <vt:lpwstr>7;#TSY RA-9072 - Retain as national archives|d71911a4-1e32-4fc6-834f-26c4fc33e217</vt:lpwstr>
  </property>
  <property fmtid="{D5CDD505-2E9C-101B-9397-08002B2CF9AE}" pid="5" name="RecordPoint_WorkflowType">
    <vt:lpwstr>ActiveSubmitStub</vt:lpwstr>
  </property>
  <property fmtid="{D5CDD505-2E9C-101B-9397-08002B2CF9AE}" pid="6" name="_dlc_DocIdItemGuid">
    <vt:lpwstr>0f0cbc35-1abc-49e5-86d3-f96e9b6d2b36</vt:lpwstr>
  </property>
  <property fmtid="{D5CDD505-2E9C-101B-9397-08002B2CF9AE}" pid="7" name="RecordPoint_ActiveItemSiteId">
    <vt:lpwstr>{de902461-0703-410e-906b-a2e3a4f5dd57}</vt:lpwstr>
  </property>
  <property fmtid="{D5CDD505-2E9C-101B-9397-08002B2CF9AE}" pid="8" name="RecordPoint_ActiveItemListId">
    <vt:lpwstr>{917c6d10-7849-4e91-b555-256976c549b5}</vt:lpwstr>
  </property>
  <property fmtid="{D5CDD505-2E9C-101B-9397-08002B2CF9AE}" pid="9" name="RecordPoint_ActiveItemWebId">
    <vt:lpwstr>{e237d495-0881-4849-ae62-ddc8a8132df5}</vt:lpwstr>
  </property>
  <property fmtid="{D5CDD505-2E9C-101B-9397-08002B2CF9AE}" pid="10" name="_AdHocReviewCycleID">
    <vt:i4>-525738116</vt:i4>
  </property>
  <property fmtid="{D5CDD505-2E9C-101B-9397-08002B2CF9AE}" pid="11" name="_NewReviewCycle">
    <vt:lpwstr/>
  </property>
  <property fmtid="{D5CDD505-2E9C-101B-9397-08002B2CF9AE}" pid="12" name="_EmailSubject">
    <vt:lpwstr>#S97014 Change to Existing Webpage has been resolved [SEC=UNCLASSIFIED]</vt:lpwstr>
  </property>
  <property fmtid="{D5CDD505-2E9C-101B-9397-08002B2CF9AE}" pid="13" name="_AuthorEmail">
    <vt:lpwstr>Rumesh.Stoner@TREASURY.GOV.AU</vt:lpwstr>
  </property>
  <property fmtid="{D5CDD505-2E9C-101B-9397-08002B2CF9AE}" pid="14" name="_AuthorEmailDisplayName">
    <vt:lpwstr>Stoner, Rumesh</vt:lpwstr>
  </property>
  <property fmtid="{D5CDD505-2E9C-101B-9397-08002B2CF9AE}" pid="16" name="_PreviousAdHocReviewCycleID">
    <vt:i4>-135194833</vt:i4>
  </property>
</Properties>
</file>