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7A5D063" w14:textId="77777777" w:rsidR="000E0B74" w:rsidRPr="006D0240" w:rsidRDefault="000E0B74" w:rsidP="008E6292">
      <w:bookmarkStart w:id="0" w:name="_GoBack"/>
      <w:bookmarkEnd w:id="0"/>
    </w:p>
    <w:p w14:paraId="2F386412" w14:textId="77777777" w:rsidR="000E0B74" w:rsidRPr="006D0240" w:rsidRDefault="000E0B74" w:rsidP="001D4EAA">
      <w:pPr>
        <w:pStyle w:val="Crest"/>
        <w:spacing w:after="1320"/>
        <w:jc w:val="left"/>
      </w:pPr>
    </w:p>
    <w:p w14:paraId="2163D4FE" w14:textId="39BB3FEE" w:rsidR="000E0B74" w:rsidRPr="003568FB" w:rsidRDefault="0025240B" w:rsidP="001D4EAA">
      <w:pPr>
        <w:pStyle w:val="Title"/>
        <w:rPr>
          <w:sz w:val="52"/>
        </w:rPr>
      </w:pPr>
      <w:r>
        <w:rPr>
          <w:sz w:val="52"/>
        </w:rPr>
        <w:t xml:space="preserve">Economic </w:t>
      </w:r>
      <w:r w:rsidR="00FD618E">
        <w:rPr>
          <w:sz w:val="52"/>
        </w:rPr>
        <w:t>i</w:t>
      </w:r>
      <w:r w:rsidR="00FD618E" w:rsidRPr="003568FB">
        <w:rPr>
          <w:sz w:val="52"/>
        </w:rPr>
        <w:t>nfrastructure</w:t>
      </w:r>
      <w:r w:rsidR="00FD618E">
        <w:rPr>
          <w:sz w:val="52"/>
        </w:rPr>
        <w:t xml:space="preserve"> </w:t>
      </w:r>
      <w:r w:rsidR="00477E44">
        <w:rPr>
          <w:sz w:val="52"/>
        </w:rPr>
        <w:t xml:space="preserve">staples </w:t>
      </w:r>
      <w:r w:rsidR="00FD618E">
        <w:rPr>
          <w:sz w:val="52"/>
        </w:rPr>
        <w:t>tax concession</w:t>
      </w:r>
    </w:p>
    <w:p w14:paraId="0DEECE92" w14:textId="77777777" w:rsidR="000E0B74" w:rsidRPr="003568FB" w:rsidRDefault="003568FB" w:rsidP="003568FB">
      <w:pPr>
        <w:pStyle w:val="Subtitle"/>
      </w:pPr>
      <w:r>
        <w:t>Draft G</w:t>
      </w:r>
      <w:r w:rsidRPr="003568FB">
        <w:t xml:space="preserve">uidance </w:t>
      </w:r>
      <w:r>
        <w:t>N</w:t>
      </w:r>
      <w:r w:rsidRPr="003568FB">
        <w:t>ote</w:t>
      </w:r>
    </w:p>
    <w:p w14:paraId="1D7776A8" w14:textId="07ECC283" w:rsidR="00056880" w:rsidRDefault="001574B6" w:rsidP="001D4EAA">
      <w:pPr>
        <w:pStyle w:val="ReportDate"/>
        <w:rPr>
          <w:rFonts w:ascii="Rockwell" w:hAnsi="Rockwell"/>
          <w:sz w:val="24"/>
        </w:rPr>
      </w:pPr>
      <w:r>
        <w:rPr>
          <w:rStyle w:val="ReportDateChar"/>
        </w:rPr>
        <w:t>November 2019</w:t>
      </w:r>
    </w:p>
    <w:p w14:paraId="119697CC" w14:textId="77777777" w:rsidR="002F617F" w:rsidRPr="001D4EAA" w:rsidRDefault="002F617F" w:rsidP="001D4EAA">
      <w:pPr>
        <w:spacing w:after="6000"/>
      </w:pPr>
    </w:p>
    <w:p w14:paraId="594A1BF0" w14:textId="77777777" w:rsidR="002F617F" w:rsidRDefault="002F617F"/>
    <w:p w14:paraId="0B1EB430" w14:textId="77777777" w:rsidR="000E0B74" w:rsidRDefault="000E0B74" w:rsidP="000E0B74">
      <w:pPr>
        <w:rPr>
          <w:rFonts w:cs="Calibri"/>
          <w:sz w:val="20"/>
        </w:rPr>
      </w:pPr>
    </w:p>
    <w:p w14:paraId="33F33B6D" w14:textId="77777777" w:rsidR="000E0B74" w:rsidRDefault="000E0B74" w:rsidP="000E0B74">
      <w:pPr>
        <w:sectPr w:rsidR="000E0B74" w:rsidSect="00E1136B">
          <w:headerReference w:type="even" r:id="rId8"/>
          <w:headerReference w:type="default" r:id="rId9"/>
          <w:footerReference w:type="even" r:id="rId10"/>
          <w:footerReference w:type="default" r:id="rId11"/>
          <w:headerReference w:type="first" r:id="rId12"/>
          <w:footerReference w:type="first" r:id="rId13"/>
          <w:pgSz w:w="11906" w:h="16838"/>
          <w:pgMar w:top="1418" w:right="1418" w:bottom="1418" w:left="1418" w:header="709" w:footer="709" w:gutter="0"/>
          <w:pgNumType w:fmt="lowerRoman" w:start="1"/>
          <w:cols w:space="720"/>
        </w:sectPr>
      </w:pPr>
    </w:p>
    <w:p w14:paraId="153BA1F6" w14:textId="77777777" w:rsidR="000E0B74" w:rsidRDefault="000E0B74" w:rsidP="000E0B74">
      <w:pPr>
        <w:spacing w:before="240"/>
      </w:pPr>
      <w:r w:rsidRPr="00661BF0">
        <w:lastRenderedPageBreak/>
        <w:t xml:space="preserve">© Commonwealth of Australia </w:t>
      </w:r>
      <w:r w:rsidR="00E16BC2" w:rsidRPr="000B2DC6">
        <w:t>2019</w:t>
      </w:r>
    </w:p>
    <w:p w14:paraId="2BC11A48" w14:textId="70E97391" w:rsidR="000E0B74" w:rsidRPr="00086F82" w:rsidRDefault="000E0B74" w:rsidP="000E0B74">
      <w:pPr>
        <w:tabs>
          <w:tab w:val="left" w:pos="1650"/>
        </w:tabs>
        <w:spacing w:before="240"/>
        <w:rPr>
          <w:rFonts w:cstheme="minorBidi"/>
          <w:sz w:val="24"/>
          <w:szCs w:val="24"/>
        </w:rPr>
      </w:pPr>
      <w:r w:rsidRPr="002F1BC2">
        <w:t>This publication is available for your use under a</w:t>
      </w:r>
      <w:r w:rsidRPr="00476F09">
        <w:rPr>
          <w:rFonts w:cstheme="minorHAnsi"/>
          <w:sz w:val="24"/>
          <w:szCs w:val="24"/>
        </w:rPr>
        <w:t xml:space="preserve"> </w:t>
      </w:r>
      <w:hyperlink r:id="rId14" w:history="1">
        <w:r w:rsidRPr="006627B4">
          <w:rPr>
            <w:rStyle w:val="Hyperlink"/>
          </w:rPr>
          <w:t>Creative Commons Attribution 3.0 Australia</w:t>
        </w:r>
      </w:hyperlink>
      <w:r w:rsidRPr="00476F09">
        <w:rPr>
          <w:rFonts w:cstheme="minorHAnsi"/>
          <w:sz w:val="24"/>
          <w:szCs w:val="24"/>
        </w:rPr>
        <w:t xml:space="preserve"> </w:t>
      </w:r>
      <w:r w:rsidRPr="002F1BC2">
        <w:t>licence, with the exception of the Commonwealth Coat of Arms, the Treasury logo</w:t>
      </w:r>
      <w:r>
        <w:t xml:space="preserve">, photographs, images, signatures </w:t>
      </w:r>
      <w:r w:rsidR="000B2DC6">
        <w:t>and where otherwise stated</w:t>
      </w:r>
      <w:r w:rsidRPr="002F1BC2">
        <w:t>. The full licence terms are available from</w:t>
      </w:r>
      <w:r w:rsidRPr="00476F09">
        <w:rPr>
          <w:rFonts w:cstheme="minorHAnsi"/>
          <w:sz w:val="24"/>
          <w:szCs w:val="24"/>
        </w:rPr>
        <w:t xml:space="preserve"> </w:t>
      </w:r>
      <w:hyperlink r:id="rId15" w:history="1">
        <w:r w:rsidRPr="00D45AF8">
          <w:rPr>
            <w:rStyle w:val="Hyperlink"/>
          </w:rPr>
          <w:t>http://creativecommons.org/licenses/by/3.0/au/legalcode</w:t>
        </w:r>
      </w:hyperlink>
      <w:r w:rsidRPr="006627B4">
        <w:rPr>
          <w:rStyle w:val="Hyperlink"/>
        </w:rPr>
        <w:t>.</w:t>
      </w:r>
      <w:r w:rsidRPr="00D06A21">
        <w:rPr>
          <w:sz w:val="24"/>
          <w:szCs w:val="24"/>
        </w:rPr>
        <w:t xml:space="preserve"> </w:t>
      </w:r>
    </w:p>
    <w:p w14:paraId="2A1A13AD" w14:textId="77777777" w:rsidR="000E0B74" w:rsidRDefault="000E0B74" w:rsidP="000E0B74">
      <w:pPr>
        <w:pStyle w:val="ChartGraphic"/>
        <w:jc w:val="left"/>
      </w:pPr>
      <w:r w:rsidRPr="00E56DFB">
        <w:rPr>
          <w:noProof/>
        </w:rPr>
        <w:drawing>
          <wp:inline distT="0" distB="0" distL="0" distR="0" wp14:anchorId="718EBDD2" wp14:editId="0C150818">
            <wp:extent cx="809625" cy="285750"/>
            <wp:effectExtent l="0" t="0" r="9525" b="0"/>
            <wp:docPr id="3" name="Picture 1" descr="Creative Commons attribution licence 3.0 icon. " title="Creative Commo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 by_grey"/>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09625" cy="285750"/>
                    </a:xfrm>
                    <a:prstGeom prst="rect">
                      <a:avLst/>
                    </a:prstGeom>
                    <a:noFill/>
                    <a:ln w="9525">
                      <a:noFill/>
                      <a:miter lim="800000"/>
                      <a:headEnd/>
                      <a:tailEnd/>
                    </a:ln>
                  </pic:spPr>
                </pic:pic>
              </a:graphicData>
            </a:graphic>
          </wp:inline>
        </w:drawing>
      </w:r>
    </w:p>
    <w:p w14:paraId="45718D51" w14:textId="77777777" w:rsidR="000E0B74" w:rsidRPr="006627B4" w:rsidRDefault="000E0B74" w:rsidP="000E0B74">
      <w:pPr>
        <w:tabs>
          <w:tab w:val="left" w:pos="1650"/>
        </w:tabs>
        <w:spacing w:before="240"/>
      </w:pPr>
      <w:r w:rsidRPr="006627B4">
        <w:t>Use of Treasury material under a</w:t>
      </w:r>
      <w:r w:rsidRPr="00476F09">
        <w:rPr>
          <w:rFonts w:cstheme="minorHAnsi"/>
          <w:sz w:val="24"/>
          <w:szCs w:val="24"/>
        </w:rPr>
        <w:t xml:space="preserve"> </w:t>
      </w:r>
      <w:hyperlink r:id="rId17" w:history="1">
        <w:r w:rsidRPr="002F1BC2">
          <w:rPr>
            <w:rStyle w:val="Hyperlink"/>
          </w:rPr>
          <w:t>Creative Commons Attribution 3.0 Australia</w:t>
        </w:r>
      </w:hyperlink>
      <w:r w:rsidRPr="002F1BC2">
        <w:rPr>
          <w:rStyle w:val="Hyperlink"/>
        </w:rPr>
        <w:t xml:space="preserve"> </w:t>
      </w:r>
      <w:r w:rsidRPr="006627B4">
        <w:t>licence requires you to attribute the work (but not in any way that suggests that the Treasury endorse</w:t>
      </w:r>
      <w:r>
        <w:t>s you or your use of the work).</w:t>
      </w:r>
    </w:p>
    <w:p w14:paraId="3047427B" w14:textId="77777777" w:rsidR="000E0B74" w:rsidRPr="002F1BC2" w:rsidRDefault="000E0B74" w:rsidP="000E0B74">
      <w:pPr>
        <w:ind w:left="709"/>
        <w:rPr>
          <w:i/>
        </w:rPr>
      </w:pPr>
      <w:r w:rsidRPr="002F1BC2">
        <w:rPr>
          <w:i/>
        </w:rPr>
        <w:t xml:space="preserve">Treasury material used </w:t>
      </w:r>
      <w:r>
        <w:rPr>
          <w:i/>
        </w:rPr>
        <w:t>‘</w:t>
      </w:r>
      <w:r w:rsidRPr="002F1BC2">
        <w:rPr>
          <w:i/>
        </w:rPr>
        <w:t>as supplied</w:t>
      </w:r>
      <w:r>
        <w:rPr>
          <w:i/>
        </w:rPr>
        <w:t>’.</w:t>
      </w:r>
    </w:p>
    <w:p w14:paraId="38CE2B4C" w14:textId="77777777" w:rsidR="000E0B74" w:rsidRPr="00476F09" w:rsidRDefault="000E0B74" w:rsidP="000E0B74">
      <w:pPr>
        <w:spacing w:before="240"/>
      </w:pPr>
      <w:r w:rsidRPr="00476F09">
        <w:t>Provided you have not modified or transformed Treasury material in any way including, for example, by</w:t>
      </w:r>
      <w:r>
        <w:t xml:space="preserve"> </w:t>
      </w:r>
      <w:r w:rsidRPr="0096692D">
        <w:t>changing the Treasury text; calculating percentage changes; graphing or charting data</w:t>
      </w:r>
      <w:r>
        <w:t>;</w:t>
      </w:r>
      <w:r w:rsidRPr="0096692D">
        <w:t xml:space="preserve"> or deriving new statistics from published Treasury statistics</w:t>
      </w:r>
      <w:r>
        <w:t xml:space="preserve"> — then Treasury prefers t</w:t>
      </w:r>
      <w:r w:rsidRPr="00476F09">
        <w:t xml:space="preserve">he following attribution: </w:t>
      </w:r>
    </w:p>
    <w:p w14:paraId="585FC871" w14:textId="20E38D8E" w:rsidR="000E0B74" w:rsidRPr="00A13A11" w:rsidRDefault="000E0B74" w:rsidP="000E0B74">
      <w:pPr>
        <w:ind w:firstLine="720"/>
      </w:pPr>
      <w:r w:rsidRPr="002F1BC2">
        <w:rPr>
          <w:i/>
        </w:rPr>
        <w:t xml:space="preserve">Source: The </w:t>
      </w:r>
      <w:r w:rsidRPr="002F1BC2">
        <w:rPr>
          <w:i/>
          <w:iCs/>
        </w:rPr>
        <w:t>Aus</w:t>
      </w:r>
      <w:r w:rsidR="000B2DC6">
        <w:rPr>
          <w:i/>
          <w:iCs/>
        </w:rPr>
        <w:t>tralian Government the Treasury</w:t>
      </w:r>
      <w:r>
        <w:t>.</w:t>
      </w:r>
    </w:p>
    <w:p w14:paraId="6D997BFA" w14:textId="77777777" w:rsidR="000E0B74" w:rsidRPr="006627B4" w:rsidRDefault="000E0B74" w:rsidP="000E0B74">
      <w:pPr>
        <w:spacing w:before="240"/>
      </w:pPr>
      <w:r w:rsidRPr="00CC63CC">
        <w:rPr>
          <w:b/>
        </w:rPr>
        <w:t>Derivative</w:t>
      </w:r>
      <w:r w:rsidRPr="006627B4">
        <w:t xml:space="preserve"> </w:t>
      </w:r>
      <w:r w:rsidRPr="00CC63CC">
        <w:rPr>
          <w:b/>
        </w:rPr>
        <w:t>material</w:t>
      </w:r>
    </w:p>
    <w:p w14:paraId="3436195C" w14:textId="77777777" w:rsidR="000E0B74" w:rsidRPr="006627B4" w:rsidRDefault="000E0B74" w:rsidP="000E0B74">
      <w:r w:rsidRPr="006627B4">
        <w:t xml:space="preserve">If you have modified or transformed Treasury material, or derived new material from those of the Treasury in any way, then Treasury prefers the following attribution: </w:t>
      </w:r>
    </w:p>
    <w:p w14:paraId="1A77BBDC" w14:textId="5EE2CEF9" w:rsidR="000E0B74" w:rsidRPr="006627B4" w:rsidRDefault="000E0B74" w:rsidP="000E0B74">
      <w:pPr>
        <w:ind w:firstLine="720"/>
      </w:pPr>
      <w:r w:rsidRPr="002F1BC2">
        <w:rPr>
          <w:i/>
        </w:rPr>
        <w:t>Based on The Australian Government the Treasury data</w:t>
      </w:r>
      <w:r>
        <w:t>.</w:t>
      </w:r>
    </w:p>
    <w:p w14:paraId="7E6EADCD" w14:textId="77777777" w:rsidR="000E0B74" w:rsidRPr="006627B4" w:rsidRDefault="000E0B74" w:rsidP="000E0B74">
      <w:pPr>
        <w:spacing w:before="240"/>
        <w:rPr>
          <w:b/>
        </w:rPr>
      </w:pPr>
      <w:r w:rsidRPr="006627B4">
        <w:rPr>
          <w:b/>
        </w:rPr>
        <w:t>Use of the Coat of Arms</w:t>
      </w:r>
    </w:p>
    <w:p w14:paraId="770E8B3A" w14:textId="77777777" w:rsidR="000E0B74" w:rsidRPr="006627B4" w:rsidRDefault="004A7BC2" w:rsidP="000E0B74">
      <w:r w:rsidRPr="004A7BC2">
        <w:t>The terms under which the Coat of Arms can be used are set out</w:t>
      </w:r>
      <w:r>
        <w:t xml:space="preserve"> on the Department of the Prime </w:t>
      </w:r>
      <w:r w:rsidRPr="004A7BC2">
        <w:t xml:space="preserve">Minister and Cabinet website (see </w:t>
      </w:r>
      <w:hyperlink r:id="rId18" w:history="1">
        <w:r w:rsidRPr="005A283B">
          <w:rPr>
            <w:rStyle w:val="Hyperlink"/>
          </w:rPr>
          <w:t>www.pmc.gov.au/government/commonwealth-coat-arm</w:t>
        </w:r>
      </w:hyperlink>
      <w:r w:rsidRPr="004A7BC2">
        <w:t>s).</w:t>
      </w:r>
    </w:p>
    <w:p w14:paraId="040036B8" w14:textId="77777777" w:rsidR="000E0B74" w:rsidRPr="006627B4" w:rsidRDefault="000E0B74" w:rsidP="000E0B74">
      <w:pPr>
        <w:spacing w:before="240"/>
        <w:rPr>
          <w:b/>
        </w:rPr>
      </w:pPr>
      <w:r>
        <w:rPr>
          <w:b/>
        </w:rPr>
        <w:t>Other u</w:t>
      </w:r>
      <w:r w:rsidRPr="006627B4">
        <w:rPr>
          <w:b/>
        </w:rPr>
        <w:t>ses</w:t>
      </w:r>
    </w:p>
    <w:p w14:paraId="173FF40F" w14:textId="77777777" w:rsidR="000E0B74" w:rsidRPr="006627B4" w:rsidRDefault="000E0B74" w:rsidP="000E0B74">
      <w:r>
        <w:t>E</w:t>
      </w:r>
      <w:r w:rsidRPr="006627B4">
        <w:t>nquiries regarding this licence and any other use of this document are welcome at:</w:t>
      </w:r>
    </w:p>
    <w:p w14:paraId="0B82944E" w14:textId="77777777" w:rsidR="000E0B74" w:rsidRPr="002F1BC2" w:rsidRDefault="000E0B74" w:rsidP="000E0B74">
      <w:pPr>
        <w:ind w:left="720"/>
        <w:rPr>
          <w:rStyle w:val="Hyperlink"/>
        </w:rPr>
      </w:pPr>
      <w:r w:rsidRPr="006627B4">
        <w:t>Manager</w:t>
      </w:r>
      <w:r w:rsidR="009A668A">
        <w:br/>
      </w:r>
      <w:r>
        <w:t>Media and Speeches Unit</w:t>
      </w:r>
      <w:r>
        <w:br/>
      </w:r>
      <w:r w:rsidRPr="006627B4">
        <w:t>The Treasury</w:t>
      </w:r>
      <w:r>
        <w:br/>
      </w:r>
      <w:r w:rsidRPr="006627B4">
        <w:t xml:space="preserve">Langton Crescent </w:t>
      </w:r>
      <w:r>
        <w:br/>
      </w:r>
      <w:r w:rsidRPr="006627B4">
        <w:t xml:space="preserve">Parkes </w:t>
      </w:r>
      <w:r>
        <w:t xml:space="preserve"> </w:t>
      </w:r>
      <w:r w:rsidRPr="006627B4">
        <w:t xml:space="preserve">ACT </w:t>
      </w:r>
      <w:r>
        <w:t xml:space="preserve"> </w:t>
      </w:r>
      <w:r w:rsidRPr="006627B4">
        <w:t>2600</w:t>
      </w:r>
      <w:r>
        <w:br/>
      </w:r>
      <w:r w:rsidRPr="006627B4">
        <w:t xml:space="preserve">Email: </w:t>
      </w:r>
      <w:hyperlink r:id="rId19" w:history="1">
        <w:r w:rsidRPr="00B31CFB">
          <w:rPr>
            <w:rStyle w:val="Hyperlink"/>
          </w:rPr>
          <w:t>medialiaison@treasury.gov.au</w:t>
        </w:r>
      </w:hyperlink>
    </w:p>
    <w:p w14:paraId="2B80384C" w14:textId="77777777" w:rsidR="000E0B74" w:rsidRDefault="000E0B74" w:rsidP="000E0B74">
      <w:pPr>
        <w:pStyle w:val="SingleParagraph"/>
        <w:sectPr w:rsidR="000E0B74" w:rsidSect="00475B7B">
          <w:headerReference w:type="even" r:id="rId20"/>
          <w:headerReference w:type="default" r:id="rId21"/>
          <w:footerReference w:type="even" r:id="rId22"/>
          <w:pgSz w:w="11906" w:h="16838" w:code="9"/>
          <w:pgMar w:top="1418" w:right="1418" w:bottom="1418" w:left="1418" w:header="709" w:footer="709" w:gutter="0"/>
          <w:pgNumType w:fmt="lowerRoman"/>
          <w:cols w:space="708"/>
          <w:titlePg/>
          <w:docGrid w:linePitch="360"/>
        </w:sectPr>
      </w:pPr>
    </w:p>
    <w:p w14:paraId="70FC8BC8" w14:textId="77777777" w:rsidR="000E0B74" w:rsidRPr="00354FBB" w:rsidRDefault="000E0B74" w:rsidP="00354FBB">
      <w:pPr>
        <w:pStyle w:val="Heading1"/>
      </w:pPr>
      <w:bookmarkStart w:id="1" w:name="_Toc16066331"/>
      <w:bookmarkStart w:id="2" w:name="_Toc24620193"/>
      <w:r w:rsidRPr="00354FBB">
        <w:lastRenderedPageBreak/>
        <w:t>Contents</w:t>
      </w:r>
      <w:bookmarkEnd w:id="1"/>
      <w:bookmarkEnd w:id="2"/>
    </w:p>
    <w:p w14:paraId="6817535C" w14:textId="42550D21" w:rsidR="00680CE2" w:rsidRDefault="00257AEE">
      <w:pPr>
        <w:pStyle w:val="TOC1"/>
        <w:rPr>
          <w:rFonts w:asciiTheme="minorHAnsi" w:eastAsiaTheme="minorEastAsia" w:hAnsiTheme="minorHAnsi" w:cstheme="minorBidi"/>
          <w:b w:val="0"/>
          <w:color w:val="auto"/>
        </w:rPr>
      </w:pPr>
      <w:r>
        <w:fldChar w:fldCharType="begin"/>
      </w:r>
      <w:r>
        <w:instrText xml:space="preserve"> TOC \o "1-2" \h \z \t "Heading 3,3,Chart Main Heading,3,Table Main Heading,3,Heading 3 Numbered,3,Table Heading Continued,3" </w:instrText>
      </w:r>
      <w:r>
        <w:fldChar w:fldCharType="separate"/>
      </w:r>
      <w:hyperlink w:anchor="_Toc24620193" w:history="1">
        <w:r w:rsidR="00680CE2" w:rsidRPr="00004801">
          <w:rPr>
            <w:rStyle w:val="Hyperlink"/>
          </w:rPr>
          <w:t>Contents</w:t>
        </w:r>
        <w:r w:rsidR="00680CE2">
          <w:rPr>
            <w:webHidden/>
          </w:rPr>
          <w:tab/>
        </w:r>
        <w:r w:rsidR="00680CE2">
          <w:rPr>
            <w:webHidden/>
          </w:rPr>
          <w:fldChar w:fldCharType="begin"/>
        </w:r>
        <w:r w:rsidR="00680CE2">
          <w:rPr>
            <w:webHidden/>
          </w:rPr>
          <w:instrText xml:space="preserve"> PAGEREF _Toc24620193 \h </w:instrText>
        </w:r>
        <w:r w:rsidR="00680CE2">
          <w:rPr>
            <w:webHidden/>
          </w:rPr>
        </w:r>
        <w:r w:rsidR="00680CE2">
          <w:rPr>
            <w:webHidden/>
          </w:rPr>
          <w:fldChar w:fldCharType="separate"/>
        </w:r>
        <w:r w:rsidR="00B3697E">
          <w:rPr>
            <w:webHidden/>
          </w:rPr>
          <w:t>iii</w:t>
        </w:r>
        <w:r w:rsidR="00680CE2">
          <w:rPr>
            <w:webHidden/>
          </w:rPr>
          <w:fldChar w:fldCharType="end"/>
        </w:r>
      </w:hyperlink>
    </w:p>
    <w:p w14:paraId="61E5D93F" w14:textId="2BCFAC72" w:rsidR="00680CE2" w:rsidRDefault="00492DBF">
      <w:pPr>
        <w:pStyle w:val="TOC1"/>
        <w:rPr>
          <w:rFonts w:asciiTheme="minorHAnsi" w:eastAsiaTheme="minorEastAsia" w:hAnsiTheme="minorHAnsi" w:cstheme="minorBidi"/>
          <w:b w:val="0"/>
          <w:color w:val="auto"/>
        </w:rPr>
      </w:pPr>
      <w:hyperlink w:anchor="_Toc24620194" w:history="1">
        <w:r w:rsidR="00680CE2" w:rsidRPr="00004801">
          <w:rPr>
            <w:rStyle w:val="Hyperlink"/>
          </w:rPr>
          <w:t>Consultation Process</w:t>
        </w:r>
        <w:r w:rsidR="00680CE2">
          <w:rPr>
            <w:webHidden/>
          </w:rPr>
          <w:tab/>
        </w:r>
        <w:r w:rsidR="00680CE2">
          <w:rPr>
            <w:webHidden/>
          </w:rPr>
          <w:fldChar w:fldCharType="begin"/>
        </w:r>
        <w:r w:rsidR="00680CE2">
          <w:rPr>
            <w:webHidden/>
          </w:rPr>
          <w:instrText xml:space="preserve"> PAGEREF _Toc24620194 \h </w:instrText>
        </w:r>
        <w:r w:rsidR="00680CE2">
          <w:rPr>
            <w:webHidden/>
          </w:rPr>
        </w:r>
        <w:r w:rsidR="00680CE2">
          <w:rPr>
            <w:webHidden/>
          </w:rPr>
          <w:fldChar w:fldCharType="separate"/>
        </w:r>
        <w:r w:rsidR="00B3697E">
          <w:rPr>
            <w:webHidden/>
          </w:rPr>
          <w:t>1</w:t>
        </w:r>
        <w:r w:rsidR="00680CE2">
          <w:rPr>
            <w:webHidden/>
          </w:rPr>
          <w:fldChar w:fldCharType="end"/>
        </w:r>
      </w:hyperlink>
    </w:p>
    <w:p w14:paraId="49CC2425" w14:textId="703E6805" w:rsidR="00680CE2" w:rsidRDefault="00492DBF">
      <w:pPr>
        <w:pStyle w:val="TOC2"/>
        <w:rPr>
          <w:rFonts w:asciiTheme="minorHAnsi" w:eastAsiaTheme="minorEastAsia" w:hAnsiTheme="minorHAnsi" w:cstheme="minorBidi"/>
          <w:color w:val="auto"/>
          <w:szCs w:val="22"/>
        </w:rPr>
      </w:pPr>
      <w:hyperlink w:anchor="_Toc24620195" w:history="1">
        <w:r w:rsidR="00680CE2" w:rsidRPr="00004801">
          <w:rPr>
            <w:rStyle w:val="Hyperlink"/>
          </w:rPr>
          <w:t>Request for feedback and comments</w:t>
        </w:r>
        <w:r w:rsidR="00680CE2">
          <w:rPr>
            <w:webHidden/>
          </w:rPr>
          <w:tab/>
        </w:r>
        <w:r w:rsidR="00680CE2">
          <w:rPr>
            <w:webHidden/>
          </w:rPr>
          <w:fldChar w:fldCharType="begin"/>
        </w:r>
        <w:r w:rsidR="00680CE2">
          <w:rPr>
            <w:webHidden/>
          </w:rPr>
          <w:instrText xml:space="preserve"> PAGEREF _Toc24620195 \h </w:instrText>
        </w:r>
        <w:r w:rsidR="00680CE2">
          <w:rPr>
            <w:webHidden/>
          </w:rPr>
        </w:r>
        <w:r w:rsidR="00680CE2">
          <w:rPr>
            <w:webHidden/>
          </w:rPr>
          <w:fldChar w:fldCharType="separate"/>
        </w:r>
        <w:r w:rsidR="00B3697E">
          <w:rPr>
            <w:webHidden/>
          </w:rPr>
          <w:t>1</w:t>
        </w:r>
        <w:r w:rsidR="00680CE2">
          <w:rPr>
            <w:webHidden/>
          </w:rPr>
          <w:fldChar w:fldCharType="end"/>
        </w:r>
      </w:hyperlink>
    </w:p>
    <w:p w14:paraId="37938C9D" w14:textId="41ADC3AB" w:rsidR="00680CE2" w:rsidRDefault="00492DBF">
      <w:pPr>
        <w:pStyle w:val="TOC2"/>
        <w:rPr>
          <w:rFonts w:asciiTheme="minorHAnsi" w:eastAsiaTheme="minorEastAsia" w:hAnsiTheme="minorHAnsi" w:cstheme="minorBidi"/>
          <w:color w:val="auto"/>
          <w:szCs w:val="22"/>
        </w:rPr>
      </w:pPr>
      <w:hyperlink w:anchor="_Toc24620196" w:history="1">
        <w:r w:rsidR="00680CE2" w:rsidRPr="00004801">
          <w:rPr>
            <w:rStyle w:val="Hyperlink"/>
          </w:rPr>
          <w:t>Providing a confidential response</w:t>
        </w:r>
        <w:r w:rsidR="00680CE2">
          <w:rPr>
            <w:webHidden/>
          </w:rPr>
          <w:tab/>
        </w:r>
        <w:r w:rsidR="00680CE2">
          <w:rPr>
            <w:webHidden/>
          </w:rPr>
          <w:fldChar w:fldCharType="begin"/>
        </w:r>
        <w:r w:rsidR="00680CE2">
          <w:rPr>
            <w:webHidden/>
          </w:rPr>
          <w:instrText xml:space="preserve"> PAGEREF _Toc24620196 \h </w:instrText>
        </w:r>
        <w:r w:rsidR="00680CE2">
          <w:rPr>
            <w:webHidden/>
          </w:rPr>
        </w:r>
        <w:r w:rsidR="00680CE2">
          <w:rPr>
            <w:webHidden/>
          </w:rPr>
          <w:fldChar w:fldCharType="separate"/>
        </w:r>
        <w:r w:rsidR="00B3697E">
          <w:rPr>
            <w:webHidden/>
          </w:rPr>
          <w:t>1</w:t>
        </w:r>
        <w:r w:rsidR="00680CE2">
          <w:rPr>
            <w:webHidden/>
          </w:rPr>
          <w:fldChar w:fldCharType="end"/>
        </w:r>
      </w:hyperlink>
    </w:p>
    <w:p w14:paraId="32862F77" w14:textId="070ACD95" w:rsidR="00680CE2" w:rsidRDefault="00492DBF">
      <w:pPr>
        <w:pStyle w:val="TOC2"/>
        <w:rPr>
          <w:rFonts w:asciiTheme="minorHAnsi" w:eastAsiaTheme="minorEastAsia" w:hAnsiTheme="minorHAnsi" w:cstheme="minorBidi"/>
          <w:color w:val="auto"/>
          <w:szCs w:val="22"/>
        </w:rPr>
      </w:pPr>
      <w:hyperlink w:anchor="_Toc24620197" w:history="1">
        <w:r w:rsidR="00680CE2" w:rsidRPr="00004801">
          <w:rPr>
            <w:rStyle w:val="Hyperlink"/>
          </w:rPr>
          <w:t>Overview</w:t>
        </w:r>
        <w:r w:rsidR="00680CE2">
          <w:rPr>
            <w:webHidden/>
          </w:rPr>
          <w:tab/>
        </w:r>
        <w:r w:rsidR="00680CE2">
          <w:rPr>
            <w:webHidden/>
          </w:rPr>
          <w:fldChar w:fldCharType="begin"/>
        </w:r>
        <w:r w:rsidR="00680CE2">
          <w:rPr>
            <w:webHidden/>
          </w:rPr>
          <w:instrText xml:space="preserve"> PAGEREF _Toc24620197 \h </w:instrText>
        </w:r>
        <w:r w:rsidR="00680CE2">
          <w:rPr>
            <w:webHidden/>
          </w:rPr>
        </w:r>
        <w:r w:rsidR="00680CE2">
          <w:rPr>
            <w:webHidden/>
          </w:rPr>
          <w:fldChar w:fldCharType="separate"/>
        </w:r>
        <w:r w:rsidR="00B3697E">
          <w:rPr>
            <w:webHidden/>
          </w:rPr>
          <w:t>2</w:t>
        </w:r>
        <w:r w:rsidR="00680CE2">
          <w:rPr>
            <w:webHidden/>
          </w:rPr>
          <w:fldChar w:fldCharType="end"/>
        </w:r>
      </w:hyperlink>
    </w:p>
    <w:p w14:paraId="60D7A632" w14:textId="20874BC8" w:rsidR="00680CE2" w:rsidRDefault="00492DBF">
      <w:pPr>
        <w:pStyle w:val="TOC2"/>
        <w:rPr>
          <w:rFonts w:asciiTheme="minorHAnsi" w:eastAsiaTheme="minorEastAsia" w:hAnsiTheme="minorHAnsi" w:cstheme="minorBidi"/>
          <w:color w:val="auto"/>
          <w:szCs w:val="22"/>
        </w:rPr>
      </w:pPr>
      <w:hyperlink w:anchor="_Toc24620198" w:history="1">
        <w:r w:rsidR="00680CE2" w:rsidRPr="00004801">
          <w:rPr>
            <w:rStyle w:val="Hyperlink"/>
          </w:rPr>
          <w:t>What is the concession?</w:t>
        </w:r>
        <w:r w:rsidR="00680CE2">
          <w:rPr>
            <w:webHidden/>
          </w:rPr>
          <w:tab/>
        </w:r>
        <w:r w:rsidR="00680CE2">
          <w:rPr>
            <w:webHidden/>
          </w:rPr>
          <w:fldChar w:fldCharType="begin"/>
        </w:r>
        <w:r w:rsidR="00680CE2">
          <w:rPr>
            <w:webHidden/>
          </w:rPr>
          <w:instrText xml:space="preserve"> PAGEREF _Toc24620198 \h </w:instrText>
        </w:r>
        <w:r w:rsidR="00680CE2">
          <w:rPr>
            <w:webHidden/>
          </w:rPr>
        </w:r>
        <w:r w:rsidR="00680CE2">
          <w:rPr>
            <w:webHidden/>
          </w:rPr>
          <w:fldChar w:fldCharType="separate"/>
        </w:r>
        <w:r w:rsidR="00B3697E">
          <w:rPr>
            <w:webHidden/>
          </w:rPr>
          <w:t>2</w:t>
        </w:r>
        <w:r w:rsidR="00680CE2">
          <w:rPr>
            <w:webHidden/>
          </w:rPr>
          <w:fldChar w:fldCharType="end"/>
        </w:r>
      </w:hyperlink>
    </w:p>
    <w:p w14:paraId="4C0FAE52" w14:textId="3214D91E" w:rsidR="00680CE2" w:rsidRDefault="00492DBF">
      <w:pPr>
        <w:pStyle w:val="TOC2"/>
        <w:rPr>
          <w:rFonts w:asciiTheme="minorHAnsi" w:eastAsiaTheme="minorEastAsia" w:hAnsiTheme="minorHAnsi" w:cstheme="minorBidi"/>
          <w:color w:val="auto"/>
          <w:szCs w:val="22"/>
        </w:rPr>
      </w:pPr>
      <w:hyperlink w:anchor="_Toc24620199" w:history="1">
        <w:r w:rsidR="00680CE2" w:rsidRPr="00004801">
          <w:rPr>
            <w:rStyle w:val="Hyperlink"/>
          </w:rPr>
          <w:t>The application process</w:t>
        </w:r>
        <w:r w:rsidR="00680CE2">
          <w:rPr>
            <w:webHidden/>
          </w:rPr>
          <w:tab/>
        </w:r>
        <w:r w:rsidR="00680CE2">
          <w:rPr>
            <w:webHidden/>
          </w:rPr>
          <w:fldChar w:fldCharType="begin"/>
        </w:r>
        <w:r w:rsidR="00680CE2">
          <w:rPr>
            <w:webHidden/>
          </w:rPr>
          <w:instrText xml:space="preserve"> PAGEREF _Toc24620199 \h </w:instrText>
        </w:r>
        <w:r w:rsidR="00680CE2">
          <w:rPr>
            <w:webHidden/>
          </w:rPr>
        </w:r>
        <w:r w:rsidR="00680CE2">
          <w:rPr>
            <w:webHidden/>
          </w:rPr>
          <w:fldChar w:fldCharType="separate"/>
        </w:r>
        <w:r w:rsidR="00B3697E">
          <w:rPr>
            <w:webHidden/>
          </w:rPr>
          <w:t>2</w:t>
        </w:r>
        <w:r w:rsidR="00680CE2">
          <w:rPr>
            <w:webHidden/>
          </w:rPr>
          <w:fldChar w:fldCharType="end"/>
        </w:r>
      </w:hyperlink>
    </w:p>
    <w:p w14:paraId="109F57AF" w14:textId="1FCEF7B5" w:rsidR="00680CE2" w:rsidRDefault="00492DBF">
      <w:pPr>
        <w:pStyle w:val="TOC3"/>
        <w:rPr>
          <w:rFonts w:asciiTheme="minorHAnsi" w:eastAsiaTheme="minorEastAsia" w:hAnsiTheme="minorHAnsi" w:cstheme="minorBidi"/>
          <w:color w:val="auto"/>
          <w:szCs w:val="22"/>
        </w:rPr>
      </w:pPr>
      <w:hyperlink w:anchor="_Toc24620200" w:history="1">
        <w:r w:rsidR="00680CE2" w:rsidRPr="00004801">
          <w:rPr>
            <w:rStyle w:val="Hyperlink"/>
          </w:rPr>
          <w:t>Who can apply?</w:t>
        </w:r>
        <w:r w:rsidR="00680CE2">
          <w:rPr>
            <w:webHidden/>
          </w:rPr>
          <w:tab/>
        </w:r>
        <w:r w:rsidR="00680CE2">
          <w:rPr>
            <w:webHidden/>
          </w:rPr>
          <w:fldChar w:fldCharType="begin"/>
        </w:r>
        <w:r w:rsidR="00680CE2">
          <w:rPr>
            <w:webHidden/>
          </w:rPr>
          <w:instrText xml:space="preserve"> PAGEREF _Toc24620200 \h </w:instrText>
        </w:r>
        <w:r w:rsidR="00680CE2">
          <w:rPr>
            <w:webHidden/>
          </w:rPr>
        </w:r>
        <w:r w:rsidR="00680CE2">
          <w:rPr>
            <w:webHidden/>
          </w:rPr>
          <w:fldChar w:fldCharType="separate"/>
        </w:r>
        <w:r w:rsidR="00B3697E">
          <w:rPr>
            <w:webHidden/>
          </w:rPr>
          <w:t>2</w:t>
        </w:r>
        <w:r w:rsidR="00680CE2">
          <w:rPr>
            <w:webHidden/>
          </w:rPr>
          <w:fldChar w:fldCharType="end"/>
        </w:r>
      </w:hyperlink>
    </w:p>
    <w:p w14:paraId="4BF38A86" w14:textId="74E4AF1F" w:rsidR="00680CE2" w:rsidRDefault="00492DBF">
      <w:pPr>
        <w:pStyle w:val="TOC3"/>
        <w:rPr>
          <w:rFonts w:asciiTheme="minorHAnsi" w:eastAsiaTheme="minorEastAsia" w:hAnsiTheme="minorHAnsi" w:cstheme="minorBidi"/>
          <w:color w:val="auto"/>
          <w:szCs w:val="22"/>
        </w:rPr>
      </w:pPr>
      <w:hyperlink w:anchor="_Toc24620201" w:history="1">
        <w:r w:rsidR="00680CE2" w:rsidRPr="00004801">
          <w:rPr>
            <w:rStyle w:val="Hyperlink"/>
          </w:rPr>
          <w:t>How to apply?</w:t>
        </w:r>
        <w:r w:rsidR="00680CE2">
          <w:rPr>
            <w:webHidden/>
          </w:rPr>
          <w:tab/>
        </w:r>
        <w:r w:rsidR="00680CE2">
          <w:rPr>
            <w:webHidden/>
          </w:rPr>
          <w:fldChar w:fldCharType="begin"/>
        </w:r>
        <w:r w:rsidR="00680CE2">
          <w:rPr>
            <w:webHidden/>
          </w:rPr>
          <w:instrText xml:space="preserve"> PAGEREF _Toc24620201 \h </w:instrText>
        </w:r>
        <w:r w:rsidR="00680CE2">
          <w:rPr>
            <w:webHidden/>
          </w:rPr>
        </w:r>
        <w:r w:rsidR="00680CE2">
          <w:rPr>
            <w:webHidden/>
          </w:rPr>
          <w:fldChar w:fldCharType="separate"/>
        </w:r>
        <w:r w:rsidR="00B3697E">
          <w:rPr>
            <w:webHidden/>
          </w:rPr>
          <w:t>3</w:t>
        </w:r>
        <w:r w:rsidR="00680CE2">
          <w:rPr>
            <w:webHidden/>
          </w:rPr>
          <w:fldChar w:fldCharType="end"/>
        </w:r>
      </w:hyperlink>
    </w:p>
    <w:p w14:paraId="59160820" w14:textId="3D8C55FB" w:rsidR="00680CE2" w:rsidRDefault="00492DBF">
      <w:pPr>
        <w:pStyle w:val="TOC3"/>
        <w:rPr>
          <w:rFonts w:asciiTheme="minorHAnsi" w:eastAsiaTheme="minorEastAsia" w:hAnsiTheme="minorHAnsi" w:cstheme="minorBidi"/>
          <w:color w:val="auto"/>
          <w:szCs w:val="22"/>
        </w:rPr>
      </w:pPr>
      <w:hyperlink w:anchor="_Toc24620202" w:history="1">
        <w:r w:rsidR="00680CE2" w:rsidRPr="00004801">
          <w:rPr>
            <w:rStyle w:val="Hyperlink"/>
          </w:rPr>
          <w:t>When can you apply?</w:t>
        </w:r>
        <w:r w:rsidR="00680CE2">
          <w:rPr>
            <w:webHidden/>
          </w:rPr>
          <w:tab/>
        </w:r>
        <w:r w:rsidR="00680CE2">
          <w:rPr>
            <w:webHidden/>
          </w:rPr>
          <w:fldChar w:fldCharType="begin"/>
        </w:r>
        <w:r w:rsidR="00680CE2">
          <w:rPr>
            <w:webHidden/>
          </w:rPr>
          <w:instrText xml:space="preserve"> PAGEREF _Toc24620202 \h </w:instrText>
        </w:r>
        <w:r w:rsidR="00680CE2">
          <w:rPr>
            <w:webHidden/>
          </w:rPr>
        </w:r>
        <w:r w:rsidR="00680CE2">
          <w:rPr>
            <w:webHidden/>
          </w:rPr>
          <w:fldChar w:fldCharType="separate"/>
        </w:r>
        <w:r w:rsidR="00B3697E">
          <w:rPr>
            <w:webHidden/>
          </w:rPr>
          <w:t>4</w:t>
        </w:r>
        <w:r w:rsidR="00680CE2">
          <w:rPr>
            <w:webHidden/>
          </w:rPr>
          <w:fldChar w:fldCharType="end"/>
        </w:r>
      </w:hyperlink>
    </w:p>
    <w:p w14:paraId="3D429E79" w14:textId="508CEBEA" w:rsidR="00680CE2" w:rsidRDefault="00492DBF">
      <w:pPr>
        <w:pStyle w:val="TOC2"/>
        <w:rPr>
          <w:rFonts w:asciiTheme="minorHAnsi" w:eastAsiaTheme="minorEastAsia" w:hAnsiTheme="minorHAnsi" w:cstheme="minorBidi"/>
          <w:color w:val="auto"/>
          <w:szCs w:val="22"/>
        </w:rPr>
      </w:pPr>
      <w:hyperlink w:anchor="_Toc24620203" w:history="1">
        <w:r w:rsidR="00680CE2" w:rsidRPr="00004801">
          <w:rPr>
            <w:rStyle w:val="Hyperlink"/>
          </w:rPr>
          <w:t>The criteria</w:t>
        </w:r>
        <w:r w:rsidR="00680CE2">
          <w:rPr>
            <w:webHidden/>
          </w:rPr>
          <w:tab/>
        </w:r>
        <w:r w:rsidR="00680CE2">
          <w:rPr>
            <w:webHidden/>
          </w:rPr>
          <w:fldChar w:fldCharType="begin"/>
        </w:r>
        <w:r w:rsidR="00680CE2">
          <w:rPr>
            <w:webHidden/>
          </w:rPr>
          <w:instrText xml:space="preserve"> PAGEREF _Toc24620203 \h </w:instrText>
        </w:r>
        <w:r w:rsidR="00680CE2">
          <w:rPr>
            <w:webHidden/>
          </w:rPr>
        </w:r>
        <w:r w:rsidR="00680CE2">
          <w:rPr>
            <w:webHidden/>
          </w:rPr>
          <w:fldChar w:fldCharType="separate"/>
        </w:r>
        <w:r w:rsidR="00B3697E">
          <w:rPr>
            <w:webHidden/>
          </w:rPr>
          <w:t>4</w:t>
        </w:r>
        <w:r w:rsidR="00680CE2">
          <w:rPr>
            <w:webHidden/>
          </w:rPr>
          <w:fldChar w:fldCharType="end"/>
        </w:r>
      </w:hyperlink>
    </w:p>
    <w:p w14:paraId="3FC6628C" w14:textId="372CA7B8" w:rsidR="00680CE2" w:rsidRDefault="00492DBF">
      <w:pPr>
        <w:pStyle w:val="TOC3"/>
        <w:rPr>
          <w:rFonts w:asciiTheme="minorHAnsi" w:eastAsiaTheme="minorEastAsia" w:hAnsiTheme="minorHAnsi" w:cstheme="minorBidi"/>
          <w:color w:val="auto"/>
          <w:szCs w:val="22"/>
        </w:rPr>
      </w:pPr>
      <w:hyperlink w:anchor="_Toc24620204" w:history="1">
        <w:r w:rsidR="00680CE2" w:rsidRPr="00004801">
          <w:rPr>
            <w:rStyle w:val="Hyperlink"/>
          </w:rPr>
          <w:t>The facility is an ‘economic infrastructure facility’</w:t>
        </w:r>
        <w:r w:rsidR="00680CE2">
          <w:rPr>
            <w:webHidden/>
          </w:rPr>
          <w:tab/>
        </w:r>
        <w:r w:rsidR="00680CE2">
          <w:rPr>
            <w:webHidden/>
          </w:rPr>
          <w:fldChar w:fldCharType="begin"/>
        </w:r>
        <w:r w:rsidR="00680CE2">
          <w:rPr>
            <w:webHidden/>
          </w:rPr>
          <w:instrText xml:space="preserve"> PAGEREF _Toc24620204 \h </w:instrText>
        </w:r>
        <w:r w:rsidR="00680CE2">
          <w:rPr>
            <w:webHidden/>
          </w:rPr>
        </w:r>
        <w:r w:rsidR="00680CE2">
          <w:rPr>
            <w:webHidden/>
          </w:rPr>
          <w:fldChar w:fldCharType="separate"/>
        </w:r>
        <w:r w:rsidR="00B3697E">
          <w:rPr>
            <w:webHidden/>
          </w:rPr>
          <w:t>4</w:t>
        </w:r>
        <w:r w:rsidR="00680CE2">
          <w:rPr>
            <w:webHidden/>
          </w:rPr>
          <w:fldChar w:fldCharType="end"/>
        </w:r>
      </w:hyperlink>
    </w:p>
    <w:p w14:paraId="38BF5F7D" w14:textId="58A623DC" w:rsidR="00680CE2" w:rsidRDefault="00492DBF">
      <w:pPr>
        <w:pStyle w:val="TOC3"/>
        <w:rPr>
          <w:rFonts w:asciiTheme="minorHAnsi" w:eastAsiaTheme="minorEastAsia" w:hAnsiTheme="minorHAnsi" w:cstheme="minorBidi"/>
          <w:color w:val="auto"/>
          <w:szCs w:val="22"/>
        </w:rPr>
      </w:pPr>
      <w:hyperlink w:anchor="_Toc24620205" w:history="1">
        <w:r w:rsidR="00680CE2" w:rsidRPr="00004801">
          <w:rPr>
            <w:rStyle w:val="Hyperlink"/>
          </w:rPr>
          <w:t>The estimated capital expenditure on the facility or improvement is $500 million or more</w:t>
        </w:r>
        <w:r w:rsidR="00680CE2">
          <w:rPr>
            <w:webHidden/>
          </w:rPr>
          <w:tab/>
        </w:r>
        <w:r w:rsidR="00680CE2">
          <w:rPr>
            <w:webHidden/>
          </w:rPr>
          <w:fldChar w:fldCharType="begin"/>
        </w:r>
        <w:r w:rsidR="00680CE2">
          <w:rPr>
            <w:webHidden/>
          </w:rPr>
          <w:instrText xml:space="preserve"> PAGEREF _Toc24620205 \h </w:instrText>
        </w:r>
        <w:r w:rsidR="00680CE2">
          <w:rPr>
            <w:webHidden/>
          </w:rPr>
        </w:r>
        <w:r w:rsidR="00680CE2">
          <w:rPr>
            <w:webHidden/>
          </w:rPr>
          <w:fldChar w:fldCharType="separate"/>
        </w:r>
        <w:r w:rsidR="00B3697E">
          <w:rPr>
            <w:webHidden/>
          </w:rPr>
          <w:t>5</w:t>
        </w:r>
        <w:r w:rsidR="00680CE2">
          <w:rPr>
            <w:webHidden/>
          </w:rPr>
          <w:fldChar w:fldCharType="end"/>
        </w:r>
      </w:hyperlink>
    </w:p>
    <w:p w14:paraId="20BF14F4" w14:textId="2A7EAB96" w:rsidR="00680CE2" w:rsidRDefault="00492DBF">
      <w:pPr>
        <w:pStyle w:val="TOC3"/>
        <w:rPr>
          <w:rFonts w:asciiTheme="minorHAnsi" w:eastAsiaTheme="minorEastAsia" w:hAnsiTheme="minorHAnsi" w:cstheme="minorBidi"/>
          <w:color w:val="auto"/>
          <w:szCs w:val="22"/>
        </w:rPr>
      </w:pPr>
      <w:hyperlink w:anchor="_Toc24620206" w:history="1">
        <w:r w:rsidR="00680CE2" w:rsidRPr="00004801">
          <w:rPr>
            <w:rStyle w:val="Hyperlink"/>
          </w:rPr>
          <w:t>The facility or improvement is yet to be constructed</w:t>
        </w:r>
        <w:r w:rsidR="00680CE2">
          <w:rPr>
            <w:webHidden/>
          </w:rPr>
          <w:tab/>
        </w:r>
        <w:r w:rsidR="00680CE2">
          <w:rPr>
            <w:webHidden/>
          </w:rPr>
          <w:fldChar w:fldCharType="begin"/>
        </w:r>
        <w:r w:rsidR="00680CE2">
          <w:rPr>
            <w:webHidden/>
          </w:rPr>
          <w:instrText xml:space="preserve"> PAGEREF _Toc24620206 \h </w:instrText>
        </w:r>
        <w:r w:rsidR="00680CE2">
          <w:rPr>
            <w:webHidden/>
          </w:rPr>
        </w:r>
        <w:r w:rsidR="00680CE2">
          <w:rPr>
            <w:webHidden/>
          </w:rPr>
          <w:fldChar w:fldCharType="separate"/>
        </w:r>
        <w:r w:rsidR="00B3697E">
          <w:rPr>
            <w:webHidden/>
          </w:rPr>
          <w:t>5</w:t>
        </w:r>
        <w:r w:rsidR="00680CE2">
          <w:rPr>
            <w:webHidden/>
          </w:rPr>
          <w:fldChar w:fldCharType="end"/>
        </w:r>
      </w:hyperlink>
    </w:p>
    <w:p w14:paraId="5D93A69C" w14:textId="2A206C50" w:rsidR="00680CE2" w:rsidRDefault="00492DBF">
      <w:pPr>
        <w:pStyle w:val="TOC3"/>
        <w:rPr>
          <w:rFonts w:asciiTheme="minorHAnsi" w:eastAsiaTheme="minorEastAsia" w:hAnsiTheme="minorHAnsi" w:cstheme="minorBidi"/>
          <w:color w:val="auto"/>
          <w:szCs w:val="22"/>
        </w:rPr>
      </w:pPr>
      <w:hyperlink w:anchor="_Toc24620207" w:history="1">
        <w:r w:rsidR="00680CE2" w:rsidRPr="00004801">
          <w:rPr>
            <w:rStyle w:val="Hyperlink"/>
          </w:rPr>
          <w:t>The facility or improvement will significantly enhance the long-term productive capacity of the economy</w:t>
        </w:r>
        <w:r w:rsidR="00680CE2">
          <w:rPr>
            <w:webHidden/>
          </w:rPr>
          <w:tab/>
        </w:r>
        <w:r w:rsidR="00680CE2">
          <w:rPr>
            <w:webHidden/>
          </w:rPr>
          <w:fldChar w:fldCharType="begin"/>
        </w:r>
        <w:r w:rsidR="00680CE2">
          <w:rPr>
            <w:webHidden/>
          </w:rPr>
          <w:instrText xml:space="preserve"> PAGEREF _Toc24620207 \h </w:instrText>
        </w:r>
        <w:r w:rsidR="00680CE2">
          <w:rPr>
            <w:webHidden/>
          </w:rPr>
        </w:r>
        <w:r w:rsidR="00680CE2">
          <w:rPr>
            <w:webHidden/>
          </w:rPr>
          <w:fldChar w:fldCharType="separate"/>
        </w:r>
        <w:r w:rsidR="00B3697E">
          <w:rPr>
            <w:webHidden/>
          </w:rPr>
          <w:t>5</w:t>
        </w:r>
        <w:r w:rsidR="00680CE2">
          <w:rPr>
            <w:webHidden/>
          </w:rPr>
          <w:fldChar w:fldCharType="end"/>
        </w:r>
      </w:hyperlink>
    </w:p>
    <w:p w14:paraId="046BA3F0" w14:textId="398EC093" w:rsidR="00680CE2" w:rsidRDefault="00492DBF">
      <w:pPr>
        <w:pStyle w:val="TOC3"/>
        <w:rPr>
          <w:rFonts w:asciiTheme="minorHAnsi" w:eastAsiaTheme="minorEastAsia" w:hAnsiTheme="minorHAnsi" w:cstheme="minorBidi"/>
          <w:color w:val="auto"/>
          <w:szCs w:val="22"/>
        </w:rPr>
      </w:pPr>
      <w:hyperlink w:anchor="_Toc24620208" w:history="1">
        <w:r w:rsidR="00680CE2" w:rsidRPr="00004801">
          <w:rPr>
            <w:rStyle w:val="Hyperlink"/>
          </w:rPr>
          <w:t>Approving the concession for the facility or the improvement is in the national interest</w:t>
        </w:r>
        <w:r w:rsidR="00680CE2">
          <w:rPr>
            <w:webHidden/>
          </w:rPr>
          <w:tab/>
        </w:r>
        <w:r w:rsidR="00680CE2">
          <w:rPr>
            <w:webHidden/>
          </w:rPr>
          <w:fldChar w:fldCharType="begin"/>
        </w:r>
        <w:r w:rsidR="00680CE2">
          <w:rPr>
            <w:webHidden/>
          </w:rPr>
          <w:instrText xml:space="preserve"> PAGEREF _Toc24620208 \h </w:instrText>
        </w:r>
        <w:r w:rsidR="00680CE2">
          <w:rPr>
            <w:webHidden/>
          </w:rPr>
        </w:r>
        <w:r w:rsidR="00680CE2">
          <w:rPr>
            <w:webHidden/>
          </w:rPr>
          <w:fldChar w:fldCharType="separate"/>
        </w:r>
        <w:r w:rsidR="00B3697E">
          <w:rPr>
            <w:webHidden/>
          </w:rPr>
          <w:t>6</w:t>
        </w:r>
        <w:r w:rsidR="00680CE2">
          <w:rPr>
            <w:webHidden/>
          </w:rPr>
          <w:fldChar w:fldCharType="end"/>
        </w:r>
      </w:hyperlink>
    </w:p>
    <w:p w14:paraId="307CEBEE" w14:textId="77C62729" w:rsidR="00680CE2" w:rsidRDefault="00492DBF">
      <w:pPr>
        <w:pStyle w:val="TOC3"/>
        <w:rPr>
          <w:rFonts w:asciiTheme="minorHAnsi" w:eastAsiaTheme="minorEastAsia" w:hAnsiTheme="minorHAnsi" w:cstheme="minorBidi"/>
          <w:color w:val="auto"/>
          <w:szCs w:val="22"/>
        </w:rPr>
      </w:pPr>
      <w:hyperlink w:anchor="_Toc24620209" w:history="1">
        <w:r w:rsidR="00680CE2" w:rsidRPr="00004801">
          <w:rPr>
            <w:rStyle w:val="Hyperlink"/>
          </w:rPr>
          <w:t>Legislative considerations</w:t>
        </w:r>
        <w:r w:rsidR="00680CE2">
          <w:rPr>
            <w:webHidden/>
          </w:rPr>
          <w:tab/>
        </w:r>
        <w:r w:rsidR="00680CE2">
          <w:rPr>
            <w:webHidden/>
          </w:rPr>
          <w:fldChar w:fldCharType="begin"/>
        </w:r>
        <w:r w:rsidR="00680CE2">
          <w:rPr>
            <w:webHidden/>
          </w:rPr>
          <w:instrText xml:space="preserve"> PAGEREF _Toc24620209 \h </w:instrText>
        </w:r>
        <w:r w:rsidR="00680CE2">
          <w:rPr>
            <w:webHidden/>
          </w:rPr>
        </w:r>
        <w:r w:rsidR="00680CE2">
          <w:rPr>
            <w:webHidden/>
          </w:rPr>
          <w:fldChar w:fldCharType="separate"/>
        </w:r>
        <w:r w:rsidR="00B3697E">
          <w:rPr>
            <w:webHidden/>
          </w:rPr>
          <w:t>7</w:t>
        </w:r>
        <w:r w:rsidR="00680CE2">
          <w:rPr>
            <w:webHidden/>
          </w:rPr>
          <w:fldChar w:fldCharType="end"/>
        </w:r>
      </w:hyperlink>
    </w:p>
    <w:p w14:paraId="4373D6B6" w14:textId="3486FBFD" w:rsidR="00680CE2" w:rsidRDefault="00492DBF">
      <w:pPr>
        <w:pStyle w:val="TOC2"/>
        <w:rPr>
          <w:rFonts w:asciiTheme="minorHAnsi" w:eastAsiaTheme="minorEastAsia" w:hAnsiTheme="minorHAnsi" w:cstheme="minorBidi"/>
          <w:color w:val="auto"/>
          <w:szCs w:val="22"/>
        </w:rPr>
      </w:pPr>
      <w:hyperlink w:anchor="_Toc24620210" w:history="1">
        <w:r w:rsidR="00680CE2" w:rsidRPr="00004801">
          <w:rPr>
            <w:rStyle w:val="Hyperlink"/>
          </w:rPr>
          <w:t>Application process - Examples</w:t>
        </w:r>
        <w:r w:rsidR="00680CE2">
          <w:rPr>
            <w:webHidden/>
          </w:rPr>
          <w:tab/>
        </w:r>
        <w:r w:rsidR="00680CE2">
          <w:rPr>
            <w:webHidden/>
          </w:rPr>
          <w:fldChar w:fldCharType="begin"/>
        </w:r>
        <w:r w:rsidR="00680CE2">
          <w:rPr>
            <w:webHidden/>
          </w:rPr>
          <w:instrText xml:space="preserve"> PAGEREF _Toc24620210 \h </w:instrText>
        </w:r>
        <w:r w:rsidR="00680CE2">
          <w:rPr>
            <w:webHidden/>
          </w:rPr>
        </w:r>
        <w:r w:rsidR="00680CE2">
          <w:rPr>
            <w:webHidden/>
          </w:rPr>
          <w:fldChar w:fldCharType="separate"/>
        </w:r>
        <w:r w:rsidR="00B3697E">
          <w:rPr>
            <w:webHidden/>
          </w:rPr>
          <w:t>9</w:t>
        </w:r>
        <w:r w:rsidR="00680CE2">
          <w:rPr>
            <w:webHidden/>
          </w:rPr>
          <w:fldChar w:fldCharType="end"/>
        </w:r>
      </w:hyperlink>
    </w:p>
    <w:p w14:paraId="4E00E85F" w14:textId="2E46F366" w:rsidR="00680CE2" w:rsidRDefault="00492DBF">
      <w:pPr>
        <w:pStyle w:val="TOC3"/>
        <w:rPr>
          <w:rFonts w:asciiTheme="minorHAnsi" w:eastAsiaTheme="minorEastAsia" w:hAnsiTheme="minorHAnsi" w:cstheme="minorBidi"/>
          <w:color w:val="auto"/>
          <w:szCs w:val="22"/>
        </w:rPr>
      </w:pPr>
      <w:hyperlink w:anchor="_Toc24620211" w:history="1">
        <w:r w:rsidR="00680CE2" w:rsidRPr="00004801">
          <w:rPr>
            <w:rStyle w:val="Hyperlink"/>
          </w:rPr>
          <w:t>Example #1</w:t>
        </w:r>
        <w:r w:rsidR="00680CE2">
          <w:rPr>
            <w:webHidden/>
          </w:rPr>
          <w:tab/>
        </w:r>
        <w:r w:rsidR="00680CE2">
          <w:rPr>
            <w:webHidden/>
          </w:rPr>
          <w:fldChar w:fldCharType="begin"/>
        </w:r>
        <w:r w:rsidR="00680CE2">
          <w:rPr>
            <w:webHidden/>
          </w:rPr>
          <w:instrText xml:space="preserve"> PAGEREF _Toc24620211 \h </w:instrText>
        </w:r>
        <w:r w:rsidR="00680CE2">
          <w:rPr>
            <w:webHidden/>
          </w:rPr>
        </w:r>
        <w:r w:rsidR="00680CE2">
          <w:rPr>
            <w:webHidden/>
          </w:rPr>
          <w:fldChar w:fldCharType="separate"/>
        </w:r>
        <w:r w:rsidR="00B3697E">
          <w:rPr>
            <w:webHidden/>
          </w:rPr>
          <w:t>9</w:t>
        </w:r>
        <w:r w:rsidR="00680CE2">
          <w:rPr>
            <w:webHidden/>
          </w:rPr>
          <w:fldChar w:fldCharType="end"/>
        </w:r>
      </w:hyperlink>
    </w:p>
    <w:p w14:paraId="13DF5FB4" w14:textId="25196D2B" w:rsidR="00680CE2" w:rsidRDefault="00492DBF">
      <w:pPr>
        <w:pStyle w:val="TOC3"/>
        <w:rPr>
          <w:rFonts w:asciiTheme="minorHAnsi" w:eastAsiaTheme="minorEastAsia" w:hAnsiTheme="minorHAnsi" w:cstheme="minorBidi"/>
          <w:color w:val="auto"/>
          <w:szCs w:val="22"/>
        </w:rPr>
      </w:pPr>
      <w:hyperlink w:anchor="_Toc24620212" w:history="1">
        <w:r w:rsidR="00680CE2" w:rsidRPr="00004801">
          <w:rPr>
            <w:rStyle w:val="Hyperlink"/>
            <w:rFonts w:eastAsiaTheme="majorEastAsia"/>
          </w:rPr>
          <w:t>Example #2</w:t>
        </w:r>
        <w:r w:rsidR="00680CE2">
          <w:rPr>
            <w:webHidden/>
          </w:rPr>
          <w:tab/>
        </w:r>
        <w:r w:rsidR="00680CE2">
          <w:rPr>
            <w:webHidden/>
          </w:rPr>
          <w:fldChar w:fldCharType="begin"/>
        </w:r>
        <w:r w:rsidR="00680CE2">
          <w:rPr>
            <w:webHidden/>
          </w:rPr>
          <w:instrText xml:space="preserve"> PAGEREF _Toc24620212 \h </w:instrText>
        </w:r>
        <w:r w:rsidR="00680CE2">
          <w:rPr>
            <w:webHidden/>
          </w:rPr>
        </w:r>
        <w:r w:rsidR="00680CE2">
          <w:rPr>
            <w:webHidden/>
          </w:rPr>
          <w:fldChar w:fldCharType="separate"/>
        </w:r>
        <w:r w:rsidR="00B3697E">
          <w:rPr>
            <w:webHidden/>
          </w:rPr>
          <w:t>10</w:t>
        </w:r>
        <w:r w:rsidR="00680CE2">
          <w:rPr>
            <w:webHidden/>
          </w:rPr>
          <w:fldChar w:fldCharType="end"/>
        </w:r>
      </w:hyperlink>
    </w:p>
    <w:p w14:paraId="7B673209" w14:textId="04373CA2" w:rsidR="00680CE2" w:rsidRDefault="00492DBF">
      <w:pPr>
        <w:pStyle w:val="TOC2"/>
        <w:rPr>
          <w:rFonts w:asciiTheme="minorHAnsi" w:eastAsiaTheme="minorEastAsia" w:hAnsiTheme="minorHAnsi" w:cstheme="minorBidi"/>
          <w:color w:val="auto"/>
          <w:szCs w:val="22"/>
        </w:rPr>
      </w:pPr>
      <w:hyperlink w:anchor="_Toc24620213" w:history="1">
        <w:r w:rsidR="00680CE2" w:rsidRPr="00004801">
          <w:rPr>
            <w:rStyle w:val="Hyperlink"/>
          </w:rPr>
          <w:t>Application checklist</w:t>
        </w:r>
        <w:r w:rsidR="00680CE2">
          <w:rPr>
            <w:webHidden/>
          </w:rPr>
          <w:tab/>
        </w:r>
        <w:r w:rsidR="00680CE2">
          <w:rPr>
            <w:webHidden/>
          </w:rPr>
          <w:fldChar w:fldCharType="begin"/>
        </w:r>
        <w:r w:rsidR="00680CE2">
          <w:rPr>
            <w:webHidden/>
          </w:rPr>
          <w:instrText xml:space="preserve"> PAGEREF _Toc24620213 \h </w:instrText>
        </w:r>
        <w:r w:rsidR="00680CE2">
          <w:rPr>
            <w:webHidden/>
          </w:rPr>
        </w:r>
        <w:r w:rsidR="00680CE2">
          <w:rPr>
            <w:webHidden/>
          </w:rPr>
          <w:fldChar w:fldCharType="separate"/>
        </w:r>
        <w:r w:rsidR="00B3697E">
          <w:rPr>
            <w:webHidden/>
          </w:rPr>
          <w:t>12</w:t>
        </w:r>
        <w:r w:rsidR="00680CE2">
          <w:rPr>
            <w:webHidden/>
          </w:rPr>
          <w:fldChar w:fldCharType="end"/>
        </w:r>
      </w:hyperlink>
    </w:p>
    <w:p w14:paraId="0C98F4C6" w14:textId="2472EDBE" w:rsidR="000E0B74" w:rsidRDefault="00257AEE" w:rsidP="00656356">
      <w:pPr>
        <w:pStyle w:val="SingleParagraph"/>
        <w:tabs>
          <w:tab w:val="right" w:leader="dot" w:pos="9072"/>
        </w:tabs>
        <w:ind w:right="-2"/>
        <w:sectPr w:rsidR="000E0B74" w:rsidSect="00475B7B">
          <w:pgSz w:w="11906" w:h="16838" w:code="9"/>
          <w:pgMar w:top="1418" w:right="1418" w:bottom="1418" w:left="1418" w:header="709" w:footer="709" w:gutter="0"/>
          <w:pgNumType w:fmt="lowerRoman"/>
          <w:cols w:space="708"/>
          <w:titlePg/>
          <w:docGrid w:linePitch="360"/>
        </w:sectPr>
      </w:pPr>
      <w:r>
        <w:rPr>
          <w:noProof/>
          <w:color w:val="004A7F"/>
          <w:szCs w:val="22"/>
        </w:rPr>
        <w:fldChar w:fldCharType="end"/>
      </w:r>
    </w:p>
    <w:p w14:paraId="62F31A1B" w14:textId="77777777" w:rsidR="000E0B74" w:rsidRDefault="000E0B74" w:rsidP="00354FBB">
      <w:pPr>
        <w:pStyle w:val="Heading1"/>
      </w:pPr>
      <w:bookmarkStart w:id="3" w:name="_Toc24620194"/>
      <w:bookmarkStart w:id="4" w:name="_Toc432067103"/>
      <w:r>
        <w:lastRenderedPageBreak/>
        <w:t>Consultation Process</w:t>
      </w:r>
      <w:bookmarkEnd w:id="3"/>
    </w:p>
    <w:p w14:paraId="233D7745" w14:textId="77777777" w:rsidR="000E0B74" w:rsidRDefault="000E0B74" w:rsidP="000E0B74">
      <w:pPr>
        <w:pStyle w:val="Heading2"/>
      </w:pPr>
      <w:bookmarkStart w:id="5" w:name="_Toc24620195"/>
      <w:r>
        <w:t>Request for feedback and comments</w:t>
      </w:r>
      <w:bookmarkEnd w:id="5"/>
    </w:p>
    <w:p w14:paraId="06A14F14" w14:textId="3AD5DB05" w:rsidR="00703A65" w:rsidRDefault="00703A65" w:rsidP="000E0B74">
      <w:r>
        <w:t>While submissions may be lodged electronically or by post, electronic lodgement is preferred.</w:t>
      </w:r>
    </w:p>
    <w:p w14:paraId="35A07A12" w14:textId="492E1D4E" w:rsidR="000E0B74" w:rsidRDefault="000E0B74" w:rsidP="00257AEE">
      <w:pPr>
        <w:pStyle w:val="Heading3noTOC"/>
      </w:pPr>
      <w:r>
        <w:t>Closing date for submissions:</w:t>
      </w:r>
      <w:r w:rsidR="005E6171">
        <w:t xml:space="preserve"> </w:t>
      </w:r>
      <w:r w:rsidR="00865859">
        <w:rPr>
          <w:rStyle w:val="Heading3Char"/>
        </w:rPr>
        <w:t>17 January 2020</w:t>
      </w:r>
    </w:p>
    <w:tbl>
      <w:tblPr>
        <w:tblStyle w:val="TableGrid"/>
        <w:tblW w:w="0" w:type="auto"/>
        <w:tblLook w:val="04A0" w:firstRow="1" w:lastRow="0" w:firstColumn="1" w:lastColumn="0" w:noHBand="0" w:noVBand="1"/>
      </w:tblPr>
      <w:tblGrid>
        <w:gridCol w:w="1514"/>
        <w:gridCol w:w="7556"/>
      </w:tblGrid>
      <w:tr w:rsidR="000E0B74" w:rsidRPr="00B85F47" w14:paraId="1AEA4C34" w14:textId="77777777" w:rsidTr="00B85F47">
        <w:tc>
          <w:tcPr>
            <w:tcW w:w="1526" w:type="dxa"/>
            <w:shd w:val="clear" w:color="auto" w:fill="auto"/>
          </w:tcPr>
          <w:p w14:paraId="6877D768" w14:textId="77777777" w:rsidR="000E0B74" w:rsidRPr="008D0FCC" w:rsidRDefault="000E0B74" w:rsidP="0017089D">
            <w:pPr>
              <w:rPr>
                <w:sz w:val="22"/>
                <w:szCs w:val="22"/>
              </w:rPr>
            </w:pPr>
            <w:r w:rsidRPr="008D0FCC">
              <w:rPr>
                <w:sz w:val="22"/>
                <w:szCs w:val="22"/>
              </w:rPr>
              <w:t>Email</w:t>
            </w:r>
          </w:p>
        </w:tc>
        <w:tc>
          <w:tcPr>
            <w:tcW w:w="7654" w:type="dxa"/>
            <w:shd w:val="clear" w:color="auto" w:fill="auto"/>
          </w:tcPr>
          <w:p w14:paraId="588FACF0" w14:textId="456677CF" w:rsidR="000E0B74" w:rsidRPr="008D0FCC" w:rsidRDefault="009A458D" w:rsidP="00516785">
            <w:pPr>
              <w:rPr>
                <w:sz w:val="22"/>
                <w:szCs w:val="22"/>
              </w:rPr>
            </w:pPr>
            <w:r w:rsidRPr="008D0FCC">
              <w:rPr>
                <w:sz w:val="22"/>
                <w:szCs w:val="22"/>
              </w:rPr>
              <w:t>staplestaxconcession@treasury.gov.au</w:t>
            </w:r>
          </w:p>
        </w:tc>
      </w:tr>
      <w:tr w:rsidR="000E0B74" w:rsidRPr="00B85F47" w14:paraId="09602FBD" w14:textId="77777777" w:rsidTr="00B85F47">
        <w:tc>
          <w:tcPr>
            <w:tcW w:w="1526" w:type="dxa"/>
            <w:shd w:val="clear" w:color="auto" w:fill="auto"/>
          </w:tcPr>
          <w:p w14:paraId="297A38A4" w14:textId="77777777" w:rsidR="000E0B74" w:rsidRPr="00B85F47" w:rsidRDefault="000E0B74" w:rsidP="0017089D">
            <w:pPr>
              <w:rPr>
                <w:sz w:val="22"/>
                <w:szCs w:val="22"/>
              </w:rPr>
            </w:pPr>
            <w:r w:rsidRPr="00B85F47">
              <w:rPr>
                <w:sz w:val="22"/>
                <w:szCs w:val="22"/>
              </w:rPr>
              <w:t>Mail</w:t>
            </w:r>
          </w:p>
          <w:p w14:paraId="50DBA592" w14:textId="77777777" w:rsidR="008D7F38" w:rsidRPr="00B85F47" w:rsidRDefault="008D7F38" w:rsidP="0017089D">
            <w:pPr>
              <w:rPr>
                <w:sz w:val="22"/>
                <w:szCs w:val="22"/>
              </w:rPr>
            </w:pPr>
          </w:p>
          <w:p w14:paraId="156BC282" w14:textId="77777777" w:rsidR="008D7F38" w:rsidRPr="00B85F47" w:rsidRDefault="008D7F38" w:rsidP="0017089D">
            <w:pPr>
              <w:rPr>
                <w:sz w:val="22"/>
                <w:szCs w:val="22"/>
              </w:rPr>
            </w:pPr>
          </w:p>
        </w:tc>
        <w:tc>
          <w:tcPr>
            <w:tcW w:w="7654" w:type="dxa"/>
            <w:shd w:val="clear" w:color="auto" w:fill="auto"/>
          </w:tcPr>
          <w:p w14:paraId="6211C15A" w14:textId="33D5D28A" w:rsidR="000E0B74" w:rsidRPr="007850DF" w:rsidRDefault="007850DF" w:rsidP="0017089D">
            <w:pPr>
              <w:pStyle w:val="SingleParagraph"/>
              <w:rPr>
                <w:rFonts w:cs="Arial"/>
                <w:sz w:val="22"/>
                <w:szCs w:val="22"/>
              </w:rPr>
            </w:pPr>
            <w:r w:rsidRPr="007850DF">
              <w:rPr>
                <w:rFonts w:cs="Arial"/>
                <w:sz w:val="22"/>
                <w:szCs w:val="22"/>
              </w:rPr>
              <w:t>Manager</w:t>
            </w:r>
          </w:p>
          <w:p w14:paraId="5E338883" w14:textId="37A74FF3" w:rsidR="000E0B74" w:rsidRPr="007850DF" w:rsidRDefault="007850DF" w:rsidP="0017089D">
            <w:pPr>
              <w:pStyle w:val="SingleParagraph"/>
              <w:rPr>
                <w:rFonts w:cs="Arial"/>
                <w:sz w:val="22"/>
                <w:szCs w:val="22"/>
              </w:rPr>
            </w:pPr>
            <w:r w:rsidRPr="007850DF">
              <w:rPr>
                <w:rFonts w:cs="Arial"/>
                <w:sz w:val="22"/>
                <w:szCs w:val="22"/>
              </w:rPr>
              <w:t>Corporate and International Tax Division</w:t>
            </w:r>
          </w:p>
          <w:p w14:paraId="7A08FC3A" w14:textId="77777777" w:rsidR="000E0B74" w:rsidRPr="007850DF" w:rsidRDefault="000E0B74" w:rsidP="0017089D">
            <w:pPr>
              <w:pStyle w:val="SingleParagraph"/>
              <w:rPr>
                <w:rFonts w:cs="Arial"/>
                <w:sz w:val="22"/>
                <w:szCs w:val="22"/>
              </w:rPr>
            </w:pPr>
            <w:r w:rsidRPr="007850DF">
              <w:rPr>
                <w:rFonts w:cs="Arial"/>
                <w:sz w:val="22"/>
                <w:szCs w:val="22"/>
              </w:rPr>
              <w:t>The Treasury</w:t>
            </w:r>
          </w:p>
          <w:p w14:paraId="45C139D3" w14:textId="77777777" w:rsidR="000E0B74" w:rsidRPr="00B85F47" w:rsidRDefault="000E0B74" w:rsidP="0017089D">
            <w:pPr>
              <w:pStyle w:val="SingleParagraph"/>
              <w:rPr>
                <w:rFonts w:cs="Arial"/>
                <w:sz w:val="22"/>
                <w:szCs w:val="22"/>
              </w:rPr>
            </w:pPr>
            <w:r w:rsidRPr="00B85F47">
              <w:rPr>
                <w:rFonts w:cs="Arial"/>
                <w:sz w:val="22"/>
                <w:szCs w:val="22"/>
              </w:rPr>
              <w:t>Langton Crescent</w:t>
            </w:r>
          </w:p>
          <w:p w14:paraId="20D43E21" w14:textId="77777777" w:rsidR="000E0B74" w:rsidRPr="00B85F47" w:rsidRDefault="000E0B74" w:rsidP="0017089D">
            <w:pPr>
              <w:pStyle w:val="SingleParagraph"/>
              <w:rPr>
                <w:sz w:val="22"/>
                <w:szCs w:val="22"/>
              </w:rPr>
            </w:pPr>
            <w:r w:rsidRPr="00B85F47">
              <w:rPr>
                <w:sz w:val="22"/>
                <w:szCs w:val="22"/>
              </w:rPr>
              <w:t>PARKES ACT 2600</w:t>
            </w:r>
          </w:p>
        </w:tc>
      </w:tr>
      <w:tr w:rsidR="000E0B74" w:rsidRPr="00B85F47" w14:paraId="4A15E87B" w14:textId="77777777" w:rsidTr="00B85F47">
        <w:tc>
          <w:tcPr>
            <w:tcW w:w="1526" w:type="dxa"/>
            <w:shd w:val="clear" w:color="auto" w:fill="auto"/>
          </w:tcPr>
          <w:p w14:paraId="4A141E88" w14:textId="77777777" w:rsidR="000E0B74" w:rsidRPr="00B85F47" w:rsidRDefault="000E0B74" w:rsidP="0017089D">
            <w:pPr>
              <w:rPr>
                <w:sz w:val="22"/>
                <w:szCs w:val="22"/>
              </w:rPr>
            </w:pPr>
            <w:r w:rsidRPr="00B85F47">
              <w:rPr>
                <w:sz w:val="22"/>
                <w:szCs w:val="22"/>
              </w:rPr>
              <w:t>Enquiries</w:t>
            </w:r>
          </w:p>
        </w:tc>
        <w:tc>
          <w:tcPr>
            <w:tcW w:w="7654" w:type="dxa"/>
            <w:shd w:val="clear" w:color="auto" w:fill="auto"/>
          </w:tcPr>
          <w:p w14:paraId="00E41C14" w14:textId="0506FCDA" w:rsidR="000E0B74" w:rsidRPr="00B85F47" w:rsidRDefault="000E0B74" w:rsidP="00DE0EC5">
            <w:pPr>
              <w:rPr>
                <w:sz w:val="22"/>
                <w:szCs w:val="22"/>
              </w:rPr>
            </w:pPr>
            <w:r w:rsidRPr="00B85F47">
              <w:rPr>
                <w:rFonts w:cs="Arial"/>
                <w:sz w:val="22"/>
                <w:szCs w:val="22"/>
              </w:rPr>
              <w:t xml:space="preserve">Enquiries can be initially directed to </w:t>
            </w:r>
            <w:r w:rsidR="00DE0EC5" w:rsidRPr="00DE0EC5">
              <w:rPr>
                <w:rFonts w:cs="Arial"/>
                <w:sz w:val="22"/>
                <w:szCs w:val="22"/>
              </w:rPr>
              <w:t>Deepti Paton</w:t>
            </w:r>
          </w:p>
        </w:tc>
      </w:tr>
      <w:tr w:rsidR="000E0B74" w:rsidRPr="00B85F47" w14:paraId="0BB18BE3" w14:textId="77777777" w:rsidTr="00B85F47">
        <w:tc>
          <w:tcPr>
            <w:tcW w:w="1526" w:type="dxa"/>
            <w:shd w:val="clear" w:color="auto" w:fill="auto"/>
          </w:tcPr>
          <w:p w14:paraId="45849FE2" w14:textId="77777777" w:rsidR="000E0B74" w:rsidRPr="00B85F47" w:rsidRDefault="000E0B74" w:rsidP="0017089D">
            <w:pPr>
              <w:rPr>
                <w:sz w:val="22"/>
                <w:szCs w:val="22"/>
              </w:rPr>
            </w:pPr>
            <w:r w:rsidRPr="00B85F47">
              <w:rPr>
                <w:sz w:val="22"/>
                <w:szCs w:val="22"/>
              </w:rPr>
              <w:t>Phone</w:t>
            </w:r>
          </w:p>
        </w:tc>
        <w:tc>
          <w:tcPr>
            <w:tcW w:w="7654" w:type="dxa"/>
            <w:shd w:val="clear" w:color="auto" w:fill="auto"/>
          </w:tcPr>
          <w:p w14:paraId="0BF6874F" w14:textId="3A8D93F8" w:rsidR="000E0B74" w:rsidRPr="00B85F47" w:rsidRDefault="000E0B74" w:rsidP="00DE0EC5">
            <w:pPr>
              <w:rPr>
                <w:sz w:val="22"/>
                <w:szCs w:val="22"/>
              </w:rPr>
            </w:pPr>
            <w:r w:rsidRPr="00B85F47">
              <w:rPr>
                <w:rFonts w:cs="Arial"/>
                <w:sz w:val="22"/>
                <w:szCs w:val="22"/>
              </w:rPr>
              <w:t xml:space="preserve">02 6263 </w:t>
            </w:r>
            <w:r w:rsidR="00DE0EC5" w:rsidRPr="00DE0EC5">
              <w:rPr>
                <w:rFonts w:cs="Arial"/>
                <w:sz w:val="22"/>
                <w:szCs w:val="22"/>
              </w:rPr>
              <w:t>2765</w:t>
            </w:r>
          </w:p>
        </w:tc>
      </w:tr>
    </w:tbl>
    <w:p w14:paraId="7848F33F" w14:textId="77777777" w:rsidR="007825EE" w:rsidRDefault="007825EE" w:rsidP="007825EE">
      <w:pPr>
        <w:pStyle w:val="Heading2"/>
      </w:pPr>
      <w:bookmarkStart w:id="6" w:name="_Toc518566383"/>
      <w:bookmarkStart w:id="7" w:name="_Toc518573249"/>
      <w:bookmarkStart w:id="8" w:name="_Toc518573409"/>
      <w:bookmarkStart w:id="9" w:name="_Toc262519"/>
      <w:bookmarkStart w:id="10" w:name="_Toc262549"/>
      <w:bookmarkStart w:id="11" w:name="_Toc272191"/>
      <w:bookmarkStart w:id="12" w:name="_Toc278623"/>
      <w:bookmarkStart w:id="13" w:name="_Toc280036"/>
      <w:bookmarkStart w:id="14" w:name="_Toc345127"/>
      <w:bookmarkStart w:id="15" w:name="_Toc345256"/>
      <w:bookmarkStart w:id="16" w:name="_Toc536707472"/>
      <w:bookmarkStart w:id="17" w:name="_Toc446921"/>
      <w:bookmarkStart w:id="18" w:name="_Toc452998"/>
      <w:bookmarkStart w:id="19" w:name="_Toc509465"/>
      <w:bookmarkStart w:id="20" w:name="_Toc516571"/>
      <w:bookmarkStart w:id="21" w:name="_Toc536793901"/>
      <w:bookmarkStart w:id="22" w:name="_Toc517605"/>
      <w:bookmarkStart w:id="23" w:name="_Toc962753"/>
      <w:bookmarkStart w:id="24" w:name="_Toc5288681"/>
      <w:bookmarkStart w:id="25" w:name="_Toc24620196"/>
      <w:bookmarkEnd w:id="4"/>
      <w:r>
        <w:t>Providing a confidential response</w:t>
      </w:r>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p>
    <w:p w14:paraId="21A8AF2D" w14:textId="77777777" w:rsidR="007825EE" w:rsidRPr="008F1AC2" w:rsidRDefault="007825EE" w:rsidP="007825EE">
      <w:r>
        <w:t>It is our intention to publish non-confidential submissions on the Australian Treasury website after the closing date for submissions has passed.</w:t>
      </w:r>
    </w:p>
    <w:p w14:paraId="5F550B6A" w14:textId="77777777" w:rsidR="007825EE" w:rsidRDefault="007825EE" w:rsidP="007825EE">
      <w:r>
        <w:t>If you would like all or part of your submission to remain confidential, you should indicate this at the time of lodging your submission together with reasons as to why you are requesting that the information be accepted on a confidential basis. Automatically generated confidentiality statements in emails do not suffice for this purpose.</w:t>
      </w:r>
    </w:p>
    <w:p w14:paraId="5CA3D8F1" w14:textId="77777777" w:rsidR="007825EE" w:rsidRDefault="007825EE" w:rsidP="007825EE">
      <w:r>
        <w:t>Respondents who would like part of their submission to remain confidential should provide a version that ‘blacks out’ or specifically identifies the confidential information as well as a separate complete version.</w:t>
      </w:r>
    </w:p>
    <w:p w14:paraId="14C683EC" w14:textId="77777777" w:rsidR="007825EE" w:rsidRDefault="007825EE" w:rsidP="007825EE">
      <w:r>
        <w:t xml:space="preserve">A request made under the </w:t>
      </w:r>
      <w:r w:rsidRPr="008F1AC2">
        <w:rPr>
          <w:i/>
        </w:rPr>
        <w:t>Freedom of Information Act 1982</w:t>
      </w:r>
      <w:r>
        <w:t xml:space="preserve"> (Cth) to have access to submissions marked ‘confidential’ will be determined in accordance with that Act. </w:t>
      </w:r>
    </w:p>
    <w:p w14:paraId="5D8BE1AE" w14:textId="1D198D28" w:rsidR="00E10D39" w:rsidRDefault="00E10D39">
      <w:pPr>
        <w:spacing w:before="0" w:after="160" w:line="259" w:lineRule="auto"/>
      </w:pPr>
      <w:r>
        <w:br w:type="page"/>
      </w:r>
    </w:p>
    <w:p w14:paraId="0C1401B2" w14:textId="1BC915CD" w:rsidR="002526EF" w:rsidRDefault="002526EF" w:rsidP="002526EF">
      <w:pPr>
        <w:pStyle w:val="Heading2"/>
      </w:pPr>
      <w:bookmarkStart w:id="26" w:name="_Toc24620197"/>
      <w:r>
        <w:lastRenderedPageBreak/>
        <w:t>Overview</w:t>
      </w:r>
      <w:bookmarkEnd w:id="26"/>
      <w:r>
        <w:t xml:space="preserve"> </w:t>
      </w:r>
    </w:p>
    <w:p w14:paraId="428D51C4" w14:textId="5703F7CC" w:rsidR="00A04782" w:rsidRPr="00A04782" w:rsidRDefault="00A04782" w:rsidP="00DE0217">
      <w:pPr>
        <w:pStyle w:val="OutlineNumbered1"/>
      </w:pPr>
      <w:r w:rsidRPr="00A04782">
        <w:t xml:space="preserve">The purpose of this note is to provide guidance to potential applicants regarding the processes for applications to the Treasurer for the </w:t>
      </w:r>
      <w:r w:rsidR="0030697C">
        <w:t>economic infrastructure staples tax concession</w:t>
      </w:r>
      <w:r w:rsidR="001E4EE0">
        <w:t xml:space="preserve"> (the concession)</w:t>
      </w:r>
      <w:r w:rsidRPr="00A04782">
        <w:t>.</w:t>
      </w:r>
    </w:p>
    <w:p w14:paraId="3702B817" w14:textId="1693EEF0" w:rsidR="00A04782" w:rsidRPr="00A04782" w:rsidRDefault="00A04782" w:rsidP="00DE0217">
      <w:pPr>
        <w:pStyle w:val="OutlineNumbered1"/>
      </w:pPr>
      <w:r w:rsidRPr="00A04782">
        <w:t>The Treasurer’s approval of an application for this concession cannot be relied on as an indication that an approval from a local, state</w:t>
      </w:r>
      <w:r w:rsidR="00F931BE">
        <w:t>,</w:t>
      </w:r>
      <w:r w:rsidRPr="00A04782">
        <w:t xml:space="preserve"> territory, or Commonwealth </w:t>
      </w:r>
      <w:r w:rsidR="00183E55">
        <w:t>G</w:t>
      </w:r>
      <w:r w:rsidRPr="00A04782">
        <w:t>overnment, or government agency, will be forthcoming, for example, in relation to planning approvals, foreign investment approvals, private rulings from the Australian Taxation Office (ATO) or any other approval.</w:t>
      </w:r>
    </w:p>
    <w:p w14:paraId="57B3167C" w14:textId="09DE7A33" w:rsidR="00E16BC2" w:rsidRDefault="00E16BC2" w:rsidP="00E16BC2">
      <w:pPr>
        <w:pStyle w:val="Heading2"/>
      </w:pPr>
      <w:bookmarkStart w:id="27" w:name="_Toc24620198"/>
      <w:r w:rsidRPr="00E16BC2">
        <w:t>What is the concession?</w:t>
      </w:r>
      <w:bookmarkEnd w:id="27"/>
      <w:r w:rsidRPr="00E16BC2">
        <w:t xml:space="preserve"> </w:t>
      </w:r>
    </w:p>
    <w:p w14:paraId="170CFEFB" w14:textId="2303360F" w:rsidR="000B0681" w:rsidRPr="000B0681" w:rsidRDefault="00CB7E55" w:rsidP="00DE0217">
      <w:pPr>
        <w:pStyle w:val="OutlineNumbered1"/>
      </w:pPr>
      <w:r w:rsidRPr="00C46AA1">
        <w:t xml:space="preserve">The </w:t>
      </w:r>
      <w:r>
        <w:t>concession</w:t>
      </w:r>
      <w:r w:rsidRPr="00C46AA1">
        <w:t xml:space="preserve"> ensure</w:t>
      </w:r>
      <w:r w:rsidR="00D90C6D">
        <w:t>s</w:t>
      </w:r>
      <w:r w:rsidRPr="00C46AA1">
        <w:t xml:space="preserve"> continued support</w:t>
      </w:r>
      <w:r>
        <w:t xml:space="preserve"> </w:t>
      </w:r>
      <w:r w:rsidRPr="00C46AA1">
        <w:t xml:space="preserve">for the development of nationally significant infrastructure </w:t>
      </w:r>
      <w:r>
        <w:t>facilities.</w:t>
      </w:r>
    </w:p>
    <w:p w14:paraId="36D46BB9" w14:textId="494494D5" w:rsidR="00052B9E" w:rsidRDefault="00E16BC2" w:rsidP="00DE0217">
      <w:pPr>
        <w:pStyle w:val="OutlineNumbered1"/>
      </w:pPr>
      <w:r>
        <w:t>The concession</w:t>
      </w:r>
      <w:r w:rsidR="00052B9E">
        <w:t xml:space="preserve">:  </w:t>
      </w:r>
    </w:p>
    <w:p w14:paraId="779ABA1F" w14:textId="6456822B" w:rsidR="00052B9E" w:rsidRDefault="00E16BC2">
      <w:pPr>
        <w:pStyle w:val="Bullet"/>
      </w:pPr>
      <w:r>
        <w:t>is an exception to the 30 per cent managed investment trust (MIT) withholding tax rate on non</w:t>
      </w:r>
      <w:r w:rsidR="00C22EBB">
        <w:noBreakHyphen/>
      </w:r>
      <w:r w:rsidRPr="00C62A7C">
        <w:t>resident</w:t>
      </w:r>
      <w:r>
        <w:t xml:space="preserve"> investors that applies to </w:t>
      </w:r>
      <w:r w:rsidRPr="00C62A7C">
        <w:t>distributions</w:t>
      </w:r>
      <w:r>
        <w:t xml:space="preserve"> of income that are, broadly, attributable to a cross staple arrangem</w:t>
      </w:r>
      <w:r w:rsidR="00052B9E">
        <w:t xml:space="preserve">ent; </w:t>
      </w:r>
      <w:r>
        <w:t xml:space="preserve"> </w:t>
      </w:r>
    </w:p>
    <w:p w14:paraId="7366D9F2" w14:textId="5AFDD1BA" w:rsidR="00052B9E" w:rsidRDefault="00E16BC2">
      <w:pPr>
        <w:pStyle w:val="Bullet"/>
      </w:pPr>
      <w:r>
        <w:t>applies a withholding tax rate of 15 per cent to distributions of income to non</w:t>
      </w:r>
      <w:r w:rsidR="00C9299E">
        <w:noBreakHyphen/>
      </w:r>
      <w:r>
        <w:t>residents to the extent that the income is rent from an investment in land attributable to an approved new economic infrastructure facility (or approved improvement to an economic infrastructure facility)</w:t>
      </w:r>
      <w:r w:rsidR="00CF694C">
        <w:t>; and</w:t>
      </w:r>
      <w:r>
        <w:t xml:space="preserve"> </w:t>
      </w:r>
    </w:p>
    <w:p w14:paraId="213D3ECC" w14:textId="3556A297" w:rsidR="00E16BC2" w:rsidRDefault="00E16BC2">
      <w:pPr>
        <w:pStyle w:val="Bullet"/>
      </w:pPr>
      <w:r>
        <w:t>applies for 15 years from the date that an asset that is part of the facility (or improvement to the facility) is first put to use.</w:t>
      </w:r>
    </w:p>
    <w:p w14:paraId="57A85D03" w14:textId="28BE087A" w:rsidR="00F307CA" w:rsidRDefault="00F307CA" w:rsidP="00DE0217">
      <w:pPr>
        <w:pStyle w:val="OutlineNumbered1"/>
      </w:pPr>
      <w:r>
        <w:t xml:space="preserve">Legislation for the concession is at section 12-439 of Schedule 1 </w:t>
      </w:r>
      <w:r w:rsidR="00E44FDF">
        <w:t>to</w:t>
      </w:r>
      <w:r>
        <w:t xml:space="preserve"> the </w:t>
      </w:r>
      <w:r>
        <w:rPr>
          <w:i/>
        </w:rPr>
        <w:t>Tax</w:t>
      </w:r>
      <w:r w:rsidR="00E44FDF">
        <w:rPr>
          <w:i/>
        </w:rPr>
        <w:t>ation</w:t>
      </w:r>
      <w:r>
        <w:rPr>
          <w:i/>
        </w:rPr>
        <w:t xml:space="preserve"> Administration Act</w:t>
      </w:r>
      <w:r w:rsidR="00E44FDF">
        <w:rPr>
          <w:i/>
        </w:rPr>
        <w:t> </w:t>
      </w:r>
      <w:r>
        <w:rPr>
          <w:i/>
        </w:rPr>
        <w:t>1953</w:t>
      </w:r>
      <w:r>
        <w:t>.</w:t>
      </w:r>
    </w:p>
    <w:p w14:paraId="57213903" w14:textId="77777777" w:rsidR="00E16BC2" w:rsidRDefault="00E16BC2" w:rsidP="00E16BC2">
      <w:pPr>
        <w:pStyle w:val="Heading2"/>
      </w:pPr>
      <w:bookmarkStart w:id="28" w:name="_Toc530754856"/>
      <w:bookmarkStart w:id="29" w:name="_Toc530756096"/>
      <w:bookmarkStart w:id="30" w:name="_Toc530991080"/>
      <w:bookmarkStart w:id="31" w:name="_Toc530991237"/>
      <w:bookmarkStart w:id="32" w:name="_Toc24620199"/>
      <w:r>
        <w:t>The application process</w:t>
      </w:r>
      <w:bookmarkEnd w:id="28"/>
      <w:bookmarkEnd w:id="29"/>
      <w:bookmarkEnd w:id="30"/>
      <w:bookmarkEnd w:id="31"/>
      <w:bookmarkEnd w:id="32"/>
      <w:r>
        <w:t xml:space="preserve"> </w:t>
      </w:r>
    </w:p>
    <w:p w14:paraId="309517CF" w14:textId="77777777" w:rsidR="00E16BC2" w:rsidRPr="00D16CC3" w:rsidRDefault="00E16BC2" w:rsidP="00E16BC2">
      <w:pPr>
        <w:pStyle w:val="Heading3"/>
      </w:pPr>
      <w:bookmarkStart w:id="33" w:name="_Toc530754857"/>
      <w:bookmarkStart w:id="34" w:name="_Toc530756097"/>
      <w:bookmarkStart w:id="35" w:name="_Toc530991081"/>
      <w:bookmarkStart w:id="36" w:name="_Toc530991238"/>
      <w:bookmarkStart w:id="37" w:name="_Toc24620200"/>
      <w:r>
        <w:t>Who can apply?</w:t>
      </w:r>
      <w:bookmarkEnd w:id="33"/>
      <w:bookmarkEnd w:id="34"/>
      <w:bookmarkEnd w:id="35"/>
      <w:bookmarkEnd w:id="36"/>
      <w:bookmarkEnd w:id="37"/>
      <w:r>
        <w:t xml:space="preserve"> </w:t>
      </w:r>
    </w:p>
    <w:p w14:paraId="62BF335E" w14:textId="77777777" w:rsidR="00E16BC2" w:rsidRPr="00E16BC2" w:rsidRDefault="00E16BC2" w:rsidP="00DE0217">
      <w:pPr>
        <w:pStyle w:val="OutlineNumbered1"/>
      </w:pPr>
      <w:r w:rsidRPr="00E16BC2">
        <w:t xml:space="preserve">An Australian government agency (other than the Commonwealth) may make an application to the Treasurer in respect of the facility or an improvement to the facility. </w:t>
      </w:r>
    </w:p>
    <w:p w14:paraId="5C228ED0" w14:textId="77777777" w:rsidR="00E16BC2" w:rsidRPr="00E16BC2" w:rsidRDefault="00E16BC2" w:rsidP="00DE0217">
      <w:pPr>
        <w:pStyle w:val="OutlineNumbered1"/>
        <w:rPr>
          <w:lang w:val="en"/>
        </w:rPr>
      </w:pPr>
      <w:r w:rsidRPr="00E16BC2">
        <w:t xml:space="preserve">Australian government agency is defined in section 995-1 of the </w:t>
      </w:r>
      <w:r w:rsidRPr="00E16BC2">
        <w:rPr>
          <w:i/>
        </w:rPr>
        <w:t>Income Tax Assessment Act 1997</w:t>
      </w:r>
      <w:r w:rsidRPr="00E16BC2">
        <w:t xml:space="preserve"> as </w:t>
      </w:r>
      <w:r w:rsidRPr="00E16BC2">
        <w:rPr>
          <w:bCs/>
          <w:iCs/>
          <w:lang w:val="en"/>
        </w:rPr>
        <w:t>meaning</w:t>
      </w:r>
      <w:r w:rsidRPr="00E16BC2">
        <w:rPr>
          <w:lang w:val="en"/>
        </w:rPr>
        <w:t xml:space="preserve">: </w:t>
      </w:r>
      <w:bookmarkStart w:id="38" w:name="paragraph"/>
    </w:p>
    <w:p w14:paraId="34CDB075" w14:textId="77777777" w:rsidR="00E16BC2" w:rsidRPr="00E16BC2" w:rsidRDefault="00E16BC2">
      <w:pPr>
        <w:pStyle w:val="paragraph"/>
      </w:pPr>
      <w:r w:rsidRPr="00E16BC2">
        <w:t xml:space="preserve">the </w:t>
      </w:r>
      <w:r w:rsidRPr="00C62A7C">
        <w:t>Commonwealth</w:t>
      </w:r>
      <w:r w:rsidRPr="00E16BC2">
        <w:t xml:space="preserve">, a State or a Territory; or </w:t>
      </w:r>
    </w:p>
    <w:bookmarkEnd w:id="38"/>
    <w:p w14:paraId="51F74BC0" w14:textId="77777777" w:rsidR="00E16BC2" w:rsidRPr="00E16BC2" w:rsidRDefault="00E16BC2" w:rsidP="00DE0217">
      <w:pPr>
        <w:pStyle w:val="paragraph"/>
      </w:pPr>
      <w:r w:rsidRPr="00E16BC2">
        <w:t xml:space="preserve">an authority of the Commonwealth or of a State or a Territory. </w:t>
      </w:r>
    </w:p>
    <w:p w14:paraId="1721D706" w14:textId="77777777" w:rsidR="00E16BC2" w:rsidRPr="00E16BC2" w:rsidRDefault="00E16BC2" w:rsidP="00DE0217">
      <w:pPr>
        <w:pStyle w:val="OutlineNumbered1"/>
      </w:pPr>
      <w:r w:rsidRPr="00E16BC2">
        <w:t xml:space="preserve">Applications can only be made by an Australian government agency (for example, a State Government authority). These applications can be in respect of: </w:t>
      </w:r>
    </w:p>
    <w:p w14:paraId="0842C598" w14:textId="77777777" w:rsidR="00E16BC2" w:rsidRPr="00E16BC2" w:rsidRDefault="00E16BC2" w:rsidP="00DE0217">
      <w:pPr>
        <w:pStyle w:val="Bullet"/>
      </w:pPr>
      <w:r w:rsidRPr="00E16BC2">
        <w:t xml:space="preserve">a </w:t>
      </w:r>
      <w:r w:rsidRPr="00C62A7C">
        <w:t>facility</w:t>
      </w:r>
      <w:r w:rsidRPr="00E16BC2">
        <w:t xml:space="preserve"> which the agency intends to develop or improve and then dispose of an interest in; or </w:t>
      </w:r>
    </w:p>
    <w:p w14:paraId="04A3057B" w14:textId="77777777" w:rsidR="00E16BC2" w:rsidRPr="00E16BC2" w:rsidRDefault="00E16BC2" w:rsidP="00DE0217">
      <w:pPr>
        <w:pStyle w:val="Bullet"/>
      </w:pPr>
      <w:r w:rsidRPr="00E16BC2">
        <w:t xml:space="preserve">a non-government owned, operated and/or proposed </w:t>
      </w:r>
      <w:r w:rsidRPr="00C62A7C">
        <w:t>facility</w:t>
      </w:r>
      <w:r w:rsidRPr="00E16BC2">
        <w:t xml:space="preserve"> or improvement to a facility.</w:t>
      </w:r>
    </w:p>
    <w:p w14:paraId="7D15E811" w14:textId="77777777" w:rsidR="00E16BC2" w:rsidRDefault="00E16BC2" w:rsidP="00E16BC2">
      <w:pPr>
        <w:pStyle w:val="Heading3"/>
      </w:pPr>
      <w:bookmarkStart w:id="39" w:name="_Toc528320737"/>
      <w:bookmarkStart w:id="40" w:name="_Toc530754858"/>
      <w:bookmarkStart w:id="41" w:name="_Toc530756098"/>
      <w:bookmarkStart w:id="42" w:name="_Toc530991082"/>
      <w:bookmarkStart w:id="43" w:name="_Toc530991239"/>
      <w:bookmarkStart w:id="44" w:name="_Toc24620201"/>
      <w:r>
        <w:lastRenderedPageBreak/>
        <w:t>How to apply?</w:t>
      </w:r>
      <w:bookmarkEnd w:id="39"/>
      <w:bookmarkEnd w:id="40"/>
      <w:bookmarkEnd w:id="41"/>
      <w:bookmarkEnd w:id="42"/>
      <w:bookmarkEnd w:id="43"/>
      <w:bookmarkEnd w:id="44"/>
      <w:r>
        <w:t xml:space="preserve"> </w:t>
      </w:r>
    </w:p>
    <w:p w14:paraId="4C74D0B5" w14:textId="77777777" w:rsidR="00E16BC2" w:rsidRDefault="00E16BC2" w:rsidP="00DE0217">
      <w:pPr>
        <w:pStyle w:val="OutlineNumbered1"/>
      </w:pPr>
      <w:r>
        <w:t xml:space="preserve">A completed application should be submitted to the Treasurer via </w:t>
      </w:r>
      <w:r w:rsidRPr="00DE0217">
        <w:t>[email address]</w:t>
      </w:r>
      <w:r>
        <w:t xml:space="preserve">. </w:t>
      </w:r>
    </w:p>
    <w:p w14:paraId="0E9E3650" w14:textId="77777777" w:rsidR="00D4368C" w:rsidRDefault="00E16BC2" w:rsidP="00DE0217">
      <w:pPr>
        <w:pStyle w:val="OutlineNumbered1"/>
      </w:pPr>
      <w:r>
        <w:t>The application</w:t>
      </w:r>
      <w:r w:rsidDel="003F0CE4">
        <w:t xml:space="preserve"> </w:t>
      </w:r>
      <w:r>
        <w:t xml:space="preserve">must include the information specified in this document and may include any other information that the applicant considers would assist the Treasurer in making a determination. </w:t>
      </w:r>
    </w:p>
    <w:p w14:paraId="38778566" w14:textId="23C0B7CB" w:rsidR="00E16BC2" w:rsidRDefault="00E16BC2" w:rsidP="00DE0217">
      <w:pPr>
        <w:pStyle w:val="OutlineNumbered1"/>
      </w:pPr>
      <w:r>
        <w:t xml:space="preserve">Applicants should consider the applicability of the ATO’s Law Companion Ruling </w:t>
      </w:r>
      <w:r w:rsidRPr="00DE0217">
        <w:t>LCR 2019/</w:t>
      </w:r>
      <w:r w:rsidR="00B00A41" w:rsidRPr="00DE0217">
        <w:t>D2</w:t>
      </w:r>
      <w:r w:rsidRPr="00DE0217">
        <w:t xml:space="preserve"> (Non</w:t>
      </w:r>
      <w:r w:rsidR="008C423C" w:rsidRPr="00DE0217">
        <w:noBreakHyphen/>
      </w:r>
      <w:r w:rsidRPr="00DE0217">
        <w:t>concessional MIT income)</w:t>
      </w:r>
      <w:r w:rsidR="008C423C" w:rsidRPr="00DE0217">
        <w:rPr>
          <w:rStyle w:val="FootnoteReference"/>
        </w:rPr>
        <w:footnoteReference w:id="2"/>
      </w:r>
      <w:r>
        <w:t xml:space="preserve"> in making their application.</w:t>
      </w:r>
    </w:p>
    <w:p w14:paraId="5C456522" w14:textId="77777777" w:rsidR="00E16BC2" w:rsidRDefault="00E16BC2" w:rsidP="00DE0217">
      <w:pPr>
        <w:pStyle w:val="OutlineNumbered1"/>
      </w:pPr>
      <w:r>
        <w:t>The applicant must provide a supplement to the application if any of the information contained in the application changes or becomes incorrect after the application date.</w:t>
      </w:r>
    </w:p>
    <w:p w14:paraId="6D45A357" w14:textId="57828D68" w:rsidR="00E16BC2" w:rsidRDefault="00E16BC2" w:rsidP="00DE0217">
      <w:pPr>
        <w:pStyle w:val="OutlineNumbered1"/>
      </w:pPr>
      <w:r>
        <w:t>Applications for the concession will be treated as being provided in-confidence to the Government for the purposes of seeking approval from the Treasurer for the concession.</w:t>
      </w:r>
    </w:p>
    <w:p w14:paraId="23982037" w14:textId="77777777" w:rsidR="00E16BC2" w:rsidDel="00323397" w:rsidRDefault="00E16BC2" w:rsidP="00DE0217">
      <w:pPr>
        <w:pStyle w:val="OutlineNumbered1"/>
      </w:pPr>
      <w:r>
        <w:t>Treasury will assess the application, and provide advice to the Treasurer. As part of this assessment process, Treasury may seek input from a</w:t>
      </w:r>
      <w:r w:rsidRPr="002F59C0">
        <w:t>ny federal, state and territory or local government department or agency as relevant</w:t>
      </w:r>
      <w:r>
        <w:t>, including:</w:t>
      </w:r>
    </w:p>
    <w:p w14:paraId="1E18AF21" w14:textId="20174825" w:rsidR="00E16BC2" w:rsidRPr="00C62A7C" w:rsidRDefault="00CF694C" w:rsidP="00DE0217">
      <w:pPr>
        <w:pStyle w:val="Bullet"/>
      </w:pPr>
      <w:r w:rsidRPr="00C62A7C">
        <w:t xml:space="preserve">the </w:t>
      </w:r>
      <w:r w:rsidR="00E16BC2" w:rsidRPr="00C62A7C">
        <w:t>Department of Infrastructure, Transport, Cities and Regional Development;</w:t>
      </w:r>
    </w:p>
    <w:p w14:paraId="340353F7" w14:textId="77777777" w:rsidR="00E16BC2" w:rsidRPr="00C62A7C" w:rsidRDefault="00E16BC2" w:rsidP="00DE0217">
      <w:pPr>
        <w:pStyle w:val="Bullet"/>
      </w:pPr>
      <w:r w:rsidRPr="00C62A7C">
        <w:t>Infrastructure Australia;</w:t>
      </w:r>
    </w:p>
    <w:p w14:paraId="7EB8EF70" w14:textId="383789E9" w:rsidR="00E16BC2" w:rsidRPr="00C62A7C" w:rsidRDefault="00CF694C" w:rsidP="00DE0217">
      <w:pPr>
        <w:pStyle w:val="Bullet"/>
      </w:pPr>
      <w:r w:rsidRPr="00C62A7C">
        <w:t xml:space="preserve">the </w:t>
      </w:r>
      <w:r w:rsidR="00695E69" w:rsidRPr="00C62A7C">
        <w:t>ATO</w:t>
      </w:r>
      <w:r w:rsidR="00E16BC2" w:rsidRPr="00C62A7C">
        <w:t>;</w:t>
      </w:r>
    </w:p>
    <w:p w14:paraId="17C68B2F" w14:textId="45B27AA6" w:rsidR="00E16BC2" w:rsidRPr="00C62A7C" w:rsidRDefault="00CF694C" w:rsidP="00DE0217">
      <w:pPr>
        <w:pStyle w:val="Bullet"/>
      </w:pPr>
      <w:r w:rsidRPr="00C62A7C">
        <w:t xml:space="preserve">the </w:t>
      </w:r>
      <w:r w:rsidR="00E16BC2" w:rsidRPr="00C62A7C">
        <w:t>Infrastructure and Project Financing Agency;</w:t>
      </w:r>
    </w:p>
    <w:p w14:paraId="36D64857" w14:textId="6B180553" w:rsidR="00E16BC2" w:rsidRPr="00C62A7C" w:rsidRDefault="00CF694C" w:rsidP="00DE0217">
      <w:pPr>
        <w:pStyle w:val="Bullet"/>
      </w:pPr>
      <w:r w:rsidRPr="00C62A7C">
        <w:t xml:space="preserve">the </w:t>
      </w:r>
      <w:r w:rsidR="00E16BC2" w:rsidRPr="00C62A7C">
        <w:t>Department of Communications and the Arts;</w:t>
      </w:r>
    </w:p>
    <w:p w14:paraId="55A20945" w14:textId="139124E3" w:rsidR="00E16BC2" w:rsidRPr="00C62A7C" w:rsidRDefault="00CF694C" w:rsidP="00DE0217">
      <w:pPr>
        <w:pStyle w:val="Bullet"/>
      </w:pPr>
      <w:r w:rsidRPr="00C62A7C">
        <w:t xml:space="preserve">the </w:t>
      </w:r>
      <w:r w:rsidR="00E16BC2" w:rsidRPr="00C62A7C">
        <w:t>Department of the Environment and Energy; and/or</w:t>
      </w:r>
    </w:p>
    <w:p w14:paraId="444A89D6" w14:textId="4240C2F3" w:rsidR="00E16BC2" w:rsidRPr="00C62A7C" w:rsidRDefault="00CF694C" w:rsidP="00DE0217">
      <w:pPr>
        <w:pStyle w:val="Bullet"/>
      </w:pPr>
      <w:r w:rsidRPr="00C62A7C">
        <w:t xml:space="preserve">the </w:t>
      </w:r>
      <w:r w:rsidR="00E16BC2" w:rsidRPr="00C62A7C">
        <w:t xml:space="preserve">Department of Agriculture. </w:t>
      </w:r>
    </w:p>
    <w:p w14:paraId="7A96B48D" w14:textId="77777777" w:rsidR="00E16BC2" w:rsidRPr="00C62A7C" w:rsidRDefault="00E16BC2" w:rsidP="00DE0217">
      <w:pPr>
        <w:pStyle w:val="OutlineNumbered1"/>
      </w:pPr>
      <w:bookmarkStart w:id="45" w:name="_Toc511921257"/>
      <w:r w:rsidRPr="00C62A7C">
        <w:t xml:space="preserve">An approval of the Treasurer:  </w:t>
      </w:r>
    </w:p>
    <w:p w14:paraId="02996EF3" w14:textId="77777777" w:rsidR="00E16BC2" w:rsidRPr="00DE0217" w:rsidRDefault="00E16BC2" w:rsidP="00DE0217">
      <w:pPr>
        <w:pStyle w:val="Bullet"/>
        <w:rPr>
          <w:rFonts w:eastAsiaTheme="minorHAnsi"/>
        </w:rPr>
      </w:pPr>
      <w:r w:rsidRPr="00DE0217">
        <w:rPr>
          <w:rFonts w:eastAsiaTheme="minorHAnsi"/>
        </w:rPr>
        <w:t xml:space="preserve">will be in writing; </w:t>
      </w:r>
    </w:p>
    <w:p w14:paraId="53421F24" w14:textId="77777777" w:rsidR="00E16BC2" w:rsidRPr="00DE0217" w:rsidRDefault="00E16BC2" w:rsidP="00DE0217">
      <w:pPr>
        <w:pStyle w:val="Bullet"/>
        <w:rPr>
          <w:rFonts w:eastAsiaTheme="minorHAnsi"/>
        </w:rPr>
      </w:pPr>
      <w:r w:rsidRPr="00DE0217">
        <w:rPr>
          <w:rFonts w:eastAsiaTheme="minorHAnsi"/>
        </w:rPr>
        <w:t xml:space="preserve">will specify the facility, or the improvement, that is approved; </w:t>
      </w:r>
    </w:p>
    <w:p w14:paraId="2AB19122" w14:textId="77777777" w:rsidR="00E16BC2" w:rsidRPr="00DE0217" w:rsidRDefault="00E16BC2" w:rsidP="00DE0217">
      <w:pPr>
        <w:pStyle w:val="Bullet"/>
        <w:rPr>
          <w:rFonts w:eastAsiaTheme="minorHAnsi"/>
        </w:rPr>
      </w:pPr>
      <w:r w:rsidRPr="00DE0217">
        <w:rPr>
          <w:rFonts w:eastAsiaTheme="minorHAnsi"/>
        </w:rPr>
        <w:t xml:space="preserve">will specify the date on which the approval comes into force; and </w:t>
      </w:r>
    </w:p>
    <w:p w14:paraId="791982CA" w14:textId="77777777" w:rsidR="00E16BC2" w:rsidRPr="00DE0217" w:rsidRDefault="00E16BC2" w:rsidP="00DE0217">
      <w:pPr>
        <w:pStyle w:val="Bullet"/>
        <w:rPr>
          <w:rFonts w:eastAsiaTheme="minorHAnsi"/>
        </w:rPr>
      </w:pPr>
      <w:r w:rsidRPr="00DE0217">
        <w:rPr>
          <w:rFonts w:eastAsiaTheme="minorHAnsi"/>
        </w:rPr>
        <w:t xml:space="preserve">may contain any other information that the Treasurer considers appropriate. </w:t>
      </w:r>
    </w:p>
    <w:p w14:paraId="62BB7D7C" w14:textId="31F8CF63" w:rsidR="00E16BC2" w:rsidRDefault="00E16BC2" w:rsidP="00DE0217">
      <w:pPr>
        <w:pStyle w:val="OutlineNumbered1"/>
        <w:rPr>
          <w:rFonts w:eastAsiaTheme="minorHAnsi"/>
          <w:lang w:eastAsia="en-US"/>
        </w:rPr>
      </w:pPr>
      <w:r>
        <w:rPr>
          <w:rFonts w:eastAsiaTheme="minorHAnsi"/>
          <w:lang w:eastAsia="en-US"/>
        </w:rPr>
        <w:t xml:space="preserve">The Treasurer will publicly announce an approval and it will be reported as a measure in the Budget </w:t>
      </w:r>
      <w:r w:rsidR="004E7DED">
        <w:rPr>
          <w:rFonts w:eastAsiaTheme="minorHAnsi"/>
          <w:lang w:eastAsia="en-US"/>
        </w:rPr>
        <w:t>process</w:t>
      </w:r>
      <w:r>
        <w:rPr>
          <w:rFonts w:eastAsiaTheme="minorHAnsi"/>
          <w:lang w:eastAsia="en-US"/>
        </w:rPr>
        <w:t xml:space="preserve">. The cost to revenue of approving the concession for the facility or improvement will not specifically be identified in the Budget </w:t>
      </w:r>
      <w:r w:rsidR="004E7DED">
        <w:rPr>
          <w:rFonts w:eastAsiaTheme="minorHAnsi"/>
          <w:lang w:eastAsia="en-US"/>
        </w:rPr>
        <w:t>process</w:t>
      </w:r>
      <w:r>
        <w:rPr>
          <w:rFonts w:eastAsiaTheme="minorHAnsi"/>
          <w:lang w:eastAsia="en-US"/>
        </w:rPr>
        <w:t xml:space="preserve"> if doing so would cause commercial</w:t>
      </w:r>
      <w:r>
        <w:rPr>
          <w:rFonts w:eastAsiaTheme="minorHAnsi"/>
          <w:lang w:eastAsia="en-US"/>
        </w:rPr>
        <w:noBreakHyphen/>
        <w:t>in</w:t>
      </w:r>
      <w:r>
        <w:rPr>
          <w:rFonts w:eastAsiaTheme="minorHAnsi"/>
          <w:lang w:eastAsia="en-US"/>
        </w:rPr>
        <w:noBreakHyphen/>
        <w:t>confidence information to be revealed.</w:t>
      </w:r>
    </w:p>
    <w:p w14:paraId="4DC9F2DC" w14:textId="527DE1A6" w:rsidR="00E16BC2" w:rsidRDefault="00E16BC2" w:rsidP="00DE0217">
      <w:pPr>
        <w:pStyle w:val="OutlineNumbered1"/>
        <w:rPr>
          <w:rFonts w:eastAsiaTheme="minorHAnsi"/>
          <w:lang w:eastAsia="en-US"/>
        </w:rPr>
      </w:pPr>
      <w:r w:rsidRPr="00ED77C5">
        <w:rPr>
          <w:rFonts w:eastAsiaTheme="minorHAnsi"/>
          <w:lang w:eastAsia="en-US"/>
        </w:rPr>
        <w:t xml:space="preserve">If the Treasurer decides not to approve the facility or the improvement to a facility specified in the application, the Treasurer </w:t>
      </w:r>
      <w:r>
        <w:rPr>
          <w:rFonts w:eastAsiaTheme="minorHAnsi"/>
          <w:lang w:eastAsia="en-US"/>
        </w:rPr>
        <w:t>is required to</w:t>
      </w:r>
      <w:r w:rsidRPr="00ED77C5">
        <w:rPr>
          <w:rFonts w:eastAsiaTheme="minorHAnsi"/>
          <w:lang w:eastAsia="en-US"/>
        </w:rPr>
        <w:t xml:space="preserve"> notify the applicant of the</w:t>
      </w:r>
      <w:r>
        <w:rPr>
          <w:rFonts w:eastAsiaTheme="minorHAnsi"/>
          <w:lang w:eastAsia="en-US"/>
        </w:rPr>
        <w:t xml:space="preserve"> decision in writing as soon as practicable after making the decision. </w:t>
      </w:r>
    </w:p>
    <w:p w14:paraId="5776C294" w14:textId="16EBFB1C" w:rsidR="00E16BC2" w:rsidRPr="00017356" w:rsidRDefault="00E16BC2" w:rsidP="00DE0217">
      <w:pPr>
        <w:pStyle w:val="OutlineNumbered1"/>
      </w:pPr>
      <w:r>
        <w:rPr>
          <w:rFonts w:eastAsiaTheme="minorHAnsi"/>
          <w:lang w:eastAsia="en-US"/>
        </w:rPr>
        <w:t>In addition to providing their application to the Treasurer, applicants must also submit a final business case to Infrastructure Australia for evaluation.</w:t>
      </w:r>
      <w:r w:rsidR="00252D3D">
        <w:rPr>
          <w:rStyle w:val="FootnoteReference"/>
          <w:rFonts w:eastAsiaTheme="minorHAnsi"/>
          <w:lang w:eastAsia="en-US"/>
        </w:rPr>
        <w:footnoteReference w:id="3"/>
      </w:r>
      <w:r>
        <w:rPr>
          <w:rFonts w:eastAsiaTheme="minorHAnsi"/>
          <w:lang w:eastAsia="en-US"/>
        </w:rPr>
        <w:t xml:space="preserve"> Infrastructure Australia is required to publish an evaluation summary following its evaluation of a project business </w:t>
      </w:r>
      <w:r>
        <w:rPr>
          <w:rFonts w:eastAsiaTheme="minorHAnsi"/>
          <w:lang w:eastAsia="en-US"/>
        </w:rPr>
        <w:lastRenderedPageBreak/>
        <w:t>case considered for inclusion on the Infrastructure Priority List.</w:t>
      </w:r>
      <w:r>
        <w:rPr>
          <w:rStyle w:val="FootnoteReference"/>
          <w:rFonts w:eastAsiaTheme="minorHAnsi"/>
          <w:lang w:eastAsia="en-US"/>
        </w:rPr>
        <w:footnoteReference w:id="4"/>
      </w:r>
      <w:r>
        <w:rPr>
          <w:rFonts w:eastAsiaTheme="minorHAnsi"/>
          <w:lang w:eastAsia="en-US"/>
        </w:rPr>
        <w:t xml:space="preserve"> This evaluation summary includes the estimated capital expenditure of the project, as well as the contribution sought from the Australian Government where applicable.</w:t>
      </w:r>
    </w:p>
    <w:p w14:paraId="02138DBF" w14:textId="77777777" w:rsidR="00E16BC2" w:rsidRDefault="00E16BC2" w:rsidP="00FD6C5E">
      <w:pPr>
        <w:pStyle w:val="Heading3"/>
      </w:pPr>
      <w:bookmarkStart w:id="46" w:name="_Toc530754859"/>
      <w:bookmarkStart w:id="47" w:name="_Toc530756099"/>
      <w:bookmarkStart w:id="48" w:name="_Toc530991083"/>
      <w:bookmarkStart w:id="49" w:name="_Toc530991240"/>
      <w:bookmarkStart w:id="50" w:name="_Toc24620202"/>
      <w:bookmarkStart w:id="51" w:name="_Toc528320739"/>
      <w:r>
        <w:t>When can you apply?</w:t>
      </w:r>
      <w:bookmarkEnd w:id="46"/>
      <w:bookmarkEnd w:id="47"/>
      <w:bookmarkEnd w:id="48"/>
      <w:bookmarkEnd w:id="49"/>
      <w:bookmarkEnd w:id="50"/>
      <w:r>
        <w:t xml:space="preserve"> </w:t>
      </w:r>
    </w:p>
    <w:p w14:paraId="43319408" w14:textId="77777777" w:rsidR="00E16BC2" w:rsidRDefault="00E16BC2" w:rsidP="00DE0217">
      <w:pPr>
        <w:pStyle w:val="OutlineNumbered1"/>
      </w:pPr>
      <w:r>
        <w:t>The application must be made before c</w:t>
      </w:r>
      <w:r w:rsidRPr="00DB6A09">
        <w:t>ons</w:t>
      </w:r>
      <w:r>
        <w:t>t</w:t>
      </w:r>
      <w:r w:rsidRPr="00DB6A09">
        <w:t xml:space="preserve">ruction </w:t>
      </w:r>
      <w:r>
        <w:t>has commenced</w:t>
      </w:r>
      <w:r w:rsidRPr="00DB6A09">
        <w:t xml:space="preserve"> </w:t>
      </w:r>
      <w:r>
        <w:t>in relation to the facility or the improvement.</w:t>
      </w:r>
    </w:p>
    <w:p w14:paraId="6008C0DC" w14:textId="77777777" w:rsidR="00E16BC2" w:rsidRDefault="00E16BC2" w:rsidP="00FD6C5E">
      <w:pPr>
        <w:pStyle w:val="Heading2"/>
      </w:pPr>
      <w:bookmarkStart w:id="52" w:name="_Toc530754860"/>
      <w:bookmarkStart w:id="53" w:name="_Toc530756100"/>
      <w:bookmarkStart w:id="54" w:name="_Toc530991084"/>
      <w:bookmarkStart w:id="55" w:name="_Toc530991241"/>
      <w:bookmarkStart w:id="56" w:name="_Toc24620203"/>
      <w:r>
        <w:t>The criteria</w:t>
      </w:r>
      <w:bookmarkEnd w:id="45"/>
      <w:bookmarkEnd w:id="51"/>
      <w:bookmarkEnd w:id="52"/>
      <w:bookmarkEnd w:id="53"/>
      <w:bookmarkEnd w:id="54"/>
      <w:bookmarkEnd w:id="55"/>
      <w:bookmarkEnd w:id="56"/>
    </w:p>
    <w:p w14:paraId="4ADBB37A" w14:textId="77777777" w:rsidR="00E16BC2" w:rsidRDefault="00E16BC2" w:rsidP="00DE0217">
      <w:pPr>
        <w:pStyle w:val="OutlineNumbered1"/>
      </w:pPr>
      <w:r>
        <w:t xml:space="preserve">The Treasurer may approve the facility, or the improvement to the facility, specified in the application for the concession if the Treasurer is satisfied that the following criteria are met: </w:t>
      </w:r>
    </w:p>
    <w:p w14:paraId="69813D50" w14:textId="77777777" w:rsidR="00E16BC2" w:rsidRPr="00DE0217" w:rsidRDefault="00E16BC2" w:rsidP="00DE0217">
      <w:pPr>
        <w:pStyle w:val="Bullet"/>
        <w:rPr>
          <w:rFonts w:eastAsiaTheme="minorHAnsi"/>
        </w:rPr>
      </w:pPr>
      <w:r w:rsidRPr="00DE0217">
        <w:rPr>
          <w:rFonts w:eastAsiaTheme="minorHAnsi"/>
        </w:rPr>
        <w:t xml:space="preserve">the facility is an economic infrastructure facility; </w:t>
      </w:r>
    </w:p>
    <w:p w14:paraId="1E1A18C8" w14:textId="77777777" w:rsidR="00E16BC2" w:rsidRPr="00DE0217" w:rsidRDefault="00E16BC2" w:rsidP="00DE0217">
      <w:pPr>
        <w:pStyle w:val="Bullet"/>
        <w:rPr>
          <w:rFonts w:eastAsiaTheme="minorHAnsi"/>
        </w:rPr>
      </w:pPr>
      <w:r w:rsidRPr="00DE0217">
        <w:rPr>
          <w:rFonts w:eastAsiaTheme="minorHAnsi"/>
        </w:rPr>
        <w:t xml:space="preserve">the estimated capital expenditure of the facility (or the improvement) is $500 million or more; </w:t>
      </w:r>
    </w:p>
    <w:p w14:paraId="6A3567A7" w14:textId="77777777" w:rsidR="00E16BC2" w:rsidRPr="00DE0217" w:rsidRDefault="00E16BC2" w:rsidP="00DE0217">
      <w:pPr>
        <w:pStyle w:val="Bullet"/>
        <w:rPr>
          <w:rFonts w:eastAsiaTheme="minorHAnsi"/>
        </w:rPr>
      </w:pPr>
      <w:r w:rsidRPr="00DE0217">
        <w:rPr>
          <w:rFonts w:eastAsiaTheme="minorHAnsi"/>
        </w:rPr>
        <w:t xml:space="preserve">the facility (or the improvement) is yet to be constructed; </w:t>
      </w:r>
    </w:p>
    <w:p w14:paraId="1DD657F3" w14:textId="77777777" w:rsidR="00E16BC2" w:rsidRPr="00DE0217" w:rsidRDefault="00E16BC2" w:rsidP="00DE0217">
      <w:pPr>
        <w:pStyle w:val="Bullet"/>
        <w:rPr>
          <w:rFonts w:eastAsiaTheme="minorHAnsi"/>
        </w:rPr>
      </w:pPr>
      <w:r w:rsidRPr="00DE0217">
        <w:rPr>
          <w:rFonts w:eastAsiaTheme="minorHAnsi"/>
        </w:rPr>
        <w:t xml:space="preserve">the facility (or the improvement) will significantly enhance the long-term productive capacity of the economy; and </w:t>
      </w:r>
    </w:p>
    <w:p w14:paraId="42F8B66E" w14:textId="77777777" w:rsidR="00E16BC2" w:rsidRPr="00DE0217" w:rsidRDefault="00E16BC2" w:rsidP="00DE0217">
      <w:pPr>
        <w:pStyle w:val="Bullet"/>
        <w:rPr>
          <w:rFonts w:eastAsiaTheme="minorHAnsi"/>
        </w:rPr>
      </w:pPr>
      <w:r w:rsidRPr="00DE0217">
        <w:rPr>
          <w:rFonts w:eastAsiaTheme="minorHAnsi"/>
        </w:rPr>
        <w:t xml:space="preserve">approving the concession for the facility (or the improvement) is in the national interest. </w:t>
      </w:r>
    </w:p>
    <w:p w14:paraId="5A7B79CB" w14:textId="76A3D7E8" w:rsidR="00E16BC2" w:rsidRDefault="00E16BC2" w:rsidP="00FD6C5E">
      <w:pPr>
        <w:pStyle w:val="Heading3"/>
      </w:pPr>
      <w:bookmarkStart w:id="57" w:name="_Toc511230740"/>
      <w:bookmarkStart w:id="58" w:name="_Toc511921259"/>
      <w:bookmarkStart w:id="59" w:name="_Toc528320740"/>
      <w:bookmarkStart w:id="60" w:name="_Toc530754861"/>
      <w:bookmarkStart w:id="61" w:name="_Toc530756101"/>
      <w:bookmarkStart w:id="62" w:name="_Toc530991085"/>
      <w:bookmarkStart w:id="63" w:name="_Toc530991242"/>
      <w:bookmarkStart w:id="64" w:name="_Toc24620204"/>
      <w:r>
        <w:t>The facility is an</w:t>
      </w:r>
      <w:r w:rsidRPr="00345837">
        <w:t xml:space="preserve"> </w:t>
      </w:r>
      <w:r w:rsidR="002C75D8">
        <w:t>‘</w:t>
      </w:r>
      <w:r>
        <w:t>economic infrastructure f</w:t>
      </w:r>
      <w:r w:rsidRPr="00345837">
        <w:t>acility</w:t>
      </w:r>
      <w:r w:rsidR="002C75D8">
        <w:t>’</w:t>
      </w:r>
      <w:bookmarkEnd w:id="57"/>
      <w:bookmarkEnd w:id="58"/>
      <w:bookmarkEnd w:id="59"/>
      <w:bookmarkEnd w:id="60"/>
      <w:bookmarkEnd w:id="61"/>
      <w:bookmarkEnd w:id="62"/>
      <w:bookmarkEnd w:id="63"/>
      <w:bookmarkEnd w:id="64"/>
      <w:r w:rsidRPr="00345837">
        <w:t xml:space="preserve"> </w:t>
      </w:r>
    </w:p>
    <w:p w14:paraId="4DFC46CC" w14:textId="77777777" w:rsidR="00E16BC2" w:rsidRPr="00FD6C5E" w:rsidRDefault="00E16BC2" w:rsidP="00DE0217">
      <w:pPr>
        <w:pStyle w:val="OutlineNumbered1"/>
      </w:pPr>
      <w:r w:rsidRPr="00FD6C5E">
        <w:t xml:space="preserve">The Treasurer may approve the facility (or an improvement to a facility) if the Treasurer is satisfied that the facility is an economic infrastructure facility. </w:t>
      </w:r>
    </w:p>
    <w:p w14:paraId="6234E915" w14:textId="77777777" w:rsidR="00E16BC2" w:rsidRPr="00FD6C5E" w:rsidRDefault="00E16BC2" w:rsidP="00DE0217">
      <w:pPr>
        <w:pStyle w:val="OutlineNumbered1"/>
      </w:pPr>
      <w:r w:rsidRPr="00FD6C5E">
        <w:t xml:space="preserve">An economic infrastructure facility is a facility that is any of the following: </w:t>
      </w:r>
    </w:p>
    <w:p w14:paraId="22DEB6D4" w14:textId="77777777" w:rsidR="00E16BC2" w:rsidRPr="00FD6C5E" w:rsidRDefault="00E16BC2" w:rsidP="00C62A7C">
      <w:pPr>
        <w:pStyle w:val="ListParagraph"/>
        <w:numPr>
          <w:ilvl w:val="4"/>
          <w:numId w:val="17"/>
        </w:numPr>
        <w:ind w:left="1418" w:hanging="567"/>
        <w:contextualSpacing w:val="0"/>
        <w:rPr>
          <w:rFonts w:asciiTheme="minorHAnsi" w:hAnsiTheme="minorHAnsi"/>
          <w:szCs w:val="22"/>
        </w:rPr>
      </w:pPr>
      <w:r w:rsidRPr="00FD6C5E">
        <w:rPr>
          <w:rFonts w:asciiTheme="minorHAnsi" w:hAnsiTheme="minorHAnsi"/>
          <w:szCs w:val="22"/>
        </w:rPr>
        <w:t xml:space="preserve">transport infrastructure; </w:t>
      </w:r>
    </w:p>
    <w:p w14:paraId="5518A194" w14:textId="77777777" w:rsidR="00E16BC2" w:rsidRPr="00FD6C5E" w:rsidRDefault="00E16BC2" w:rsidP="00C62A7C">
      <w:pPr>
        <w:pStyle w:val="ListParagraph"/>
        <w:numPr>
          <w:ilvl w:val="4"/>
          <w:numId w:val="17"/>
        </w:numPr>
        <w:ind w:left="1418" w:hanging="567"/>
        <w:contextualSpacing w:val="0"/>
        <w:rPr>
          <w:rFonts w:asciiTheme="minorHAnsi" w:eastAsiaTheme="minorHAnsi" w:hAnsiTheme="minorHAnsi"/>
          <w:color w:val="000000"/>
          <w:szCs w:val="22"/>
          <w:lang w:eastAsia="en-US"/>
        </w:rPr>
      </w:pPr>
      <w:r w:rsidRPr="00FD6C5E">
        <w:rPr>
          <w:rFonts w:asciiTheme="minorHAnsi" w:eastAsiaTheme="minorHAnsi" w:hAnsiTheme="minorHAnsi"/>
          <w:color w:val="000000"/>
          <w:szCs w:val="22"/>
          <w:lang w:eastAsia="en-US"/>
        </w:rPr>
        <w:t xml:space="preserve">energy infrastructure; </w:t>
      </w:r>
    </w:p>
    <w:p w14:paraId="2CFB9E4E" w14:textId="737799A4" w:rsidR="00E16BC2" w:rsidRPr="00FD6C5E" w:rsidRDefault="00E16BC2" w:rsidP="00C62A7C">
      <w:pPr>
        <w:pStyle w:val="ListParagraph"/>
        <w:numPr>
          <w:ilvl w:val="4"/>
          <w:numId w:val="17"/>
        </w:numPr>
        <w:ind w:left="1418" w:hanging="567"/>
        <w:contextualSpacing w:val="0"/>
        <w:rPr>
          <w:rFonts w:asciiTheme="minorHAnsi" w:eastAsiaTheme="minorHAnsi" w:hAnsiTheme="minorHAnsi"/>
          <w:color w:val="000000"/>
          <w:szCs w:val="22"/>
          <w:lang w:eastAsia="en-US"/>
        </w:rPr>
      </w:pPr>
      <w:r w:rsidRPr="00FD6C5E">
        <w:rPr>
          <w:rFonts w:asciiTheme="minorHAnsi" w:eastAsiaTheme="minorHAnsi" w:hAnsiTheme="minorHAnsi"/>
          <w:color w:val="000000"/>
          <w:szCs w:val="22"/>
          <w:lang w:eastAsia="en-US"/>
        </w:rPr>
        <w:t xml:space="preserve">communications infrastructure; </w:t>
      </w:r>
    </w:p>
    <w:p w14:paraId="4BF4F39F" w14:textId="77777777" w:rsidR="00E16BC2" w:rsidRPr="00FD6C5E" w:rsidRDefault="00E16BC2" w:rsidP="00C62A7C">
      <w:pPr>
        <w:pStyle w:val="ListParagraph"/>
        <w:numPr>
          <w:ilvl w:val="4"/>
          <w:numId w:val="17"/>
        </w:numPr>
        <w:ind w:left="1418" w:hanging="567"/>
        <w:contextualSpacing w:val="0"/>
        <w:rPr>
          <w:rFonts w:asciiTheme="minorHAnsi" w:hAnsiTheme="minorHAnsi"/>
          <w:szCs w:val="22"/>
        </w:rPr>
      </w:pPr>
      <w:r w:rsidRPr="00FD6C5E">
        <w:rPr>
          <w:rFonts w:asciiTheme="minorHAnsi" w:eastAsiaTheme="minorHAnsi" w:hAnsiTheme="minorHAnsi"/>
          <w:color w:val="000000"/>
          <w:szCs w:val="22"/>
          <w:lang w:eastAsia="en-US"/>
        </w:rPr>
        <w:t>water infrastructure.</w:t>
      </w:r>
    </w:p>
    <w:p w14:paraId="0F32FA13" w14:textId="77777777" w:rsidR="00E16BC2" w:rsidRPr="00FD6C5E" w:rsidRDefault="00E16BC2" w:rsidP="00DE0217">
      <w:pPr>
        <w:pStyle w:val="OutlineNumbered1"/>
      </w:pPr>
      <w:r w:rsidRPr="00FD6C5E">
        <w:t>Generally, economic infrastructure will be enduring facilities that support or enable economic activity and improve national productivity in Australia.</w:t>
      </w:r>
      <w:r w:rsidRPr="00FD6C5E">
        <w:rPr>
          <w:rStyle w:val="FootnoteReference"/>
          <w:rFonts w:asciiTheme="minorHAnsi" w:hAnsiTheme="minorHAnsi"/>
          <w:sz w:val="22"/>
          <w:szCs w:val="22"/>
        </w:rPr>
        <w:footnoteReference w:id="5"/>
      </w:r>
      <w:r w:rsidRPr="00FD6C5E">
        <w:t xml:space="preserve"> </w:t>
      </w:r>
    </w:p>
    <w:p w14:paraId="31B0602D" w14:textId="77777777" w:rsidR="00E16BC2" w:rsidRPr="00FD6C5E" w:rsidRDefault="00E16BC2" w:rsidP="00DE0217">
      <w:pPr>
        <w:pStyle w:val="OutlineNumbered1"/>
        <w:rPr>
          <w:rFonts w:eastAsiaTheme="minorHAnsi"/>
          <w:lang w:eastAsia="en-US"/>
        </w:rPr>
      </w:pPr>
      <w:r w:rsidRPr="00FD6C5E">
        <w:rPr>
          <w:rFonts w:eastAsiaTheme="minorHAnsi"/>
          <w:lang w:eastAsia="en-US"/>
        </w:rPr>
        <w:t xml:space="preserve">For the purposes of the concession, examples of economic infrastructure facilities may include: </w:t>
      </w:r>
    </w:p>
    <w:p w14:paraId="56667DCE" w14:textId="77777777" w:rsidR="00E16BC2" w:rsidRPr="00FD6C5E" w:rsidRDefault="00E16BC2" w:rsidP="00DE0217">
      <w:pPr>
        <w:pStyle w:val="Bullet"/>
        <w:rPr>
          <w:rFonts w:eastAsiaTheme="minorHAnsi"/>
          <w:lang w:eastAsia="en-US"/>
        </w:rPr>
      </w:pPr>
      <w:r w:rsidRPr="00DE0217">
        <w:rPr>
          <w:rFonts w:eastAsiaTheme="minorHAnsi"/>
        </w:rPr>
        <w:t>electricity</w:t>
      </w:r>
      <w:r w:rsidRPr="00FD6C5E">
        <w:rPr>
          <w:rFonts w:eastAsiaTheme="minorHAnsi"/>
          <w:lang w:eastAsia="en-US"/>
        </w:rPr>
        <w:t xml:space="preserve"> distribution networks; </w:t>
      </w:r>
    </w:p>
    <w:p w14:paraId="34F53169" w14:textId="77777777" w:rsidR="00E16BC2" w:rsidRPr="00FD6C5E" w:rsidRDefault="00E16BC2" w:rsidP="00DE0217">
      <w:pPr>
        <w:pStyle w:val="Bullet"/>
        <w:rPr>
          <w:rFonts w:eastAsiaTheme="minorHAnsi"/>
          <w:lang w:eastAsia="en-US"/>
        </w:rPr>
      </w:pPr>
      <w:r w:rsidRPr="00FD6C5E">
        <w:rPr>
          <w:rFonts w:eastAsiaTheme="minorHAnsi"/>
          <w:lang w:eastAsia="en-US"/>
        </w:rPr>
        <w:t xml:space="preserve">toll road networks; and </w:t>
      </w:r>
    </w:p>
    <w:p w14:paraId="3D75605D" w14:textId="77777777" w:rsidR="00E16BC2" w:rsidRPr="00FD6C5E" w:rsidRDefault="00E16BC2" w:rsidP="00DE0217">
      <w:pPr>
        <w:pStyle w:val="Bullet"/>
        <w:rPr>
          <w:rFonts w:eastAsiaTheme="minorHAnsi"/>
          <w:lang w:eastAsia="en-US"/>
        </w:rPr>
      </w:pPr>
      <w:r w:rsidRPr="00DE0217">
        <w:rPr>
          <w:rFonts w:eastAsiaTheme="minorHAnsi"/>
        </w:rPr>
        <w:lastRenderedPageBreak/>
        <w:t>ports</w:t>
      </w:r>
      <w:r w:rsidRPr="00FD6C5E">
        <w:rPr>
          <w:rFonts w:eastAsiaTheme="minorHAnsi"/>
          <w:lang w:eastAsia="en-US"/>
        </w:rPr>
        <w:t>.</w:t>
      </w:r>
      <w:r w:rsidRPr="00FD6C5E">
        <w:rPr>
          <w:rStyle w:val="FootnoteReference"/>
          <w:rFonts w:asciiTheme="minorHAnsi" w:eastAsiaTheme="minorHAnsi" w:hAnsiTheme="minorHAnsi"/>
          <w:sz w:val="22"/>
          <w:szCs w:val="22"/>
          <w:lang w:eastAsia="en-US"/>
        </w:rPr>
        <w:footnoteReference w:id="6"/>
      </w:r>
    </w:p>
    <w:p w14:paraId="5AFE93BE" w14:textId="77777777" w:rsidR="00E16BC2" w:rsidRPr="00FD6C5E" w:rsidRDefault="00E16BC2" w:rsidP="00DE0217">
      <w:pPr>
        <w:pStyle w:val="OutlineNumbered1"/>
        <w:rPr>
          <w:rFonts w:eastAsiaTheme="minorHAnsi"/>
          <w:lang w:eastAsia="en-US"/>
        </w:rPr>
      </w:pPr>
      <w:r w:rsidRPr="00FD6C5E">
        <w:rPr>
          <w:rFonts w:eastAsiaTheme="minorHAnsi"/>
          <w:lang w:eastAsia="en-US"/>
        </w:rPr>
        <w:t xml:space="preserve">Examples of facilities that would not typically be economic infrastructure, for the purposes of the concession, include: </w:t>
      </w:r>
    </w:p>
    <w:p w14:paraId="7376D68F" w14:textId="77777777" w:rsidR="00E16BC2" w:rsidRPr="00FD6C5E" w:rsidRDefault="00E16BC2" w:rsidP="00DE0217">
      <w:pPr>
        <w:pStyle w:val="Bullet"/>
        <w:rPr>
          <w:rFonts w:eastAsiaTheme="minorHAnsi"/>
          <w:lang w:eastAsia="en-US"/>
        </w:rPr>
      </w:pPr>
      <w:r w:rsidRPr="00FD6C5E">
        <w:rPr>
          <w:rFonts w:eastAsiaTheme="minorHAnsi"/>
          <w:lang w:eastAsia="en-US"/>
        </w:rPr>
        <w:t xml:space="preserve">a mining operation; and </w:t>
      </w:r>
    </w:p>
    <w:p w14:paraId="3112136D" w14:textId="77777777" w:rsidR="00E16BC2" w:rsidRPr="00FD6C5E" w:rsidRDefault="00E16BC2" w:rsidP="00DE0217">
      <w:pPr>
        <w:pStyle w:val="Bullet"/>
        <w:rPr>
          <w:rFonts w:eastAsiaTheme="minorHAnsi"/>
          <w:lang w:eastAsia="en-US"/>
        </w:rPr>
      </w:pPr>
      <w:r w:rsidRPr="00FD6C5E">
        <w:rPr>
          <w:rFonts w:eastAsiaTheme="minorHAnsi"/>
          <w:lang w:eastAsia="en-US"/>
        </w:rPr>
        <w:t xml:space="preserve">a water </w:t>
      </w:r>
      <w:r w:rsidRPr="00DE0217">
        <w:rPr>
          <w:rFonts w:eastAsiaTheme="minorHAnsi"/>
        </w:rPr>
        <w:t>facility</w:t>
      </w:r>
      <w:r w:rsidRPr="00FD6C5E">
        <w:rPr>
          <w:rFonts w:eastAsiaTheme="minorHAnsi"/>
          <w:lang w:eastAsia="en-US"/>
        </w:rPr>
        <w:t xml:space="preserve"> built for use by a single commercial business.</w:t>
      </w:r>
      <w:r w:rsidRPr="00FD6C5E">
        <w:rPr>
          <w:rStyle w:val="FootnoteReference"/>
          <w:rFonts w:asciiTheme="minorHAnsi" w:eastAsiaTheme="minorHAnsi" w:hAnsiTheme="minorHAnsi"/>
          <w:sz w:val="22"/>
          <w:szCs w:val="22"/>
          <w:lang w:eastAsia="en-US"/>
        </w:rPr>
        <w:footnoteReference w:id="7"/>
      </w:r>
      <w:r w:rsidRPr="00FD6C5E">
        <w:rPr>
          <w:rFonts w:eastAsiaTheme="minorHAnsi"/>
          <w:lang w:eastAsia="en-US"/>
        </w:rPr>
        <w:t xml:space="preserve"> </w:t>
      </w:r>
    </w:p>
    <w:p w14:paraId="1D801098" w14:textId="0CFF35B7" w:rsidR="00E16BC2" w:rsidRPr="00FD6C5E" w:rsidRDefault="00E16BC2" w:rsidP="00DE0217">
      <w:pPr>
        <w:pStyle w:val="OutlineNumbered1"/>
        <w:rPr>
          <w:i/>
        </w:rPr>
      </w:pPr>
      <w:r w:rsidRPr="00FD6C5E">
        <w:t xml:space="preserve">In considering whether a number of assets together comprise a facility, the applicant should have regard to the commentary in paragraphs 1.117 to 1.120 of the </w:t>
      </w:r>
      <w:r w:rsidR="008D2523">
        <w:t xml:space="preserve">Revised </w:t>
      </w:r>
      <w:r w:rsidRPr="00FD6C5E">
        <w:t xml:space="preserve">Explanatory Memorandum to the </w:t>
      </w:r>
      <w:r w:rsidRPr="00FD6C5E">
        <w:rPr>
          <w:rFonts w:eastAsiaTheme="minorHAnsi"/>
          <w:color w:val="000000"/>
          <w:lang w:eastAsia="en-US"/>
        </w:rPr>
        <w:t xml:space="preserve">Treasury Laws Amendment (Making Sure Foreign Investors Pay Their Fair Share of Tax in Australia and Other Measures) Bill </w:t>
      </w:r>
      <w:r w:rsidR="008D2523" w:rsidRPr="00FD6C5E">
        <w:rPr>
          <w:rFonts w:eastAsiaTheme="minorHAnsi"/>
          <w:color w:val="000000"/>
          <w:lang w:eastAsia="en-US"/>
        </w:rPr>
        <w:t>201</w:t>
      </w:r>
      <w:r w:rsidR="008D2523">
        <w:rPr>
          <w:rFonts w:eastAsiaTheme="minorHAnsi"/>
          <w:color w:val="000000"/>
          <w:lang w:eastAsia="en-US"/>
        </w:rPr>
        <w:t>9</w:t>
      </w:r>
      <w:r w:rsidRPr="00FD6C5E">
        <w:rPr>
          <w:i/>
        </w:rPr>
        <w:t xml:space="preserve">. </w:t>
      </w:r>
    </w:p>
    <w:p w14:paraId="55096272" w14:textId="14F4DECB" w:rsidR="00E16BC2" w:rsidRPr="00FD6C5E" w:rsidRDefault="00E16BC2" w:rsidP="00DE0217">
      <w:pPr>
        <w:pStyle w:val="OutlineNumbered1"/>
      </w:pPr>
      <w:r w:rsidRPr="00FD6C5E">
        <w:t>The applicant is required to</w:t>
      </w:r>
      <w:r w:rsidRPr="00FD6C5E" w:rsidDel="00411A5E">
        <w:t xml:space="preserve"> </w:t>
      </w:r>
      <w:r w:rsidRPr="00FD6C5E">
        <w:t xml:space="preserve">provide information to establish that the application relates to an </w:t>
      </w:r>
      <w:r w:rsidR="002C75D8">
        <w:t>‘</w:t>
      </w:r>
      <w:r w:rsidRPr="00FD6C5E">
        <w:t>economic infrastructure facility</w:t>
      </w:r>
      <w:r w:rsidR="002C75D8">
        <w:t>’</w:t>
      </w:r>
      <w:r w:rsidRPr="00FD6C5E">
        <w:t xml:space="preserve">. </w:t>
      </w:r>
    </w:p>
    <w:p w14:paraId="64129756" w14:textId="785A1A85" w:rsidR="00E16BC2" w:rsidRPr="00FD6C5E" w:rsidRDefault="00E16BC2" w:rsidP="00DE0217">
      <w:pPr>
        <w:pStyle w:val="OutlineNumbered1"/>
      </w:pPr>
      <w:r w:rsidRPr="00FD6C5E">
        <w:t xml:space="preserve">Any determination of the Treasurer will cover the </w:t>
      </w:r>
      <w:r w:rsidR="008C3518">
        <w:t>‘</w:t>
      </w:r>
      <w:r w:rsidRPr="00FD6C5E">
        <w:t>facility</w:t>
      </w:r>
      <w:r w:rsidR="008C3518">
        <w:t>’</w:t>
      </w:r>
      <w:r w:rsidRPr="00FD6C5E">
        <w:t xml:space="preserve"> or </w:t>
      </w:r>
      <w:r w:rsidR="008C3518">
        <w:t>‘</w:t>
      </w:r>
      <w:r w:rsidRPr="00FD6C5E">
        <w:t>improvement to the facility</w:t>
      </w:r>
      <w:r w:rsidR="008C3518">
        <w:t>’</w:t>
      </w:r>
      <w:r w:rsidR="008C3518" w:rsidRPr="00FD6C5E">
        <w:t xml:space="preserve"> </w:t>
      </w:r>
      <w:r w:rsidRPr="00FD6C5E">
        <w:t xml:space="preserve">that is specified in the application. As such, applicants are required to specify the scope and boundary of the </w:t>
      </w:r>
      <w:r w:rsidR="008C3518">
        <w:t>‘</w:t>
      </w:r>
      <w:r w:rsidRPr="00FD6C5E">
        <w:t>facility</w:t>
      </w:r>
      <w:r w:rsidR="008C3518">
        <w:t>’</w:t>
      </w:r>
      <w:r w:rsidRPr="00FD6C5E">
        <w:t xml:space="preserve"> or </w:t>
      </w:r>
      <w:r w:rsidR="00E87A95">
        <w:t>‘</w:t>
      </w:r>
      <w:r w:rsidRPr="00FD6C5E">
        <w:t xml:space="preserve">improvement </w:t>
      </w:r>
      <w:r w:rsidR="00E87A95">
        <w:t xml:space="preserve">to the facility’ </w:t>
      </w:r>
      <w:r w:rsidRPr="00FD6C5E">
        <w:t xml:space="preserve">in detail. Further information may be sought </w:t>
      </w:r>
      <w:r w:rsidR="00D66509">
        <w:t xml:space="preserve">from the applicant </w:t>
      </w:r>
      <w:r w:rsidRPr="00FD6C5E">
        <w:t>on this point, if required.</w:t>
      </w:r>
    </w:p>
    <w:p w14:paraId="3844BBF9" w14:textId="77777777" w:rsidR="00E16BC2" w:rsidRDefault="00E16BC2" w:rsidP="00FD6C5E">
      <w:pPr>
        <w:pStyle w:val="Heading3"/>
      </w:pPr>
      <w:bookmarkStart w:id="65" w:name="_Toc511230741"/>
      <w:bookmarkStart w:id="66" w:name="_Toc511921260"/>
      <w:bookmarkStart w:id="67" w:name="_Toc528320741"/>
      <w:bookmarkStart w:id="68" w:name="_Toc530754862"/>
      <w:bookmarkStart w:id="69" w:name="_Toc530756102"/>
      <w:bookmarkStart w:id="70" w:name="_Toc530991086"/>
      <w:bookmarkStart w:id="71" w:name="_Toc530991243"/>
      <w:bookmarkStart w:id="72" w:name="_Toc24620205"/>
      <w:r w:rsidRPr="005E738E">
        <w:t>The estimated capital expenditure on t</w:t>
      </w:r>
      <w:r>
        <w:t>he facility or improvement is $5</w:t>
      </w:r>
      <w:r w:rsidRPr="005E738E">
        <w:t>00</w:t>
      </w:r>
      <w:r>
        <w:t> </w:t>
      </w:r>
      <w:r w:rsidRPr="005E738E">
        <w:t>million or more</w:t>
      </w:r>
      <w:bookmarkEnd w:id="65"/>
      <w:bookmarkEnd w:id="66"/>
      <w:bookmarkEnd w:id="67"/>
      <w:bookmarkEnd w:id="68"/>
      <w:bookmarkEnd w:id="69"/>
      <w:bookmarkEnd w:id="70"/>
      <w:bookmarkEnd w:id="71"/>
      <w:bookmarkEnd w:id="72"/>
    </w:p>
    <w:p w14:paraId="3FEC115B" w14:textId="77777777" w:rsidR="00E16BC2" w:rsidRDefault="00E16BC2" w:rsidP="00DE0217">
      <w:pPr>
        <w:pStyle w:val="OutlineNumbered1"/>
      </w:pPr>
      <w:r>
        <w:t>The application must include information to establish or provide evidence that the estimated capital expenditure on the facility or improvement is $500 million or more</w:t>
      </w:r>
      <w:r w:rsidDel="006370B8">
        <w:t>.</w:t>
      </w:r>
    </w:p>
    <w:p w14:paraId="5E6297FD" w14:textId="77777777" w:rsidR="00E16BC2" w:rsidRDefault="00E16BC2" w:rsidP="00FD6C5E">
      <w:pPr>
        <w:pStyle w:val="Heading3"/>
      </w:pPr>
      <w:bookmarkStart w:id="73" w:name="_Toc528320742"/>
      <w:bookmarkStart w:id="74" w:name="_Toc530754863"/>
      <w:bookmarkStart w:id="75" w:name="_Toc530756103"/>
      <w:bookmarkStart w:id="76" w:name="_Toc530991087"/>
      <w:bookmarkStart w:id="77" w:name="_Toc530991244"/>
      <w:bookmarkStart w:id="78" w:name="_Toc24620206"/>
      <w:bookmarkStart w:id="79" w:name="_Toc511230742"/>
      <w:bookmarkStart w:id="80" w:name="_Toc511921261"/>
      <w:r w:rsidRPr="00A77567">
        <w:t>The facility</w:t>
      </w:r>
      <w:r>
        <w:t xml:space="preserve"> or improvement</w:t>
      </w:r>
      <w:r w:rsidRPr="00A77567">
        <w:t xml:space="preserve"> is yet to be constructed</w:t>
      </w:r>
      <w:bookmarkEnd w:id="73"/>
      <w:bookmarkEnd w:id="74"/>
      <w:bookmarkEnd w:id="75"/>
      <w:bookmarkEnd w:id="76"/>
      <w:bookmarkEnd w:id="77"/>
      <w:bookmarkEnd w:id="78"/>
      <w:r w:rsidRPr="00A77567">
        <w:t xml:space="preserve"> </w:t>
      </w:r>
      <w:bookmarkEnd w:id="79"/>
      <w:bookmarkEnd w:id="80"/>
    </w:p>
    <w:p w14:paraId="076DAD24" w14:textId="77777777" w:rsidR="00E16BC2" w:rsidRPr="00BD1E02" w:rsidRDefault="00E16BC2" w:rsidP="00DE0217">
      <w:pPr>
        <w:pStyle w:val="OutlineNumbered1"/>
      </w:pPr>
      <w:r>
        <w:t>The application must be made before c</w:t>
      </w:r>
      <w:r w:rsidRPr="00DB6A09">
        <w:t>ons</w:t>
      </w:r>
      <w:r>
        <w:t>t</w:t>
      </w:r>
      <w:r w:rsidRPr="00DB6A09">
        <w:t xml:space="preserve">ruction </w:t>
      </w:r>
      <w:r>
        <w:t>has commenced in relation to the facility or the improvement. The application must include information</w:t>
      </w:r>
      <w:r w:rsidRPr="00BD1E02">
        <w:t xml:space="preserve"> as </w:t>
      </w:r>
      <w:r>
        <w:t>to the proposed (or estimated) commencement dates for construction and operation.</w:t>
      </w:r>
    </w:p>
    <w:p w14:paraId="1597E498" w14:textId="77777777" w:rsidR="00E16BC2" w:rsidRDefault="00E16BC2" w:rsidP="00FD6C5E">
      <w:pPr>
        <w:pStyle w:val="Heading3"/>
        <w:rPr>
          <w:b/>
          <w:i/>
        </w:rPr>
      </w:pPr>
      <w:bookmarkStart w:id="81" w:name="_Toc511230743"/>
      <w:bookmarkStart w:id="82" w:name="_Toc511921262"/>
      <w:bookmarkStart w:id="83" w:name="_Toc528320743"/>
      <w:bookmarkStart w:id="84" w:name="_Toc530754864"/>
      <w:bookmarkStart w:id="85" w:name="_Toc530756104"/>
      <w:bookmarkStart w:id="86" w:name="_Toc530991088"/>
      <w:bookmarkStart w:id="87" w:name="_Toc530991245"/>
      <w:bookmarkStart w:id="88" w:name="_Toc24620207"/>
      <w:r w:rsidRPr="0019546C">
        <w:t>The facility</w:t>
      </w:r>
      <w:r>
        <w:t xml:space="preserve"> or improvement</w:t>
      </w:r>
      <w:r w:rsidRPr="0019546C">
        <w:t xml:space="preserve"> </w:t>
      </w:r>
      <w:r>
        <w:t xml:space="preserve">will </w:t>
      </w:r>
      <w:r w:rsidRPr="0019546C">
        <w:t>significantly enhance the long-term productive capacity of the economy</w:t>
      </w:r>
      <w:bookmarkEnd w:id="81"/>
      <w:bookmarkEnd w:id="82"/>
      <w:bookmarkEnd w:id="83"/>
      <w:bookmarkEnd w:id="84"/>
      <w:bookmarkEnd w:id="85"/>
      <w:bookmarkEnd w:id="86"/>
      <w:bookmarkEnd w:id="87"/>
      <w:bookmarkEnd w:id="88"/>
      <w:r>
        <w:rPr>
          <w:i/>
        </w:rPr>
        <w:t xml:space="preserve"> </w:t>
      </w:r>
    </w:p>
    <w:p w14:paraId="7F295CA1" w14:textId="33B860F8" w:rsidR="00E16BC2" w:rsidRPr="003172D7" w:rsidRDefault="00E16BC2" w:rsidP="00DE0217">
      <w:pPr>
        <w:pStyle w:val="OutlineNumbered1"/>
        <w:rPr>
          <w:rFonts w:eastAsiaTheme="minorHAnsi"/>
          <w:lang w:eastAsia="en-US"/>
        </w:rPr>
      </w:pPr>
      <w:r w:rsidRPr="003172D7">
        <w:rPr>
          <w:rFonts w:eastAsiaTheme="minorHAnsi"/>
          <w:lang w:eastAsia="en-US"/>
        </w:rPr>
        <w:t>In determining whether a facility (or a</w:t>
      </w:r>
      <w:r>
        <w:rPr>
          <w:rFonts w:eastAsiaTheme="minorHAnsi"/>
          <w:lang w:eastAsia="en-US"/>
        </w:rPr>
        <w:t>n</w:t>
      </w:r>
      <w:r w:rsidRPr="003172D7">
        <w:rPr>
          <w:rFonts w:eastAsiaTheme="minorHAnsi"/>
          <w:lang w:eastAsia="en-US"/>
        </w:rPr>
        <w:t xml:space="preserve"> improvement to a facility) will significantly enhance the long</w:t>
      </w:r>
      <w:r w:rsidR="008C3518">
        <w:rPr>
          <w:rFonts w:eastAsiaTheme="minorHAnsi"/>
          <w:lang w:eastAsia="en-US"/>
        </w:rPr>
        <w:noBreakHyphen/>
      </w:r>
      <w:r w:rsidRPr="003172D7">
        <w:rPr>
          <w:rFonts w:eastAsiaTheme="minorHAnsi"/>
          <w:lang w:eastAsia="en-US"/>
        </w:rPr>
        <w:t xml:space="preserve">term productive capacity of the economy, the Treasurer may consider whether: </w:t>
      </w:r>
    </w:p>
    <w:p w14:paraId="70D37C47" w14:textId="77777777" w:rsidR="00E16BC2" w:rsidRDefault="00E16BC2" w:rsidP="00DE0217">
      <w:pPr>
        <w:pStyle w:val="Bullet"/>
        <w:rPr>
          <w:rFonts w:eastAsiaTheme="minorHAnsi"/>
          <w:lang w:eastAsia="en-US"/>
        </w:rPr>
      </w:pPr>
      <w:r w:rsidRPr="003172D7">
        <w:rPr>
          <w:rFonts w:eastAsiaTheme="minorHAnsi"/>
          <w:lang w:eastAsia="en-US"/>
        </w:rPr>
        <w:t xml:space="preserve">the </w:t>
      </w:r>
      <w:r w:rsidRPr="00DE0217">
        <w:rPr>
          <w:rFonts w:eastAsiaTheme="minorHAnsi"/>
        </w:rPr>
        <w:t>economic</w:t>
      </w:r>
      <w:r w:rsidRPr="003172D7">
        <w:rPr>
          <w:rFonts w:eastAsiaTheme="minorHAnsi"/>
          <w:lang w:eastAsia="en-US"/>
        </w:rPr>
        <w:t xml:space="preserve"> benefits resulting from the facility (or the improvement) </w:t>
      </w:r>
      <w:r>
        <w:rPr>
          <w:rFonts w:eastAsiaTheme="minorHAnsi"/>
          <w:lang w:eastAsia="en-US"/>
        </w:rPr>
        <w:t>outweigh</w:t>
      </w:r>
      <w:r w:rsidRPr="003172D7">
        <w:rPr>
          <w:rFonts w:eastAsiaTheme="minorHAnsi"/>
          <w:lang w:eastAsia="en-US"/>
        </w:rPr>
        <w:t xml:space="preserve">, or will outweigh, the economic costs; and </w:t>
      </w:r>
    </w:p>
    <w:p w14:paraId="7C53B04B" w14:textId="77777777" w:rsidR="00E16BC2" w:rsidRPr="00FB1940" w:rsidRDefault="00E16BC2" w:rsidP="00DE0217">
      <w:pPr>
        <w:pStyle w:val="Bullet"/>
        <w:rPr>
          <w:rFonts w:eastAsiaTheme="minorHAnsi"/>
          <w:lang w:eastAsia="en-US"/>
        </w:rPr>
      </w:pPr>
      <w:r w:rsidRPr="00FB1940">
        <w:rPr>
          <w:rFonts w:eastAsiaTheme="minorHAnsi"/>
          <w:lang w:eastAsia="en-US"/>
        </w:rPr>
        <w:t xml:space="preserve">in the opinion of Infrastructure Australia, the facility is nationally significant infrastructure within the </w:t>
      </w:r>
      <w:r w:rsidRPr="00DE0217">
        <w:rPr>
          <w:rFonts w:eastAsiaTheme="minorHAnsi"/>
        </w:rPr>
        <w:t>meaning</w:t>
      </w:r>
      <w:r w:rsidRPr="00FB1940">
        <w:rPr>
          <w:rFonts w:eastAsiaTheme="minorHAnsi"/>
          <w:lang w:eastAsia="en-US"/>
        </w:rPr>
        <w:t xml:space="preserve"> of the </w:t>
      </w:r>
      <w:r w:rsidRPr="00FB1940">
        <w:rPr>
          <w:rFonts w:eastAsiaTheme="minorHAnsi"/>
          <w:i/>
          <w:iCs/>
          <w:lang w:eastAsia="en-US"/>
        </w:rPr>
        <w:t>Infrastructure Australia Act 2008</w:t>
      </w:r>
      <w:r>
        <w:rPr>
          <w:rFonts w:eastAsiaTheme="minorHAnsi"/>
          <w:lang w:eastAsia="en-US"/>
        </w:rPr>
        <w:t>.</w:t>
      </w:r>
      <w:r w:rsidRPr="00331B39">
        <w:rPr>
          <w:rStyle w:val="FootnoteReference"/>
          <w:rFonts w:eastAsiaTheme="minorHAnsi"/>
          <w:iCs/>
          <w:lang w:eastAsia="en-US"/>
        </w:rPr>
        <w:footnoteReference w:id="8"/>
      </w:r>
    </w:p>
    <w:p w14:paraId="1A4D3B84" w14:textId="5834F843" w:rsidR="004D1F48" w:rsidRDefault="00E16BC2" w:rsidP="00DE0217">
      <w:pPr>
        <w:pStyle w:val="OutlineNumbered1"/>
      </w:pPr>
      <w:r>
        <w:lastRenderedPageBreak/>
        <w:t xml:space="preserve">When an application is made to the Treasurer, a final completed business case </w:t>
      </w:r>
      <w:r w:rsidR="00105E71">
        <w:t xml:space="preserve">is required to </w:t>
      </w:r>
      <w:r>
        <w:t>also be submitted</w:t>
      </w:r>
      <w:r w:rsidDel="00062355">
        <w:t xml:space="preserve"> to</w:t>
      </w:r>
      <w:r>
        <w:t xml:space="preserve"> and assessed by Infrastructure Australia</w:t>
      </w:r>
      <w:r>
        <w:rPr>
          <w:rStyle w:val="FootnoteReference"/>
        </w:rPr>
        <w:footnoteReference w:id="9"/>
      </w:r>
      <w:r w:rsidRPr="006128E8">
        <w:t xml:space="preserve"> </w:t>
      </w:r>
      <w:r>
        <w:t>in respect of the same facility or improvement.</w:t>
      </w:r>
    </w:p>
    <w:p w14:paraId="240C76C1" w14:textId="60F7F376" w:rsidR="004D1F48" w:rsidRPr="00DE0217" w:rsidRDefault="00E16BC2" w:rsidP="00DE0217">
      <w:pPr>
        <w:pStyle w:val="Bullet"/>
        <w:rPr>
          <w:rFonts w:eastAsiaTheme="minorHAnsi"/>
        </w:rPr>
      </w:pPr>
      <w:r w:rsidRPr="00DE0217">
        <w:rPr>
          <w:rFonts w:eastAsiaTheme="minorHAnsi"/>
        </w:rPr>
        <w:t>The business case to Infrastructure Australia need not have been made by the same applicant that makes the application to the Treasurer. However, the project</w:t>
      </w:r>
      <w:r w:rsidR="005D6032" w:rsidRPr="00DE0217">
        <w:rPr>
          <w:rFonts w:eastAsiaTheme="minorHAnsi"/>
        </w:rPr>
        <w:t>’</w:t>
      </w:r>
      <w:r w:rsidR="00E25E62" w:rsidRPr="00DE0217">
        <w:rPr>
          <w:rFonts w:eastAsiaTheme="minorHAnsi"/>
        </w:rPr>
        <w:t>s</w:t>
      </w:r>
      <w:r w:rsidRPr="00DE0217">
        <w:rPr>
          <w:rFonts w:eastAsiaTheme="minorHAnsi"/>
        </w:rPr>
        <w:t xml:space="preserve"> business case submission to Infrastructure Australia must be made by the project proponent, as set out in the Infrastructure Australia Assessment Framework.</w:t>
      </w:r>
    </w:p>
    <w:p w14:paraId="319F1ADE" w14:textId="642A7E46" w:rsidR="00E16BC2" w:rsidRPr="00DE0217" w:rsidRDefault="001D7F2C" w:rsidP="00DE0217">
      <w:pPr>
        <w:pStyle w:val="Bullet"/>
        <w:rPr>
          <w:rFonts w:eastAsiaTheme="minorHAnsi"/>
        </w:rPr>
      </w:pPr>
      <w:r w:rsidRPr="00DE0217">
        <w:rPr>
          <w:rFonts w:eastAsiaTheme="minorHAnsi"/>
        </w:rPr>
        <w:t xml:space="preserve">Applicants should consider </w:t>
      </w:r>
      <w:r w:rsidR="00E16BC2" w:rsidRPr="00DE0217">
        <w:rPr>
          <w:rFonts w:eastAsiaTheme="minorHAnsi"/>
        </w:rPr>
        <w:t>Infrastructure Australia</w:t>
      </w:r>
      <w:r w:rsidRPr="00DE0217">
        <w:rPr>
          <w:rFonts w:eastAsiaTheme="minorHAnsi"/>
        </w:rPr>
        <w:t>’s usual timeframes to assess</w:t>
      </w:r>
      <w:r w:rsidR="00E16BC2" w:rsidRPr="00DE0217">
        <w:rPr>
          <w:rFonts w:eastAsiaTheme="minorHAnsi"/>
        </w:rPr>
        <w:t xml:space="preserve"> business case</w:t>
      </w:r>
      <w:r w:rsidRPr="00DE0217">
        <w:rPr>
          <w:rFonts w:eastAsiaTheme="minorHAnsi"/>
        </w:rPr>
        <w:t>s</w:t>
      </w:r>
      <w:r w:rsidR="00E16BC2" w:rsidRPr="00DE0217">
        <w:rPr>
          <w:rFonts w:eastAsiaTheme="minorHAnsi"/>
        </w:rPr>
        <w:t xml:space="preserve">, </w:t>
      </w:r>
      <w:r w:rsidRPr="00DE0217">
        <w:rPr>
          <w:rFonts w:eastAsiaTheme="minorHAnsi"/>
        </w:rPr>
        <w:t xml:space="preserve">which are </w:t>
      </w:r>
      <w:r w:rsidR="00E16BC2" w:rsidRPr="00DE0217">
        <w:rPr>
          <w:rFonts w:eastAsiaTheme="minorHAnsi"/>
        </w:rPr>
        <w:t>subject to the quality of the business case and the timing of the proponent’s responses to any clarification questions from Infrastructure Australia.</w:t>
      </w:r>
    </w:p>
    <w:p w14:paraId="3FD68699" w14:textId="1C77BF18" w:rsidR="00E16BC2" w:rsidRDefault="00E16BC2" w:rsidP="00DE0217">
      <w:pPr>
        <w:pStyle w:val="OutlineNumbered1"/>
      </w:pPr>
      <w:r>
        <w:t xml:space="preserve">The application to the Treasurer </w:t>
      </w:r>
      <w:r w:rsidR="00EE52CF">
        <w:t xml:space="preserve">must </w:t>
      </w:r>
      <w:r>
        <w:t xml:space="preserve">include: </w:t>
      </w:r>
    </w:p>
    <w:p w14:paraId="23F66E28" w14:textId="7B3029AB" w:rsidR="00E16BC2" w:rsidRPr="00DE0217" w:rsidRDefault="00E16BC2" w:rsidP="00DE0217">
      <w:pPr>
        <w:pStyle w:val="Bullet"/>
        <w:rPr>
          <w:rFonts w:eastAsiaTheme="minorHAnsi"/>
        </w:rPr>
      </w:pPr>
      <w:r w:rsidRPr="007C465B">
        <w:t>details of whether the project’s business case has</w:t>
      </w:r>
      <w:r w:rsidRPr="00DE0217">
        <w:rPr>
          <w:rFonts w:eastAsiaTheme="minorHAnsi"/>
        </w:rPr>
        <w:t xml:space="preserve"> been positively assessed by the Infrastructure Australia Board and placed on Infrastructure Australia’s Infrastructure Priority List as a </w:t>
      </w:r>
      <w:r w:rsidR="00BA1CDA" w:rsidRPr="00DE0217">
        <w:rPr>
          <w:rFonts w:eastAsiaTheme="minorHAnsi"/>
        </w:rPr>
        <w:t>‘</w:t>
      </w:r>
      <w:r w:rsidRPr="00DE0217">
        <w:rPr>
          <w:rFonts w:eastAsiaTheme="minorHAnsi"/>
        </w:rPr>
        <w:t>High Priority</w:t>
      </w:r>
      <w:r w:rsidR="00BA1CDA" w:rsidRPr="00DE0217">
        <w:rPr>
          <w:rFonts w:eastAsiaTheme="minorHAnsi"/>
        </w:rPr>
        <w:t>’</w:t>
      </w:r>
      <w:r w:rsidRPr="00DE0217">
        <w:rPr>
          <w:rFonts w:eastAsiaTheme="minorHAnsi"/>
        </w:rPr>
        <w:t xml:space="preserve"> or </w:t>
      </w:r>
      <w:r w:rsidR="00BA1CDA" w:rsidRPr="00DE0217">
        <w:rPr>
          <w:rFonts w:eastAsiaTheme="minorHAnsi"/>
        </w:rPr>
        <w:t>‘</w:t>
      </w:r>
      <w:r w:rsidRPr="00DE0217">
        <w:rPr>
          <w:rFonts w:eastAsiaTheme="minorHAnsi"/>
        </w:rPr>
        <w:t>Priority</w:t>
      </w:r>
      <w:r w:rsidR="00BA1CDA" w:rsidRPr="00DE0217">
        <w:rPr>
          <w:rFonts w:eastAsiaTheme="minorHAnsi"/>
        </w:rPr>
        <w:t xml:space="preserve">’ </w:t>
      </w:r>
      <w:r w:rsidRPr="00DE0217">
        <w:rPr>
          <w:rFonts w:eastAsiaTheme="minorHAnsi"/>
        </w:rPr>
        <w:t>project;</w:t>
      </w:r>
    </w:p>
    <w:p w14:paraId="3FECAE73" w14:textId="77777777" w:rsidR="00E16BC2" w:rsidRPr="00DE0217" w:rsidRDefault="00E16BC2" w:rsidP="00DE0217">
      <w:pPr>
        <w:pStyle w:val="Bullet"/>
        <w:rPr>
          <w:rFonts w:eastAsiaTheme="minorHAnsi"/>
        </w:rPr>
      </w:pPr>
      <w:r w:rsidRPr="007C465B">
        <w:t xml:space="preserve">a copy of the business case provided to Infrastructure Australia; and </w:t>
      </w:r>
    </w:p>
    <w:p w14:paraId="75ED5B46" w14:textId="77777777" w:rsidR="00E16BC2" w:rsidRPr="00DE0217" w:rsidRDefault="00E16BC2" w:rsidP="00DE0217">
      <w:pPr>
        <w:pStyle w:val="Bullet"/>
        <w:rPr>
          <w:rFonts w:eastAsiaTheme="minorHAnsi"/>
        </w:rPr>
      </w:pPr>
      <w:r w:rsidRPr="00DE0217">
        <w:rPr>
          <w:rFonts w:eastAsiaTheme="minorHAnsi"/>
        </w:rPr>
        <w:t>any further information related to the economic costs and benefits resulting from the facility (or improvement) that the applicant considers would assist the Treasurer in determining whether this criterion is met.</w:t>
      </w:r>
    </w:p>
    <w:p w14:paraId="4D22E677" w14:textId="04222EB7" w:rsidR="002C6CFA" w:rsidRPr="00632464" w:rsidRDefault="00EE52CF" w:rsidP="00DE0217">
      <w:pPr>
        <w:pStyle w:val="OutlineNumbered1"/>
        <w:rPr>
          <w:rFonts w:eastAsiaTheme="minorHAnsi"/>
          <w:lang w:eastAsia="en-US"/>
        </w:rPr>
      </w:pPr>
      <w:r>
        <w:rPr>
          <w:rFonts w:eastAsiaTheme="minorHAnsi"/>
          <w:lang w:eastAsia="en-US"/>
        </w:rPr>
        <w:t xml:space="preserve">If </w:t>
      </w:r>
      <w:r w:rsidR="002C6CFA">
        <w:rPr>
          <w:rFonts w:eastAsiaTheme="minorHAnsi"/>
          <w:lang w:eastAsia="en-US"/>
        </w:rPr>
        <w:t>the business case</w:t>
      </w:r>
      <w:r>
        <w:rPr>
          <w:rFonts w:eastAsiaTheme="minorHAnsi"/>
          <w:lang w:eastAsia="en-US"/>
        </w:rPr>
        <w:t xml:space="preserve"> and</w:t>
      </w:r>
      <w:r w:rsidR="002C6CFA">
        <w:rPr>
          <w:rFonts w:eastAsiaTheme="minorHAnsi"/>
          <w:lang w:eastAsia="en-US"/>
        </w:rPr>
        <w:t xml:space="preserve"> Infrastructure Australia’s assessment</w:t>
      </w:r>
      <w:r>
        <w:rPr>
          <w:rFonts w:eastAsiaTheme="minorHAnsi"/>
          <w:lang w:eastAsia="en-US"/>
        </w:rPr>
        <w:t xml:space="preserve"> </w:t>
      </w:r>
      <w:r w:rsidR="002C6CFA">
        <w:rPr>
          <w:rFonts w:eastAsiaTheme="minorHAnsi"/>
          <w:lang w:eastAsia="en-US"/>
        </w:rPr>
        <w:t xml:space="preserve">are not yet available at the time the application is made to the Treasurer, </w:t>
      </w:r>
      <w:r w:rsidR="00862A47">
        <w:rPr>
          <w:rFonts w:eastAsiaTheme="minorHAnsi"/>
          <w:lang w:eastAsia="en-US"/>
        </w:rPr>
        <w:t xml:space="preserve">the application must indicate this. </w:t>
      </w:r>
      <w:r>
        <w:rPr>
          <w:rFonts w:eastAsiaTheme="minorHAnsi"/>
          <w:lang w:eastAsia="en-US"/>
        </w:rPr>
        <w:t xml:space="preserve">These </w:t>
      </w:r>
      <w:r w:rsidR="002C6CFA">
        <w:rPr>
          <w:rFonts w:eastAsiaTheme="minorHAnsi"/>
          <w:lang w:eastAsia="en-US"/>
        </w:rPr>
        <w:t xml:space="preserve">documents and/or information </w:t>
      </w:r>
      <w:r>
        <w:rPr>
          <w:rFonts w:eastAsiaTheme="minorHAnsi"/>
          <w:lang w:eastAsia="en-US"/>
        </w:rPr>
        <w:t xml:space="preserve">must </w:t>
      </w:r>
      <w:r w:rsidR="002C6CFA">
        <w:rPr>
          <w:rFonts w:eastAsiaTheme="minorHAnsi"/>
          <w:lang w:eastAsia="en-US"/>
        </w:rPr>
        <w:t>be provided to the Treasurer when they become available.</w:t>
      </w:r>
    </w:p>
    <w:p w14:paraId="26570527" w14:textId="77777777" w:rsidR="00E16BC2" w:rsidRDefault="00E16BC2" w:rsidP="00FD6C5E">
      <w:pPr>
        <w:pStyle w:val="Heading3"/>
        <w:rPr>
          <w:b/>
          <w:i/>
        </w:rPr>
      </w:pPr>
      <w:bookmarkStart w:id="89" w:name="_Toc511230744"/>
      <w:bookmarkStart w:id="90" w:name="_Toc511921263"/>
      <w:bookmarkStart w:id="91" w:name="_Toc528320744"/>
      <w:bookmarkStart w:id="92" w:name="_Toc530754865"/>
      <w:bookmarkStart w:id="93" w:name="_Toc530756105"/>
      <w:bookmarkStart w:id="94" w:name="_Toc530991089"/>
      <w:bookmarkStart w:id="95" w:name="_Toc530991246"/>
      <w:bookmarkStart w:id="96" w:name="_Toc24620208"/>
      <w:r>
        <w:t xml:space="preserve">Approving the concession for the facility or the improvement </w:t>
      </w:r>
      <w:r w:rsidRPr="00213419">
        <w:t>is in the national interest</w:t>
      </w:r>
      <w:bookmarkEnd w:id="89"/>
      <w:bookmarkEnd w:id="90"/>
      <w:bookmarkEnd w:id="91"/>
      <w:bookmarkEnd w:id="92"/>
      <w:bookmarkEnd w:id="93"/>
      <w:bookmarkEnd w:id="94"/>
      <w:bookmarkEnd w:id="95"/>
      <w:bookmarkEnd w:id="96"/>
      <w:r w:rsidRPr="00213419">
        <w:t xml:space="preserve"> </w:t>
      </w:r>
    </w:p>
    <w:p w14:paraId="736D7FEF" w14:textId="77777777" w:rsidR="00E16BC2" w:rsidRDefault="00E16BC2" w:rsidP="00DE0217">
      <w:pPr>
        <w:pStyle w:val="OutlineNumbered1"/>
      </w:pPr>
      <w:r>
        <w:t xml:space="preserve">In determining whether approving the concession for the facility or the improvement is in the national interest, the Treasurer may have regard to a range of factors, including: </w:t>
      </w:r>
    </w:p>
    <w:p w14:paraId="4AD1DAB3" w14:textId="005D988D" w:rsidR="00E16BC2" w:rsidRPr="007C465B" w:rsidRDefault="00E44FDF" w:rsidP="00DE0217">
      <w:pPr>
        <w:pStyle w:val="Bullet"/>
      </w:pPr>
      <w:r w:rsidRPr="007C465B">
        <w:t xml:space="preserve">the </w:t>
      </w:r>
      <w:r w:rsidR="00E16BC2" w:rsidRPr="007C465B">
        <w:t xml:space="preserve">anticipated revenue cost of approving the concession for the facility (or improvement);   </w:t>
      </w:r>
    </w:p>
    <w:p w14:paraId="6FBFEE00" w14:textId="21B20ECC" w:rsidR="00E16BC2" w:rsidRPr="007C465B" w:rsidRDefault="00E44FDF" w:rsidP="00DE0217">
      <w:pPr>
        <w:pStyle w:val="Bullet"/>
      </w:pPr>
      <w:r w:rsidRPr="007C465B">
        <w:t xml:space="preserve">the </w:t>
      </w:r>
      <w:r w:rsidR="00E16BC2" w:rsidRPr="007C465B">
        <w:t xml:space="preserve">likely uplift in economic growth as a result of the facility (or improvement);   </w:t>
      </w:r>
    </w:p>
    <w:p w14:paraId="311A6233" w14:textId="46EE7D14" w:rsidR="00E16BC2" w:rsidRPr="007C465B" w:rsidRDefault="00E44FDF" w:rsidP="00DE0217">
      <w:pPr>
        <w:pStyle w:val="Bullet"/>
      </w:pPr>
      <w:r w:rsidRPr="007C465B">
        <w:t xml:space="preserve">whether </w:t>
      </w:r>
      <w:r w:rsidR="00E16BC2" w:rsidRPr="007C465B">
        <w:t xml:space="preserve">approving the concession for the facility (or improvement) is likely to have a material impact on whether the project goes ahead;  </w:t>
      </w:r>
    </w:p>
    <w:p w14:paraId="5C35FD17" w14:textId="46414FBE" w:rsidR="00E16BC2" w:rsidRPr="007C465B" w:rsidRDefault="00E44FDF" w:rsidP="00DE0217">
      <w:pPr>
        <w:pStyle w:val="Bullet"/>
      </w:pPr>
      <w:r w:rsidRPr="007C465B">
        <w:t xml:space="preserve">whether </w:t>
      </w:r>
      <w:r w:rsidR="00E16BC2" w:rsidRPr="007C465B">
        <w:t>an approval of the concession for the facility (or improvement) is consistent with the Government’s objectives;</w:t>
      </w:r>
    </w:p>
    <w:p w14:paraId="1E3B4EE6" w14:textId="529CFFF1" w:rsidR="00E16BC2" w:rsidRPr="007C465B" w:rsidRDefault="00E44FDF" w:rsidP="00DE0217">
      <w:pPr>
        <w:pStyle w:val="Bullet"/>
      </w:pPr>
      <w:r w:rsidRPr="007C465B">
        <w:t xml:space="preserve">whether </w:t>
      </w:r>
      <w:r w:rsidR="00E16BC2" w:rsidRPr="007C465B">
        <w:t xml:space="preserve">the entities to the cross staple arrangement and any known ultimate investors in those entities are compliant with Australian laws;  </w:t>
      </w:r>
    </w:p>
    <w:p w14:paraId="644E847A" w14:textId="6C13AB2C" w:rsidR="00E16BC2" w:rsidRPr="007C465B" w:rsidRDefault="00E44FDF" w:rsidP="00DE0217">
      <w:pPr>
        <w:pStyle w:val="Bullet"/>
      </w:pPr>
      <w:r w:rsidRPr="007C465B">
        <w:t xml:space="preserve">the </w:t>
      </w:r>
      <w:r w:rsidR="00E16BC2" w:rsidRPr="007C465B">
        <w:t xml:space="preserve">impact of the facility (or improvement) on the relevant community (this might include social impacts, </w:t>
      </w:r>
      <w:r w:rsidR="00E16BC2" w:rsidRPr="00DE0217">
        <w:rPr>
          <w:rFonts w:eastAsiaTheme="minorHAnsi"/>
        </w:rPr>
        <w:t>issues of social exclusion and/or quality of life, such as access to services, employment and safety);</w:t>
      </w:r>
    </w:p>
    <w:p w14:paraId="333D1BA1" w14:textId="499AA308" w:rsidR="00E16BC2" w:rsidRPr="007C465B" w:rsidRDefault="00E44FDF" w:rsidP="00DE0217">
      <w:pPr>
        <w:pStyle w:val="Bullet"/>
      </w:pPr>
      <w:r w:rsidRPr="007C465B">
        <w:lastRenderedPageBreak/>
        <w:t xml:space="preserve">whether </w:t>
      </w:r>
      <w:r w:rsidR="00E16BC2" w:rsidRPr="007C465B">
        <w:t>the facility (or improvement) will impact on any particular geographical area/s;</w:t>
      </w:r>
      <w:r w:rsidR="007E03E8" w:rsidRPr="007C465B">
        <w:t xml:space="preserve"> and</w:t>
      </w:r>
    </w:p>
    <w:p w14:paraId="4A59CB20" w14:textId="4C6D410C" w:rsidR="00E16BC2" w:rsidRPr="007C465B" w:rsidRDefault="00E44FDF" w:rsidP="00DE0217">
      <w:pPr>
        <w:pStyle w:val="Bullet"/>
      </w:pPr>
      <w:r w:rsidRPr="007C465B">
        <w:t xml:space="preserve">the </w:t>
      </w:r>
      <w:r w:rsidR="00E16BC2" w:rsidRPr="007C465B">
        <w:t xml:space="preserve">type and magnitude of any other government assistance that has been sought or provided in relation to the same or similar infrastructure facility (or improvement). </w:t>
      </w:r>
    </w:p>
    <w:p w14:paraId="71D26A15" w14:textId="77777777" w:rsidR="00E16BC2" w:rsidRPr="00934296" w:rsidRDefault="00E16BC2" w:rsidP="00DE0217">
      <w:pPr>
        <w:pStyle w:val="OutlineNumbered1"/>
      </w:pPr>
      <w:r>
        <w:t xml:space="preserve">To assist the Treasurer in determining whether approving the facility or improvement is in the </w:t>
      </w:r>
      <w:r w:rsidRPr="00934296">
        <w:t xml:space="preserve">national interest, the application must include: </w:t>
      </w:r>
    </w:p>
    <w:p w14:paraId="303C9134" w14:textId="77777777" w:rsidR="00E16BC2" w:rsidRPr="00934296" w:rsidRDefault="00E16BC2" w:rsidP="00DE0217">
      <w:pPr>
        <w:pStyle w:val="Bullet"/>
      </w:pPr>
      <w:r w:rsidRPr="00934296">
        <w:t xml:space="preserve">Specific </w:t>
      </w:r>
      <w:r w:rsidRPr="007C465B">
        <w:t>details</w:t>
      </w:r>
      <w:r w:rsidRPr="00934296">
        <w:t xml:space="preserve"> of the facility or improvement.</w:t>
      </w:r>
    </w:p>
    <w:p w14:paraId="1E9B4F2F" w14:textId="77777777" w:rsidR="00E16BC2" w:rsidRPr="00934296" w:rsidRDefault="00E16BC2" w:rsidP="00DE0217">
      <w:pPr>
        <w:pStyle w:val="Bullet"/>
      </w:pPr>
      <w:r w:rsidRPr="00934296">
        <w:t xml:space="preserve">Details and a diagram of the actual or proposed corporate structure including ultimate beneficiaries and ownership holdings. </w:t>
      </w:r>
    </w:p>
    <w:p w14:paraId="47398901" w14:textId="77777777" w:rsidR="00E16BC2" w:rsidRDefault="00E16BC2" w:rsidP="00DE0217">
      <w:pPr>
        <w:pStyle w:val="Dash"/>
        <w:tabs>
          <w:tab w:val="num" w:pos="1985"/>
        </w:tabs>
        <w:ind w:hanging="520"/>
      </w:pPr>
      <w:r w:rsidRPr="00934296">
        <w:t xml:space="preserve">If one or </w:t>
      </w:r>
      <w:r w:rsidRPr="007C465B">
        <w:t>more</w:t>
      </w:r>
      <w:r w:rsidRPr="00934296">
        <w:t xml:space="preserve"> </w:t>
      </w:r>
      <w:r w:rsidRPr="007C465B">
        <w:t>beneficiaries</w:t>
      </w:r>
      <w:r w:rsidRPr="00934296">
        <w:t xml:space="preserve"> are (or </w:t>
      </w:r>
      <w:r>
        <w:t xml:space="preserve">are proposed to be) foreign, information should be included relating to the (likely) country where the beneficiaries are (or will be) tax residents. </w:t>
      </w:r>
    </w:p>
    <w:p w14:paraId="0549B76B" w14:textId="77777777" w:rsidR="00E16BC2" w:rsidRDefault="00E16BC2" w:rsidP="00DE0217">
      <w:pPr>
        <w:pStyle w:val="Dash"/>
        <w:tabs>
          <w:tab w:val="num" w:pos="2127"/>
        </w:tabs>
        <w:ind w:hanging="520"/>
      </w:pPr>
      <w:r>
        <w:t xml:space="preserve">If one or more beneficiaries are (or are proposed to be) a sovereign wealth fund or a foreign pension fund, the percentage of interests in the MIT that are (or are expected to be) held by those beneficiaries. </w:t>
      </w:r>
    </w:p>
    <w:p w14:paraId="2B25CA2A" w14:textId="77777777" w:rsidR="00E95AF3" w:rsidRPr="007C465B" w:rsidRDefault="00E95AF3" w:rsidP="00DE0217">
      <w:pPr>
        <w:pStyle w:val="Bullet"/>
      </w:pPr>
      <w:r w:rsidRPr="007C465B">
        <w:t>Details of the funding proposal including whether the proposed new facility or improvement is expected to be funded by investor debt.</w:t>
      </w:r>
    </w:p>
    <w:p w14:paraId="780E455B" w14:textId="26926D60" w:rsidR="00E16BC2" w:rsidRPr="007C465B" w:rsidRDefault="00E16BC2" w:rsidP="00DE0217">
      <w:pPr>
        <w:pStyle w:val="Bullet"/>
      </w:pPr>
      <w:r w:rsidRPr="007C465B" w:rsidDel="009A0A93">
        <w:t>Expected fund payment amounts</w:t>
      </w:r>
      <w:r w:rsidRPr="007C465B">
        <w:t xml:space="preserve"> (attributable to MIT cross staple arrangement income) to each beneficiary for the 15 years after the asset that is part of the facility is first put to use. </w:t>
      </w:r>
    </w:p>
    <w:p w14:paraId="5687AAD2" w14:textId="77777777" w:rsidR="00E16BC2" w:rsidRPr="007C465B" w:rsidRDefault="00E16BC2" w:rsidP="00DE0217">
      <w:pPr>
        <w:pStyle w:val="Bullet"/>
      </w:pPr>
      <w:r w:rsidRPr="007C465B">
        <w:t xml:space="preserve">In the case of an improvement to a facility, include amounts that are (if the approval is granted) estimated to be excepted MIT cross staple arrangement income (i.e. subject to a 15 per cent MIT withholding rate). </w:t>
      </w:r>
    </w:p>
    <w:p w14:paraId="2DB11062" w14:textId="77777777" w:rsidR="00E16BC2" w:rsidRPr="007C465B" w:rsidRDefault="00E16BC2" w:rsidP="00DE0217">
      <w:pPr>
        <w:pStyle w:val="Bullet"/>
      </w:pPr>
      <w:r w:rsidRPr="007C465B">
        <w:t xml:space="preserve">The expected rate of return to each beneficiary for the 15 years after the asset that is part of the facility is first put to use. </w:t>
      </w:r>
    </w:p>
    <w:p w14:paraId="7CCE4E1F" w14:textId="40E33DF4" w:rsidR="00E16BC2" w:rsidRPr="007C465B" w:rsidRDefault="00E16BC2" w:rsidP="00DE0217">
      <w:pPr>
        <w:pStyle w:val="Bullet"/>
      </w:pPr>
      <w:r w:rsidRPr="007C465B">
        <w:t>An estimated date on which the facility or improvement is expected to become operational.</w:t>
      </w:r>
    </w:p>
    <w:p w14:paraId="693A4080" w14:textId="77777777" w:rsidR="00E95AF3" w:rsidRPr="007C465B" w:rsidRDefault="00E95AF3" w:rsidP="00DE0217">
      <w:pPr>
        <w:pStyle w:val="Bullet"/>
      </w:pPr>
      <w:r w:rsidRPr="007C465B">
        <w:t xml:space="preserve">The financial accounting year and any substituted accounting period. </w:t>
      </w:r>
    </w:p>
    <w:p w14:paraId="11980941" w14:textId="31678515" w:rsidR="00E16BC2" w:rsidRPr="007C465B" w:rsidRDefault="00E16BC2" w:rsidP="00DE0217">
      <w:pPr>
        <w:pStyle w:val="Bullet"/>
      </w:pPr>
      <w:r w:rsidRPr="007C465B">
        <w:t>Information as to whether the entities to the cross staple arrangement and any known ultimate investors in those entities</w:t>
      </w:r>
      <w:r w:rsidR="00020C27" w:rsidRPr="007C465B">
        <w:t xml:space="preserve"> are or have ever been non-compliant with Australian laws</w:t>
      </w:r>
      <w:r w:rsidR="00DB45F4" w:rsidRPr="007C465B">
        <w:t>.</w:t>
      </w:r>
    </w:p>
    <w:p w14:paraId="201D3AC3" w14:textId="0666736A" w:rsidR="00D4368C" w:rsidRPr="007C465B" w:rsidRDefault="00E16BC2" w:rsidP="00DE0217">
      <w:pPr>
        <w:pStyle w:val="Bullet"/>
      </w:pPr>
      <w:r w:rsidRPr="007C465B">
        <w:t xml:space="preserve">Details </w:t>
      </w:r>
      <w:r w:rsidR="0042130A" w:rsidRPr="007C465B">
        <w:t xml:space="preserve">of </w:t>
      </w:r>
      <w:r w:rsidRPr="007C465B">
        <w:t>any other government assistance (from any government or government body) that has been sought or provided in relation to the same or similar infrastructure facility or improvement.</w:t>
      </w:r>
    </w:p>
    <w:p w14:paraId="0E37D410" w14:textId="2BE23523" w:rsidR="00E16BC2" w:rsidRPr="007C465B" w:rsidRDefault="00E16BC2" w:rsidP="00DE0217">
      <w:pPr>
        <w:pStyle w:val="Bullet"/>
      </w:pPr>
      <w:r w:rsidRPr="007C465B">
        <w:t xml:space="preserve">Any other information that the applicant considers would assist the Treasurer in determining whether approving the concession for the facility or improvement is in the national interest. </w:t>
      </w:r>
    </w:p>
    <w:p w14:paraId="3154ABDC" w14:textId="5A1AB89E" w:rsidR="00FE2A97" w:rsidRDefault="00407E43" w:rsidP="00FE2A97">
      <w:pPr>
        <w:pStyle w:val="Heading3"/>
        <w:rPr>
          <w:b/>
          <w:i/>
        </w:rPr>
      </w:pPr>
      <w:bookmarkStart w:id="97" w:name="_Toc24620209"/>
      <w:bookmarkStart w:id="98" w:name="_Toc511230747"/>
      <w:bookmarkStart w:id="99" w:name="_Toc511921266"/>
      <w:r>
        <w:t>L</w:t>
      </w:r>
      <w:r w:rsidR="00FE2A97">
        <w:t xml:space="preserve">egislative </w:t>
      </w:r>
      <w:r w:rsidR="008D27D2">
        <w:t>considerations</w:t>
      </w:r>
      <w:bookmarkEnd w:id="97"/>
      <w:r w:rsidR="008D27D2">
        <w:t xml:space="preserve"> </w:t>
      </w:r>
    </w:p>
    <w:p w14:paraId="7928FAAA" w14:textId="16654CB8" w:rsidR="00D4368C" w:rsidRPr="00A32445" w:rsidRDefault="00D4368C" w:rsidP="00DE0217">
      <w:pPr>
        <w:pStyle w:val="OutlineNumbered1"/>
      </w:pPr>
      <w:r w:rsidRPr="00A32445">
        <w:t xml:space="preserve">A choice may be made under section 25-115 of </w:t>
      </w:r>
      <w:r w:rsidRPr="000C1138">
        <w:rPr>
          <w:i/>
        </w:rPr>
        <w:t>the Income Tax Assessment Act 1997</w:t>
      </w:r>
      <w:r w:rsidRPr="00A32445">
        <w:t xml:space="preserve"> by parties to the cross staple arrangement. This choice has the effect of shielding the deduction for the payment of cross staple rent from the application of the General Anti</w:t>
      </w:r>
      <w:r w:rsidR="007A645B">
        <w:noBreakHyphen/>
      </w:r>
      <w:r w:rsidRPr="00A32445">
        <w:t xml:space="preserve">Avoidance Rules in </w:t>
      </w:r>
      <w:r w:rsidR="00BA1CDA" w:rsidRPr="00A32445">
        <w:t>Part</w:t>
      </w:r>
      <w:r w:rsidR="00BA1CDA">
        <w:t> </w:t>
      </w:r>
      <w:r w:rsidRPr="00A32445">
        <w:t xml:space="preserve">IVA of the </w:t>
      </w:r>
      <w:r w:rsidRPr="000C1138">
        <w:rPr>
          <w:i/>
        </w:rPr>
        <w:t>Income Tax Assessment Act 1936</w:t>
      </w:r>
      <w:r w:rsidRPr="00A32445">
        <w:t xml:space="preserve">. </w:t>
      </w:r>
    </w:p>
    <w:p w14:paraId="3425564D" w14:textId="19AF3587" w:rsidR="00D4368C" w:rsidRPr="00A32445" w:rsidRDefault="00D4368C" w:rsidP="00DE0217">
      <w:pPr>
        <w:pStyle w:val="OutlineNumbered1"/>
      </w:pPr>
      <w:r w:rsidRPr="00A32445">
        <w:lastRenderedPageBreak/>
        <w:t xml:space="preserve">The facility remains subject to all other applicable tax laws, including Subdivision 275-L of the </w:t>
      </w:r>
      <w:r w:rsidRPr="000C1138">
        <w:rPr>
          <w:i/>
        </w:rPr>
        <w:t>Income Tax Assessment Act 1936</w:t>
      </w:r>
      <w:r w:rsidRPr="00A32445">
        <w:t xml:space="preserve"> (that is, the non-arm’s length income rule) and </w:t>
      </w:r>
      <w:r w:rsidR="00BA1CDA" w:rsidRPr="00A32445">
        <w:t>sections</w:t>
      </w:r>
      <w:r w:rsidR="00BA1CDA">
        <w:t> </w:t>
      </w:r>
      <w:r w:rsidR="00BA1CDA" w:rsidRPr="00A32445">
        <w:t>12</w:t>
      </w:r>
      <w:r w:rsidR="00BA1CDA">
        <w:noBreakHyphen/>
      </w:r>
      <w:r w:rsidRPr="00A32445">
        <w:t xml:space="preserve">441 to 12-445 of Schedule 1 to the </w:t>
      </w:r>
      <w:r w:rsidRPr="000C1138">
        <w:rPr>
          <w:i/>
        </w:rPr>
        <w:t>Taxation Administration Act 1953</w:t>
      </w:r>
      <w:r w:rsidRPr="00A32445">
        <w:t xml:space="preserve"> (that is, the concessional cross staple rent cap).</w:t>
      </w:r>
    </w:p>
    <w:p w14:paraId="0D2183DA" w14:textId="71A544CC" w:rsidR="00D4368C" w:rsidRPr="00A32445" w:rsidRDefault="00D4368C" w:rsidP="00DE0217">
      <w:pPr>
        <w:pStyle w:val="OutlineNumbered1"/>
      </w:pPr>
      <w:r w:rsidRPr="00A32445">
        <w:t>For an approved economic infrastructure facility (or approved improvement) to benefit from the concession, the facility would need to involve an investment in land (including an interest in land) for the purpose, or primarily for the purpose, of deriving rent. The ATO’s interpretation of the definitions of a facility and an economic infrastructure facility is relevant for determining whether a facility meets these requirements.</w:t>
      </w:r>
    </w:p>
    <w:p w14:paraId="3CDC97F3" w14:textId="1E85C69F" w:rsidR="00AD2D6B" w:rsidRPr="00A32445" w:rsidRDefault="00E16BC2" w:rsidP="00DE0217">
      <w:pPr>
        <w:pStyle w:val="OutlineNumbered1"/>
      </w:pPr>
      <w:r w:rsidRPr="00A32445">
        <w:t xml:space="preserve">A decision by the Treasurer to approve the concession for the facility or improvement as being in the national interest should not be taken as an assurance or indication that a decision by other government bodies and agencies under other legislation, such as the </w:t>
      </w:r>
      <w:r w:rsidRPr="00A32445">
        <w:rPr>
          <w:i/>
        </w:rPr>
        <w:t>Foreign Acquisitions and Takeovers Act 1975</w:t>
      </w:r>
      <w:r w:rsidR="00AD2D6B" w:rsidRPr="00A32445">
        <w:t>, will be favourable as well.</w:t>
      </w:r>
    </w:p>
    <w:p w14:paraId="2C804918" w14:textId="79076782" w:rsidR="00AD2D6B" w:rsidRDefault="00AD2D6B" w:rsidP="00FF4C38"/>
    <w:p w14:paraId="2C1AD5F2" w14:textId="77777777" w:rsidR="00D4368C" w:rsidRPr="00AD2D6B" w:rsidRDefault="00D4368C" w:rsidP="00AD2D6B"/>
    <w:p w14:paraId="7AAF4845" w14:textId="77777777" w:rsidR="00AD2D6B" w:rsidRPr="00AD2D6B" w:rsidRDefault="00AD2D6B" w:rsidP="00AD2D6B"/>
    <w:p w14:paraId="4E411147" w14:textId="2B3D6EB0" w:rsidR="00AD2D6B" w:rsidRDefault="00AD2D6B" w:rsidP="00AD2D6B"/>
    <w:p w14:paraId="213BF78A" w14:textId="77777777" w:rsidR="00AD2D6B" w:rsidRDefault="00AD2D6B">
      <w:pPr>
        <w:spacing w:before="0" w:after="160" w:line="259" w:lineRule="auto"/>
        <w:rPr>
          <w:rFonts w:cs="Arial"/>
          <w:iCs/>
          <w:color w:val="002C47"/>
          <w:kern w:val="32"/>
          <w:sz w:val="36"/>
          <w:szCs w:val="28"/>
        </w:rPr>
      </w:pPr>
      <w:bookmarkStart w:id="100" w:name="_Toc530754866"/>
      <w:bookmarkStart w:id="101" w:name="_Toc530756106"/>
      <w:bookmarkStart w:id="102" w:name="_Toc530991090"/>
      <w:bookmarkStart w:id="103" w:name="_Toc530991247"/>
      <w:bookmarkStart w:id="104" w:name="_Toc528320745"/>
      <w:r>
        <w:br w:type="page"/>
      </w:r>
    </w:p>
    <w:p w14:paraId="75BE1453" w14:textId="7FEF7A83" w:rsidR="00E16BC2" w:rsidRDefault="00E16BC2" w:rsidP="00032DAE">
      <w:pPr>
        <w:pStyle w:val="Heading2"/>
      </w:pPr>
      <w:bookmarkStart w:id="105" w:name="_Toc24620210"/>
      <w:r>
        <w:lastRenderedPageBreak/>
        <w:t>Application process - Examples</w:t>
      </w:r>
      <w:bookmarkEnd w:id="100"/>
      <w:bookmarkEnd w:id="101"/>
      <w:bookmarkEnd w:id="102"/>
      <w:bookmarkEnd w:id="103"/>
      <w:bookmarkEnd w:id="105"/>
    </w:p>
    <w:p w14:paraId="181EA632" w14:textId="77777777" w:rsidR="00E16BC2" w:rsidRDefault="00E16BC2" w:rsidP="00FD6C5E">
      <w:pPr>
        <w:pStyle w:val="Heading3"/>
      </w:pPr>
      <w:bookmarkStart w:id="106" w:name="_Toc530754867"/>
      <w:bookmarkStart w:id="107" w:name="_Toc530756107"/>
      <w:bookmarkStart w:id="108" w:name="_Toc530991091"/>
      <w:bookmarkStart w:id="109" w:name="_Toc530991248"/>
      <w:bookmarkStart w:id="110" w:name="_Toc24620211"/>
      <w:r>
        <w:t>Example #1</w:t>
      </w:r>
      <w:bookmarkEnd w:id="104"/>
      <w:bookmarkEnd w:id="106"/>
      <w:bookmarkEnd w:id="107"/>
      <w:bookmarkEnd w:id="108"/>
      <w:bookmarkEnd w:id="109"/>
      <w:bookmarkEnd w:id="110"/>
      <w:r>
        <w:t xml:space="preserve"> </w:t>
      </w:r>
    </w:p>
    <w:tbl>
      <w:tblPr>
        <w:tblStyle w:val="LightShading-Accent1"/>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80" w:firstRow="0" w:lastRow="0" w:firstColumn="1" w:lastColumn="0" w:noHBand="0" w:noVBand="1"/>
      </w:tblPr>
      <w:tblGrid>
        <w:gridCol w:w="3686"/>
        <w:gridCol w:w="3827"/>
        <w:gridCol w:w="1701"/>
      </w:tblGrid>
      <w:tr w:rsidR="00B5145C" w:rsidRPr="00FF378B" w14:paraId="37E5BCA8" w14:textId="77777777" w:rsidTr="00DE02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6" w:type="dxa"/>
            <w:tcBorders>
              <w:left w:val="none" w:sz="0" w:space="0" w:color="auto"/>
              <w:right w:val="none" w:sz="0" w:space="0" w:color="auto"/>
            </w:tcBorders>
            <w:shd w:val="clear" w:color="auto" w:fill="D2EDFF" w:themeFill="accent1" w:themeFillTint="1A"/>
          </w:tcPr>
          <w:p w14:paraId="37EDAD29" w14:textId="5EFA2AC7" w:rsidR="00B5145C" w:rsidRPr="00B53526" w:rsidRDefault="006C5D2A" w:rsidP="00FD6C5E">
            <w:pPr>
              <w:rPr>
                <w:szCs w:val="22"/>
              </w:rPr>
            </w:pPr>
            <w:r w:rsidRPr="00B53526">
              <w:rPr>
                <w:szCs w:val="22"/>
              </w:rPr>
              <w:t xml:space="preserve">Action </w:t>
            </w:r>
          </w:p>
        </w:tc>
        <w:tc>
          <w:tcPr>
            <w:tcW w:w="3827" w:type="dxa"/>
            <w:tcBorders>
              <w:left w:val="none" w:sz="0" w:space="0" w:color="auto"/>
              <w:right w:val="none" w:sz="0" w:space="0" w:color="auto"/>
            </w:tcBorders>
            <w:shd w:val="clear" w:color="auto" w:fill="D2EDFF" w:themeFill="accent1" w:themeFillTint="1A"/>
          </w:tcPr>
          <w:p w14:paraId="3418D590" w14:textId="5098F763" w:rsidR="00B5145C" w:rsidRPr="00DF164E" w:rsidRDefault="006C5D2A" w:rsidP="00FD6C5E">
            <w:pPr>
              <w:cnfStyle w:val="000000100000" w:firstRow="0" w:lastRow="0" w:firstColumn="0" w:lastColumn="0" w:oddVBand="0" w:evenVBand="0" w:oddHBand="1" w:evenHBand="0" w:firstRowFirstColumn="0" w:firstRowLastColumn="0" w:lastRowFirstColumn="0" w:lastRowLastColumn="0"/>
              <w:rPr>
                <w:b/>
                <w:szCs w:val="22"/>
              </w:rPr>
            </w:pPr>
            <w:r w:rsidRPr="00DF164E">
              <w:rPr>
                <w:b/>
                <w:szCs w:val="22"/>
              </w:rPr>
              <w:t xml:space="preserve">Process </w:t>
            </w:r>
          </w:p>
        </w:tc>
        <w:tc>
          <w:tcPr>
            <w:tcW w:w="1701" w:type="dxa"/>
            <w:tcBorders>
              <w:left w:val="none" w:sz="0" w:space="0" w:color="auto"/>
              <w:right w:val="none" w:sz="0" w:space="0" w:color="auto"/>
            </w:tcBorders>
            <w:shd w:val="clear" w:color="auto" w:fill="D2EDFF" w:themeFill="accent1" w:themeFillTint="1A"/>
          </w:tcPr>
          <w:p w14:paraId="37C5BCB8" w14:textId="281DFB23" w:rsidR="00B5145C" w:rsidRPr="00DF164E" w:rsidRDefault="006C5D2A" w:rsidP="00FD6C5E">
            <w:pPr>
              <w:cnfStyle w:val="000000100000" w:firstRow="0" w:lastRow="0" w:firstColumn="0" w:lastColumn="0" w:oddVBand="0" w:evenVBand="0" w:oddHBand="1" w:evenHBand="0" w:firstRowFirstColumn="0" w:firstRowLastColumn="0" w:lastRowFirstColumn="0" w:lastRowLastColumn="0"/>
              <w:rPr>
                <w:b/>
                <w:szCs w:val="22"/>
              </w:rPr>
            </w:pPr>
            <w:r w:rsidRPr="00DF164E">
              <w:rPr>
                <w:b/>
                <w:szCs w:val="22"/>
              </w:rPr>
              <w:t xml:space="preserve">Timing </w:t>
            </w:r>
          </w:p>
        </w:tc>
      </w:tr>
      <w:tr w:rsidR="00E16BC2" w:rsidRPr="00FF378B" w14:paraId="0EB58967" w14:textId="77777777" w:rsidTr="00DE0217">
        <w:tc>
          <w:tcPr>
            <w:cnfStyle w:val="001000000000" w:firstRow="0" w:lastRow="0" w:firstColumn="1" w:lastColumn="0" w:oddVBand="0" w:evenVBand="0" w:oddHBand="0" w:evenHBand="0" w:firstRowFirstColumn="0" w:firstRowLastColumn="0" w:lastRowFirstColumn="0" w:lastRowLastColumn="0"/>
            <w:tcW w:w="3686" w:type="dxa"/>
          </w:tcPr>
          <w:p w14:paraId="6ADA9152" w14:textId="54E8E2DD" w:rsidR="00E16BC2" w:rsidRPr="00B53526" w:rsidRDefault="00E16BC2" w:rsidP="00BB2B74">
            <w:pPr>
              <w:rPr>
                <w:b w:val="0"/>
                <w:szCs w:val="22"/>
              </w:rPr>
            </w:pPr>
            <w:r w:rsidRPr="00B53526">
              <w:rPr>
                <w:b w:val="0"/>
                <w:szCs w:val="22"/>
              </w:rPr>
              <w:t>A State Government resolves to construct then privatise a specific infrastructure facility (a toll road)</w:t>
            </w:r>
            <w:r w:rsidR="00F31CA2" w:rsidRPr="00B53526">
              <w:rPr>
                <w:b w:val="0"/>
                <w:szCs w:val="22"/>
              </w:rPr>
              <w:t>.</w:t>
            </w:r>
          </w:p>
        </w:tc>
        <w:tc>
          <w:tcPr>
            <w:tcW w:w="3827" w:type="dxa"/>
            <w:vMerge w:val="restart"/>
          </w:tcPr>
          <w:p w14:paraId="5E05E9BA" w14:textId="77777777" w:rsidR="00E16BC2" w:rsidRPr="00FF378B" w:rsidRDefault="00E16BC2" w:rsidP="00BB2B74">
            <w:pPr>
              <w:cnfStyle w:val="000000000000" w:firstRow="0" w:lastRow="0" w:firstColumn="0" w:lastColumn="0" w:oddVBand="0" w:evenVBand="0" w:oddHBand="0" w:evenHBand="0" w:firstRowFirstColumn="0" w:firstRowLastColumn="0" w:lastRowFirstColumn="0" w:lastRowLastColumn="0"/>
              <w:rPr>
                <w:szCs w:val="22"/>
              </w:rPr>
            </w:pPr>
          </w:p>
        </w:tc>
        <w:tc>
          <w:tcPr>
            <w:tcW w:w="1701" w:type="dxa"/>
            <w:vMerge w:val="restart"/>
          </w:tcPr>
          <w:p w14:paraId="23E476FD" w14:textId="77777777" w:rsidR="00E16BC2" w:rsidRPr="00FF378B" w:rsidRDefault="00E16BC2" w:rsidP="00FD6C5E">
            <w:pPr>
              <w:cnfStyle w:val="000000000000" w:firstRow="0" w:lastRow="0" w:firstColumn="0" w:lastColumn="0" w:oddVBand="0" w:evenVBand="0" w:oddHBand="0" w:evenHBand="0" w:firstRowFirstColumn="0" w:firstRowLastColumn="0" w:lastRowFirstColumn="0" w:lastRowLastColumn="0"/>
              <w:rPr>
                <w:szCs w:val="22"/>
              </w:rPr>
            </w:pPr>
          </w:p>
        </w:tc>
      </w:tr>
      <w:tr w:rsidR="00E16BC2" w:rsidRPr="00FF378B" w14:paraId="64803186" w14:textId="77777777" w:rsidTr="00DE02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6" w:type="dxa"/>
            <w:tcBorders>
              <w:left w:val="none" w:sz="0" w:space="0" w:color="auto"/>
              <w:right w:val="none" w:sz="0" w:space="0" w:color="auto"/>
            </w:tcBorders>
          </w:tcPr>
          <w:p w14:paraId="6564DE73" w14:textId="032986F6" w:rsidR="00E16BC2" w:rsidRPr="00B53526" w:rsidRDefault="00E16BC2" w:rsidP="00BB2B74">
            <w:pPr>
              <w:rPr>
                <w:b w:val="0"/>
                <w:i/>
                <w:szCs w:val="22"/>
              </w:rPr>
            </w:pPr>
            <w:r w:rsidRPr="00B53526">
              <w:rPr>
                <w:b w:val="0"/>
                <w:i/>
                <w:szCs w:val="22"/>
              </w:rPr>
              <w:t>[State Government planning, funding and approvals processes</w:t>
            </w:r>
            <w:r w:rsidR="00F31CA2" w:rsidRPr="00B53526">
              <w:rPr>
                <w:b w:val="0"/>
                <w:i/>
                <w:szCs w:val="22"/>
              </w:rPr>
              <w:t>.</w:t>
            </w:r>
            <w:r w:rsidRPr="00B53526">
              <w:rPr>
                <w:b w:val="0"/>
                <w:i/>
                <w:szCs w:val="22"/>
              </w:rPr>
              <w:t>]</w:t>
            </w:r>
          </w:p>
        </w:tc>
        <w:tc>
          <w:tcPr>
            <w:tcW w:w="3827" w:type="dxa"/>
            <w:vMerge/>
            <w:tcBorders>
              <w:left w:val="none" w:sz="0" w:space="0" w:color="auto"/>
              <w:right w:val="none" w:sz="0" w:space="0" w:color="auto"/>
            </w:tcBorders>
          </w:tcPr>
          <w:p w14:paraId="69B6DE28" w14:textId="77777777" w:rsidR="00E16BC2" w:rsidRPr="00FF378B" w:rsidRDefault="00E16BC2" w:rsidP="00DE0217">
            <w:pPr>
              <w:cnfStyle w:val="000000100000" w:firstRow="0" w:lastRow="0" w:firstColumn="0" w:lastColumn="0" w:oddVBand="0" w:evenVBand="0" w:oddHBand="1" w:evenHBand="0" w:firstRowFirstColumn="0" w:firstRowLastColumn="0" w:lastRowFirstColumn="0" w:lastRowLastColumn="0"/>
              <w:rPr>
                <w:szCs w:val="22"/>
              </w:rPr>
            </w:pPr>
          </w:p>
        </w:tc>
        <w:tc>
          <w:tcPr>
            <w:tcW w:w="1701" w:type="dxa"/>
            <w:vMerge/>
            <w:tcBorders>
              <w:left w:val="none" w:sz="0" w:space="0" w:color="auto"/>
              <w:right w:val="none" w:sz="0" w:space="0" w:color="auto"/>
            </w:tcBorders>
          </w:tcPr>
          <w:p w14:paraId="27759274" w14:textId="77777777" w:rsidR="00E16BC2" w:rsidRPr="00FF378B" w:rsidRDefault="00E16BC2" w:rsidP="00FD6C5E">
            <w:pPr>
              <w:cnfStyle w:val="000000100000" w:firstRow="0" w:lastRow="0" w:firstColumn="0" w:lastColumn="0" w:oddVBand="0" w:evenVBand="0" w:oddHBand="1" w:evenHBand="0" w:firstRowFirstColumn="0" w:firstRowLastColumn="0" w:lastRowFirstColumn="0" w:lastRowLastColumn="0"/>
              <w:rPr>
                <w:szCs w:val="22"/>
              </w:rPr>
            </w:pPr>
          </w:p>
        </w:tc>
      </w:tr>
      <w:tr w:rsidR="00E16BC2" w:rsidRPr="00FF378B" w14:paraId="321098DD" w14:textId="77777777" w:rsidTr="00DE0217">
        <w:tc>
          <w:tcPr>
            <w:cnfStyle w:val="001000000000" w:firstRow="0" w:lastRow="0" w:firstColumn="1" w:lastColumn="0" w:oddVBand="0" w:evenVBand="0" w:oddHBand="0" w:evenHBand="0" w:firstRowFirstColumn="0" w:firstRowLastColumn="0" w:lastRowFirstColumn="0" w:lastRowLastColumn="0"/>
            <w:tcW w:w="3686" w:type="dxa"/>
          </w:tcPr>
          <w:p w14:paraId="24F8C32A" w14:textId="6C4D2E42" w:rsidR="00E16BC2" w:rsidRPr="00B53526" w:rsidRDefault="00E16BC2" w:rsidP="00BB2B74">
            <w:pPr>
              <w:rPr>
                <w:b w:val="0"/>
                <w:szCs w:val="22"/>
              </w:rPr>
            </w:pPr>
            <w:r w:rsidRPr="00B53526">
              <w:rPr>
                <w:b w:val="0"/>
                <w:szCs w:val="22"/>
              </w:rPr>
              <w:t>The State Government makes an application to Infrastructure Australia in support of a Commonwealth funding application</w:t>
            </w:r>
            <w:r w:rsidR="00F31CA2" w:rsidRPr="00B53526">
              <w:rPr>
                <w:b w:val="0"/>
                <w:szCs w:val="22"/>
              </w:rPr>
              <w:t>.</w:t>
            </w:r>
          </w:p>
        </w:tc>
        <w:tc>
          <w:tcPr>
            <w:tcW w:w="3827" w:type="dxa"/>
          </w:tcPr>
          <w:p w14:paraId="31BBB982" w14:textId="2AD4CA9A" w:rsidR="008C33F7" w:rsidRDefault="00E16BC2" w:rsidP="00BB2B74">
            <w:pPr>
              <w:cnfStyle w:val="000000000000" w:firstRow="0" w:lastRow="0" w:firstColumn="0" w:lastColumn="0" w:oddVBand="0" w:evenVBand="0" w:oddHBand="0" w:evenHBand="0" w:firstRowFirstColumn="0" w:firstRowLastColumn="0" w:lastRowFirstColumn="0" w:lastRowLastColumn="0"/>
              <w:rPr>
                <w:szCs w:val="22"/>
              </w:rPr>
            </w:pPr>
            <w:r w:rsidRPr="00FF378B">
              <w:rPr>
                <w:szCs w:val="22"/>
              </w:rPr>
              <w:t xml:space="preserve">Infrastructure Australia assesses proposal as being a </w:t>
            </w:r>
            <w:r w:rsidR="00F31CA2">
              <w:rPr>
                <w:szCs w:val="22"/>
              </w:rPr>
              <w:t>‘</w:t>
            </w:r>
            <w:r w:rsidRPr="00FF378B">
              <w:rPr>
                <w:szCs w:val="22"/>
              </w:rPr>
              <w:t>high priority project</w:t>
            </w:r>
            <w:r w:rsidR="00F31CA2">
              <w:rPr>
                <w:szCs w:val="22"/>
              </w:rPr>
              <w:t>’</w:t>
            </w:r>
            <w:r w:rsidRPr="00FF378B">
              <w:rPr>
                <w:szCs w:val="22"/>
              </w:rPr>
              <w:t>.</w:t>
            </w:r>
          </w:p>
          <w:p w14:paraId="7663E1CB" w14:textId="5E4CEDC7" w:rsidR="00E16BC2" w:rsidRPr="00FF378B" w:rsidRDefault="00E16BC2" w:rsidP="00DE0217">
            <w:pPr>
              <w:cnfStyle w:val="000000000000" w:firstRow="0" w:lastRow="0" w:firstColumn="0" w:lastColumn="0" w:oddVBand="0" w:evenVBand="0" w:oddHBand="0" w:evenHBand="0" w:firstRowFirstColumn="0" w:firstRowLastColumn="0" w:lastRowFirstColumn="0" w:lastRowLastColumn="0"/>
              <w:rPr>
                <w:szCs w:val="22"/>
              </w:rPr>
            </w:pPr>
          </w:p>
        </w:tc>
        <w:tc>
          <w:tcPr>
            <w:tcW w:w="1701" w:type="dxa"/>
            <w:vMerge w:val="restart"/>
            <w:vAlign w:val="center"/>
          </w:tcPr>
          <w:p w14:paraId="7B105DAF" w14:textId="76AB92BE" w:rsidR="003B35E2" w:rsidRDefault="003B35E2" w:rsidP="00C734BB">
            <w:pPr>
              <w:jc w:val="center"/>
              <w:cnfStyle w:val="000000000000" w:firstRow="0" w:lastRow="0" w:firstColumn="0" w:lastColumn="0" w:oddVBand="0" w:evenVBand="0" w:oddHBand="0" w:evenHBand="0" w:firstRowFirstColumn="0" w:firstRowLastColumn="0" w:lastRowFirstColumn="0" w:lastRowLastColumn="0"/>
              <w:rPr>
                <w:b/>
                <w:szCs w:val="22"/>
              </w:rPr>
            </w:pPr>
            <w:r>
              <w:rPr>
                <w:b/>
                <w:szCs w:val="22"/>
              </w:rPr>
              <w:t>T</w:t>
            </w:r>
            <w:r w:rsidRPr="00FF378B">
              <w:rPr>
                <w:b/>
                <w:szCs w:val="22"/>
              </w:rPr>
              <w:t xml:space="preserve">ypically </w:t>
            </w:r>
            <w:r w:rsidR="00546F6A">
              <w:rPr>
                <w:b/>
                <w:szCs w:val="22"/>
              </w:rPr>
              <w:t>3 – 6 months</w:t>
            </w:r>
          </w:p>
          <w:p w14:paraId="6EBC02B5" w14:textId="77777777" w:rsidR="003B35E2" w:rsidRDefault="003B35E2" w:rsidP="00C734BB">
            <w:pPr>
              <w:jc w:val="center"/>
              <w:cnfStyle w:val="000000000000" w:firstRow="0" w:lastRow="0" w:firstColumn="0" w:lastColumn="0" w:oddVBand="0" w:evenVBand="0" w:oddHBand="0" w:evenHBand="0" w:firstRowFirstColumn="0" w:firstRowLastColumn="0" w:lastRowFirstColumn="0" w:lastRowLastColumn="0"/>
              <w:rPr>
                <w:b/>
                <w:szCs w:val="22"/>
              </w:rPr>
            </w:pPr>
          </w:p>
          <w:p w14:paraId="7C8FC1F4" w14:textId="7D81919C" w:rsidR="00E16BC2" w:rsidRPr="00FF378B" w:rsidRDefault="00E16BC2" w:rsidP="00C734BB">
            <w:pPr>
              <w:jc w:val="center"/>
              <w:cnfStyle w:val="000000000000" w:firstRow="0" w:lastRow="0" w:firstColumn="0" w:lastColumn="0" w:oddVBand="0" w:evenVBand="0" w:oddHBand="0" w:evenHBand="0" w:firstRowFirstColumn="0" w:firstRowLastColumn="0" w:lastRowFirstColumn="0" w:lastRowLastColumn="0"/>
              <w:rPr>
                <w:szCs w:val="22"/>
              </w:rPr>
            </w:pPr>
            <w:r w:rsidRPr="00FF378B">
              <w:rPr>
                <w:szCs w:val="22"/>
              </w:rPr>
              <w:t xml:space="preserve">Note: These processes may take </w:t>
            </w:r>
            <w:r w:rsidR="00FD6C5E" w:rsidRPr="00FF378B">
              <w:rPr>
                <w:szCs w:val="22"/>
              </w:rPr>
              <w:t xml:space="preserve">place simultaneously </w:t>
            </w:r>
            <w:r w:rsidRPr="00FF378B">
              <w:rPr>
                <w:szCs w:val="22"/>
              </w:rPr>
              <w:t>so that assessment periods may overlap in part</w:t>
            </w:r>
            <w:r w:rsidR="00F31CA2">
              <w:rPr>
                <w:szCs w:val="22"/>
              </w:rPr>
              <w:t>.</w:t>
            </w:r>
          </w:p>
        </w:tc>
      </w:tr>
      <w:tr w:rsidR="00E16BC2" w:rsidRPr="00FF378B" w14:paraId="00E3B5D0" w14:textId="77777777" w:rsidTr="00DE02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6" w:type="dxa"/>
            <w:tcBorders>
              <w:left w:val="none" w:sz="0" w:space="0" w:color="auto"/>
              <w:right w:val="none" w:sz="0" w:space="0" w:color="auto"/>
            </w:tcBorders>
          </w:tcPr>
          <w:p w14:paraId="41C52D6D" w14:textId="127851AA" w:rsidR="00E16BC2" w:rsidRPr="00DE0217" w:rsidRDefault="00E16BC2" w:rsidP="00DE0217">
            <w:pPr>
              <w:rPr>
                <w:b w:val="0"/>
                <w:szCs w:val="22"/>
              </w:rPr>
            </w:pPr>
            <w:r w:rsidRPr="00DE0217">
              <w:rPr>
                <w:b w:val="0"/>
                <w:szCs w:val="22"/>
              </w:rPr>
              <w:t>State Government makes an application to the Treasurer, via Treasury, for the Treasurer’s approval for the concession</w:t>
            </w:r>
            <w:r w:rsidR="00F31CA2" w:rsidRPr="00DE0217">
              <w:rPr>
                <w:b w:val="0"/>
                <w:szCs w:val="22"/>
              </w:rPr>
              <w:t>.</w:t>
            </w:r>
            <w:r w:rsidRPr="00DE0217">
              <w:rPr>
                <w:b w:val="0"/>
                <w:szCs w:val="22"/>
              </w:rPr>
              <w:t xml:space="preserve"> </w:t>
            </w:r>
          </w:p>
          <w:p w14:paraId="446C91F4" w14:textId="4749D4B4" w:rsidR="00E16BC2" w:rsidRPr="00B53526" w:rsidRDefault="00E16BC2" w:rsidP="00DE0217">
            <w:pPr>
              <w:pStyle w:val="Bullet"/>
              <w:numPr>
                <w:ilvl w:val="0"/>
                <w:numId w:val="15"/>
              </w:numPr>
              <w:spacing w:before="120"/>
              <w:ind w:left="522" w:hanging="522"/>
            </w:pPr>
            <w:r w:rsidRPr="00DE0217">
              <w:rPr>
                <w:b w:val="0"/>
              </w:rPr>
              <w:t>Application includes outcomes of Infrastructure Australia’s assessment, details of the Commonwealth funding being sought and further information as required/appropriate.</w:t>
            </w:r>
            <w:r w:rsidRPr="00B53526">
              <w:t xml:space="preserve">   </w:t>
            </w:r>
          </w:p>
        </w:tc>
        <w:tc>
          <w:tcPr>
            <w:tcW w:w="3827" w:type="dxa"/>
            <w:tcBorders>
              <w:left w:val="none" w:sz="0" w:space="0" w:color="auto"/>
              <w:right w:val="none" w:sz="0" w:space="0" w:color="auto"/>
            </w:tcBorders>
          </w:tcPr>
          <w:p w14:paraId="142811F0" w14:textId="77777777" w:rsidR="00E16BC2" w:rsidRPr="00FF378B" w:rsidRDefault="00E16BC2" w:rsidP="00DE0217">
            <w:pPr>
              <w:cnfStyle w:val="000000100000" w:firstRow="0" w:lastRow="0" w:firstColumn="0" w:lastColumn="0" w:oddVBand="0" w:evenVBand="0" w:oddHBand="1" w:evenHBand="0" w:firstRowFirstColumn="0" w:firstRowLastColumn="0" w:lastRowFirstColumn="0" w:lastRowLastColumn="0"/>
              <w:rPr>
                <w:szCs w:val="22"/>
              </w:rPr>
            </w:pPr>
            <w:r w:rsidRPr="00FF378B">
              <w:rPr>
                <w:szCs w:val="22"/>
              </w:rPr>
              <w:t xml:space="preserve">Treasury processes and assesses the application, seeks input from the ATO, Infrastructure Australia, Department of Infrastructure, Transport, Cities and Regional Development, Infrastructure and Project Financing Agency and other departments and agencies where relevant. </w:t>
            </w:r>
          </w:p>
          <w:p w14:paraId="4E0F2F8A" w14:textId="70CC5D80" w:rsidR="00E16BC2" w:rsidRPr="00FF378B" w:rsidRDefault="00E16BC2" w:rsidP="00DE0217">
            <w:pPr>
              <w:cnfStyle w:val="000000100000" w:firstRow="0" w:lastRow="0" w:firstColumn="0" w:lastColumn="0" w:oddVBand="0" w:evenVBand="0" w:oddHBand="1" w:evenHBand="0" w:firstRowFirstColumn="0" w:firstRowLastColumn="0" w:lastRowFirstColumn="0" w:lastRowLastColumn="0"/>
              <w:rPr>
                <w:szCs w:val="22"/>
              </w:rPr>
            </w:pPr>
            <w:r w:rsidRPr="00FF378B">
              <w:rPr>
                <w:szCs w:val="22"/>
              </w:rPr>
              <w:t xml:space="preserve">Treasury provides advice to the Treasurer. </w:t>
            </w:r>
          </w:p>
        </w:tc>
        <w:tc>
          <w:tcPr>
            <w:tcW w:w="1701" w:type="dxa"/>
            <w:vMerge/>
            <w:tcBorders>
              <w:left w:val="none" w:sz="0" w:space="0" w:color="auto"/>
              <w:right w:val="none" w:sz="0" w:space="0" w:color="auto"/>
            </w:tcBorders>
          </w:tcPr>
          <w:p w14:paraId="379F9A00" w14:textId="77777777" w:rsidR="00E16BC2" w:rsidRPr="00FF378B" w:rsidRDefault="00E16BC2" w:rsidP="00C734BB">
            <w:pPr>
              <w:spacing w:after="0"/>
              <w:cnfStyle w:val="000000100000" w:firstRow="0" w:lastRow="0" w:firstColumn="0" w:lastColumn="0" w:oddVBand="0" w:evenVBand="0" w:oddHBand="1" w:evenHBand="0" w:firstRowFirstColumn="0" w:firstRowLastColumn="0" w:lastRowFirstColumn="0" w:lastRowLastColumn="0"/>
              <w:rPr>
                <w:szCs w:val="22"/>
              </w:rPr>
            </w:pPr>
          </w:p>
        </w:tc>
      </w:tr>
      <w:tr w:rsidR="00E16BC2" w:rsidRPr="00FF378B" w14:paraId="312AE1EE" w14:textId="77777777" w:rsidTr="00DE0217">
        <w:tc>
          <w:tcPr>
            <w:cnfStyle w:val="001000000000" w:firstRow="0" w:lastRow="0" w:firstColumn="1" w:lastColumn="0" w:oddVBand="0" w:evenVBand="0" w:oddHBand="0" w:evenHBand="0" w:firstRowFirstColumn="0" w:firstRowLastColumn="0" w:lastRowFirstColumn="0" w:lastRowLastColumn="0"/>
            <w:tcW w:w="3686" w:type="dxa"/>
          </w:tcPr>
          <w:p w14:paraId="3AC2AECD" w14:textId="2A365C20" w:rsidR="00E16BC2" w:rsidRPr="00B53526" w:rsidRDefault="0050569B" w:rsidP="00BB2B74">
            <w:pPr>
              <w:rPr>
                <w:b w:val="0"/>
                <w:szCs w:val="22"/>
              </w:rPr>
            </w:pPr>
            <w:r>
              <w:rPr>
                <w:b w:val="0"/>
                <w:szCs w:val="22"/>
              </w:rPr>
              <w:t xml:space="preserve">The </w:t>
            </w:r>
            <w:r w:rsidR="00E16BC2" w:rsidRPr="00B53526">
              <w:rPr>
                <w:b w:val="0"/>
                <w:szCs w:val="22"/>
              </w:rPr>
              <w:t xml:space="preserve">Treasurer makes a decision as to whether to grant the approval. </w:t>
            </w:r>
          </w:p>
          <w:p w14:paraId="59B8B7D4" w14:textId="77777777" w:rsidR="00E16BC2" w:rsidRPr="00B53526" w:rsidRDefault="00E16BC2" w:rsidP="00DE0217">
            <w:pPr>
              <w:pStyle w:val="Bullet"/>
              <w:numPr>
                <w:ilvl w:val="0"/>
                <w:numId w:val="0"/>
              </w:numPr>
              <w:spacing w:before="120"/>
            </w:pPr>
          </w:p>
        </w:tc>
        <w:tc>
          <w:tcPr>
            <w:tcW w:w="3827" w:type="dxa"/>
          </w:tcPr>
          <w:p w14:paraId="74B1AFF3" w14:textId="303F24BB" w:rsidR="00E16BC2" w:rsidRPr="003B35E2" w:rsidRDefault="00E16BC2" w:rsidP="00BB2B74">
            <w:pPr>
              <w:cnfStyle w:val="000000000000" w:firstRow="0" w:lastRow="0" w:firstColumn="0" w:lastColumn="0" w:oddVBand="0" w:evenVBand="0" w:oddHBand="0" w:evenHBand="0" w:firstRowFirstColumn="0" w:firstRowLastColumn="0" w:lastRowFirstColumn="0" w:lastRowLastColumn="0"/>
              <w:rPr>
                <w:szCs w:val="22"/>
              </w:rPr>
            </w:pPr>
            <w:r w:rsidRPr="00FF378B">
              <w:rPr>
                <w:szCs w:val="22"/>
              </w:rPr>
              <w:t xml:space="preserve">The Treasurer publishes their decision via a public announcement (if application successful) or informs the applicant directly (if application unsuccessful). </w:t>
            </w:r>
          </w:p>
        </w:tc>
        <w:tc>
          <w:tcPr>
            <w:tcW w:w="1701" w:type="dxa"/>
          </w:tcPr>
          <w:p w14:paraId="5FB801D3" w14:textId="028ED8F7" w:rsidR="00E16BC2" w:rsidRPr="00FF378B" w:rsidRDefault="00546F6A" w:rsidP="00546F6A">
            <w:pPr>
              <w:jc w:val="center"/>
              <w:cnfStyle w:val="000000000000" w:firstRow="0" w:lastRow="0" w:firstColumn="0" w:lastColumn="0" w:oddVBand="0" w:evenVBand="0" w:oddHBand="0" w:evenHBand="0" w:firstRowFirstColumn="0" w:firstRowLastColumn="0" w:lastRowFirstColumn="0" w:lastRowLastColumn="0"/>
              <w:rPr>
                <w:szCs w:val="22"/>
              </w:rPr>
            </w:pPr>
            <w:r>
              <w:rPr>
                <w:b/>
                <w:szCs w:val="22"/>
              </w:rPr>
              <w:t>1 – 3 months</w:t>
            </w:r>
          </w:p>
        </w:tc>
      </w:tr>
      <w:tr w:rsidR="00E16BC2" w:rsidRPr="00FF378B" w14:paraId="0B3DF3D2" w14:textId="77777777" w:rsidTr="00DE02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6" w:type="dxa"/>
            <w:tcBorders>
              <w:left w:val="none" w:sz="0" w:space="0" w:color="auto"/>
              <w:right w:val="none" w:sz="0" w:space="0" w:color="auto"/>
            </w:tcBorders>
          </w:tcPr>
          <w:p w14:paraId="552A3EFA" w14:textId="4A48D722" w:rsidR="00E16BC2" w:rsidRPr="00B53526" w:rsidRDefault="00E16BC2" w:rsidP="00BB2B74">
            <w:pPr>
              <w:rPr>
                <w:b w:val="0"/>
                <w:szCs w:val="22"/>
              </w:rPr>
            </w:pPr>
            <w:r w:rsidRPr="00B53526">
              <w:rPr>
                <w:b w:val="0"/>
                <w:szCs w:val="22"/>
              </w:rPr>
              <w:t>Treasury provides details of the outcome of the application to the Department of Infrastructure, Transport, Cities and Regional Development</w:t>
            </w:r>
            <w:r w:rsidR="00F31CA2" w:rsidRPr="00B53526">
              <w:rPr>
                <w:b w:val="0"/>
                <w:szCs w:val="22"/>
              </w:rPr>
              <w:t>.</w:t>
            </w:r>
          </w:p>
        </w:tc>
        <w:tc>
          <w:tcPr>
            <w:tcW w:w="3827" w:type="dxa"/>
            <w:tcBorders>
              <w:left w:val="none" w:sz="0" w:space="0" w:color="auto"/>
              <w:right w:val="none" w:sz="0" w:space="0" w:color="auto"/>
            </w:tcBorders>
          </w:tcPr>
          <w:p w14:paraId="50BEDCA7" w14:textId="2CE190DE" w:rsidR="00E16BC2" w:rsidRPr="00FF378B" w:rsidRDefault="00E16BC2" w:rsidP="00BB2B74">
            <w:pPr>
              <w:cnfStyle w:val="000000100000" w:firstRow="0" w:lastRow="0" w:firstColumn="0" w:lastColumn="0" w:oddVBand="0" w:evenVBand="0" w:oddHBand="1" w:evenHBand="0" w:firstRowFirstColumn="0" w:firstRowLastColumn="0" w:lastRowFirstColumn="0" w:lastRowLastColumn="0"/>
              <w:rPr>
                <w:szCs w:val="22"/>
              </w:rPr>
            </w:pPr>
            <w:r w:rsidRPr="00FF378B">
              <w:rPr>
                <w:szCs w:val="22"/>
              </w:rPr>
              <w:t xml:space="preserve">The outcome of the application for the concession is a consideration as part of the assessment process for any Commonwealth funding application. </w:t>
            </w:r>
          </w:p>
        </w:tc>
        <w:tc>
          <w:tcPr>
            <w:tcW w:w="1701" w:type="dxa"/>
            <w:tcBorders>
              <w:left w:val="none" w:sz="0" w:space="0" w:color="auto"/>
              <w:right w:val="none" w:sz="0" w:space="0" w:color="auto"/>
            </w:tcBorders>
          </w:tcPr>
          <w:p w14:paraId="4523D8B8" w14:textId="77777777" w:rsidR="00E16BC2" w:rsidRPr="00FF378B" w:rsidRDefault="00E16BC2" w:rsidP="00FD6C5E">
            <w:pPr>
              <w:cnfStyle w:val="000000100000" w:firstRow="0" w:lastRow="0" w:firstColumn="0" w:lastColumn="0" w:oddVBand="0" w:evenVBand="0" w:oddHBand="1" w:evenHBand="0" w:firstRowFirstColumn="0" w:firstRowLastColumn="0" w:lastRowFirstColumn="0" w:lastRowLastColumn="0"/>
              <w:rPr>
                <w:szCs w:val="22"/>
              </w:rPr>
            </w:pPr>
          </w:p>
        </w:tc>
      </w:tr>
    </w:tbl>
    <w:p w14:paraId="148A5A11" w14:textId="77777777" w:rsidR="0040125A" w:rsidRDefault="0040125A" w:rsidP="000C1138">
      <w:pPr>
        <w:rPr>
          <w:rFonts w:eastAsiaTheme="majorEastAsia" w:cs="Arial"/>
          <w:color w:val="00827F" w:themeColor="accent3"/>
          <w:kern w:val="32"/>
          <w:sz w:val="28"/>
          <w:szCs w:val="26"/>
        </w:rPr>
      </w:pPr>
      <w:bookmarkStart w:id="111" w:name="_Toc528320746"/>
      <w:bookmarkStart w:id="112" w:name="_Toc530754868"/>
      <w:bookmarkStart w:id="113" w:name="_Toc530756108"/>
      <w:bookmarkStart w:id="114" w:name="_Toc530991092"/>
      <w:bookmarkStart w:id="115" w:name="_Toc530991249"/>
      <w:r>
        <w:rPr>
          <w:rFonts w:eastAsiaTheme="majorEastAsia"/>
        </w:rPr>
        <w:br w:type="page"/>
      </w:r>
    </w:p>
    <w:p w14:paraId="62BF851F" w14:textId="5503F993" w:rsidR="00E16BC2" w:rsidRPr="00FF378B" w:rsidRDefault="00E16BC2" w:rsidP="00FF378B">
      <w:pPr>
        <w:pStyle w:val="Heading3"/>
        <w:rPr>
          <w:rFonts w:eastAsiaTheme="majorEastAsia"/>
        </w:rPr>
      </w:pPr>
      <w:bookmarkStart w:id="116" w:name="_Toc24620212"/>
      <w:r w:rsidRPr="00FF378B">
        <w:rPr>
          <w:rFonts w:eastAsiaTheme="majorEastAsia"/>
        </w:rPr>
        <w:lastRenderedPageBreak/>
        <w:t>Example #2</w:t>
      </w:r>
      <w:bookmarkEnd w:id="111"/>
      <w:bookmarkEnd w:id="112"/>
      <w:bookmarkEnd w:id="113"/>
      <w:bookmarkEnd w:id="114"/>
      <w:bookmarkEnd w:id="115"/>
      <w:bookmarkEnd w:id="116"/>
      <w:r w:rsidRPr="00FF378B">
        <w:rPr>
          <w:rFonts w:eastAsiaTheme="majorEastAsia"/>
        </w:rPr>
        <w:t xml:space="preserve"> </w:t>
      </w:r>
    </w:p>
    <w:tbl>
      <w:tblPr>
        <w:tblStyle w:val="LightShading-Accent1"/>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80" w:firstRow="0" w:lastRow="0" w:firstColumn="1" w:lastColumn="0" w:noHBand="0" w:noVBand="1"/>
      </w:tblPr>
      <w:tblGrid>
        <w:gridCol w:w="3681"/>
        <w:gridCol w:w="3827"/>
        <w:gridCol w:w="1701"/>
      </w:tblGrid>
      <w:tr w:rsidR="00B53526" w:rsidRPr="00FF378B" w14:paraId="2317FA57" w14:textId="77777777" w:rsidTr="00DE02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Borders>
              <w:left w:val="none" w:sz="0" w:space="0" w:color="auto"/>
              <w:right w:val="none" w:sz="0" w:space="0" w:color="auto"/>
            </w:tcBorders>
            <w:shd w:val="clear" w:color="auto" w:fill="D2EDFF" w:themeFill="accent1" w:themeFillTint="1A"/>
          </w:tcPr>
          <w:p w14:paraId="4EC2910A" w14:textId="58D43750" w:rsidR="00B53526" w:rsidRPr="00183B92" w:rsidRDefault="00B53526" w:rsidP="00B53526">
            <w:pPr>
              <w:rPr>
                <w:szCs w:val="22"/>
              </w:rPr>
            </w:pPr>
            <w:r w:rsidRPr="00183B92">
              <w:rPr>
                <w:szCs w:val="22"/>
              </w:rPr>
              <w:t xml:space="preserve">Action </w:t>
            </w:r>
          </w:p>
        </w:tc>
        <w:tc>
          <w:tcPr>
            <w:tcW w:w="3827" w:type="dxa"/>
            <w:tcBorders>
              <w:left w:val="none" w:sz="0" w:space="0" w:color="auto"/>
              <w:right w:val="none" w:sz="0" w:space="0" w:color="auto"/>
            </w:tcBorders>
            <w:shd w:val="clear" w:color="auto" w:fill="D2EDFF" w:themeFill="accent1" w:themeFillTint="1A"/>
          </w:tcPr>
          <w:p w14:paraId="19431071" w14:textId="605AE0F6" w:rsidR="00B53526" w:rsidRPr="00DF164E" w:rsidRDefault="00B53526" w:rsidP="00B53526">
            <w:pPr>
              <w:cnfStyle w:val="000000100000" w:firstRow="0" w:lastRow="0" w:firstColumn="0" w:lastColumn="0" w:oddVBand="0" w:evenVBand="0" w:oddHBand="1" w:evenHBand="0" w:firstRowFirstColumn="0" w:firstRowLastColumn="0" w:lastRowFirstColumn="0" w:lastRowLastColumn="0"/>
              <w:rPr>
                <w:b/>
                <w:szCs w:val="22"/>
              </w:rPr>
            </w:pPr>
            <w:r w:rsidRPr="00DF164E">
              <w:rPr>
                <w:b/>
                <w:szCs w:val="22"/>
              </w:rPr>
              <w:t xml:space="preserve">Process </w:t>
            </w:r>
          </w:p>
        </w:tc>
        <w:tc>
          <w:tcPr>
            <w:tcW w:w="1701" w:type="dxa"/>
            <w:tcBorders>
              <w:left w:val="none" w:sz="0" w:space="0" w:color="auto"/>
              <w:right w:val="none" w:sz="0" w:space="0" w:color="auto"/>
            </w:tcBorders>
            <w:shd w:val="clear" w:color="auto" w:fill="D2EDFF" w:themeFill="accent1" w:themeFillTint="1A"/>
          </w:tcPr>
          <w:p w14:paraId="3CDA706E" w14:textId="19752299" w:rsidR="00B53526" w:rsidRPr="00DF164E" w:rsidRDefault="00B53526" w:rsidP="00B53526">
            <w:pPr>
              <w:cnfStyle w:val="000000100000" w:firstRow="0" w:lastRow="0" w:firstColumn="0" w:lastColumn="0" w:oddVBand="0" w:evenVBand="0" w:oddHBand="1" w:evenHBand="0" w:firstRowFirstColumn="0" w:firstRowLastColumn="0" w:lastRowFirstColumn="0" w:lastRowLastColumn="0"/>
              <w:rPr>
                <w:b/>
                <w:szCs w:val="22"/>
              </w:rPr>
            </w:pPr>
            <w:r w:rsidRPr="00DF164E">
              <w:rPr>
                <w:b/>
                <w:szCs w:val="22"/>
              </w:rPr>
              <w:t xml:space="preserve">Timing </w:t>
            </w:r>
          </w:p>
        </w:tc>
      </w:tr>
      <w:tr w:rsidR="00B53526" w:rsidRPr="00FF378B" w14:paraId="383BFA1E" w14:textId="77777777" w:rsidTr="00DE0217">
        <w:tc>
          <w:tcPr>
            <w:cnfStyle w:val="001000000000" w:firstRow="0" w:lastRow="0" w:firstColumn="1" w:lastColumn="0" w:oddVBand="0" w:evenVBand="0" w:oddHBand="0" w:evenHBand="0" w:firstRowFirstColumn="0" w:firstRowLastColumn="0" w:lastRowFirstColumn="0" w:lastRowLastColumn="0"/>
            <w:tcW w:w="3681" w:type="dxa"/>
          </w:tcPr>
          <w:p w14:paraId="6862DB30" w14:textId="77777777" w:rsidR="00B53526" w:rsidRPr="00FF378B" w:rsidRDefault="00B53526" w:rsidP="00BB2B74">
            <w:pPr>
              <w:rPr>
                <w:b w:val="0"/>
                <w:szCs w:val="22"/>
              </w:rPr>
            </w:pPr>
            <w:r w:rsidRPr="00FF378B">
              <w:rPr>
                <w:b w:val="0"/>
                <w:szCs w:val="22"/>
              </w:rPr>
              <w:t xml:space="preserve">A non-government lessee-operator of an economic infrastructure facility (a port) that is held in a stapled structure resolves to make an improvement to the facility (i.e. add a wharf), pending approvals and financing. </w:t>
            </w:r>
          </w:p>
        </w:tc>
        <w:tc>
          <w:tcPr>
            <w:tcW w:w="3827" w:type="dxa"/>
            <w:vMerge w:val="restart"/>
          </w:tcPr>
          <w:p w14:paraId="337FB3FA" w14:textId="77777777" w:rsidR="00B53526" w:rsidRPr="00FF378B" w:rsidRDefault="00B53526" w:rsidP="00BB2B74">
            <w:pPr>
              <w:cnfStyle w:val="000000000000" w:firstRow="0" w:lastRow="0" w:firstColumn="0" w:lastColumn="0" w:oddVBand="0" w:evenVBand="0" w:oddHBand="0" w:evenHBand="0" w:firstRowFirstColumn="0" w:firstRowLastColumn="0" w:lastRowFirstColumn="0" w:lastRowLastColumn="0"/>
              <w:rPr>
                <w:szCs w:val="22"/>
              </w:rPr>
            </w:pPr>
          </w:p>
        </w:tc>
        <w:tc>
          <w:tcPr>
            <w:tcW w:w="1701" w:type="dxa"/>
            <w:vMerge w:val="restart"/>
          </w:tcPr>
          <w:p w14:paraId="45285B1B" w14:textId="77777777" w:rsidR="00B53526" w:rsidRPr="00FF378B" w:rsidRDefault="00B53526" w:rsidP="00B53526">
            <w:pPr>
              <w:cnfStyle w:val="000000000000" w:firstRow="0" w:lastRow="0" w:firstColumn="0" w:lastColumn="0" w:oddVBand="0" w:evenVBand="0" w:oddHBand="0" w:evenHBand="0" w:firstRowFirstColumn="0" w:firstRowLastColumn="0" w:lastRowFirstColumn="0" w:lastRowLastColumn="0"/>
              <w:rPr>
                <w:szCs w:val="22"/>
              </w:rPr>
            </w:pPr>
          </w:p>
        </w:tc>
      </w:tr>
      <w:tr w:rsidR="00B53526" w:rsidRPr="00FF378B" w14:paraId="0458FDFA" w14:textId="77777777" w:rsidTr="00DE02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Borders>
              <w:left w:val="none" w:sz="0" w:space="0" w:color="auto"/>
              <w:right w:val="none" w:sz="0" w:space="0" w:color="auto"/>
            </w:tcBorders>
          </w:tcPr>
          <w:p w14:paraId="6FF72C88" w14:textId="26BBDDD7" w:rsidR="00B53526" w:rsidRPr="00FF378B" w:rsidRDefault="00B53526" w:rsidP="00BB2B74">
            <w:pPr>
              <w:rPr>
                <w:b w:val="0"/>
                <w:i/>
                <w:szCs w:val="22"/>
              </w:rPr>
            </w:pPr>
            <w:r w:rsidRPr="00FF378B">
              <w:rPr>
                <w:b w:val="0"/>
                <w:i/>
                <w:szCs w:val="22"/>
              </w:rPr>
              <w:t>[Planning and approvals processes</w:t>
            </w:r>
            <w:r>
              <w:rPr>
                <w:b w:val="0"/>
                <w:i/>
                <w:szCs w:val="22"/>
              </w:rPr>
              <w:t>.</w:t>
            </w:r>
            <w:r w:rsidRPr="00FF378B">
              <w:rPr>
                <w:b w:val="0"/>
                <w:i/>
                <w:szCs w:val="22"/>
              </w:rPr>
              <w:t>]</w:t>
            </w:r>
          </w:p>
        </w:tc>
        <w:tc>
          <w:tcPr>
            <w:tcW w:w="3827" w:type="dxa"/>
            <w:vMerge/>
            <w:tcBorders>
              <w:left w:val="none" w:sz="0" w:space="0" w:color="auto"/>
              <w:right w:val="none" w:sz="0" w:space="0" w:color="auto"/>
            </w:tcBorders>
          </w:tcPr>
          <w:p w14:paraId="7874633A" w14:textId="77777777" w:rsidR="00B53526" w:rsidRPr="00FF378B" w:rsidRDefault="00B53526" w:rsidP="00DE0217">
            <w:pPr>
              <w:cnfStyle w:val="000000100000" w:firstRow="0" w:lastRow="0" w:firstColumn="0" w:lastColumn="0" w:oddVBand="0" w:evenVBand="0" w:oddHBand="1" w:evenHBand="0" w:firstRowFirstColumn="0" w:firstRowLastColumn="0" w:lastRowFirstColumn="0" w:lastRowLastColumn="0"/>
              <w:rPr>
                <w:szCs w:val="22"/>
              </w:rPr>
            </w:pPr>
          </w:p>
        </w:tc>
        <w:tc>
          <w:tcPr>
            <w:tcW w:w="1701" w:type="dxa"/>
            <w:vMerge/>
            <w:tcBorders>
              <w:left w:val="none" w:sz="0" w:space="0" w:color="auto"/>
              <w:right w:val="none" w:sz="0" w:space="0" w:color="auto"/>
            </w:tcBorders>
          </w:tcPr>
          <w:p w14:paraId="240F91CC" w14:textId="77777777" w:rsidR="00B53526" w:rsidRPr="00FF378B" w:rsidRDefault="00B53526" w:rsidP="00B53526">
            <w:pPr>
              <w:cnfStyle w:val="000000100000" w:firstRow="0" w:lastRow="0" w:firstColumn="0" w:lastColumn="0" w:oddVBand="0" w:evenVBand="0" w:oddHBand="1" w:evenHBand="0" w:firstRowFirstColumn="0" w:firstRowLastColumn="0" w:lastRowFirstColumn="0" w:lastRowLastColumn="0"/>
              <w:rPr>
                <w:szCs w:val="22"/>
              </w:rPr>
            </w:pPr>
          </w:p>
        </w:tc>
      </w:tr>
      <w:tr w:rsidR="00B53526" w:rsidRPr="00FF378B" w14:paraId="13CC9540" w14:textId="77777777" w:rsidTr="00DE0217">
        <w:trPr>
          <w:trHeight w:val="820"/>
        </w:trPr>
        <w:tc>
          <w:tcPr>
            <w:cnfStyle w:val="001000000000" w:firstRow="0" w:lastRow="0" w:firstColumn="1" w:lastColumn="0" w:oddVBand="0" w:evenVBand="0" w:oddHBand="0" w:evenHBand="0" w:firstRowFirstColumn="0" w:firstRowLastColumn="0" w:lastRowFirstColumn="0" w:lastRowLastColumn="0"/>
            <w:tcW w:w="3681" w:type="dxa"/>
          </w:tcPr>
          <w:p w14:paraId="65142281" w14:textId="77777777" w:rsidR="00B53526" w:rsidRPr="00FF378B" w:rsidRDefault="00B53526" w:rsidP="00BB2B74">
            <w:pPr>
              <w:rPr>
                <w:szCs w:val="22"/>
              </w:rPr>
            </w:pPr>
            <w:r w:rsidRPr="00FF378B">
              <w:rPr>
                <w:b w:val="0"/>
                <w:szCs w:val="22"/>
              </w:rPr>
              <w:t xml:space="preserve">The non-government lessee-operator makes an application for State Government funding. </w:t>
            </w:r>
          </w:p>
        </w:tc>
        <w:tc>
          <w:tcPr>
            <w:tcW w:w="3827" w:type="dxa"/>
            <w:vMerge/>
          </w:tcPr>
          <w:p w14:paraId="507CA207" w14:textId="77777777" w:rsidR="00B53526" w:rsidRPr="00FF378B" w:rsidRDefault="00B53526" w:rsidP="00DE0217">
            <w:pPr>
              <w:cnfStyle w:val="000000000000" w:firstRow="0" w:lastRow="0" w:firstColumn="0" w:lastColumn="0" w:oddVBand="0" w:evenVBand="0" w:oddHBand="0" w:evenHBand="0" w:firstRowFirstColumn="0" w:firstRowLastColumn="0" w:lastRowFirstColumn="0" w:lastRowLastColumn="0"/>
              <w:rPr>
                <w:szCs w:val="22"/>
              </w:rPr>
            </w:pPr>
          </w:p>
        </w:tc>
        <w:tc>
          <w:tcPr>
            <w:tcW w:w="1701" w:type="dxa"/>
            <w:vMerge/>
          </w:tcPr>
          <w:p w14:paraId="5860C759" w14:textId="77777777" w:rsidR="00B53526" w:rsidRPr="00FF378B" w:rsidRDefault="00B53526" w:rsidP="00B53526">
            <w:pPr>
              <w:cnfStyle w:val="000000000000" w:firstRow="0" w:lastRow="0" w:firstColumn="0" w:lastColumn="0" w:oddVBand="0" w:evenVBand="0" w:oddHBand="0" w:evenHBand="0" w:firstRowFirstColumn="0" w:firstRowLastColumn="0" w:lastRowFirstColumn="0" w:lastRowLastColumn="0"/>
              <w:rPr>
                <w:szCs w:val="22"/>
              </w:rPr>
            </w:pPr>
          </w:p>
        </w:tc>
      </w:tr>
      <w:tr w:rsidR="00B53526" w:rsidRPr="00FF378B" w14:paraId="2B09572D" w14:textId="77777777" w:rsidTr="00DE02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Borders>
              <w:left w:val="none" w:sz="0" w:space="0" w:color="auto"/>
              <w:right w:val="none" w:sz="0" w:space="0" w:color="auto"/>
            </w:tcBorders>
          </w:tcPr>
          <w:p w14:paraId="2A866BA7" w14:textId="4A44F56D" w:rsidR="00B53526" w:rsidRPr="00FF378B" w:rsidRDefault="00B53526" w:rsidP="00BB2B74">
            <w:pPr>
              <w:rPr>
                <w:b w:val="0"/>
                <w:szCs w:val="22"/>
              </w:rPr>
            </w:pPr>
            <w:r w:rsidRPr="00FF378B">
              <w:rPr>
                <w:b w:val="0"/>
                <w:szCs w:val="22"/>
              </w:rPr>
              <w:t>The non-government lessee-operator approaches Treasury to inquire about the</w:t>
            </w:r>
            <w:r>
              <w:rPr>
                <w:b w:val="0"/>
                <w:szCs w:val="22"/>
              </w:rPr>
              <w:t xml:space="preserve"> </w:t>
            </w:r>
            <w:r w:rsidRPr="00FF378B">
              <w:rPr>
                <w:b w:val="0"/>
                <w:szCs w:val="22"/>
              </w:rPr>
              <w:t xml:space="preserve">concession. </w:t>
            </w:r>
          </w:p>
          <w:p w14:paraId="01DCB060" w14:textId="23500DB3" w:rsidR="00B53526" w:rsidRPr="00FF378B" w:rsidRDefault="00B53526" w:rsidP="00BB2B74">
            <w:pPr>
              <w:rPr>
                <w:b w:val="0"/>
                <w:szCs w:val="22"/>
              </w:rPr>
            </w:pPr>
            <w:r w:rsidRPr="00FF378B">
              <w:rPr>
                <w:b w:val="0"/>
                <w:szCs w:val="22"/>
              </w:rPr>
              <w:t>Treasury advises the non-government lessee-operator that 1) applications need to be made by an Australian government agency to the Treasurer</w:t>
            </w:r>
            <w:r>
              <w:rPr>
                <w:b w:val="0"/>
                <w:szCs w:val="22"/>
              </w:rPr>
              <w:t>,</w:t>
            </w:r>
            <w:r w:rsidRPr="00FF378B">
              <w:rPr>
                <w:b w:val="0"/>
                <w:szCs w:val="22"/>
              </w:rPr>
              <w:t xml:space="preserve"> and 2) a final business case for the improvement needs to be submitted to Infrastructure Australia</w:t>
            </w:r>
            <w:r>
              <w:rPr>
                <w:b w:val="0"/>
                <w:szCs w:val="22"/>
              </w:rPr>
              <w:t>.</w:t>
            </w:r>
            <w:r w:rsidRPr="00FF378B">
              <w:rPr>
                <w:b w:val="0"/>
                <w:szCs w:val="22"/>
              </w:rPr>
              <w:t xml:space="preserve"> </w:t>
            </w:r>
          </w:p>
        </w:tc>
        <w:tc>
          <w:tcPr>
            <w:tcW w:w="3827" w:type="dxa"/>
            <w:vMerge/>
            <w:tcBorders>
              <w:left w:val="none" w:sz="0" w:space="0" w:color="auto"/>
              <w:right w:val="none" w:sz="0" w:space="0" w:color="auto"/>
            </w:tcBorders>
          </w:tcPr>
          <w:p w14:paraId="0A670A07" w14:textId="77777777" w:rsidR="00B53526" w:rsidRPr="00FF378B" w:rsidRDefault="00B53526" w:rsidP="00DE0217">
            <w:pPr>
              <w:cnfStyle w:val="000000100000" w:firstRow="0" w:lastRow="0" w:firstColumn="0" w:lastColumn="0" w:oddVBand="0" w:evenVBand="0" w:oddHBand="1" w:evenHBand="0" w:firstRowFirstColumn="0" w:firstRowLastColumn="0" w:lastRowFirstColumn="0" w:lastRowLastColumn="0"/>
              <w:rPr>
                <w:szCs w:val="22"/>
              </w:rPr>
            </w:pPr>
          </w:p>
        </w:tc>
        <w:tc>
          <w:tcPr>
            <w:tcW w:w="1701" w:type="dxa"/>
            <w:vMerge/>
            <w:tcBorders>
              <w:left w:val="none" w:sz="0" w:space="0" w:color="auto"/>
              <w:right w:val="none" w:sz="0" w:space="0" w:color="auto"/>
            </w:tcBorders>
          </w:tcPr>
          <w:p w14:paraId="2DF85609" w14:textId="77777777" w:rsidR="00B53526" w:rsidRPr="00FF378B" w:rsidRDefault="00B53526" w:rsidP="00B53526">
            <w:pPr>
              <w:cnfStyle w:val="000000100000" w:firstRow="0" w:lastRow="0" w:firstColumn="0" w:lastColumn="0" w:oddVBand="0" w:evenVBand="0" w:oddHBand="1" w:evenHBand="0" w:firstRowFirstColumn="0" w:firstRowLastColumn="0" w:lastRowFirstColumn="0" w:lastRowLastColumn="0"/>
              <w:rPr>
                <w:szCs w:val="22"/>
              </w:rPr>
            </w:pPr>
          </w:p>
        </w:tc>
      </w:tr>
      <w:tr w:rsidR="00B53526" w:rsidRPr="00FF378B" w14:paraId="4439EDB8" w14:textId="77777777" w:rsidTr="00DE0217">
        <w:trPr>
          <w:trHeight w:val="1239"/>
        </w:trPr>
        <w:tc>
          <w:tcPr>
            <w:cnfStyle w:val="001000000000" w:firstRow="0" w:lastRow="0" w:firstColumn="1" w:lastColumn="0" w:oddVBand="0" w:evenVBand="0" w:oddHBand="0" w:evenHBand="0" w:firstRowFirstColumn="0" w:firstRowLastColumn="0" w:lastRowFirstColumn="0" w:lastRowLastColumn="0"/>
            <w:tcW w:w="3681" w:type="dxa"/>
          </w:tcPr>
          <w:p w14:paraId="2062219E" w14:textId="77777777" w:rsidR="00B53526" w:rsidRPr="00FF378B" w:rsidRDefault="00B53526" w:rsidP="00BB2B74">
            <w:pPr>
              <w:rPr>
                <w:b w:val="0"/>
                <w:szCs w:val="22"/>
              </w:rPr>
            </w:pPr>
            <w:r w:rsidRPr="00FF378B">
              <w:rPr>
                <w:b w:val="0"/>
                <w:szCs w:val="22"/>
              </w:rPr>
              <w:t xml:space="preserve">The non-government lessee-operator makes an application to Infrastructure Australia in respect of the improvement to the facility.  </w:t>
            </w:r>
          </w:p>
        </w:tc>
        <w:tc>
          <w:tcPr>
            <w:tcW w:w="3827" w:type="dxa"/>
          </w:tcPr>
          <w:p w14:paraId="273CC96B" w14:textId="4E55233F" w:rsidR="00B53526" w:rsidRDefault="00B53526" w:rsidP="00BB2B74">
            <w:pPr>
              <w:cnfStyle w:val="000000000000" w:firstRow="0" w:lastRow="0" w:firstColumn="0" w:lastColumn="0" w:oddVBand="0" w:evenVBand="0" w:oddHBand="0" w:evenHBand="0" w:firstRowFirstColumn="0" w:firstRowLastColumn="0" w:lastRowFirstColumn="0" w:lastRowLastColumn="0"/>
              <w:rPr>
                <w:szCs w:val="22"/>
              </w:rPr>
            </w:pPr>
            <w:r w:rsidRPr="00FF378B">
              <w:rPr>
                <w:szCs w:val="22"/>
              </w:rPr>
              <w:t xml:space="preserve">Infrastructure Australia assesses proposal as being a </w:t>
            </w:r>
            <w:r>
              <w:rPr>
                <w:szCs w:val="22"/>
              </w:rPr>
              <w:t>‘</w:t>
            </w:r>
            <w:r w:rsidRPr="00FF378B">
              <w:rPr>
                <w:szCs w:val="22"/>
              </w:rPr>
              <w:t>priority project</w:t>
            </w:r>
            <w:r>
              <w:rPr>
                <w:szCs w:val="22"/>
              </w:rPr>
              <w:t>’</w:t>
            </w:r>
            <w:r w:rsidRPr="00FF378B">
              <w:rPr>
                <w:szCs w:val="22"/>
              </w:rPr>
              <w:t>.</w:t>
            </w:r>
          </w:p>
          <w:p w14:paraId="6FB0786F" w14:textId="4BFD0049" w:rsidR="00B53526" w:rsidRPr="00FF378B" w:rsidRDefault="00B53526" w:rsidP="00DE0217">
            <w:pPr>
              <w:cnfStyle w:val="000000000000" w:firstRow="0" w:lastRow="0" w:firstColumn="0" w:lastColumn="0" w:oddVBand="0" w:evenVBand="0" w:oddHBand="0" w:evenHBand="0" w:firstRowFirstColumn="0" w:firstRowLastColumn="0" w:lastRowFirstColumn="0" w:lastRowLastColumn="0"/>
              <w:rPr>
                <w:szCs w:val="22"/>
              </w:rPr>
            </w:pPr>
          </w:p>
        </w:tc>
        <w:tc>
          <w:tcPr>
            <w:tcW w:w="1701" w:type="dxa"/>
            <w:vMerge w:val="restart"/>
            <w:vAlign w:val="center"/>
          </w:tcPr>
          <w:p w14:paraId="5878A796" w14:textId="423E6E80" w:rsidR="003B35E2" w:rsidRDefault="003B35E2" w:rsidP="00B53526">
            <w:pPr>
              <w:jc w:val="center"/>
              <w:cnfStyle w:val="000000000000" w:firstRow="0" w:lastRow="0" w:firstColumn="0" w:lastColumn="0" w:oddVBand="0" w:evenVBand="0" w:oddHBand="0" w:evenHBand="0" w:firstRowFirstColumn="0" w:firstRowLastColumn="0" w:lastRowFirstColumn="0" w:lastRowLastColumn="0"/>
              <w:rPr>
                <w:b/>
                <w:szCs w:val="22"/>
              </w:rPr>
            </w:pPr>
            <w:r>
              <w:rPr>
                <w:b/>
                <w:szCs w:val="22"/>
              </w:rPr>
              <w:t>T</w:t>
            </w:r>
            <w:r w:rsidR="00546F6A">
              <w:rPr>
                <w:b/>
                <w:szCs w:val="22"/>
              </w:rPr>
              <w:t>ypically 3 – 6 months</w:t>
            </w:r>
          </w:p>
          <w:p w14:paraId="4B7E5949" w14:textId="77777777" w:rsidR="003B35E2" w:rsidRDefault="003B35E2" w:rsidP="003B35E2">
            <w:pPr>
              <w:cnfStyle w:val="000000000000" w:firstRow="0" w:lastRow="0" w:firstColumn="0" w:lastColumn="0" w:oddVBand="0" w:evenVBand="0" w:oddHBand="0" w:evenHBand="0" w:firstRowFirstColumn="0" w:firstRowLastColumn="0" w:lastRowFirstColumn="0" w:lastRowLastColumn="0"/>
              <w:rPr>
                <w:szCs w:val="22"/>
              </w:rPr>
            </w:pPr>
          </w:p>
          <w:p w14:paraId="7EC770A9" w14:textId="6383F5C6" w:rsidR="00B53526" w:rsidRPr="00FF378B" w:rsidRDefault="00B53526" w:rsidP="00B53526">
            <w:pPr>
              <w:jc w:val="center"/>
              <w:cnfStyle w:val="000000000000" w:firstRow="0" w:lastRow="0" w:firstColumn="0" w:lastColumn="0" w:oddVBand="0" w:evenVBand="0" w:oddHBand="0" w:evenHBand="0" w:firstRowFirstColumn="0" w:firstRowLastColumn="0" w:lastRowFirstColumn="0" w:lastRowLastColumn="0"/>
              <w:rPr>
                <w:szCs w:val="22"/>
              </w:rPr>
            </w:pPr>
            <w:r>
              <w:rPr>
                <w:szCs w:val="22"/>
              </w:rPr>
              <w:t>N</w:t>
            </w:r>
            <w:r w:rsidRPr="00FF378B">
              <w:rPr>
                <w:szCs w:val="22"/>
              </w:rPr>
              <w:t>ote: These processes may take place simultaneously so that assessment periods may overlap in part</w:t>
            </w:r>
            <w:r>
              <w:rPr>
                <w:szCs w:val="22"/>
              </w:rPr>
              <w:t>.</w:t>
            </w:r>
            <w:r w:rsidRPr="00FF378B">
              <w:rPr>
                <w:szCs w:val="22"/>
              </w:rPr>
              <w:t xml:space="preserve">  </w:t>
            </w:r>
          </w:p>
        </w:tc>
      </w:tr>
      <w:tr w:rsidR="00B53526" w:rsidRPr="00FF378B" w14:paraId="11C3E14E" w14:textId="77777777" w:rsidTr="00DE02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Borders>
              <w:left w:val="none" w:sz="0" w:space="0" w:color="auto"/>
              <w:right w:val="none" w:sz="0" w:space="0" w:color="auto"/>
            </w:tcBorders>
          </w:tcPr>
          <w:p w14:paraId="7D617C17" w14:textId="3A62E8F1" w:rsidR="00B53526" w:rsidRPr="00DE0217" w:rsidRDefault="00B53526" w:rsidP="00DE0217">
            <w:pPr>
              <w:pStyle w:val="Bullet"/>
              <w:numPr>
                <w:ilvl w:val="0"/>
                <w:numId w:val="0"/>
              </w:numPr>
              <w:spacing w:before="120"/>
              <w:rPr>
                <w:b w:val="0"/>
              </w:rPr>
            </w:pPr>
            <w:r w:rsidRPr="00DE0217">
              <w:rPr>
                <w:b w:val="0"/>
              </w:rPr>
              <w:t xml:space="preserve">The non-government lessee-operator collaborates with the State Government to make an application to the Treasurer, via Treasury, for the Treasurer’s approval for the concession.  </w:t>
            </w:r>
          </w:p>
          <w:p w14:paraId="1FE26CCD" w14:textId="58F67189" w:rsidR="00B53526" w:rsidRPr="00FF378B" w:rsidRDefault="00B53526" w:rsidP="00DE0217">
            <w:pPr>
              <w:pStyle w:val="Bullet"/>
              <w:numPr>
                <w:ilvl w:val="0"/>
                <w:numId w:val="15"/>
              </w:numPr>
              <w:spacing w:before="120"/>
              <w:ind w:left="522" w:hanging="522"/>
            </w:pPr>
            <w:r w:rsidRPr="00DE0217">
              <w:rPr>
                <w:b w:val="0"/>
              </w:rPr>
              <w:t>Application includes outcomes of Infrastructure Australia’s assessment, details of the State Government funding being sought and further information as required/appropriate.</w:t>
            </w:r>
          </w:p>
        </w:tc>
        <w:tc>
          <w:tcPr>
            <w:tcW w:w="3827" w:type="dxa"/>
            <w:tcBorders>
              <w:left w:val="none" w:sz="0" w:space="0" w:color="auto"/>
              <w:right w:val="none" w:sz="0" w:space="0" w:color="auto"/>
            </w:tcBorders>
          </w:tcPr>
          <w:p w14:paraId="4C74C46C" w14:textId="7C49B1CC" w:rsidR="00B53526" w:rsidRPr="00FF378B" w:rsidRDefault="00B53526" w:rsidP="00BB2B74">
            <w:pPr>
              <w:cnfStyle w:val="000000100000" w:firstRow="0" w:lastRow="0" w:firstColumn="0" w:lastColumn="0" w:oddVBand="0" w:evenVBand="0" w:oddHBand="1" w:evenHBand="0" w:firstRowFirstColumn="0" w:firstRowLastColumn="0" w:lastRowFirstColumn="0" w:lastRowLastColumn="0"/>
              <w:rPr>
                <w:szCs w:val="22"/>
              </w:rPr>
            </w:pPr>
            <w:r w:rsidRPr="00FF378B">
              <w:rPr>
                <w:szCs w:val="22"/>
              </w:rPr>
              <w:t xml:space="preserve">Treasury processes and assesses the application, seeks input from the ATO, Infrastructure Australia, Department of Infrastructure, Transport, Cities and Regional Development, Infrastructure and Project Financing Agency and other departments and agencies where relevant. </w:t>
            </w:r>
          </w:p>
          <w:p w14:paraId="36A035CE" w14:textId="77777777" w:rsidR="00B53526" w:rsidRPr="00FF378B" w:rsidRDefault="00B53526" w:rsidP="00BB2B74">
            <w:pPr>
              <w:cnfStyle w:val="000000100000" w:firstRow="0" w:lastRow="0" w:firstColumn="0" w:lastColumn="0" w:oddVBand="0" w:evenVBand="0" w:oddHBand="1" w:evenHBand="0" w:firstRowFirstColumn="0" w:firstRowLastColumn="0" w:lastRowFirstColumn="0" w:lastRowLastColumn="0"/>
              <w:rPr>
                <w:szCs w:val="22"/>
              </w:rPr>
            </w:pPr>
            <w:r w:rsidRPr="00FF378B">
              <w:rPr>
                <w:szCs w:val="22"/>
              </w:rPr>
              <w:t xml:space="preserve">Treasury provides advice to the Treasurer. </w:t>
            </w:r>
          </w:p>
          <w:p w14:paraId="3B3D001F" w14:textId="66DC9BDA" w:rsidR="00B53526" w:rsidRPr="00FF378B" w:rsidRDefault="00B53526" w:rsidP="00DE0217">
            <w:pPr>
              <w:cnfStyle w:val="000000100000" w:firstRow="0" w:lastRow="0" w:firstColumn="0" w:lastColumn="0" w:oddVBand="0" w:evenVBand="0" w:oddHBand="1" w:evenHBand="0" w:firstRowFirstColumn="0" w:firstRowLastColumn="0" w:lastRowFirstColumn="0" w:lastRowLastColumn="0"/>
              <w:rPr>
                <w:szCs w:val="22"/>
              </w:rPr>
            </w:pPr>
          </w:p>
        </w:tc>
        <w:tc>
          <w:tcPr>
            <w:tcW w:w="1701" w:type="dxa"/>
            <w:vMerge/>
            <w:tcBorders>
              <w:left w:val="none" w:sz="0" w:space="0" w:color="auto"/>
              <w:right w:val="none" w:sz="0" w:space="0" w:color="auto"/>
            </w:tcBorders>
          </w:tcPr>
          <w:p w14:paraId="2E3A6866" w14:textId="77777777" w:rsidR="00B53526" w:rsidRPr="00FF378B" w:rsidRDefault="00B53526" w:rsidP="00B53526">
            <w:pPr>
              <w:cnfStyle w:val="000000100000" w:firstRow="0" w:lastRow="0" w:firstColumn="0" w:lastColumn="0" w:oddVBand="0" w:evenVBand="0" w:oddHBand="1" w:evenHBand="0" w:firstRowFirstColumn="0" w:firstRowLastColumn="0" w:lastRowFirstColumn="0" w:lastRowLastColumn="0"/>
              <w:rPr>
                <w:szCs w:val="22"/>
              </w:rPr>
            </w:pPr>
          </w:p>
        </w:tc>
      </w:tr>
      <w:tr w:rsidR="00B53526" w:rsidRPr="00FF378B" w14:paraId="116AD4C9" w14:textId="77777777" w:rsidTr="00DE0217">
        <w:tc>
          <w:tcPr>
            <w:cnfStyle w:val="001000000000" w:firstRow="0" w:lastRow="0" w:firstColumn="1" w:lastColumn="0" w:oddVBand="0" w:evenVBand="0" w:oddHBand="0" w:evenHBand="0" w:firstRowFirstColumn="0" w:firstRowLastColumn="0" w:lastRowFirstColumn="0" w:lastRowLastColumn="0"/>
            <w:tcW w:w="3681" w:type="dxa"/>
          </w:tcPr>
          <w:p w14:paraId="22A7356B" w14:textId="57D1600D" w:rsidR="00B53526" w:rsidRPr="00FF378B" w:rsidRDefault="00A63B68" w:rsidP="00BB2B74">
            <w:pPr>
              <w:rPr>
                <w:b w:val="0"/>
                <w:szCs w:val="22"/>
              </w:rPr>
            </w:pPr>
            <w:r>
              <w:rPr>
                <w:b w:val="0"/>
                <w:szCs w:val="22"/>
              </w:rPr>
              <w:t xml:space="preserve">The </w:t>
            </w:r>
            <w:r w:rsidR="00B53526" w:rsidRPr="00FF378B">
              <w:rPr>
                <w:b w:val="0"/>
                <w:szCs w:val="22"/>
              </w:rPr>
              <w:t xml:space="preserve">Treasurer makes a decision as to whether to grant the approval. </w:t>
            </w:r>
          </w:p>
          <w:p w14:paraId="03B919AC" w14:textId="77777777" w:rsidR="00B53526" w:rsidRPr="00FF378B" w:rsidRDefault="00B53526" w:rsidP="00DE0217">
            <w:pPr>
              <w:pStyle w:val="Bullet"/>
              <w:numPr>
                <w:ilvl w:val="0"/>
                <w:numId w:val="0"/>
              </w:numPr>
              <w:spacing w:before="120"/>
            </w:pPr>
          </w:p>
        </w:tc>
        <w:tc>
          <w:tcPr>
            <w:tcW w:w="3827" w:type="dxa"/>
          </w:tcPr>
          <w:p w14:paraId="6B7D876C" w14:textId="128BA430" w:rsidR="00B53526" w:rsidRPr="00FF378B" w:rsidRDefault="00B53526" w:rsidP="00BB2B74">
            <w:pPr>
              <w:cnfStyle w:val="000000000000" w:firstRow="0" w:lastRow="0" w:firstColumn="0" w:lastColumn="0" w:oddVBand="0" w:evenVBand="0" w:oddHBand="0" w:evenHBand="0" w:firstRowFirstColumn="0" w:firstRowLastColumn="0" w:lastRowFirstColumn="0" w:lastRowLastColumn="0"/>
              <w:rPr>
                <w:szCs w:val="22"/>
              </w:rPr>
            </w:pPr>
            <w:r w:rsidRPr="00FF378B">
              <w:rPr>
                <w:szCs w:val="22"/>
              </w:rPr>
              <w:t xml:space="preserve">The Treasurer publishes their decision via a public announcement (if application successful) or informs the applicant directly (if application unsuccessful). </w:t>
            </w:r>
          </w:p>
        </w:tc>
        <w:tc>
          <w:tcPr>
            <w:tcW w:w="1701" w:type="dxa"/>
          </w:tcPr>
          <w:p w14:paraId="49C1230F" w14:textId="6EEBC04D" w:rsidR="00B53526" w:rsidRPr="00FF378B" w:rsidRDefault="00546F6A" w:rsidP="00546F6A">
            <w:pPr>
              <w:jc w:val="center"/>
              <w:cnfStyle w:val="000000000000" w:firstRow="0" w:lastRow="0" w:firstColumn="0" w:lastColumn="0" w:oddVBand="0" w:evenVBand="0" w:oddHBand="0" w:evenHBand="0" w:firstRowFirstColumn="0" w:firstRowLastColumn="0" w:lastRowFirstColumn="0" w:lastRowLastColumn="0"/>
              <w:rPr>
                <w:szCs w:val="22"/>
              </w:rPr>
            </w:pPr>
            <w:r>
              <w:rPr>
                <w:b/>
                <w:szCs w:val="22"/>
              </w:rPr>
              <w:t>1 – 3 months</w:t>
            </w:r>
          </w:p>
        </w:tc>
      </w:tr>
      <w:tr w:rsidR="00B53526" w:rsidRPr="00FF378B" w14:paraId="7E489B40" w14:textId="77777777" w:rsidTr="00DE02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Borders>
              <w:left w:val="none" w:sz="0" w:space="0" w:color="auto"/>
              <w:right w:val="none" w:sz="0" w:space="0" w:color="auto"/>
            </w:tcBorders>
          </w:tcPr>
          <w:p w14:paraId="4A71F0CB" w14:textId="77777777" w:rsidR="00B53526" w:rsidRPr="00FF378B" w:rsidRDefault="00B53526" w:rsidP="00BB2B74">
            <w:pPr>
              <w:rPr>
                <w:b w:val="0"/>
                <w:szCs w:val="22"/>
              </w:rPr>
            </w:pPr>
            <w:r w:rsidRPr="00FF378B">
              <w:rPr>
                <w:b w:val="0"/>
                <w:szCs w:val="22"/>
              </w:rPr>
              <w:lastRenderedPageBreak/>
              <w:t>Treasury provides details of the outcome of the application to the State Government.</w:t>
            </w:r>
          </w:p>
        </w:tc>
        <w:tc>
          <w:tcPr>
            <w:tcW w:w="3827" w:type="dxa"/>
            <w:tcBorders>
              <w:left w:val="none" w:sz="0" w:space="0" w:color="auto"/>
              <w:right w:val="none" w:sz="0" w:space="0" w:color="auto"/>
            </w:tcBorders>
          </w:tcPr>
          <w:p w14:paraId="102F8A6B" w14:textId="6E6FBD3B" w:rsidR="00B53526" w:rsidRPr="00FF378B" w:rsidRDefault="00B53526" w:rsidP="00BB2B74">
            <w:pPr>
              <w:cnfStyle w:val="000000100000" w:firstRow="0" w:lastRow="0" w:firstColumn="0" w:lastColumn="0" w:oddVBand="0" w:evenVBand="0" w:oddHBand="1" w:evenHBand="0" w:firstRowFirstColumn="0" w:firstRowLastColumn="0" w:lastRowFirstColumn="0" w:lastRowLastColumn="0"/>
              <w:rPr>
                <w:szCs w:val="22"/>
              </w:rPr>
            </w:pPr>
            <w:r w:rsidRPr="00FF378B">
              <w:rPr>
                <w:szCs w:val="22"/>
              </w:rPr>
              <w:t xml:space="preserve">The outcome of the application for the concession is a consideration as part of the assessment process for the State Government funding application. </w:t>
            </w:r>
          </w:p>
        </w:tc>
        <w:tc>
          <w:tcPr>
            <w:tcW w:w="1701" w:type="dxa"/>
            <w:tcBorders>
              <w:left w:val="none" w:sz="0" w:space="0" w:color="auto"/>
              <w:right w:val="none" w:sz="0" w:space="0" w:color="auto"/>
            </w:tcBorders>
          </w:tcPr>
          <w:p w14:paraId="0ADDE937" w14:textId="77777777" w:rsidR="00B53526" w:rsidRPr="00FF378B" w:rsidRDefault="00B53526" w:rsidP="00B53526">
            <w:pPr>
              <w:cnfStyle w:val="000000100000" w:firstRow="0" w:lastRow="0" w:firstColumn="0" w:lastColumn="0" w:oddVBand="0" w:evenVBand="0" w:oddHBand="1" w:evenHBand="0" w:firstRowFirstColumn="0" w:firstRowLastColumn="0" w:lastRowFirstColumn="0" w:lastRowLastColumn="0"/>
              <w:rPr>
                <w:szCs w:val="22"/>
              </w:rPr>
            </w:pPr>
          </w:p>
        </w:tc>
      </w:tr>
      <w:tr w:rsidR="00B53526" w:rsidRPr="00FF378B" w14:paraId="2DBC85BD" w14:textId="77777777" w:rsidTr="00DE0217">
        <w:trPr>
          <w:trHeight w:val="647"/>
        </w:trPr>
        <w:tc>
          <w:tcPr>
            <w:cnfStyle w:val="001000000000" w:firstRow="0" w:lastRow="0" w:firstColumn="1" w:lastColumn="0" w:oddVBand="0" w:evenVBand="0" w:oddHBand="0" w:evenHBand="0" w:firstRowFirstColumn="0" w:firstRowLastColumn="0" w:lastRowFirstColumn="0" w:lastRowLastColumn="0"/>
            <w:tcW w:w="3681" w:type="dxa"/>
          </w:tcPr>
          <w:p w14:paraId="4278CFE6" w14:textId="77777777" w:rsidR="00B53526" w:rsidRPr="00FF378B" w:rsidRDefault="00B53526" w:rsidP="00BB2B74">
            <w:pPr>
              <w:rPr>
                <w:b w:val="0"/>
                <w:szCs w:val="22"/>
              </w:rPr>
            </w:pPr>
            <w:r w:rsidRPr="00FF378B">
              <w:rPr>
                <w:b w:val="0"/>
                <w:szCs w:val="22"/>
              </w:rPr>
              <w:t xml:space="preserve">If the Treasurer’s approval is granted, the non-government lessee-operator liaises with the ATO to manage tax risks associated with implementation.  </w:t>
            </w:r>
          </w:p>
          <w:p w14:paraId="2FCC88E4" w14:textId="77777777" w:rsidR="00B53526" w:rsidRPr="00FF378B" w:rsidRDefault="00B53526" w:rsidP="00BB2B74">
            <w:pPr>
              <w:rPr>
                <w:b w:val="0"/>
                <w:szCs w:val="22"/>
              </w:rPr>
            </w:pPr>
          </w:p>
        </w:tc>
        <w:tc>
          <w:tcPr>
            <w:tcW w:w="3827" w:type="dxa"/>
          </w:tcPr>
          <w:p w14:paraId="54AC609A" w14:textId="77777777" w:rsidR="00B53526" w:rsidRPr="00FF378B" w:rsidRDefault="00B53526" w:rsidP="00DE0217">
            <w:pPr>
              <w:cnfStyle w:val="000000000000" w:firstRow="0" w:lastRow="0" w:firstColumn="0" w:lastColumn="0" w:oddVBand="0" w:evenVBand="0" w:oddHBand="0" w:evenHBand="0" w:firstRowFirstColumn="0" w:firstRowLastColumn="0" w:lastRowFirstColumn="0" w:lastRowLastColumn="0"/>
              <w:rPr>
                <w:szCs w:val="22"/>
              </w:rPr>
            </w:pPr>
            <w:r w:rsidRPr="00FF378B">
              <w:rPr>
                <w:szCs w:val="22"/>
              </w:rPr>
              <w:t>The ATO liaises with the non</w:t>
            </w:r>
            <w:r w:rsidRPr="00FF378B">
              <w:rPr>
                <w:szCs w:val="22"/>
              </w:rPr>
              <w:noBreakHyphen/>
              <w:t xml:space="preserve">government lessee-operator directly to manage tax risks associated with implementation, including in relation to the proportion of rent attributable to the approved improvement. </w:t>
            </w:r>
          </w:p>
        </w:tc>
        <w:tc>
          <w:tcPr>
            <w:tcW w:w="1701" w:type="dxa"/>
          </w:tcPr>
          <w:p w14:paraId="7402E29D" w14:textId="77777777" w:rsidR="00B53526" w:rsidRPr="00FF378B" w:rsidRDefault="00B53526" w:rsidP="00B53526">
            <w:pPr>
              <w:cnfStyle w:val="000000000000" w:firstRow="0" w:lastRow="0" w:firstColumn="0" w:lastColumn="0" w:oddVBand="0" w:evenVBand="0" w:oddHBand="0" w:evenHBand="0" w:firstRowFirstColumn="0" w:firstRowLastColumn="0" w:lastRowFirstColumn="0" w:lastRowLastColumn="0"/>
              <w:rPr>
                <w:szCs w:val="22"/>
              </w:rPr>
            </w:pPr>
          </w:p>
        </w:tc>
      </w:tr>
    </w:tbl>
    <w:p w14:paraId="5FB34695" w14:textId="77777777" w:rsidR="0040125A" w:rsidRDefault="0040125A" w:rsidP="000C1138">
      <w:pPr>
        <w:rPr>
          <w:rFonts w:cs="Arial"/>
          <w:color w:val="002C47"/>
          <w:kern w:val="32"/>
          <w:sz w:val="36"/>
          <w:szCs w:val="28"/>
        </w:rPr>
      </w:pPr>
      <w:bookmarkStart w:id="117" w:name="_Toc528320747"/>
      <w:bookmarkStart w:id="118" w:name="_Toc530754869"/>
      <w:bookmarkStart w:id="119" w:name="_Toc530756109"/>
      <w:bookmarkStart w:id="120" w:name="_Toc530991093"/>
      <w:bookmarkStart w:id="121" w:name="_Toc530991250"/>
      <w:bookmarkEnd w:id="98"/>
      <w:bookmarkEnd w:id="99"/>
      <w:r>
        <w:br w:type="page"/>
      </w:r>
    </w:p>
    <w:p w14:paraId="3463824C" w14:textId="3BDE7174" w:rsidR="00E16BC2" w:rsidRPr="00910B04" w:rsidRDefault="00E16BC2" w:rsidP="00FD6C5E">
      <w:pPr>
        <w:pStyle w:val="Heading2"/>
        <w:spacing w:before="0"/>
        <w:rPr>
          <w:rFonts w:eastAsiaTheme="minorHAnsi"/>
          <w:lang w:eastAsia="en-US"/>
        </w:rPr>
      </w:pPr>
      <w:bookmarkStart w:id="122" w:name="_Toc24620213"/>
      <w:r>
        <w:lastRenderedPageBreak/>
        <w:t>Application checklist</w:t>
      </w:r>
      <w:bookmarkEnd w:id="117"/>
      <w:bookmarkEnd w:id="118"/>
      <w:bookmarkEnd w:id="119"/>
      <w:bookmarkEnd w:id="120"/>
      <w:bookmarkEnd w:id="121"/>
      <w:bookmarkEnd w:id="122"/>
      <w:r>
        <w:t xml:space="preserve"> </w:t>
      </w:r>
    </w:p>
    <w:p w14:paraId="2C23E859" w14:textId="2C744A96" w:rsidR="001C1EC0" w:rsidRDefault="00E16BC2">
      <w:pPr>
        <w:pStyle w:val="Bullet"/>
        <w:numPr>
          <w:ilvl w:val="0"/>
          <w:numId w:val="0"/>
        </w:numPr>
        <w:rPr>
          <w:rFonts w:eastAsiaTheme="minorHAnsi"/>
          <w:lang w:eastAsia="en-US"/>
        </w:rPr>
      </w:pPr>
      <w:r w:rsidRPr="00D11FE8">
        <w:rPr>
          <w:rFonts w:eastAsiaTheme="minorHAnsi"/>
          <w:lang w:eastAsia="en-US"/>
        </w:rPr>
        <w:t xml:space="preserve">This checklist contains information that </w:t>
      </w:r>
      <w:r>
        <w:rPr>
          <w:rFonts w:eastAsiaTheme="minorHAnsi"/>
          <w:lang w:eastAsia="en-US"/>
        </w:rPr>
        <w:t>is required to</w:t>
      </w:r>
      <w:r w:rsidRPr="00D11FE8">
        <w:rPr>
          <w:rFonts w:eastAsiaTheme="minorHAnsi"/>
          <w:lang w:eastAsia="en-US"/>
        </w:rPr>
        <w:t xml:space="preserve"> be included in all applications. Significant delays in processing can be expected for applications that do not include information outlined in the checklist</w:t>
      </w:r>
      <w:r w:rsidRPr="00910B04">
        <w:rPr>
          <w:rFonts w:eastAsiaTheme="minorHAnsi"/>
          <w:lang w:eastAsia="en-US"/>
        </w:rPr>
        <w:t>.</w:t>
      </w:r>
      <w:r w:rsidRPr="00944F79">
        <w:rPr>
          <w:rFonts w:eastAsiaTheme="minorHAnsi"/>
          <w:lang w:eastAsia="en-US"/>
        </w:rPr>
        <w:t xml:space="preserve"> </w:t>
      </w:r>
    </w:p>
    <w:p w14:paraId="688A60E5" w14:textId="045E385C" w:rsidR="00E16BC2" w:rsidRPr="00F4797C" w:rsidRDefault="00E16BC2">
      <w:pPr>
        <w:pStyle w:val="Bullet"/>
        <w:numPr>
          <w:ilvl w:val="0"/>
          <w:numId w:val="0"/>
        </w:numPr>
      </w:pPr>
      <w:r w:rsidRPr="00D11FE8">
        <w:rPr>
          <w:rFonts w:eastAsiaTheme="minorHAnsi"/>
          <w:lang w:eastAsia="en-US"/>
        </w:rPr>
        <w:t>Please note</w:t>
      </w:r>
      <w:r w:rsidR="001C1EC0">
        <w:rPr>
          <w:rFonts w:eastAsiaTheme="minorHAnsi"/>
          <w:lang w:eastAsia="en-US"/>
        </w:rPr>
        <w:t>:</w:t>
      </w:r>
      <w:r w:rsidRPr="00D11FE8">
        <w:rPr>
          <w:rFonts w:eastAsiaTheme="minorHAnsi"/>
          <w:lang w:eastAsia="en-US"/>
        </w:rPr>
        <w:t xml:space="preserve"> additional information requirements may </w:t>
      </w:r>
      <w:r>
        <w:rPr>
          <w:rFonts w:eastAsiaTheme="minorHAnsi"/>
          <w:lang w:eastAsia="en-US"/>
        </w:rPr>
        <w:t>be relevant to your application.</w:t>
      </w:r>
    </w:p>
    <w:p w14:paraId="1FB40F61" w14:textId="77777777" w:rsidR="00E16BC2" w:rsidRPr="00857EF7" w:rsidRDefault="00E16BC2" w:rsidP="00FD6C5E">
      <w:pPr>
        <w:pStyle w:val="Heading4"/>
      </w:pPr>
      <w:r w:rsidRPr="00857EF7">
        <w:t xml:space="preserve">Information required: </w:t>
      </w:r>
    </w:p>
    <w:p w14:paraId="59BEBC13" w14:textId="77777777" w:rsidR="00E16BC2" w:rsidRPr="009F511B" w:rsidRDefault="00E16BC2" w:rsidP="00DE0217">
      <w:pPr>
        <w:pStyle w:val="Bullet"/>
        <w:numPr>
          <w:ilvl w:val="0"/>
          <w:numId w:val="15"/>
        </w:numPr>
      </w:pPr>
      <w:r>
        <w:rPr>
          <w:rFonts w:eastAsiaTheme="minorHAnsi"/>
          <w:lang w:eastAsia="en-US"/>
        </w:rPr>
        <w:t xml:space="preserve">Specific details of the proposed new facility or improvement (any approval will attach to the proposal as outlined in the application).  </w:t>
      </w:r>
    </w:p>
    <w:p w14:paraId="05421BD1" w14:textId="77777777" w:rsidR="00E16BC2" w:rsidRPr="009F511B" w:rsidRDefault="00E16BC2" w:rsidP="00DE0217">
      <w:pPr>
        <w:pStyle w:val="Bullet"/>
        <w:numPr>
          <w:ilvl w:val="0"/>
          <w:numId w:val="15"/>
        </w:numPr>
      </w:pPr>
      <w:r>
        <w:t xml:space="preserve">Information to establish or provide evidence that the application relates to an ‘economic infrastructure facility’. </w:t>
      </w:r>
    </w:p>
    <w:p w14:paraId="5431DE84" w14:textId="77777777" w:rsidR="00E16BC2" w:rsidRPr="008F738A" w:rsidRDefault="00E16BC2" w:rsidP="00DE0217">
      <w:pPr>
        <w:pStyle w:val="Bullet"/>
        <w:numPr>
          <w:ilvl w:val="0"/>
          <w:numId w:val="15"/>
        </w:numPr>
        <w:rPr>
          <w:rFonts w:eastAsiaTheme="minorHAnsi"/>
          <w:lang w:eastAsia="en-US"/>
        </w:rPr>
      </w:pPr>
      <w:r>
        <w:t>A copy of the business case provided to Infrastructure Australia (including details as to the proposed capital expenditure on the new facility or improvement) (when available).</w:t>
      </w:r>
    </w:p>
    <w:p w14:paraId="183253A2" w14:textId="3ABFA8E8" w:rsidR="00E16BC2" w:rsidRPr="00E92F28" w:rsidRDefault="00E16BC2" w:rsidP="00DE0217">
      <w:pPr>
        <w:pStyle w:val="Bullet"/>
        <w:numPr>
          <w:ilvl w:val="0"/>
          <w:numId w:val="15"/>
        </w:numPr>
        <w:rPr>
          <w:rFonts w:eastAsiaTheme="minorHAnsi"/>
          <w:lang w:eastAsia="en-US"/>
        </w:rPr>
      </w:pPr>
      <w:r>
        <w:t>Details of whether the project’s business case has</w:t>
      </w:r>
      <w:r>
        <w:rPr>
          <w:rFonts w:eastAsiaTheme="minorHAnsi"/>
          <w:lang w:eastAsia="en-US"/>
        </w:rPr>
        <w:t xml:space="preserve"> been positively assessed by the Infrastructure Australia Board and placed on Infrastructure Australia’s Infrastructure Priority List as a </w:t>
      </w:r>
      <w:r w:rsidR="00C24D04">
        <w:rPr>
          <w:rFonts w:eastAsiaTheme="minorHAnsi"/>
          <w:lang w:eastAsia="en-US"/>
        </w:rPr>
        <w:t>‘</w:t>
      </w:r>
      <w:r>
        <w:rPr>
          <w:rFonts w:eastAsiaTheme="minorHAnsi"/>
          <w:lang w:eastAsia="en-US"/>
        </w:rPr>
        <w:t>High Priority</w:t>
      </w:r>
      <w:r w:rsidR="00C24D04">
        <w:rPr>
          <w:rFonts w:eastAsiaTheme="minorHAnsi"/>
          <w:lang w:eastAsia="en-US"/>
        </w:rPr>
        <w:t xml:space="preserve">’ </w:t>
      </w:r>
      <w:r>
        <w:rPr>
          <w:rFonts w:eastAsiaTheme="minorHAnsi"/>
          <w:lang w:eastAsia="en-US"/>
        </w:rPr>
        <w:t xml:space="preserve">or </w:t>
      </w:r>
      <w:r w:rsidR="00C24D04">
        <w:rPr>
          <w:rFonts w:eastAsiaTheme="minorHAnsi"/>
          <w:lang w:eastAsia="en-US"/>
        </w:rPr>
        <w:t>‘</w:t>
      </w:r>
      <w:r>
        <w:rPr>
          <w:rFonts w:eastAsiaTheme="minorHAnsi"/>
          <w:lang w:eastAsia="en-US"/>
        </w:rPr>
        <w:t>Priority</w:t>
      </w:r>
      <w:r w:rsidR="00C24D04">
        <w:rPr>
          <w:rFonts w:eastAsiaTheme="minorHAnsi"/>
          <w:lang w:eastAsia="en-US"/>
        </w:rPr>
        <w:t xml:space="preserve">’ </w:t>
      </w:r>
      <w:r>
        <w:rPr>
          <w:rFonts w:eastAsiaTheme="minorHAnsi"/>
          <w:lang w:eastAsia="en-US"/>
        </w:rPr>
        <w:t>project (when available).</w:t>
      </w:r>
      <w:r w:rsidDel="00FD7D62">
        <w:rPr>
          <w:rStyle w:val="FootnoteReference"/>
          <w:rFonts w:eastAsiaTheme="minorHAnsi"/>
          <w:lang w:eastAsia="en-US"/>
        </w:rPr>
        <w:t xml:space="preserve"> </w:t>
      </w:r>
    </w:p>
    <w:p w14:paraId="5DBF33FC" w14:textId="77777777" w:rsidR="00E16BC2" w:rsidRDefault="00E16BC2" w:rsidP="00DE0217">
      <w:pPr>
        <w:pStyle w:val="Bullet"/>
        <w:numPr>
          <w:ilvl w:val="0"/>
          <w:numId w:val="15"/>
        </w:numPr>
      </w:pPr>
      <w:r>
        <w:t xml:space="preserve">Details and a diagram of the actual or proposed corporate structure including ultimate beneficiaries and ownership holdings. </w:t>
      </w:r>
    </w:p>
    <w:p w14:paraId="0B3A24FD" w14:textId="43E30ACC" w:rsidR="00E16BC2" w:rsidRDefault="00E16BC2">
      <w:pPr>
        <w:pStyle w:val="Dash"/>
        <w:numPr>
          <w:ilvl w:val="1"/>
          <w:numId w:val="15"/>
        </w:numPr>
      </w:pPr>
      <w:r>
        <w:t>If one or more beneficiaries are (or are proposed to be) foreign, information should be included relating to the</w:t>
      </w:r>
      <w:r w:rsidR="007B61B8">
        <w:t xml:space="preserve"> (likely)</w:t>
      </w:r>
      <w:r w:rsidR="001219E7">
        <w:t xml:space="preserve"> </w:t>
      </w:r>
      <w:r>
        <w:t xml:space="preserve">country where the beneficiaries are (or will be) tax residents. </w:t>
      </w:r>
    </w:p>
    <w:p w14:paraId="50A9BA9A" w14:textId="77777777" w:rsidR="00E16BC2" w:rsidRDefault="00E16BC2">
      <w:pPr>
        <w:pStyle w:val="Dash"/>
        <w:numPr>
          <w:ilvl w:val="1"/>
          <w:numId w:val="15"/>
        </w:numPr>
      </w:pPr>
      <w:r>
        <w:t xml:space="preserve">If one or more beneficiaries are (or are proposed to be) a sovereign wealth fund or a foreign pension fund, the percentage of interests in the MIT that are (or are expected to be) held by those beneficiaries. </w:t>
      </w:r>
    </w:p>
    <w:p w14:paraId="2E8FD02C" w14:textId="77777777" w:rsidR="00E95AF3" w:rsidRDefault="00E95AF3" w:rsidP="00DE0217">
      <w:pPr>
        <w:pStyle w:val="Bullet"/>
        <w:numPr>
          <w:ilvl w:val="0"/>
          <w:numId w:val="15"/>
        </w:numPr>
      </w:pPr>
      <w:r>
        <w:t>Details of the funding proposal including whether the proposed new facility or improvement is expected to be funded by investor debt.</w:t>
      </w:r>
    </w:p>
    <w:p w14:paraId="1A6884BB" w14:textId="619F5C2A" w:rsidR="00E16BC2" w:rsidRDefault="00E16BC2" w:rsidP="00DE0217">
      <w:pPr>
        <w:pStyle w:val="Bullet"/>
        <w:numPr>
          <w:ilvl w:val="0"/>
          <w:numId w:val="15"/>
        </w:numPr>
      </w:pPr>
      <w:r>
        <w:t xml:space="preserve">Expected fund payment amounts (attributable to MIT cross staple arrangement income) to each beneficiary for the </w:t>
      </w:r>
      <w:r w:rsidRPr="002A286F">
        <w:t>15 years</w:t>
      </w:r>
      <w:r>
        <w:t xml:space="preserve"> after the asset that is part of the facility is first put to use. </w:t>
      </w:r>
    </w:p>
    <w:p w14:paraId="36B8CB28" w14:textId="77777777" w:rsidR="00E16BC2" w:rsidRDefault="00E16BC2" w:rsidP="00DE0217">
      <w:pPr>
        <w:pStyle w:val="Bullet"/>
        <w:numPr>
          <w:ilvl w:val="0"/>
          <w:numId w:val="15"/>
        </w:numPr>
      </w:pPr>
      <w:r>
        <w:t>In the case of an improvement to a facility, include amounts that</w:t>
      </w:r>
      <w:r w:rsidRPr="00154F90">
        <w:t xml:space="preserve"> </w:t>
      </w:r>
      <w:r>
        <w:t>are (if the approval is granted) estimated to be excepted MIT cross staple arrangement income (i.e. subject to a 15 per cent MIT withholding rate).</w:t>
      </w:r>
    </w:p>
    <w:p w14:paraId="6A569379" w14:textId="77777777" w:rsidR="00E16BC2" w:rsidRDefault="00E16BC2" w:rsidP="00DE0217">
      <w:pPr>
        <w:pStyle w:val="Bullet"/>
        <w:numPr>
          <w:ilvl w:val="0"/>
          <w:numId w:val="15"/>
        </w:numPr>
      </w:pPr>
      <w:r>
        <w:t xml:space="preserve">The expected rate of return to each beneficiary for the </w:t>
      </w:r>
      <w:r w:rsidRPr="002A286F">
        <w:t>15 years</w:t>
      </w:r>
      <w:r>
        <w:t xml:space="preserve"> after the asset that is part of the facility is first put to use.</w:t>
      </w:r>
    </w:p>
    <w:p w14:paraId="26260727" w14:textId="77777777" w:rsidR="00E16BC2" w:rsidRDefault="00E16BC2" w:rsidP="00DE0217">
      <w:pPr>
        <w:pStyle w:val="Bullet"/>
        <w:numPr>
          <w:ilvl w:val="0"/>
          <w:numId w:val="15"/>
        </w:numPr>
      </w:pPr>
      <w:r>
        <w:t xml:space="preserve">An estimated date on which the facility or improvement is expected to become operational. </w:t>
      </w:r>
    </w:p>
    <w:p w14:paraId="1BED1DEA" w14:textId="77777777" w:rsidR="00E16BC2" w:rsidRDefault="00E16BC2" w:rsidP="00DE0217">
      <w:pPr>
        <w:pStyle w:val="Bullet"/>
        <w:numPr>
          <w:ilvl w:val="0"/>
          <w:numId w:val="15"/>
        </w:numPr>
      </w:pPr>
      <w:r>
        <w:t xml:space="preserve">The financial accounting year and any substituted accounting period. </w:t>
      </w:r>
    </w:p>
    <w:p w14:paraId="72A15D11" w14:textId="3556FC63" w:rsidR="00E16BC2" w:rsidRPr="00A026AD" w:rsidRDefault="00020C27" w:rsidP="00DE0217">
      <w:pPr>
        <w:pStyle w:val="Bullet"/>
        <w:numPr>
          <w:ilvl w:val="0"/>
          <w:numId w:val="15"/>
        </w:numPr>
      </w:pPr>
      <w:r>
        <w:t>Information as to whether the entities to the cross staple arrangement and any known ultimate investors in those entities are or have ever been non-compliant with Australian laws.</w:t>
      </w:r>
    </w:p>
    <w:p w14:paraId="337C44D2" w14:textId="0E569611" w:rsidR="00E16BC2" w:rsidRDefault="00E16BC2" w:rsidP="00DE0217">
      <w:pPr>
        <w:pStyle w:val="Bullet"/>
        <w:numPr>
          <w:ilvl w:val="0"/>
          <w:numId w:val="15"/>
        </w:numPr>
      </w:pPr>
      <w:r>
        <w:t xml:space="preserve">Details </w:t>
      </w:r>
      <w:r w:rsidR="001219E7">
        <w:t>of</w:t>
      </w:r>
      <w:r>
        <w:t xml:space="preserve"> any other government assistance (from any government or government body) that has been sought or provided in relation to the same</w:t>
      </w:r>
      <w:r w:rsidR="00E95AF3">
        <w:t xml:space="preserve"> or similar</w:t>
      </w:r>
      <w:r>
        <w:t xml:space="preserve"> infrastructure facility or improvement. </w:t>
      </w:r>
    </w:p>
    <w:p w14:paraId="4168F8A4" w14:textId="77777777" w:rsidR="00E16BC2" w:rsidRDefault="00E16BC2" w:rsidP="00FD6C5E">
      <w:pPr>
        <w:pStyle w:val="Heading4"/>
      </w:pPr>
      <w:r w:rsidRPr="00857EF7">
        <w:lastRenderedPageBreak/>
        <w:t xml:space="preserve">Information that may be included: </w:t>
      </w:r>
    </w:p>
    <w:p w14:paraId="731788F0" w14:textId="77777777" w:rsidR="00E16BC2" w:rsidRPr="00632464" w:rsidRDefault="00E16BC2" w:rsidP="00DE0217">
      <w:pPr>
        <w:pStyle w:val="Bullet"/>
        <w:numPr>
          <w:ilvl w:val="0"/>
          <w:numId w:val="15"/>
        </w:numPr>
        <w:rPr>
          <w:rFonts w:eastAsiaTheme="minorHAnsi"/>
          <w:lang w:eastAsia="en-US"/>
        </w:rPr>
      </w:pPr>
      <w:r>
        <w:rPr>
          <w:rFonts w:eastAsiaTheme="minorHAnsi"/>
          <w:lang w:eastAsia="en-US"/>
        </w:rPr>
        <w:t>Any further information related to the economic costs and benefits resulting from the facility (or improvement) or more broadly in relation to the projected impact of the proposal on the long</w:t>
      </w:r>
      <w:r>
        <w:rPr>
          <w:rFonts w:eastAsiaTheme="minorHAnsi"/>
          <w:lang w:eastAsia="en-US"/>
        </w:rPr>
        <w:noBreakHyphen/>
        <w:t xml:space="preserve">term productive capacity of the economy. </w:t>
      </w:r>
    </w:p>
    <w:p w14:paraId="68ED4576" w14:textId="77777777" w:rsidR="002D488F" w:rsidRDefault="00E16BC2" w:rsidP="00DE0217">
      <w:pPr>
        <w:pStyle w:val="Bullet"/>
        <w:numPr>
          <w:ilvl w:val="0"/>
          <w:numId w:val="15"/>
        </w:numPr>
      </w:pPr>
      <w:r>
        <w:t xml:space="preserve">Any other information that the applicant considers would assist the Treasurer in determining whether approving the concession for the facility or improvement is in the national interest. </w:t>
      </w:r>
    </w:p>
    <w:sectPr w:rsidR="002D488F" w:rsidSect="00E1136B">
      <w:headerReference w:type="even" r:id="rId23"/>
      <w:headerReference w:type="default" r:id="rId24"/>
      <w:footerReference w:type="even" r:id="rId25"/>
      <w:footerReference w:type="default" r:id="rId26"/>
      <w:headerReference w:type="first" r:id="rId27"/>
      <w:footerReference w:type="first" r:id="rId28"/>
      <w:pgSz w:w="11906" w:h="16838" w:code="9"/>
      <w:pgMar w:top="1418" w:right="1418" w:bottom="1418" w:left="1418"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436CEAC" w14:textId="77777777" w:rsidR="00492DBF" w:rsidRDefault="00492DBF">
      <w:pPr>
        <w:spacing w:before="0" w:after="0"/>
      </w:pPr>
      <w:r>
        <w:separator/>
      </w:r>
    </w:p>
  </w:endnote>
  <w:endnote w:type="continuationSeparator" w:id="0">
    <w:p w14:paraId="7D1E6761" w14:textId="77777777" w:rsidR="00492DBF" w:rsidRDefault="00492DBF">
      <w:pPr>
        <w:spacing w:before="0" w:after="0"/>
      </w:pPr>
      <w:r>
        <w:continuationSeparator/>
      </w:r>
    </w:p>
  </w:endnote>
  <w:endnote w:type="continuationNotice" w:id="1">
    <w:p w14:paraId="108F99B2" w14:textId="77777777" w:rsidR="00492DBF" w:rsidRDefault="00492DBF">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Bold">
    <w:panose1 w:val="00000000000000000000"/>
    <w:charset w:val="00"/>
    <w:family w:val="roman"/>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Rockwell">
    <w:panose1 w:val="02060603020205020403"/>
    <w:charset w:val="00"/>
    <w:family w:val="roman"/>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894742" w14:textId="77777777" w:rsidR="003717BB" w:rsidRDefault="003717B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7AF31E" w14:textId="77777777" w:rsidR="003717BB" w:rsidRDefault="003717B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0E933B" w14:textId="77777777" w:rsidR="003717BB" w:rsidRDefault="003717B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5BFFE1" w14:textId="77777777" w:rsidR="00EE612F" w:rsidRPr="00E77C89" w:rsidRDefault="00EE612F" w:rsidP="0017089D">
    <w:r>
      <w:fldChar w:fldCharType="begin"/>
    </w:r>
    <w:r>
      <w:instrText xml:space="preserve"> PAGE  \* Arabic  \* MERGEFORMAT </w:instrText>
    </w:r>
    <w:r>
      <w:fldChar w:fldCharType="separate"/>
    </w:r>
    <w:r>
      <w:t>6</w:t>
    </w:r>
    <w: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FADAEB" w14:textId="77777777" w:rsidR="00EE612F" w:rsidRPr="00E77C89" w:rsidRDefault="00EE612F" w:rsidP="0017089D"/>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D69B65" w14:textId="00424B4E" w:rsidR="00EE612F" w:rsidRPr="00E1136B" w:rsidRDefault="00EE612F" w:rsidP="00E1136B">
    <w:pPr>
      <w:pStyle w:val="Footer"/>
    </w:pPr>
    <w:r>
      <w:fldChar w:fldCharType="begin"/>
    </w:r>
    <w:r>
      <w:instrText xml:space="preserve"> PAGE   \* MERGEFORMAT </w:instrText>
    </w:r>
    <w:r>
      <w:fldChar w:fldCharType="separate"/>
    </w:r>
    <w:r w:rsidR="00B3697E">
      <w:rPr>
        <w:noProof/>
      </w:rPr>
      <w:t>13</w:t>
    </w:r>
    <w:r>
      <w:rPr>
        <w:noProof/>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4565C2" w14:textId="77777777" w:rsidR="00EE612F" w:rsidRDefault="00EE612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58372A2" w14:textId="77777777" w:rsidR="00492DBF" w:rsidRDefault="00492DBF">
      <w:pPr>
        <w:spacing w:before="0" w:after="0"/>
      </w:pPr>
      <w:r>
        <w:separator/>
      </w:r>
    </w:p>
  </w:footnote>
  <w:footnote w:type="continuationSeparator" w:id="0">
    <w:p w14:paraId="1580B3F8" w14:textId="77777777" w:rsidR="00492DBF" w:rsidRDefault="00492DBF">
      <w:pPr>
        <w:spacing w:before="0" w:after="0"/>
      </w:pPr>
      <w:r>
        <w:continuationSeparator/>
      </w:r>
    </w:p>
  </w:footnote>
  <w:footnote w:type="continuationNotice" w:id="1">
    <w:p w14:paraId="5997404D" w14:textId="77777777" w:rsidR="00492DBF" w:rsidRDefault="00492DBF">
      <w:pPr>
        <w:spacing w:before="0" w:after="0"/>
      </w:pPr>
    </w:p>
  </w:footnote>
  <w:footnote w:id="2">
    <w:p w14:paraId="6E507E10" w14:textId="6B6B1F4B" w:rsidR="00EE612F" w:rsidRDefault="00EE612F">
      <w:pPr>
        <w:pStyle w:val="FootnoteText"/>
      </w:pPr>
      <w:r w:rsidRPr="00DD19CE">
        <w:rPr>
          <w:rStyle w:val="FootnoteReference"/>
          <w:vertAlign w:val="baseline"/>
        </w:rPr>
        <w:footnoteRef/>
      </w:r>
      <w:r>
        <w:t xml:space="preserve"> </w:t>
      </w:r>
      <w:r>
        <w:tab/>
        <w:t>This reference will be updated once the Law Companion Ruling has been finalised. The Law Companion Ruling is currently in draft and the content may be subject to change.</w:t>
      </w:r>
    </w:p>
  </w:footnote>
  <w:footnote w:id="3">
    <w:p w14:paraId="760D220F" w14:textId="092D8F86" w:rsidR="00EE612F" w:rsidRDefault="00EE612F">
      <w:pPr>
        <w:pStyle w:val="FootnoteText"/>
      </w:pPr>
      <w:r w:rsidRPr="004E6852">
        <w:rPr>
          <w:rStyle w:val="FootnoteReference"/>
          <w:vertAlign w:val="baseline"/>
        </w:rPr>
        <w:footnoteRef/>
      </w:r>
      <w:r w:rsidRPr="00DD19CE">
        <w:t xml:space="preserve"> </w:t>
      </w:r>
      <w:r>
        <w:tab/>
        <w:t>Further information on this requirement is below.</w:t>
      </w:r>
    </w:p>
  </w:footnote>
  <w:footnote w:id="4">
    <w:p w14:paraId="5A57369C" w14:textId="6CA8CB86" w:rsidR="00EE612F" w:rsidRDefault="00EE612F" w:rsidP="00E16BC2">
      <w:pPr>
        <w:pStyle w:val="FootnoteText"/>
      </w:pPr>
      <w:r w:rsidRPr="004E6852">
        <w:rPr>
          <w:rStyle w:val="FootnoteReference"/>
          <w:vertAlign w:val="baseline"/>
        </w:rPr>
        <w:footnoteRef/>
      </w:r>
      <w:r w:rsidRPr="00DD19CE">
        <w:t xml:space="preserve"> </w:t>
      </w:r>
      <w:r>
        <w:tab/>
        <w:t xml:space="preserve">In accordance with subsection 5A(4) of the </w:t>
      </w:r>
      <w:r w:rsidRPr="0054085A">
        <w:rPr>
          <w:i/>
        </w:rPr>
        <w:t>Infrastructure Australia Act 2008</w:t>
      </w:r>
      <w:r>
        <w:t>, t</w:t>
      </w:r>
      <w:r>
        <w:rPr>
          <w:lang w:val="en-US"/>
        </w:rPr>
        <w:t xml:space="preserve">he decision of the Infrastructure Australia Board will be published on the Infrastructure Australia website in the form of an evaluation summary. Examples of past evaluation summaries can be found on the Infrastructure Australia website at </w:t>
      </w:r>
      <w:r w:rsidRPr="007E33FF">
        <w:rPr>
          <w:lang w:val="en-US"/>
        </w:rPr>
        <w:t>https://infrastructureaustralia.gov.au/projects/project-assessments.aspx</w:t>
      </w:r>
    </w:p>
  </w:footnote>
  <w:footnote w:id="5">
    <w:p w14:paraId="5ED6F07D" w14:textId="5719F984" w:rsidR="00EE612F" w:rsidRPr="00C80115" w:rsidRDefault="00EE612F" w:rsidP="00E16BC2">
      <w:pPr>
        <w:pStyle w:val="FootnoteText"/>
      </w:pPr>
      <w:r w:rsidRPr="004E6852">
        <w:rPr>
          <w:rStyle w:val="FootnoteReference"/>
          <w:vertAlign w:val="baseline"/>
        </w:rPr>
        <w:footnoteRef/>
      </w:r>
      <w:r w:rsidRPr="00DD19CE">
        <w:t xml:space="preserve"> </w:t>
      </w:r>
      <w:r>
        <w:tab/>
        <w:t xml:space="preserve">Revised </w:t>
      </w:r>
      <w:r w:rsidRPr="00C80115">
        <w:rPr>
          <w:bCs/>
        </w:rPr>
        <w:t>Explanatory Memorandum, Treasury Laws Amendment (Making Sure Foreign Investors Pay Their Fair Share of Tax in Australia and Other Measures) Bill 201</w:t>
      </w:r>
      <w:r>
        <w:rPr>
          <w:bCs/>
        </w:rPr>
        <w:t>9</w:t>
      </w:r>
      <w:r w:rsidRPr="00C80115">
        <w:rPr>
          <w:bCs/>
        </w:rPr>
        <w:t xml:space="preserve"> [1.80].</w:t>
      </w:r>
    </w:p>
  </w:footnote>
  <w:footnote w:id="6">
    <w:p w14:paraId="76D4C1E0" w14:textId="0C562CCC" w:rsidR="00EE612F" w:rsidRDefault="00EE612F" w:rsidP="00E16BC2">
      <w:pPr>
        <w:pStyle w:val="FootnoteText"/>
      </w:pPr>
      <w:r w:rsidRPr="004E6852">
        <w:rPr>
          <w:rStyle w:val="FootnoteReference"/>
          <w:vertAlign w:val="baseline"/>
        </w:rPr>
        <w:footnoteRef/>
      </w:r>
      <w:r w:rsidRPr="00DD19CE">
        <w:t xml:space="preserve"> </w:t>
      </w:r>
      <w:r>
        <w:tab/>
        <w:t xml:space="preserve">Revised </w:t>
      </w:r>
      <w:r w:rsidRPr="00C80115">
        <w:rPr>
          <w:bCs/>
        </w:rPr>
        <w:t>Explanatory Memorandum, Treasury Laws Amendment (Making Sure Foreign Investors Pay Their Fair Share of Tax in Australia and Other Measures) Bill 201</w:t>
      </w:r>
      <w:r>
        <w:rPr>
          <w:bCs/>
        </w:rPr>
        <w:t>9</w:t>
      </w:r>
      <w:r w:rsidRPr="00C80115">
        <w:rPr>
          <w:bCs/>
        </w:rPr>
        <w:t xml:space="preserve"> [1.8</w:t>
      </w:r>
      <w:r>
        <w:rPr>
          <w:bCs/>
        </w:rPr>
        <w:t>1</w:t>
      </w:r>
      <w:r w:rsidRPr="00C80115">
        <w:rPr>
          <w:bCs/>
        </w:rPr>
        <w:t>].</w:t>
      </w:r>
    </w:p>
  </w:footnote>
  <w:footnote w:id="7">
    <w:p w14:paraId="5B1E9FBD" w14:textId="1F13CC82" w:rsidR="00EE612F" w:rsidRDefault="00EE612F" w:rsidP="00E16BC2">
      <w:pPr>
        <w:pStyle w:val="FootnoteText"/>
      </w:pPr>
      <w:r w:rsidRPr="004E6852">
        <w:rPr>
          <w:rStyle w:val="FootnoteReference"/>
          <w:vertAlign w:val="baseline"/>
        </w:rPr>
        <w:footnoteRef/>
      </w:r>
      <w:r w:rsidRPr="00DD19CE">
        <w:t xml:space="preserve"> </w:t>
      </w:r>
      <w:r>
        <w:tab/>
        <w:t xml:space="preserve">Revised </w:t>
      </w:r>
      <w:r w:rsidRPr="00C80115">
        <w:rPr>
          <w:bCs/>
        </w:rPr>
        <w:t>Explanatory Memorandum, Treasury Laws Amendment (Making Sure Foreign Investors Pay Their Fair Share of Tax in Australia and Other Measures) Bill 201</w:t>
      </w:r>
      <w:r>
        <w:rPr>
          <w:bCs/>
        </w:rPr>
        <w:t>9</w:t>
      </w:r>
      <w:r w:rsidRPr="00C80115">
        <w:rPr>
          <w:bCs/>
        </w:rPr>
        <w:t xml:space="preserve"> [1.8</w:t>
      </w:r>
      <w:r>
        <w:rPr>
          <w:bCs/>
        </w:rPr>
        <w:t>2</w:t>
      </w:r>
      <w:r w:rsidRPr="00C80115">
        <w:rPr>
          <w:bCs/>
        </w:rPr>
        <w:t>].</w:t>
      </w:r>
    </w:p>
  </w:footnote>
  <w:footnote w:id="8">
    <w:p w14:paraId="40E30F1F" w14:textId="3E572E0B" w:rsidR="00EE612F" w:rsidRDefault="00EE612F" w:rsidP="00E16BC2">
      <w:pPr>
        <w:pStyle w:val="FootnoteText"/>
      </w:pPr>
      <w:r w:rsidRPr="004E6852">
        <w:rPr>
          <w:rStyle w:val="FootnoteReference"/>
          <w:vertAlign w:val="baseline"/>
        </w:rPr>
        <w:footnoteRef/>
      </w:r>
      <w:r w:rsidRPr="00DD19CE">
        <w:t xml:space="preserve"> </w:t>
      </w:r>
      <w:r>
        <w:tab/>
        <w:t xml:space="preserve">Revised </w:t>
      </w:r>
      <w:r w:rsidRPr="00C80115">
        <w:rPr>
          <w:bCs/>
        </w:rPr>
        <w:t>Explanatory Memorandum, Treasury Laws Amendment (Making Sure Foreign Investors Pay Their Fair Share of Tax in Australia and Other Measures) Bill 201</w:t>
      </w:r>
      <w:r>
        <w:rPr>
          <w:bCs/>
        </w:rPr>
        <w:t>9</w:t>
      </w:r>
      <w:r w:rsidRPr="00C80115">
        <w:rPr>
          <w:bCs/>
        </w:rPr>
        <w:t xml:space="preserve"> [1.8</w:t>
      </w:r>
      <w:r>
        <w:rPr>
          <w:bCs/>
        </w:rPr>
        <w:t>4</w:t>
      </w:r>
      <w:r w:rsidRPr="00C80115">
        <w:rPr>
          <w:bCs/>
        </w:rPr>
        <w:t>].</w:t>
      </w:r>
    </w:p>
  </w:footnote>
  <w:footnote w:id="9">
    <w:p w14:paraId="61C7DC98" w14:textId="0B2E513B" w:rsidR="00EE612F" w:rsidRDefault="00EE612F" w:rsidP="00E16BC2">
      <w:pPr>
        <w:pStyle w:val="FootnoteText"/>
      </w:pPr>
      <w:r w:rsidRPr="004E6852">
        <w:rPr>
          <w:rStyle w:val="FootnoteReference"/>
          <w:vertAlign w:val="baseline"/>
        </w:rPr>
        <w:footnoteRef/>
      </w:r>
      <w:r w:rsidRPr="00DD19CE">
        <w:t xml:space="preserve"> </w:t>
      </w:r>
      <w:r>
        <w:tab/>
      </w:r>
      <w:r>
        <w:rPr>
          <w:lang w:val="en-US"/>
        </w:rPr>
        <w:t xml:space="preserve">This will be a full business case assessment in accordance with section 5A of the </w:t>
      </w:r>
      <w:r w:rsidRPr="0054085A">
        <w:rPr>
          <w:i/>
          <w:lang w:val="en-US"/>
        </w:rPr>
        <w:t>Infrastructure Australia Act</w:t>
      </w:r>
      <w:r>
        <w:rPr>
          <w:i/>
          <w:lang w:val="en-US"/>
        </w:rPr>
        <w:t> </w:t>
      </w:r>
      <w:r w:rsidRPr="0054085A">
        <w:rPr>
          <w:i/>
          <w:lang w:val="en-US"/>
        </w:rPr>
        <w:t>2008</w:t>
      </w:r>
      <w:r>
        <w:rPr>
          <w:lang w:val="en-US"/>
        </w:rPr>
        <w:t xml:space="preserve">, using the methodology set out in the </w:t>
      </w:r>
      <w:r w:rsidRPr="00EB6819">
        <w:rPr>
          <w:lang w:val="en-US"/>
        </w:rPr>
        <w:t>Infrastructure Australia Assessment Framework</w:t>
      </w:r>
      <w:r>
        <w:rPr>
          <w:lang w:val="en-US"/>
        </w:rPr>
        <w:t>. The outcome of the assessment would be a decision by the Infrastructure Australia Board to include or not include the project to the Infrastructure Priority List.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F851F0" w14:textId="77777777" w:rsidR="003717BB" w:rsidRDefault="003717B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5B62ED" w14:textId="77777777" w:rsidR="00EE612F" w:rsidRDefault="00EE612F">
    <w:pPr>
      <w:pStyle w:val="Header"/>
    </w:pPr>
    <w:r>
      <w:rPr>
        <w:noProof/>
      </w:rPr>
      <w:drawing>
        <wp:anchor distT="0" distB="0" distL="114300" distR="114300" simplePos="0" relativeHeight="251658240" behindDoc="1" locked="0" layoutInCell="1" allowOverlap="1" wp14:anchorId="1FA776C8" wp14:editId="7684A913">
          <wp:simplePos x="0" y="0"/>
          <wp:positionH relativeFrom="page">
            <wp:align>center</wp:align>
          </wp:positionH>
          <wp:positionV relativeFrom="page">
            <wp:posOffset>180340</wp:posOffset>
          </wp:positionV>
          <wp:extent cx="7200000" cy="10184400"/>
          <wp:effectExtent l="0" t="0" r="1270" b="762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4 report_background.jpg"/>
                  <pic:cNvPicPr/>
                </pic:nvPicPr>
                <pic:blipFill>
                  <a:blip r:embed="rId1">
                    <a:extLst>
                      <a:ext uri="{28A0092B-C50C-407E-A947-70E740481C1C}">
                        <a14:useLocalDpi xmlns:a14="http://schemas.microsoft.com/office/drawing/2010/main" val="0"/>
                      </a:ext>
                    </a:extLst>
                  </a:blip>
                  <a:stretch>
                    <a:fillRect/>
                  </a:stretch>
                </pic:blipFill>
                <pic:spPr>
                  <a:xfrm>
                    <a:off x="0" y="0"/>
                    <a:ext cx="7200000" cy="10184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F7EF8E" w14:textId="77777777" w:rsidR="003717BB" w:rsidRDefault="003717B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FC6048" w14:textId="77777777" w:rsidR="00EE612F" w:rsidRPr="001F3912" w:rsidRDefault="00EE612F" w:rsidP="0017089D">
    <w:r>
      <w:fldChar w:fldCharType="begin"/>
    </w:r>
    <w:r>
      <w:instrText xml:space="preserve"> macrobutton nomacro [Click and add Publication Title] </w:instrText>
    </w:r>
    <w: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EB1DF6" w14:textId="77777777" w:rsidR="00EE612F" w:rsidRPr="001F3912" w:rsidRDefault="00EE612F" w:rsidP="0017089D"/>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5CCB95" w14:textId="77777777" w:rsidR="00EE612F" w:rsidRPr="001F3912" w:rsidRDefault="00EE612F" w:rsidP="0017089D"/>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BA25B7" w14:textId="73FD4574" w:rsidR="00EE612F" w:rsidRPr="001F3912" w:rsidRDefault="00492DBF" w:rsidP="001606CF">
    <w:pPr>
      <w:pStyle w:val="Header"/>
    </w:pPr>
    <w:r>
      <w:fldChar w:fldCharType="begin"/>
    </w:r>
    <w:r>
      <w:instrText xml:space="preserve"> STYLEREF  Title  \* MERGEFORMAT </w:instrText>
    </w:r>
    <w:r>
      <w:fldChar w:fldCharType="separate"/>
    </w:r>
    <w:r w:rsidR="00B3697E">
      <w:rPr>
        <w:noProof/>
      </w:rPr>
      <w:t>Economic infrastructure staples tax concession</w:t>
    </w:r>
    <w:r>
      <w:rPr>
        <w:noProof/>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588EFD" w14:textId="77777777" w:rsidR="00EE612F" w:rsidRDefault="00EE612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ED3FC7"/>
    <w:multiLevelType w:val="multilevel"/>
    <w:tmpl w:val="79E48CD8"/>
    <w:styleLink w:val="BoxBulletedList"/>
    <w:lvl w:ilvl="0">
      <w:start w:val="1"/>
      <w:numFmt w:val="bullet"/>
      <w:lvlRestart w:val="0"/>
      <w:pStyle w:val="BoxBullet"/>
      <w:lvlText w:val="•"/>
      <w:lvlJc w:val="left"/>
      <w:pPr>
        <w:tabs>
          <w:tab w:val="num" w:pos="283"/>
        </w:tabs>
        <w:ind w:left="283" w:hanging="283"/>
      </w:pPr>
      <w:rPr>
        <w:rFonts w:ascii="Times New Roman" w:hAnsi="Times New Roman" w:cs="Times New Roman" w:hint="default"/>
        <w:b w:val="0"/>
        <w:i w:val="0"/>
        <w:sz w:val="20"/>
      </w:rPr>
    </w:lvl>
    <w:lvl w:ilvl="1">
      <w:start w:val="1"/>
      <w:numFmt w:val="bullet"/>
      <w:pStyle w:val="BoxDash"/>
      <w:lvlText w:val="–"/>
      <w:lvlJc w:val="left"/>
      <w:pPr>
        <w:tabs>
          <w:tab w:val="num" w:pos="567"/>
        </w:tabs>
        <w:ind w:left="567" w:hanging="284"/>
      </w:pPr>
      <w:rPr>
        <w:rFonts w:hint="default"/>
        <w:b w:val="0"/>
        <w:i w:val="0"/>
      </w:rPr>
    </w:lvl>
    <w:lvl w:ilvl="2">
      <w:start w:val="1"/>
      <w:numFmt w:val="bullet"/>
      <w:pStyle w:val="BoxDoubleDot"/>
      <w:lvlText w:val=":"/>
      <w:lvlJc w:val="left"/>
      <w:pPr>
        <w:tabs>
          <w:tab w:val="num" w:pos="850"/>
        </w:tabs>
        <w:ind w:left="850" w:hanging="283"/>
      </w:pPr>
      <w:rPr>
        <w:rFonts w:hint="default"/>
        <w:b w:val="0"/>
        <w:i w:val="0"/>
      </w:rPr>
    </w:lvl>
    <w:lvl w:ilvl="3">
      <w:start w:val="1"/>
      <w:numFmt w:val="decimal"/>
      <w:lvlText w:val="(%4)"/>
      <w:lvlJc w:val="left"/>
      <w:pPr>
        <w:tabs>
          <w:tab w:val="num" w:pos="1440"/>
        </w:tabs>
        <w:ind w:left="1440" w:hanging="360"/>
      </w:pPr>
      <w:rPr>
        <w:rFonts w:hint="default"/>
        <w:b w:val="0"/>
        <w:i w:val="0"/>
      </w:rPr>
    </w:lvl>
    <w:lvl w:ilvl="4">
      <w:start w:val="1"/>
      <w:numFmt w:val="lowerLetter"/>
      <w:lvlText w:val="(%5)"/>
      <w:lvlJc w:val="left"/>
      <w:pPr>
        <w:tabs>
          <w:tab w:val="num" w:pos="1800"/>
        </w:tabs>
        <w:ind w:left="1800" w:hanging="360"/>
      </w:pPr>
      <w:rPr>
        <w:rFonts w:hint="default"/>
        <w:b w:val="0"/>
        <w:i w:val="0"/>
      </w:rPr>
    </w:lvl>
    <w:lvl w:ilvl="5">
      <w:start w:val="1"/>
      <w:numFmt w:val="lowerRoman"/>
      <w:lvlText w:val="(%6)"/>
      <w:lvlJc w:val="left"/>
      <w:pPr>
        <w:tabs>
          <w:tab w:val="num" w:pos="2160"/>
        </w:tabs>
        <w:ind w:left="2160" w:hanging="360"/>
      </w:pPr>
      <w:rPr>
        <w:rFonts w:hint="default"/>
        <w:b w:val="0"/>
        <w:i w:val="0"/>
      </w:rPr>
    </w:lvl>
    <w:lvl w:ilvl="6">
      <w:start w:val="1"/>
      <w:numFmt w:val="decimal"/>
      <w:lvlText w:val="%7."/>
      <w:lvlJc w:val="left"/>
      <w:pPr>
        <w:tabs>
          <w:tab w:val="num" w:pos="2520"/>
        </w:tabs>
        <w:ind w:left="2520" w:hanging="360"/>
      </w:pPr>
      <w:rPr>
        <w:rFonts w:hint="default"/>
        <w:b w:val="0"/>
        <w:i w:val="0"/>
      </w:rPr>
    </w:lvl>
    <w:lvl w:ilvl="7">
      <w:start w:val="1"/>
      <w:numFmt w:val="lowerLetter"/>
      <w:lvlText w:val="%8."/>
      <w:lvlJc w:val="left"/>
      <w:pPr>
        <w:tabs>
          <w:tab w:val="num" w:pos="2880"/>
        </w:tabs>
        <w:ind w:left="2880" w:hanging="360"/>
      </w:pPr>
      <w:rPr>
        <w:rFonts w:hint="default"/>
        <w:b w:val="0"/>
        <w:i w:val="0"/>
      </w:rPr>
    </w:lvl>
    <w:lvl w:ilvl="8">
      <w:start w:val="1"/>
      <w:numFmt w:val="lowerRoman"/>
      <w:lvlText w:val="%9."/>
      <w:lvlJc w:val="left"/>
      <w:pPr>
        <w:tabs>
          <w:tab w:val="num" w:pos="3240"/>
        </w:tabs>
        <w:ind w:left="3240" w:hanging="360"/>
      </w:pPr>
      <w:rPr>
        <w:rFonts w:hint="default"/>
        <w:b w:val="0"/>
        <w:i w:val="0"/>
      </w:rPr>
    </w:lvl>
  </w:abstractNum>
  <w:abstractNum w:abstractNumId="1" w15:restartNumberingAfterBreak="0">
    <w:nsid w:val="0B8F13AF"/>
    <w:multiLevelType w:val="multilevel"/>
    <w:tmpl w:val="4192E21C"/>
    <w:lvl w:ilvl="0">
      <w:start w:val="1"/>
      <w:numFmt w:val="lowerLetter"/>
      <w:lvlText w:val="%1."/>
      <w:lvlJc w:val="left"/>
      <w:pPr>
        <w:tabs>
          <w:tab w:val="num" w:pos="425"/>
        </w:tabs>
        <w:ind w:left="425" w:hanging="425"/>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10653560"/>
    <w:multiLevelType w:val="multilevel"/>
    <w:tmpl w:val="72F8140E"/>
    <w:styleLink w:val="OutlineList"/>
    <w:lvl w:ilvl="0">
      <w:start w:val="1"/>
      <w:numFmt w:val="decimal"/>
      <w:pStyle w:val="OutlineNumbered1"/>
      <w:lvlText w:val="%1."/>
      <w:lvlJc w:val="left"/>
      <w:pPr>
        <w:tabs>
          <w:tab w:val="num" w:pos="851"/>
        </w:tabs>
        <w:ind w:left="851" w:hanging="851"/>
      </w:pPr>
      <w:rPr>
        <w:rFonts w:hint="default"/>
      </w:rPr>
    </w:lvl>
    <w:lvl w:ilvl="1">
      <w:start w:val="1"/>
      <w:numFmt w:val="decimal"/>
      <w:pStyle w:val="OutlineNumbered2"/>
      <w:lvlText w:val="%1.%2"/>
      <w:lvlJc w:val="left"/>
      <w:pPr>
        <w:tabs>
          <w:tab w:val="num" w:pos="1134"/>
        </w:tabs>
        <w:ind w:left="1134" w:hanging="1134"/>
      </w:pPr>
      <w:rPr>
        <w:rFonts w:hint="default"/>
      </w:rPr>
    </w:lvl>
    <w:lvl w:ilvl="2">
      <w:start w:val="1"/>
      <w:numFmt w:val="decimal"/>
      <w:pStyle w:val="OutlineNumbered3"/>
      <w:lvlText w:val="%1.%2.%3"/>
      <w:lvlJc w:val="left"/>
      <w:pPr>
        <w:tabs>
          <w:tab w:val="num" w:pos="1418"/>
        </w:tabs>
        <w:ind w:left="1418" w:hanging="1418"/>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16CC4E5D"/>
    <w:multiLevelType w:val="multilevel"/>
    <w:tmpl w:val="D10E9CF6"/>
    <w:numStyleLink w:val="OneLevelList"/>
  </w:abstractNum>
  <w:abstractNum w:abstractNumId="4" w15:restartNumberingAfterBreak="0">
    <w:nsid w:val="17DF7717"/>
    <w:multiLevelType w:val="multilevel"/>
    <w:tmpl w:val="B91AC3AC"/>
    <w:lvl w:ilvl="0">
      <w:start w:val="1"/>
      <w:numFmt w:val="decimal"/>
      <w:pStyle w:val="Heading1Numbered"/>
      <w:lvlText w:val="%1."/>
      <w:lvlJc w:val="left"/>
      <w:pPr>
        <w:ind w:left="360" w:hanging="360"/>
      </w:pPr>
      <w:rPr>
        <w:rFonts w:hint="default"/>
      </w:rPr>
    </w:lvl>
    <w:lvl w:ilvl="1">
      <w:start w:val="1"/>
      <w:numFmt w:val="decimal"/>
      <w:pStyle w:val="Heading2Numbered"/>
      <w:lvlText w:val="%1.%2"/>
      <w:lvlJc w:val="left"/>
      <w:pPr>
        <w:ind w:left="720" w:hanging="360"/>
      </w:pPr>
      <w:rPr>
        <w:rFonts w:hint="default"/>
      </w:rPr>
    </w:lvl>
    <w:lvl w:ilvl="2">
      <w:start w:val="1"/>
      <w:numFmt w:val="decimal"/>
      <w:pStyle w:val="Heading3Numbered"/>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27826BF0"/>
    <w:multiLevelType w:val="multilevel"/>
    <w:tmpl w:val="2A44CE48"/>
    <w:lvl w:ilvl="0">
      <w:start w:val="1"/>
      <w:numFmt w:val="lowerRoman"/>
      <w:pStyle w:val="Romannumeral"/>
      <w:lvlText w:val="%1."/>
      <w:lvlJc w:val="left"/>
      <w:pPr>
        <w:tabs>
          <w:tab w:val="num" w:pos="720"/>
        </w:tabs>
        <w:ind w:left="720" w:hanging="720"/>
      </w:pPr>
      <w:rPr>
        <w:rFonts w:hint="default"/>
      </w:rPr>
    </w:lvl>
    <w:lvl w:ilvl="1">
      <w:start w:val="1"/>
      <w:numFmt w:val="lowerLetter"/>
      <w:pStyle w:val="AlphaParagraph"/>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308C2710"/>
    <w:multiLevelType w:val="multilevel"/>
    <w:tmpl w:val="2E76C552"/>
    <w:styleLink w:val="BulletedList"/>
    <w:lvl w:ilvl="0">
      <w:start w:val="1"/>
      <w:numFmt w:val="bullet"/>
      <w:lvlRestart w:val="0"/>
      <w:pStyle w:val="Bullet"/>
      <w:lvlText w:val="•"/>
      <w:lvlJc w:val="left"/>
      <w:pPr>
        <w:tabs>
          <w:tab w:val="num" w:pos="283"/>
        </w:tabs>
        <w:ind w:left="283" w:hanging="283"/>
      </w:pPr>
      <w:rPr>
        <w:rFonts w:ascii="Times New Roman" w:hAnsi="Times New Roman" w:cs="Times New Roman" w:hint="default"/>
        <w:b w:val="0"/>
        <w:i w:val="0"/>
      </w:rPr>
    </w:lvl>
    <w:lvl w:ilvl="1">
      <w:start w:val="1"/>
      <w:numFmt w:val="bullet"/>
      <w:lvlText w:val="–"/>
      <w:lvlJc w:val="left"/>
      <w:pPr>
        <w:tabs>
          <w:tab w:val="num" w:pos="567"/>
        </w:tabs>
        <w:ind w:left="567" w:hanging="284"/>
      </w:pPr>
      <w:rPr>
        <w:rFonts w:ascii="Times New Roman" w:hAnsi="Times New Roman" w:cs="Times New Roman" w:hint="default"/>
        <w:b w:val="0"/>
        <w:i w:val="0"/>
      </w:rPr>
    </w:lvl>
    <w:lvl w:ilvl="2">
      <w:start w:val="1"/>
      <w:numFmt w:val="bullet"/>
      <w:pStyle w:val="DoubleDot"/>
      <w:lvlText w:val=":"/>
      <w:lvlJc w:val="left"/>
      <w:pPr>
        <w:tabs>
          <w:tab w:val="num" w:pos="850"/>
        </w:tabs>
        <w:ind w:left="850" w:hanging="283"/>
      </w:pPr>
      <w:rPr>
        <w:rFonts w:ascii="Times New Roman" w:hAnsi="Times New Roman" w:cs="Times New Roman" w:hint="default"/>
        <w:b w:val="0"/>
        <w:i w:val="0"/>
      </w:rPr>
    </w:lvl>
    <w:lvl w:ilvl="3">
      <w:start w:val="1"/>
      <w:numFmt w:val="decimal"/>
      <w:lvlText w:val="(%4)"/>
      <w:lvlJc w:val="left"/>
      <w:pPr>
        <w:tabs>
          <w:tab w:val="num" w:pos="1440"/>
        </w:tabs>
        <w:ind w:left="1440" w:hanging="360"/>
      </w:pPr>
      <w:rPr>
        <w:rFonts w:hint="default"/>
        <w:b w:val="0"/>
        <w:i w:val="0"/>
      </w:rPr>
    </w:lvl>
    <w:lvl w:ilvl="4">
      <w:start w:val="1"/>
      <w:numFmt w:val="lowerLetter"/>
      <w:lvlText w:val="(%5)"/>
      <w:lvlJc w:val="left"/>
      <w:pPr>
        <w:tabs>
          <w:tab w:val="num" w:pos="1800"/>
        </w:tabs>
        <w:ind w:left="1800" w:hanging="360"/>
      </w:pPr>
      <w:rPr>
        <w:rFonts w:hint="default"/>
        <w:b w:val="0"/>
        <w:i w:val="0"/>
      </w:rPr>
    </w:lvl>
    <w:lvl w:ilvl="5">
      <w:start w:val="1"/>
      <w:numFmt w:val="lowerRoman"/>
      <w:lvlText w:val="(%6)"/>
      <w:lvlJc w:val="left"/>
      <w:pPr>
        <w:tabs>
          <w:tab w:val="num" w:pos="2160"/>
        </w:tabs>
        <w:ind w:left="2160" w:hanging="360"/>
      </w:pPr>
      <w:rPr>
        <w:rFonts w:hint="default"/>
        <w:b w:val="0"/>
        <w:i w:val="0"/>
      </w:rPr>
    </w:lvl>
    <w:lvl w:ilvl="6">
      <w:start w:val="1"/>
      <w:numFmt w:val="decimal"/>
      <w:lvlText w:val="%7."/>
      <w:lvlJc w:val="left"/>
      <w:pPr>
        <w:tabs>
          <w:tab w:val="num" w:pos="2520"/>
        </w:tabs>
        <w:ind w:left="2520" w:hanging="360"/>
      </w:pPr>
      <w:rPr>
        <w:rFonts w:hint="default"/>
        <w:b w:val="0"/>
        <w:i w:val="0"/>
      </w:rPr>
    </w:lvl>
    <w:lvl w:ilvl="7">
      <w:start w:val="1"/>
      <w:numFmt w:val="lowerLetter"/>
      <w:lvlText w:val="%8."/>
      <w:lvlJc w:val="left"/>
      <w:pPr>
        <w:tabs>
          <w:tab w:val="num" w:pos="2880"/>
        </w:tabs>
        <w:ind w:left="2880" w:hanging="360"/>
      </w:pPr>
      <w:rPr>
        <w:rFonts w:hint="default"/>
        <w:b w:val="0"/>
        <w:i w:val="0"/>
      </w:rPr>
    </w:lvl>
    <w:lvl w:ilvl="8">
      <w:start w:val="1"/>
      <w:numFmt w:val="lowerRoman"/>
      <w:lvlText w:val="%9."/>
      <w:lvlJc w:val="left"/>
      <w:pPr>
        <w:tabs>
          <w:tab w:val="num" w:pos="3240"/>
        </w:tabs>
        <w:ind w:left="3240" w:hanging="360"/>
      </w:pPr>
      <w:rPr>
        <w:rFonts w:hint="default"/>
        <w:b w:val="0"/>
        <w:i w:val="0"/>
      </w:rPr>
    </w:lvl>
  </w:abstractNum>
  <w:abstractNum w:abstractNumId="7" w15:restartNumberingAfterBreak="0">
    <w:nsid w:val="311477F4"/>
    <w:multiLevelType w:val="hybridMultilevel"/>
    <w:tmpl w:val="CA20CC66"/>
    <w:lvl w:ilvl="0" w:tplc="FAEE1810">
      <w:start w:val="1"/>
      <w:numFmt w:val="lowerLetter"/>
      <w:pStyle w:val="paragraph"/>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3238442C"/>
    <w:multiLevelType w:val="multilevel"/>
    <w:tmpl w:val="FEB87FB6"/>
    <w:styleLink w:val="ChartandTableFootnoteAlphaList"/>
    <w:lvl w:ilvl="0">
      <w:start w:val="1"/>
      <w:numFmt w:val="lowerLetter"/>
      <w:pStyle w:val="ChartandTableFootnoteAlpha"/>
      <w:lvlText w:val="(%1)"/>
      <w:lvlJc w:val="left"/>
      <w:pPr>
        <w:tabs>
          <w:tab w:val="num" w:pos="284"/>
        </w:tabs>
        <w:ind w:left="284" w:hanging="284"/>
      </w:pPr>
      <w:rPr>
        <w:rFonts w:ascii="Arial" w:hAnsi="Arial" w:hint="default"/>
        <w:b w:val="0"/>
        <w:i w:val="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330C16AD"/>
    <w:multiLevelType w:val="multilevel"/>
    <w:tmpl w:val="D10E9CF6"/>
    <w:styleLink w:val="OneLevelList"/>
    <w:lvl w:ilvl="0">
      <w:start w:val="1"/>
      <w:numFmt w:val="decimal"/>
      <w:pStyle w:val="OneLevelNumberedParagraph"/>
      <w:lvlText w:val="%1."/>
      <w:lvlJc w:val="left"/>
      <w:pPr>
        <w:tabs>
          <w:tab w:val="num" w:pos="284"/>
        </w:tabs>
        <w:ind w:left="284" w:hanging="284"/>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36A40193"/>
    <w:multiLevelType w:val="multilevel"/>
    <w:tmpl w:val="81B68E00"/>
    <w:name w:val="StandardBulletedList"/>
    <w:lvl w:ilvl="0">
      <w:start w:val="1"/>
      <w:numFmt w:val="bullet"/>
      <w:lvlText w:val="•"/>
      <w:lvlJc w:val="left"/>
      <w:pPr>
        <w:tabs>
          <w:tab w:val="num" w:pos="520"/>
        </w:tabs>
        <w:ind w:left="520" w:hanging="520"/>
      </w:pPr>
      <w:rPr>
        <w:rFonts w:ascii="Times New Roman" w:hAnsi="Times New Roman" w:cs="Times New Roman"/>
      </w:rPr>
    </w:lvl>
    <w:lvl w:ilvl="1">
      <w:start w:val="1"/>
      <w:numFmt w:val="bullet"/>
      <w:lvlText w:val="–"/>
      <w:lvlJc w:val="left"/>
      <w:pPr>
        <w:tabs>
          <w:tab w:val="num" w:pos="1040"/>
        </w:tabs>
        <w:ind w:left="1040" w:hanging="520"/>
      </w:pPr>
      <w:rPr>
        <w:rFonts w:ascii="Times New Roman" w:hAnsi="Times New Roman" w:cs="Times New Roman"/>
      </w:rPr>
    </w:lvl>
    <w:lvl w:ilvl="2">
      <w:start w:val="1"/>
      <w:numFmt w:val="bullet"/>
      <w:lvlText w:val=":"/>
      <w:lvlJc w:val="left"/>
      <w:pPr>
        <w:tabs>
          <w:tab w:val="num" w:pos="1560"/>
        </w:tabs>
        <w:ind w:left="1560" w:hanging="520"/>
      </w:pPr>
      <w:rPr>
        <w:rFonts w:ascii="Times New Roman" w:hAnsi="Times New Roman" w:cs="Times New Roman"/>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3A836E0D"/>
    <w:multiLevelType w:val="multilevel"/>
    <w:tmpl w:val="60D8A17C"/>
    <w:name w:val="DotPointList"/>
    <w:lvl w:ilvl="0">
      <w:start w:val="1"/>
      <w:numFmt w:val="bullet"/>
      <w:lvlRestart w:val="0"/>
      <w:pStyle w:val="dotpoint"/>
      <w:lvlText w:val="•"/>
      <w:lvlJc w:val="left"/>
      <w:pPr>
        <w:tabs>
          <w:tab w:val="num" w:pos="2268"/>
        </w:tabs>
        <w:ind w:left="2268" w:hanging="284"/>
      </w:pPr>
      <w:rPr>
        <w:b w:val="0"/>
        <w:i w:val="0"/>
        <w:color w:val="000000"/>
      </w:rPr>
    </w:lvl>
    <w:lvl w:ilvl="1">
      <w:start w:val="1"/>
      <w:numFmt w:val="bullet"/>
      <w:pStyle w:val="dotpoint2"/>
      <w:lvlText w:val="–"/>
      <w:lvlJc w:val="left"/>
      <w:pPr>
        <w:tabs>
          <w:tab w:val="num" w:pos="2625"/>
        </w:tabs>
        <w:ind w:left="2625" w:hanging="357"/>
      </w:pPr>
      <w:rPr>
        <w:b w:val="0"/>
        <w:i w:val="0"/>
        <w:color w:val="000000"/>
      </w:rPr>
    </w:lvl>
    <w:lvl w:ilvl="2">
      <w:start w:val="1"/>
      <w:numFmt w:val="decimal"/>
      <w:lvlText w:val="%3"/>
      <w:lvlJc w:val="left"/>
      <w:pPr>
        <w:tabs>
          <w:tab w:val="num" w:pos="1701"/>
        </w:tabs>
        <w:ind w:left="1701" w:hanging="567"/>
      </w:pPr>
      <w:rPr>
        <w:b w:val="0"/>
        <w:i w:val="0"/>
        <w:color w:val="000000"/>
      </w:rPr>
    </w:lvl>
    <w:lvl w:ilvl="3">
      <w:start w:val="1"/>
      <w:numFmt w:val="decimal"/>
      <w:lvlText w:val="%4"/>
      <w:lvlJc w:val="left"/>
      <w:pPr>
        <w:tabs>
          <w:tab w:val="num" w:pos="2268"/>
        </w:tabs>
        <w:ind w:left="2268" w:hanging="567"/>
      </w:pPr>
      <w:rPr>
        <w:b w:val="0"/>
        <w:i w:val="0"/>
        <w:color w:val="000000"/>
      </w:rPr>
    </w:lvl>
    <w:lvl w:ilvl="4">
      <w:start w:val="1"/>
      <w:numFmt w:val="decimal"/>
      <w:lvlText w:val="%5"/>
      <w:lvlJc w:val="left"/>
      <w:pPr>
        <w:tabs>
          <w:tab w:val="num" w:pos="2835"/>
        </w:tabs>
        <w:ind w:left="2835" w:hanging="567"/>
      </w:pPr>
      <w:rPr>
        <w:b w:val="0"/>
        <w:i w:val="0"/>
        <w:color w:val="000000"/>
      </w:rPr>
    </w:lvl>
    <w:lvl w:ilvl="5">
      <w:start w:val="1"/>
      <w:numFmt w:val="decimal"/>
      <w:lvlText w:val="%6"/>
      <w:lvlJc w:val="left"/>
      <w:pPr>
        <w:tabs>
          <w:tab w:val="num" w:pos="3402"/>
        </w:tabs>
        <w:ind w:left="3402" w:hanging="567"/>
      </w:pPr>
      <w:rPr>
        <w:b w:val="0"/>
        <w:i w:val="0"/>
        <w:color w:val="000000"/>
      </w:rPr>
    </w:lvl>
    <w:lvl w:ilvl="6">
      <w:start w:val="1"/>
      <w:numFmt w:val="decimal"/>
      <w:lvlText w:val="%7"/>
      <w:lvlJc w:val="left"/>
      <w:pPr>
        <w:tabs>
          <w:tab w:val="num" w:pos="3969"/>
        </w:tabs>
        <w:ind w:left="3969" w:hanging="567"/>
      </w:pPr>
      <w:rPr>
        <w:b w:val="0"/>
        <w:i w:val="0"/>
        <w:color w:val="000000"/>
      </w:rPr>
    </w:lvl>
    <w:lvl w:ilvl="7">
      <w:start w:val="1"/>
      <w:numFmt w:val="decimal"/>
      <w:lvlText w:val="%8"/>
      <w:lvlJc w:val="left"/>
      <w:pPr>
        <w:tabs>
          <w:tab w:val="num" w:pos="4536"/>
        </w:tabs>
        <w:ind w:left="4536" w:hanging="567"/>
      </w:pPr>
      <w:rPr>
        <w:b w:val="0"/>
        <w:i w:val="0"/>
        <w:color w:val="000000"/>
      </w:rPr>
    </w:lvl>
    <w:lvl w:ilvl="8">
      <w:start w:val="1"/>
      <w:numFmt w:val="decimal"/>
      <w:lvlText w:val="%9"/>
      <w:lvlJc w:val="left"/>
      <w:pPr>
        <w:tabs>
          <w:tab w:val="num" w:pos="5103"/>
        </w:tabs>
        <w:ind w:left="5103" w:hanging="567"/>
      </w:pPr>
      <w:rPr>
        <w:b w:val="0"/>
        <w:i w:val="0"/>
        <w:color w:val="000000"/>
      </w:rPr>
    </w:lvl>
  </w:abstractNum>
  <w:abstractNum w:abstractNumId="12" w15:restartNumberingAfterBreak="0">
    <w:nsid w:val="4D6611C5"/>
    <w:multiLevelType w:val="multilevel"/>
    <w:tmpl w:val="D91CAE94"/>
    <w:lvl w:ilvl="0">
      <w:start w:val="1"/>
      <w:numFmt w:val="bullet"/>
      <w:lvlText w:val=""/>
      <w:lvlJc w:val="left"/>
      <w:pPr>
        <w:tabs>
          <w:tab w:val="num" w:pos="520"/>
        </w:tabs>
        <w:ind w:left="520" w:hanging="520"/>
      </w:pPr>
      <w:rPr>
        <w:rFonts w:ascii="Symbol" w:hAnsi="Symbol" w:hint="default"/>
      </w:rPr>
    </w:lvl>
    <w:lvl w:ilvl="1">
      <w:start w:val="1"/>
      <w:numFmt w:val="bullet"/>
      <w:lvlText w:val="–"/>
      <w:lvlJc w:val="left"/>
      <w:pPr>
        <w:tabs>
          <w:tab w:val="num" w:pos="1040"/>
        </w:tabs>
        <w:ind w:left="1040" w:hanging="520"/>
      </w:pPr>
      <w:rPr>
        <w:rFonts w:ascii="Times New Roman" w:hAnsi="Times New Roman" w:cs="Times New Roman"/>
      </w:rPr>
    </w:lvl>
    <w:lvl w:ilvl="2">
      <w:start w:val="1"/>
      <w:numFmt w:val="bullet"/>
      <w:lvlText w:val=":"/>
      <w:lvlJc w:val="left"/>
      <w:pPr>
        <w:tabs>
          <w:tab w:val="num" w:pos="1560"/>
        </w:tabs>
        <w:ind w:left="1560" w:hanging="520"/>
      </w:pPr>
      <w:rPr>
        <w:rFonts w:ascii="Times New Roman" w:hAnsi="Times New Roman" w:cs="Times New Roman"/>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510D2021"/>
    <w:multiLevelType w:val="multilevel"/>
    <w:tmpl w:val="72F8140E"/>
    <w:numStyleLink w:val="OutlineList"/>
  </w:abstractNum>
  <w:abstractNum w:abstractNumId="14" w15:restartNumberingAfterBreak="0">
    <w:nsid w:val="6BF56A01"/>
    <w:multiLevelType w:val="hybridMultilevel"/>
    <w:tmpl w:val="FA1EE5A8"/>
    <w:lvl w:ilvl="0" w:tplc="0C090017">
      <w:start w:val="1"/>
      <w:numFmt w:val="lowerLetter"/>
      <w:lvlText w:val="%1)"/>
      <w:lvlJc w:val="left"/>
      <w:pPr>
        <w:ind w:left="1860" w:hanging="360"/>
      </w:pPr>
    </w:lvl>
    <w:lvl w:ilvl="1" w:tplc="0C090019" w:tentative="1">
      <w:start w:val="1"/>
      <w:numFmt w:val="lowerLetter"/>
      <w:lvlText w:val="%2."/>
      <w:lvlJc w:val="left"/>
      <w:pPr>
        <w:ind w:left="2580" w:hanging="360"/>
      </w:pPr>
    </w:lvl>
    <w:lvl w:ilvl="2" w:tplc="0C09001B" w:tentative="1">
      <w:start w:val="1"/>
      <w:numFmt w:val="lowerRoman"/>
      <w:lvlText w:val="%3."/>
      <w:lvlJc w:val="right"/>
      <w:pPr>
        <w:ind w:left="3300" w:hanging="180"/>
      </w:pPr>
    </w:lvl>
    <w:lvl w:ilvl="3" w:tplc="0C09000F" w:tentative="1">
      <w:start w:val="1"/>
      <w:numFmt w:val="decimal"/>
      <w:lvlText w:val="%4."/>
      <w:lvlJc w:val="left"/>
      <w:pPr>
        <w:ind w:left="4020" w:hanging="360"/>
      </w:pPr>
    </w:lvl>
    <w:lvl w:ilvl="4" w:tplc="0C090019">
      <w:start w:val="1"/>
      <w:numFmt w:val="lowerLetter"/>
      <w:lvlText w:val="%5."/>
      <w:lvlJc w:val="left"/>
      <w:pPr>
        <w:ind w:left="4740" w:hanging="360"/>
      </w:pPr>
    </w:lvl>
    <w:lvl w:ilvl="5" w:tplc="0C09001B" w:tentative="1">
      <w:start w:val="1"/>
      <w:numFmt w:val="lowerRoman"/>
      <w:lvlText w:val="%6."/>
      <w:lvlJc w:val="right"/>
      <w:pPr>
        <w:ind w:left="5460" w:hanging="180"/>
      </w:pPr>
    </w:lvl>
    <w:lvl w:ilvl="6" w:tplc="0C09000F" w:tentative="1">
      <w:start w:val="1"/>
      <w:numFmt w:val="decimal"/>
      <w:lvlText w:val="%7."/>
      <w:lvlJc w:val="left"/>
      <w:pPr>
        <w:ind w:left="6180" w:hanging="360"/>
      </w:pPr>
    </w:lvl>
    <w:lvl w:ilvl="7" w:tplc="0C090019" w:tentative="1">
      <w:start w:val="1"/>
      <w:numFmt w:val="lowerLetter"/>
      <w:lvlText w:val="%8."/>
      <w:lvlJc w:val="left"/>
      <w:pPr>
        <w:ind w:left="6900" w:hanging="360"/>
      </w:pPr>
    </w:lvl>
    <w:lvl w:ilvl="8" w:tplc="0C09001B" w:tentative="1">
      <w:start w:val="1"/>
      <w:numFmt w:val="lowerRoman"/>
      <w:lvlText w:val="%9."/>
      <w:lvlJc w:val="right"/>
      <w:pPr>
        <w:ind w:left="7620" w:hanging="180"/>
      </w:pPr>
    </w:lvl>
  </w:abstractNum>
  <w:abstractNum w:abstractNumId="15" w15:restartNumberingAfterBreak="0">
    <w:nsid w:val="77DD1B68"/>
    <w:multiLevelType w:val="multilevel"/>
    <w:tmpl w:val="54549E54"/>
    <w:lvl w:ilvl="0">
      <w:start w:val="1"/>
      <w:numFmt w:val="bullet"/>
      <w:lvlText w:val="•"/>
      <w:lvlJc w:val="left"/>
      <w:pPr>
        <w:tabs>
          <w:tab w:val="num" w:pos="520"/>
        </w:tabs>
        <w:ind w:left="520" w:hanging="520"/>
      </w:pPr>
      <w:rPr>
        <w:rFonts w:ascii="Times New Roman" w:hAnsi="Times New Roman" w:cs="Times New Roman"/>
      </w:rPr>
    </w:lvl>
    <w:lvl w:ilvl="1">
      <w:start w:val="1"/>
      <w:numFmt w:val="bullet"/>
      <w:pStyle w:val="Dash"/>
      <w:lvlText w:val="–"/>
      <w:lvlJc w:val="left"/>
      <w:pPr>
        <w:tabs>
          <w:tab w:val="num" w:pos="1040"/>
        </w:tabs>
        <w:ind w:left="1040" w:hanging="520"/>
      </w:pPr>
      <w:rPr>
        <w:rFonts w:ascii="Times New Roman" w:hAnsi="Times New Roman" w:cs="Times New Roman"/>
      </w:rPr>
    </w:lvl>
    <w:lvl w:ilvl="2">
      <w:start w:val="1"/>
      <w:numFmt w:val="bullet"/>
      <w:lvlText w:val=":"/>
      <w:lvlJc w:val="left"/>
      <w:pPr>
        <w:tabs>
          <w:tab w:val="num" w:pos="1560"/>
        </w:tabs>
        <w:ind w:left="1560" w:hanging="520"/>
      </w:pPr>
      <w:rPr>
        <w:rFonts w:ascii="Times New Roman" w:hAnsi="Times New Roman" w:cs="Times New Roman"/>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7EBF275E"/>
    <w:multiLevelType w:val="multilevel"/>
    <w:tmpl w:val="A6800B9E"/>
    <w:lvl w:ilvl="0">
      <w:start w:val="1"/>
      <w:numFmt w:val="decimal"/>
      <w:lvlRestart w:val="0"/>
      <w:lvlText w:val="%1."/>
      <w:lvlJc w:val="left"/>
      <w:pPr>
        <w:tabs>
          <w:tab w:val="num" w:pos="567"/>
        </w:tabs>
        <w:ind w:left="567" w:hanging="567"/>
      </w:pPr>
      <w:rPr>
        <w:rFonts w:hint="default"/>
        <w:b w:val="0"/>
        <w:i w:val="0"/>
      </w:rPr>
    </w:lvl>
    <w:lvl w:ilvl="1">
      <w:start w:val="1"/>
      <w:numFmt w:val="decimal"/>
      <w:lvlText w:val="%1.%2."/>
      <w:lvlJc w:val="left"/>
      <w:pPr>
        <w:tabs>
          <w:tab w:val="num" w:pos="1134"/>
        </w:tabs>
        <w:ind w:left="1134" w:hanging="567"/>
      </w:pPr>
      <w:rPr>
        <w:rFonts w:hint="default"/>
        <w:b w:val="0"/>
        <w:i w:val="0"/>
      </w:rPr>
    </w:lvl>
    <w:lvl w:ilvl="2">
      <w:start w:val="1"/>
      <w:numFmt w:val="decimal"/>
      <w:lvlText w:val="%1.%2.%3."/>
      <w:lvlJc w:val="left"/>
      <w:pPr>
        <w:tabs>
          <w:tab w:val="num" w:pos="1984"/>
        </w:tabs>
        <w:ind w:left="1984" w:hanging="850"/>
      </w:pPr>
      <w:rPr>
        <w:rFonts w:hint="default"/>
        <w:b w:val="0"/>
        <w:i w:val="0"/>
      </w:rPr>
    </w:lvl>
    <w:lvl w:ilvl="3">
      <w:start w:val="1"/>
      <w:numFmt w:val="decimal"/>
      <w:lvlText w:val="(%4)"/>
      <w:lvlJc w:val="left"/>
      <w:pPr>
        <w:tabs>
          <w:tab w:val="num" w:pos="1440"/>
        </w:tabs>
        <w:ind w:left="1440" w:hanging="360"/>
      </w:pPr>
      <w:rPr>
        <w:rFonts w:hint="default"/>
        <w:b w:val="0"/>
        <w:i w:val="0"/>
      </w:rPr>
    </w:lvl>
    <w:lvl w:ilvl="4">
      <w:start w:val="1"/>
      <w:numFmt w:val="lowerLetter"/>
      <w:lvlText w:val="(%5)"/>
      <w:lvlJc w:val="left"/>
      <w:pPr>
        <w:tabs>
          <w:tab w:val="num" w:pos="1800"/>
        </w:tabs>
        <w:ind w:left="1800" w:hanging="360"/>
      </w:pPr>
      <w:rPr>
        <w:rFonts w:hint="default"/>
        <w:b w:val="0"/>
        <w:i w:val="0"/>
      </w:rPr>
    </w:lvl>
    <w:lvl w:ilvl="5">
      <w:start w:val="1"/>
      <w:numFmt w:val="lowerRoman"/>
      <w:lvlText w:val="(%6)"/>
      <w:lvlJc w:val="left"/>
      <w:pPr>
        <w:tabs>
          <w:tab w:val="num" w:pos="2160"/>
        </w:tabs>
        <w:ind w:left="2160" w:hanging="360"/>
      </w:pPr>
      <w:rPr>
        <w:rFonts w:hint="default"/>
        <w:b w:val="0"/>
        <w:i w:val="0"/>
      </w:rPr>
    </w:lvl>
    <w:lvl w:ilvl="6">
      <w:start w:val="1"/>
      <w:numFmt w:val="decimal"/>
      <w:lvlText w:val="%7."/>
      <w:lvlJc w:val="left"/>
      <w:pPr>
        <w:tabs>
          <w:tab w:val="num" w:pos="2520"/>
        </w:tabs>
        <w:ind w:left="2520" w:hanging="360"/>
      </w:pPr>
      <w:rPr>
        <w:rFonts w:hint="default"/>
        <w:b w:val="0"/>
        <w:i w:val="0"/>
      </w:rPr>
    </w:lvl>
    <w:lvl w:ilvl="7">
      <w:start w:val="1"/>
      <w:numFmt w:val="lowerLetter"/>
      <w:lvlText w:val="%8."/>
      <w:lvlJc w:val="left"/>
      <w:pPr>
        <w:tabs>
          <w:tab w:val="num" w:pos="2880"/>
        </w:tabs>
        <w:ind w:left="2880" w:hanging="360"/>
      </w:pPr>
      <w:rPr>
        <w:rFonts w:hint="default"/>
        <w:b w:val="0"/>
        <w:i w:val="0"/>
      </w:rPr>
    </w:lvl>
    <w:lvl w:ilvl="8">
      <w:start w:val="1"/>
      <w:numFmt w:val="lowerRoman"/>
      <w:lvlText w:val="%9."/>
      <w:lvlJc w:val="left"/>
      <w:pPr>
        <w:tabs>
          <w:tab w:val="num" w:pos="3240"/>
        </w:tabs>
        <w:ind w:left="3240" w:hanging="360"/>
      </w:pPr>
      <w:rPr>
        <w:rFonts w:hint="default"/>
        <w:b w:val="0"/>
        <w:i w:val="0"/>
      </w:rPr>
    </w:lvl>
  </w:abstractNum>
  <w:num w:numId="1">
    <w:abstractNumId w:val="6"/>
  </w:num>
  <w:num w:numId="2">
    <w:abstractNumId w:val="0"/>
  </w:num>
  <w:num w:numId="3">
    <w:abstractNumId w:val="9"/>
  </w:num>
  <w:num w:numId="4">
    <w:abstractNumId w:val="2"/>
  </w:num>
  <w:num w:numId="5">
    <w:abstractNumId w:val="3"/>
  </w:num>
  <w:num w:numId="6">
    <w:abstractNumId w:val="13"/>
    <w:lvlOverride w:ilvl="0">
      <w:lvl w:ilvl="0">
        <w:start w:val="1"/>
        <w:numFmt w:val="decimal"/>
        <w:pStyle w:val="OutlineNumbered1"/>
        <w:lvlText w:val="%1."/>
        <w:lvlJc w:val="left"/>
        <w:pPr>
          <w:tabs>
            <w:tab w:val="num" w:pos="851"/>
          </w:tabs>
          <w:ind w:left="851" w:hanging="851"/>
        </w:pPr>
        <w:rPr>
          <w:rFonts w:hint="default"/>
          <w:b w:val="0"/>
        </w:rPr>
      </w:lvl>
    </w:lvlOverride>
  </w:num>
  <w:num w:numId="7">
    <w:abstractNumId w:val="8"/>
    <w:lvlOverride w:ilvl="0">
      <w:lvl w:ilvl="0">
        <w:start w:val="1"/>
        <w:numFmt w:val="lowerLetter"/>
        <w:pStyle w:val="ChartandTableFootnoteAlpha"/>
        <w:lvlText w:val="(%1)"/>
        <w:lvlJc w:val="left"/>
        <w:pPr>
          <w:ind w:left="360" w:hanging="360"/>
        </w:pPr>
        <w:rPr>
          <w:rFonts w:ascii="Calibri" w:hAnsi="Calibri" w:hint="default"/>
          <w:b w:val="0"/>
          <w:i w:val="0"/>
          <w:caps w:val="0"/>
          <w:strike w:val="0"/>
          <w:dstrike w:val="0"/>
          <w:vanish w:val="0"/>
          <w:sz w:val="18"/>
          <w:vertAlign w:val="baseline"/>
        </w:rPr>
      </w:lvl>
    </w:lvlOverride>
    <w:lvlOverride w:ilvl="1">
      <w:lvl w:ilvl="1" w:tentative="1">
        <w:start w:val="1"/>
        <w:numFmt w:val="lowerLetter"/>
        <w:lvlText w:val="%2."/>
        <w:lvlJc w:val="left"/>
        <w:pPr>
          <w:ind w:left="1080" w:hanging="360"/>
        </w:pPr>
      </w:lvl>
    </w:lvlOverride>
    <w:lvlOverride w:ilvl="2">
      <w:lvl w:ilvl="2" w:tentative="1">
        <w:start w:val="1"/>
        <w:numFmt w:val="lowerRoman"/>
        <w:lvlText w:val="%3."/>
        <w:lvlJc w:val="right"/>
        <w:pPr>
          <w:ind w:left="1800" w:hanging="180"/>
        </w:pPr>
      </w:lvl>
    </w:lvlOverride>
    <w:lvlOverride w:ilvl="3">
      <w:lvl w:ilvl="3" w:tentative="1">
        <w:start w:val="1"/>
        <w:numFmt w:val="decimal"/>
        <w:lvlText w:val="%4."/>
        <w:lvlJc w:val="left"/>
        <w:pPr>
          <w:ind w:left="2520" w:hanging="360"/>
        </w:pPr>
      </w:lvl>
    </w:lvlOverride>
    <w:lvlOverride w:ilvl="4">
      <w:lvl w:ilvl="4" w:tentative="1">
        <w:start w:val="1"/>
        <w:numFmt w:val="lowerLetter"/>
        <w:lvlText w:val="%5."/>
        <w:lvlJc w:val="left"/>
        <w:pPr>
          <w:ind w:left="3240" w:hanging="360"/>
        </w:pPr>
      </w:lvl>
    </w:lvlOverride>
    <w:lvlOverride w:ilvl="5">
      <w:lvl w:ilvl="5" w:tentative="1">
        <w:start w:val="1"/>
        <w:numFmt w:val="lowerRoman"/>
        <w:lvlText w:val="%6."/>
        <w:lvlJc w:val="right"/>
        <w:pPr>
          <w:ind w:left="3960" w:hanging="180"/>
        </w:pPr>
      </w:lvl>
    </w:lvlOverride>
    <w:lvlOverride w:ilvl="6">
      <w:lvl w:ilvl="6" w:tentative="1">
        <w:start w:val="1"/>
        <w:numFmt w:val="decimal"/>
        <w:lvlText w:val="%7."/>
        <w:lvlJc w:val="left"/>
        <w:pPr>
          <w:ind w:left="4680" w:hanging="360"/>
        </w:pPr>
      </w:lvl>
    </w:lvlOverride>
    <w:lvlOverride w:ilvl="7">
      <w:lvl w:ilvl="7" w:tentative="1">
        <w:start w:val="1"/>
        <w:numFmt w:val="lowerLetter"/>
        <w:lvlText w:val="%8."/>
        <w:lvlJc w:val="left"/>
        <w:pPr>
          <w:ind w:left="5400" w:hanging="360"/>
        </w:pPr>
      </w:lvl>
    </w:lvlOverride>
    <w:lvlOverride w:ilvl="8">
      <w:lvl w:ilvl="8" w:tentative="1">
        <w:start w:val="1"/>
        <w:numFmt w:val="lowerRoman"/>
        <w:lvlText w:val="%9."/>
        <w:lvlJc w:val="right"/>
        <w:pPr>
          <w:ind w:left="6120" w:hanging="180"/>
        </w:pPr>
      </w:lvl>
    </w:lvlOverride>
  </w:num>
  <w:num w:numId="8">
    <w:abstractNumId w:val="4"/>
  </w:num>
  <w:num w:numId="9">
    <w:abstractNumId w:val="1"/>
  </w:num>
  <w:num w:numId="10">
    <w:abstractNumId w:val="5"/>
  </w:num>
  <w:num w:numId="11">
    <w:abstractNumId w:val="16"/>
  </w:num>
  <w:num w:numId="12">
    <w:abstractNumId w:val="13"/>
  </w:num>
  <w:num w:numId="13">
    <w:abstractNumId w:val="5"/>
  </w:num>
  <w:num w:numId="14">
    <w:abstractNumId w:val="8"/>
  </w:num>
  <w:num w:numId="15">
    <w:abstractNumId w:val="10"/>
  </w:num>
  <w:num w:numId="16">
    <w:abstractNumId w:val="11"/>
  </w:num>
  <w:num w:numId="17">
    <w:abstractNumId w:val="14"/>
  </w:num>
  <w:num w:numId="18">
    <w:abstractNumId w:val="15"/>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2"/>
  </w:num>
  <w:num w:numId="20">
    <w:abstractNumId w:val="7"/>
  </w:num>
  <w:num w:numId="21">
    <w:abstractNumId w:val="6"/>
  </w:num>
  <w:num w:numId="22">
    <w:abstractNumId w:val="6"/>
  </w:num>
  <w:num w:numId="23">
    <w:abstractNumId w:val="13"/>
    <w:lvlOverride w:ilvl="0">
      <w:lvl w:ilvl="0">
        <w:start w:val="1"/>
        <w:numFmt w:val="decimal"/>
        <w:pStyle w:val="OutlineNumbered1"/>
        <w:lvlText w:val="%1."/>
        <w:lvlJc w:val="left"/>
        <w:pPr>
          <w:tabs>
            <w:tab w:val="num" w:pos="851"/>
          </w:tabs>
          <w:ind w:left="851" w:hanging="851"/>
        </w:pPr>
        <w:rPr>
          <w:rFonts w:hint="default"/>
          <w:b w:val="0"/>
        </w:rPr>
      </w:lvl>
    </w:lvlOverride>
  </w:num>
  <w:num w:numId="24">
    <w:abstractNumId w:val="13"/>
    <w:lvlOverride w:ilvl="0">
      <w:lvl w:ilvl="0">
        <w:start w:val="1"/>
        <w:numFmt w:val="decimal"/>
        <w:pStyle w:val="OutlineNumbered1"/>
        <w:lvlText w:val="%1."/>
        <w:lvlJc w:val="left"/>
        <w:pPr>
          <w:tabs>
            <w:tab w:val="num" w:pos="851"/>
          </w:tabs>
          <w:ind w:left="851" w:hanging="851"/>
        </w:pPr>
        <w:rPr>
          <w:rFonts w:hint="default"/>
          <w:b w:val="0"/>
        </w:rPr>
      </w:lvl>
    </w:lvlOverride>
  </w:num>
  <w:num w:numId="25">
    <w:abstractNumId w:val="13"/>
    <w:lvlOverride w:ilvl="0">
      <w:lvl w:ilvl="0">
        <w:start w:val="1"/>
        <w:numFmt w:val="decimal"/>
        <w:pStyle w:val="OutlineNumbered1"/>
        <w:lvlText w:val="%1."/>
        <w:lvlJc w:val="left"/>
        <w:pPr>
          <w:tabs>
            <w:tab w:val="num" w:pos="851"/>
          </w:tabs>
          <w:ind w:left="851" w:hanging="851"/>
        </w:pPr>
        <w:rPr>
          <w:rFonts w:hint="default"/>
          <w:b w:val="0"/>
        </w:rPr>
      </w:lvl>
    </w:lvlOverride>
  </w:num>
  <w:num w:numId="26">
    <w:abstractNumId w:val="13"/>
    <w:lvlOverride w:ilvl="0">
      <w:lvl w:ilvl="0">
        <w:start w:val="1"/>
        <w:numFmt w:val="decimal"/>
        <w:pStyle w:val="OutlineNumbered1"/>
        <w:lvlText w:val="%1."/>
        <w:lvlJc w:val="left"/>
        <w:pPr>
          <w:tabs>
            <w:tab w:val="num" w:pos="851"/>
          </w:tabs>
          <w:ind w:left="851" w:hanging="851"/>
        </w:pPr>
        <w:rPr>
          <w:rFonts w:hint="default"/>
          <w:b w:val="0"/>
        </w:rPr>
      </w:lvl>
    </w:lvlOverride>
  </w:num>
  <w:num w:numId="27">
    <w:abstractNumId w:val="13"/>
    <w:lvlOverride w:ilvl="0">
      <w:lvl w:ilvl="0">
        <w:start w:val="1"/>
        <w:numFmt w:val="decimal"/>
        <w:pStyle w:val="OutlineNumbered1"/>
        <w:lvlText w:val="%1."/>
        <w:lvlJc w:val="left"/>
        <w:pPr>
          <w:tabs>
            <w:tab w:val="num" w:pos="851"/>
          </w:tabs>
          <w:ind w:left="851" w:hanging="851"/>
        </w:pPr>
        <w:rPr>
          <w:rFonts w:hint="default"/>
          <w:b w:val="0"/>
        </w:rPr>
      </w:lvl>
    </w:lvlOverride>
  </w:num>
  <w:num w:numId="28">
    <w:abstractNumId w:val="13"/>
    <w:lvlOverride w:ilvl="0">
      <w:lvl w:ilvl="0">
        <w:start w:val="1"/>
        <w:numFmt w:val="decimal"/>
        <w:pStyle w:val="OutlineNumbered1"/>
        <w:lvlText w:val="%1."/>
        <w:lvlJc w:val="left"/>
        <w:pPr>
          <w:tabs>
            <w:tab w:val="num" w:pos="851"/>
          </w:tabs>
          <w:ind w:left="851" w:hanging="851"/>
        </w:pPr>
        <w:rPr>
          <w:rFonts w:hint="default"/>
          <w:b w:val="0"/>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68FB"/>
    <w:rsid w:val="00011725"/>
    <w:rsid w:val="00012C62"/>
    <w:rsid w:val="00020C27"/>
    <w:rsid w:val="00024CFB"/>
    <w:rsid w:val="0002544D"/>
    <w:rsid w:val="00032DAE"/>
    <w:rsid w:val="00033E1B"/>
    <w:rsid w:val="00037BBD"/>
    <w:rsid w:val="00041A8B"/>
    <w:rsid w:val="0004274D"/>
    <w:rsid w:val="00044C0A"/>
    <w:rsid w:val="00052B9E"/>
    <w:rsid w:val="00056880"/>
    <w:rsid w:val="000675D1"/>
    <w:rsid w:val="00067FDE"/>
    <w:rsid w:val="0007102C"/>
    <w:rsid w:val="00072352"/>
    <w:rsid w:val="00073521"/>
    <w:rsid w:val="00076C55"/>
    <w:rsid w:val="000775DE"/>
    <w:rsid w:val="0008513E"/>
    <w:rsid w:val="000858F2"/>
    <w:rsid w:val="00086474"/>
    <w:rsid w:val="00087FAF"/>
    <w:rsid w:val="000A2846"/>
    <w:rsid w:val="000A3CBF"/>
    <w:rsid w:val="000B0681"/>
    <w:rsid w:val="000B2DC6"/>
    <w:rsid w:val="000C1138"/>
    <w:rsid w:val="000C5F40"/>
    <w:rsid w:val="000D74DB"/>
    <w:rsid w:val="000E0B74"/>
    <w:rsid w:val="000F0BF8"/>
    <w:rsid w:val="000F7517"/>
    <w:rsid w:val="00104ED3"/>
    <w:rsid w:val="00105E71"/>
    <w:rsid w:val="00105E79"/>
    <w:rsid w:val="00116B23"/>
    <w:rsid w:val="001219E7"/>
    <w:rsid w:val="00123240"/>
    <w:rsid w:val="0014091C"/>
    <w:rsid w:val="001574B6"/>
    <w:rsid w:val="001606CF"/>
    <w:rsid w:val="0016128D"/>
    <w:rsid w:val="001644B4"/>
    <w:rsid w:val="0017089D"/>
    <w:rsid w:val="0017123C"/>
    <w:rsid w:val="00183B92"/>
    <w:rsid w:val="00183E55"/>
    <w:rsid w:val="0018685E"/>
    <w:rsid w:val="0019101A"/>
    <w:rsid w:val="00191328"/>
    <w:rsid w:val="0019473F"/>
    <w:rsid w:val="001A1C77"/>
    <w:rsid w:val="001B7872"/>
    <w:rsid w:val="001C1EC0"/>
    <w:rsid w:val="001C358D"/>
    <w:rsid w:val="001C76A5"/>
    <w:rsid w:val="001D043E"/>
    <w:rsid w:val="001D4EAA"/>
    <w:rsid w:val="001D5031"/>
    <w:rsid w:val="001D7760"/>
    <w:rsid w:val="001D7F2C"/>
    <w:rsid w:val="001E4EE0"/>
    <w:rsid w:val="001F0FAC"/>
    <w:rsid w:val="00201A64"/>
    <w:rsid w:val="00204DA8"/>
    <w:rsid w:val="00212C47"/>
    <w:rsid w:val="00220256"/>
    <w:rsid w:val="0022190E"/>
    <w:rsid w:val="00224C44"/>
    <w:rsid w:val="00231049"/>
    <w:rsid w:val="002314D2"/>
    <w:rsid w:val="002372A6"/>
    <w:rsid w:val="002478CE"/>
    <w:rsid w:val="0025240B"/>
    <w:rsid w:val="002526EF"/>
    <w:rsid w:val="00252D3D"/>
    <w:rsid w:val="00253C4D"/>
    <w:rsid w:val="00257AEE"/>
    <w:rsid w:val="00263B6C"/>
    <w:rsid w:val="00264DBE"/>
    <w:rsid w:val="0027590B"/>
    <w:rsid w:val="00285969"/>
    <w:rsid w:val="002940EC"/>
    <w:rsid w:val="002B3829"/>
    <w:rsid w:val="002B4D4D"/>
    <w:rsid w:val="002B5C39"/>
    <w:rsid w:val="002C6CFA"/>
    <w:rsid w:val="002C75D8"/>
    <w:rsid w:val="002D488F"/>
    <w:rsid w:val="002D5C6A"/>
    <w:rsid w:val="002E2CBE"/>
    <w:rsid w:val="002F3090"/>
    <w:rsid w:val="002F617F"/>
    <w:rsid w:val="00305002"/>
    <w:rsid w:val="0030697C"/>
    <w:rsid w:val="003122F4"/>
    <w:rsid w:val="003268D5"/>
    <w:rsid w:val="0033022C"/>
    <w:rsid w:val="003302CA"/>
    <w:rsid w:val="00331B39"/>
    <w:rsid w:val="00334DB3"/>
    <w:rsid w:val="00344779"/>
    <w:rsid w:val="00345099"/>
    <w:rsid w:val="00354D27"/>
    <w:rsid w:val="00354FBB"/>
    <w:rsid w:val="003568FB"/>
    <w:rsid w:val="003717BB"/>
    <w:rsid w:val="003839F0"/>
    <w:rsid w:val="003858A6"/>
    <w:rsid w:val="00392DCC"/>
    <w:rsid w:val="003A41CE"/>
    <w:rsid w:val="003B35E2"/>
    <w:rsid w:val="003E4D87"/>
    <w:rsid w:val="003F71F2"/>
    <w:rsid w:val="0040125A"/>
    <w:rsid w:val="00407E43"/>
    <w:rsid w:val="00416762"/>
    <w:rsid w:val="0042130A"/>
    <w:rsid w:val="00421351"/>
    <w:rsid w:val="00445265"/>
    <w:rsid w:val="00451BC1"/>
    <w:rsid w:val="004559CE"/>
    <w:rsid w:val="00474D36"/>
    <w:rsid w:val="00475B7B"/>
    <w:rsid w:val="00475F4D"/>
    <w:rsid w:val="00477E44"/>
    <w:rsid w:val="00482AD1"/>
    <w:rsid w:val="00483049"/>
    <w:rsid w:val="00492DBF"/>
    <w:rsid w:val="00492FCB"/>
    <w:rsid w:val="004938D1"/>
    <w:rsid w:val="004951A8"/>
    <w:rsid w:val="004A38D3"/>
    <w:rsid w:val="004A7BC2"/>
    <w:rsid w:val="004C2193"/>
    <w:rsid w:val="004D1F48"/>
    <w:rsid w:val="004D6AED"/>
    <w:rsid w:val="004E6852"/>
    <w:rsid w:val="004E7DED"/>
    <w:rsid w:val="004F1164"/>
    <w:rsid w:val="0050569B"/>
    <w:rsid w:val="00516785"/>
    <w:rsid w:val="0052419D"/>
    <w:rsid w:val="005301F8"/>
    <w:rsid w:val="005312FC"/>
    <w:rsid w:val="0053603D"/>
    <w:rsid w:val="00540C5E"/>
    <w:rsid w:val="00543C8A"/>
    <w:rsid w:val="00546F6A"/>
    <w:rsid w:val="00555024"/>
    <w:rsid w:val="005746F3"/>
    <w:rsid w:val="00576596"/>
    <w:rsid w:val="005844FC"/>
    <w:rsid w:val="005868DE"/>
    <w:rsid w:val="005A6F13"/>
    <w:rsid w:val="005C055F"/>
    <w:rsid w:val="005D6032"/>
    <w:rsid w:val="005E3346"/>
    <w:rsid w:val="005E6171"/>
    <w:rsid w:val="006028B9"/>
    <w:rsid w:val="0060595B"/>
    <w:rsid w:val="00605AFD"/>
    <w:rsid w:val="00607C7C"/>
    <w:rsid w:val="00610813"/>
    <w:rsid w:val="006123D4"/>
    <w:rsid w:val="00613F35"/>
    <w:rsid w:val="00617273"/>
    <w:rsid w:val="0063084F"/>
    <w:rsid w:val="00637C14"/>
    <w:rsid w:val="00656356"/>
    <w:rsid w:val="00666BBF"/>
    <w:rsid w:val="0067075D"/>
    <w:rsid w:val="006755BF"/>
    <w:rsid w:val="00680CE2"/>
    <w:rsid w:val="00686165"/>
    <w:rsid w:val="00690CE9"/>
    <w:rsid w:val="00691CB5"/>
    <w:rsid w:val="00692D33"/>
    <w:rsid w:val="00695E69"/>
    <w:rsid w:val="006A0560"/>
    <w:rsid w:val="006A1FD7"/>
    <w:rsid w:val="006A5E03"/>
    <w:rsid w:val="006A6EE1"/>
    <w:rsid w:val="006B0098"/>
    <w:rsid w:val="006B1413"/>
    <w:rsid w:val="006B5E7C"/>
    <w:rsid w:val="006B6622"/>
    <w:rsid w:val="006C5D2A"/>
    <w:rsid w:val="006C645D"/>
    <w:rsid w:val="006D42C7"/>
    <w:rsid w:val="006E3CC3"/>
    <w:rsid w:val="006E70F6"/>
    <w:rsid w:val="006F656C"/>
    <w:rsid w:val="007026F1"/>
    <w:rsid w:val="00703A65"/>
    <w:rsid w:val="00707014"/>
    <w:rsid w:val="00720151"/>
    <w:rsid w:val="00745A87"/>
    <w:rsid w:val="00746C04"/>
    <w:rsid w:val="00747E2F"/>
    <w:rsid w:val="007532FB"/>
    <w:rsid w:val="0076384E"/>
    <w:rsid w:val="0077772F"/>
    <w:rsid w:val="007825EE"/>
    <w:rsid w:val="0078509F"/>
    <w:rsid w:val="007850DF"/>
    <w:rsid w:val="00794499"/>
    <w:rsid w:val="007A645B"/>
    <w:rsid w:val="007B45DD"/>
    <w:rsid w:val="007B61B8"/>
    <w:rsid w:val="007B6E53"/>
    <w:rsid w:val="007C3AF6"/>
    <w:rsid w:val="007C465B"/>
    <w:rsid w:val="007D2052"/>
    <w:rsid w:val="007D5AA6"/>
    <w:rsid w:val="007E03E8"/>
    <w:rsid w:val="007E11FB"/>
    <w:rsid w:val="007E2AB9"/>
    <w:rsid w:val="007E6456"/>
    <w:rsid w:val="007F7E42"/>
    <w:rsid w:val="00834243"/>
    <w:rsid w:val="008374D8"/>
    <w:rsid w:val="00855618"/>
    <w:rsid w:val="00857969"/>
    <w:rsid w:val="00862A47"/>
    <w:rsid w:val="00865859"/>
    <w:rsid w:val="00887AA8"/>
    <w:rsid w:val="008A1187"/>
    <w:rsid w:val="008B1499"/>
    <w:rsid w:val="008C33F7"/>
    <w:rsid w:val="008C3518"/>
    <w:rsid w:val="008C423C"/>
    <w:rsid w:val="008D0FCC"/>
    <w:rsid w:val="008D1705"/>
    <w:rsid w:val="008D2523"/>
    <w:rsid w:val="008D27D2"/>
    <w:rsid w:val="008D339F"/>
    <w:rsid w:val="008D7F38"/>
    <w:rsid w:val="008E6292"/>
    <w:rsid w:val="008F5F84"/>
    <w:rsid w:val="00906AFA"/>
    <w:rsid w:val="00925AA5"/>
    <w:rsid w:val="00934296"/>
    <w:rsid w:val="0094019D"/>
    <w:rsid w:val="00942C11"/>
    <w:rsid w:val="0094466D"/>
    <w:rsid w:val="00945886"/>
    <w:rsid w:val="00950784"/>
    <w:rsid w:val="009732EC"/>
    <w:rsid w:val="009766EC"/>
    <w:rsid w:val="009821CE"/>
    <w:rsid w:val="009852CF"/>
    <w:rsid w:val="00992BBE"/>
    <w:rsid w:val="009A458D"/>
    <w:rsid w:val="009A658F"/>
    <w:rsid w:val="009A668A"/>
    <w:rsid w:val="009B7CD3"/>
    <w:rsid w:val="009C194D"/>
    <w:rsid w:val="00A04782"/>
    <w:rsid w:val="00A04A94"/>
    <w:rsid w:val="00A13AA1"/>
    <w:rsid w:val="00A14A01"/>
    <w:rsid w:val="00A16E03"/>
    <w:rsid w:val="00A20C2E"/>
    <w:rsid w:val="00A260CD"/>
    <w:rsid w:val="00A32445"/>
    <w:rsid w:val="00A3749B"/>
    <w:rsid w:val="00A40277"/>
    <w:rsid w:val="00A43FFC"/>
    <w:rsid w:val="00A47CEA"/>
    <w:rsid w:val="00A5022D"/>
    <w:rsid w:val="00A530B9"/>
    <w:rsid w:val="00A62E42"/>
    <w:rsid w:val="00A63B68"/>
    <w:rsid w:val="00A6487D"/>
    <w:rsid w:val="00A64A71"/>
    <w:rsid w:val="00AD2D6B"/>
    <w:rsid w:val="00AD78AC"/>
    <w:rsid w:val="00AE2F90"/>
    <w:rsid w:val="00B00A41"/>
    <w:rsid w:val="00B06A84"/>
    <w:rsid w:val="00B3149D"/>
    <w:rsid w:val="00B31DAA"/>
    <w:rsid w:val="00B3697E"/>
    <w:rsid w:val="00B5145C"/>
    <w:rsid w:val="00B53526"/>
    <w:rsid w:val="00B62862"/>
    <w:rsid w:val="00B72947"/>
    <w:rsid w:val="00B741AB"/>
    <w:rsid w:val="00B770FF"/>
    <w:rsid w:val="00B77FB7"/>
    <w:rsid w:val="00B80512"/>
    <w:rsid w:val="00B82EF9"/>
    <w:rsid w:val="00B85F47"/>
    <w:rsid w:val="00B87927"/>
    <w:rsid w:val="00B906FE"/>
    <w:rsid w:val="00B92619"/>
    <w:rsid w:val="00B971AE"/>
    <w:rsid w:val="00BA1CDA"/>
    <w:rsid w:val="00BB2B74"/>
    <w:rsid w:val="00BD5650"/>
    <w:rsid w:val="00C06199"/>
    <w:rsid w:val="00C175E3"/>
    <w:rsid w:val="00C22EBB"/>
    <w:rsid w:val="00C24D04"/>
    <w:rsid w:val="00C30297"/>
    <w:rsid w:val="00C33765"/>
    <w:rsid w:val="00C33A94"/>
    <w:rsid w:val="00C54E4E"/>
    <w:rsid w:val="00C62A7C"/>
    <w:rsid w:val="00C663AB"/>
    <w:rsid w:val="00C72089"/>
    <w:rsid w:val="00C734BB"/>
    <w:rsid w:val="00C85314"/>
    <w:rsid w:val="00C9299E"/>
    <w:rsid w:val="00C94A35"/>
    <w:rsid w:val="00C975B4"/>
    <w:rsid w:val="00CA46D6"/>
    <w:rsid w:val="00CA4BC0"/>
    <w:rsid w:val="00CB7E55"/>
    <w:rsid w:val="00CC559D"/>
    <w:rsid w:val="00CC6D24"/>
    <w:rsid w:val="00CD654B"/>
    <w:rsid w:val="00CD6BD4"/>
    <w:rsid w:val="00CE0DCA"/>
    <w:rsid w:val="00CE223E"/>
    <w:rsid w:val="00CE5B0C"/>
    <w:rsid w:val="00CF108D"/>
    <w:rsid w:val="00CF694C"/>
    <w:rsid w:val="00D03465"/>
    <w:rsid w:val="00D136A8"/>
    <w:rsid w:val="00D145F5"/>
    <w:rsid w:val="00D240A9"/>
    <w:rsid w:val="00D31618"/>
    <w:rsid w:val="00D355F0"/>
    <w:rsid w:val="00D4368C"/>
    <w:rsid w:val="00D45AF8"/>
    <w:rsid w:val="00D51C05"/>
    <w:rsid w:val="00D66509"/>
    <w:rsid w:val="00D70E96"/>
    <w:rsid w:val="00D83BD9"/>
    <w:rsid w:val="00D86C95"/>
    <w:rsid w:val="00D90C6D"/>
    <w:rsid w:val="00D95969"/>
    <w:rsid w:val="00D95FB9"/>
    <w:rsid w:val="00DA686B"/>
    <w:rsid w:val="00DB1789"/>
    <w:rsid w:val="00DB3FB3"/>
    <w:rsid w:val="00DB45F4"/>
    <w:rsid w:val="00DB7767"/>
    <w:rsid w:val="00DB7F09"/>
    <w:rsid w:val="00DC00E8"/>
    <w:rsid w:val="00DC01B0"/>
    <w:rsid w:val="00DD19CE"/>
    <w:rsid w:val="00DD3BED"/>
    <w:rsid w:val="00DE0217"/>
    <w:rsid w:val="00DE0EC5"/>
    <w:rsid w:val="00DF164E"/>
    <w:rsid w:val="00DF5B18"/>
    <w:rsid w:val="00E10D39"/>
    <w:rsid w:val="00E1136B"/>
    <w:rsid w:val="00E1138A"/>
    <w:rsid w:val="00E13A8D"/>
    <w:rsid w:val="00E16BC2"/>
    <w:rsid w:val="00E22D51"/>
    <w:rsid w:val="00E25D49"/>
    <w:rsid w:val="00E25E62"/>
    <w:rsid w:val="00E263CD"/>
    <w:rsid w:val="00E32464"/>
    <w:rsid w:val="00E35FA1"/>
    <w:rsid w:val="00E373E6"/>
    <w:rsid w:val="00E44FDF"/>
    <w:rsid w:val="00E50E7C"/>
    <w:rsid w:val="00E51545"/>
    <w:rsid w:val="00E55326"/>
    <w:rsid w:val="00E711D7"/>
    <w:rsid w:val="00E74722"/>
    <w:rsid w:val="00E7759D"/>
    <w:rsid w:val="00E87A95"/>
    <w:rsid w:val="00E902B0"/>
    <w:rsid w:val="00E902E8"/>
    <w:rsid w:val="00E92946"/>
    <w:rsid w:val="00E95AF3"/>
    <w:rsid w:val="00EB030F"/>
    <w:rsid w:val="00EC02E7"/>
    <w:rsid w:val="00EC6B16"/>
    <w:rsid w:val="00ED54FF"/>
    <w:rsid w:val="00EE52CF"/>
    <w:rsid w:val="00EE612F"/>
    <w:rsid w:val="00EE677F"/>
    <w:rsid w:val="00EF5DCB"/>
    <w:rsid w:val="00F0082D"/>
    <w:rsid w:val="00F07C90"/>
    <w:rsid w:val="00F16040"/>
    <w:rsid w:val="00F20469"/>
    <w:rsid w:val="00F256BD"/>
    <w:rsid w:val="00F307CA"/>
    <w:rsid w:val="00F31CA2"/>
    <w:rsid w:val="00F31D75"/>
    <w:rsid w:val="00F66B9F"/>
    <w:rsid w:val="00F71A0E"/>
    <w:rsid w:val="00F835CB"/>
    <w:rsid w:val="00F92279"/>
    <w:rsid w:val="00F931BE"/>
    <w:rsid w:val="00FB36FD"/>
    <w:rsid w:val="00FB64AA"/>
    <w:rsid w:val="00FC6ADA"/>
    <w:rsid w:val="00FD5BD4"/>
    <w:rsid w:val="00FD618E"/>
    <w:rsid w:val="00FD6C5E"/>
    <w:rsid w:val="00FE2A97"/>
    <w:rsid w:val="00FF378B"/>
    <w:rsid w:val="00FF4C3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3B946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37C14"/>
    <w:pPr>
      <w:spacing w:before="120" w:after="120" w:line="240" w:lineRule="auto"/>
    </w:pPr>
    <w:rPr>
      <w:rFonts w:ascii="Calibri" w:eastAsia="Times New Roman" w:hAnsi="Calibri" w:cs="Times New Roman"/>
      <w:szCs w:val="20"/>
      <w:lang w:eastAsia="en-AU"/>
    </w:rPr>
  </w:style>
  <w:style w:type="paragraph" w:styleId="Heading1">
    <w:name w:val="heading 1"/>
    <w:basedOn w:val="HeadingBase"/>
    <w:next w:val="Normal"/>
    <w:link w:val="Heading1Char"/>
    <w:qFormat/>
    <w:rsid w:val="00354FBB"/>
    <w:pPr>
      <w:spacing w:before="480"/>
      <w:outlineLvl w:val="0"/>
    </w:pPr>
    <w:rPr>
      <w:bCs w:val="0"/>
      <w:color w:val="002C47" w:themeColor="accent1"/>
      <w:sz w:val="48"/>
    </w:rPr>
  </w:style>
  <w:style w:type="paragraph" w:styleId="Heading2">
    <w:name w:val="heading 2"/>
    <w:basedOn w:val="HeadingBase"/>
    <w:next w:val="Normal"/>
    <w:link w:val="Heading2Char"/>
    <w:qFormat/>
    <w:rsid w:val="000E0B74"/>
    <w:pPr>
      <w:spacing w:before="360"/>
      <w:outlineLvl w:val="1"/>
    </w:pPr>
    <w:rPr>
      <w:bCs w:val="0"/>
      <w:iCs/>
      <w:sz w:val="36"/>
      <w:szCs w:val="28"/>
    </w:rPr>
  </w:style>
  <w:style w:type="paragraph" w:styleId="Heading3">
    <w:name w:val="heading 3"/>
    <w:basedOn w:val="HeadingBase"/>
    <w:next w:val="Normal"/>
    <w:link w:val="Heading3Char"/>
    <w:qFormat/>
    <w:rsid w:val="00354FBB"/>
    <w:pPr>
      <w:spacing w:before="240"/>
      <w:outlineLvl w:val="2"/>
    </w:pPr>
    <w:rPr>
      <w:bCs w:val="0"/>
      <w:color w:val="00827F" w:themeColor="accent3"/>
      <w:sz w:val="28"/>
      <w:szCs w:val="26"/>
    </w:rPr>
  </w:style>
  <w:style w:type="paragraph" w:styleId="Heading4">
    <w:name w:val="heading 4"/>
    <w:basedOn w:val="HeadingBase"/>
    <w:next w:val="Normal"/>
    <w:link w:val="Heading4Char"/>
    <w:qFormat/>
    <w:rsid w:val="00354FBB"/>
    <w:pPr>
      <w:outlineLvl w:val="3"/>
    </w:pPr>
    <w:rPr>
      <w:bCs w:val="0"/>
      <w:color w:val="3A6FAF" w:themeColor="accent2"/>
      <w:sz w:val="26"/>
      <w:szCs w:val="26"/>
    </w:rPr>
  </w:style>
  <w:style w:type="paragraph" w:styleId="Heading5">
    <w:name w:val="heading 5"/>
    <w:basedOn w:val="HeadingBase"/>
    <w:next w:val="Normal"/>
    <w:link w:val="Heading5Char"/>
    <w:qFormat/>
    <w:rsid w:val="003E4D87"/>
    <w:pPr>
      <w:outlineLvl w:val="4"/>
    </w:pPr>
    <w:rPr>
      <w:b/>
      <w:bCs w:val="0"/>
      <w:iCs/>
    </w:rPr>
  </w:style>
  <w:style w:type="paragraph" w:styleId="Heading6">
    <w:name w:val="heading 6"/>
    <w:basedOn w:val="HeadingBase"/>
    <w:next w:val="Normal"/>
    <w:link w:val="Heading6Char"/>
    <w:qFormat/>
    <w:rsid w:val="003E4D87"/>
    <w:pPr>
      <w:outlineLvl w:val="5"/>
    </w:pPr>
    <w:rPr>
      <w:bCs w:val="0"/>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54FBB"/>
    <w:rPr>
      <w:rFonts w:ascii="Calibri" w:eastAsia="Times New Roman" w:hAnsi="Calibri" w:cs="Arial"/>
      <w:color w:val="002C47" w:themeColor="accent1"/>
      <w:kern w:val="32"/>
      <w:sz w:val="48"/>
      <w:szCs w:val="36"/>
      <w:lang w:eastAsia="en-AU"/>
    </w:rPr>
  </w:style>
  <w:style w:type="character" w:customStyle="1" w:styleId="Heading2Char">
    <w:name w:val="Heading 2 Char"/>
    <w:basedOn w:val="DefaultParagraphFont"/>
    <w:link w:val="Heading2"/>
    <w:rsid w:val="003E4D87"/>
    <w:rPr>
      <w:rFonts w:ascii="Calibri" w:eastAsia="Times New Roman" w:hAnsi="Calibri" w:cs="Arial"/>
      <w:iCs/>
      <w:color w:val="004A7F"/>
      <w:kern w:val="32"/>
      <w:sz w:val="36"/>
      <w:szCs w:val="28"/>
      <w:lang w:eastAsia="en-AU"/>
    </w:rPr>
  </w:style>
  <w:style w:type="character" w:customStyle="1" w:styleId="Heading3Char">
    <w:name w:val="Heading 3 Char"/>
    <w:basedOn w:val="DefaultParagraphFont"/>
    <w:link w:val="Heading3"/>
    <w:rsid w:val="00354FBB"/>
    <w:rPr>
      <w:rFonts w:ascii="Calibri" w:eastAsia="Times New Roman" w:hAnsi="Calibri" w:cs="Arial"/>
      <w:color w:val="00827F" w:themeColor="accent3"/>
      <w:kern w:val="32"/>
      <w:sz w:val="28"/>
      <w:szCs w:val="26"/>
      <w:lang w:eastAsia="en-AU"/>
    </w:rPr>
  </w:style>
  <w:style w:type="character" w:customStyle="1" w:styleId="Heading4Char">
    <w:name w:val="Heading 4 Char"/>
    <w:basedOn w:val="DefaultParagraphFont"/>
    <w:link w:val="Heading4"/>
    <w:rsid w:val="00354FBB"/>
    <w:rPr>
      <w:rFonts w:ascii="Calibri" w:eastAsia="Times New Roman" w:hAnsi="Calibri" w:cs="Arial"/>
      <w:color w:val="3A6FAF" w:themeColor="accent2"/>
      <w:kern w:val="32"/>
      <w:sz w:val="26"/>
      <w:szCs w:val="26"/>
      <w:lang w:eastAsia="en-AU"/>
    </w:rPr>
  </w:style>
  <w:style w:type="character" w:customStyle="1" w:styleId="Heading5Char">
    <w:name w:val="Heading 5 Char"/>
    <w:basedOn w:val="DefaultParagraphFont"/>
    <w:link w:val="Heading5"/>
    <w:rsid w:val="003E4D87"/>
    <w:rPr>
      <w:rFonts w:ascii="Calibri" w:eastAsia="Times New Roman" w:hAnsi="Calibri" w:cs="Arial"/>
      <w:b/>
      <w:iCs/>
      <w:color w:val="004A7F"/>
      <w:kern w:val="32"/>
      <w:szCs w:val="36"/>
      <w:lang w:eastAsia="en-AU"/>
    </w:rPr>
  </w:style>
  <w:style w:type="character" w:customStyle="1" w:styleId="Heading6Char">
    <w:name w:val="Heading 6 Char"/>
    <w:basedOn w:val="DefaultParagraphFont"/>
    <w:link w:val="Heading6"/>
    <w:rsid w:val="003E4D87"/>
    <w:rPr>
      <w:rFonts w:ascii="Calibri" w:eastAsia="Times New Roman" w:hAnsi="Calibri" w:cs="Arial"/>
      <w:color w:val="004A7F"/>
      <w:kern w:val="32"/>
      <w:lang w:eastAsia="en-AU"/>
    </w:rPr>
  </w:style>
  <w:style w:type="paragraph" w:customStyle="1" w:styleId="ChartGraphic">
    <w:name w:val="Chart Graphic"/>
    <w:basedOn w:val="Normal"/>
    <w:next w:val="Normal"/>
    <w:rsid w:val="000E0B74"/>
    <w:pPr>
      <w:keepNext/>
      <w:spacing w:before="0" w:after="0"/>
      <w:jc w:val="center"/>
    </w:pPr>
    <w:rPr>
      <w:color w:val="004A7F"/>
      <w:sz w:val="20"/>
    </w:rPr>
  </w:style>
  <w:style w:type="paragraph" w:customStyle="1" w:styleId="AlphaParagraph">
    <w:name w:val="Alpha Paragraph"/>
    <w:basedOn w:val="Normal"/>
    <w:qFormat/>
    <w:rsid w:val="000E0B74"/>
    <w:pPr>
      <w:numPr>
        <w:ilvl w:val="1"/>
        <w:numId w:val="13"/>
      </w:numPr>
      <w:spacing w:before="0"/>
    </w:pPr>
  </w:style>
  <w:style w:type="paragraph" w:customStyle="1" w:styleId="BoxBullet">
    <w:name w:val="Box Bullet"/>
    <w:basedOn w:val="Normal"/>
    <w:rsid w:val="000E0B74"/>
    <w:pPr>
      <w:numPr>
        <w:numId w:val="2"/>
      </w:numPr>
      <w:spacing w:before="0"/>
      <w:ind w:left="284" w:hanging="284"/>
    </w:pPr>
  </w:style>
  <w:style w:type="paragraph" w:customStyle="1" w:styleId="BoxDash">
    <w:name w:val="Box Dash"/>
    <w:basedOn w:val="Normal"/>
    <w:rsid w:val="000E0B74"/>
    <w:pPr>
      <w:numPr>
        <w:ilvl w:val="1"/>
        <w:numId w:val="2"/>
      </w:numPr>
      <w:spacing w:before="0"/>
      <w:ind w:left="568"/>
    </w:pPr>
  </w:style>
  <w:style w:type="paragraph" w:customStyle="1" w:styleId="BoxDoubleDot">
    <w:name w:val="Box Double Dot"/>
    <w:basedOn w:val="Normal"/>
    <w:rsid w:val="000E0B74"/>
    <w:pPr>
      <w:numPr>
        <w:ilvl w:val="2"/>
        <w:numId w:val="2"/>
      </w:numPr>
      <w:spacing w:before="0"/>
      <w:ind w:left="851" w:hanging="284"/>
    </w:pPr>
  </w:style>
  <w:style w:type="paragraph" w:customStyle="1" w:styleId="BoxHeading">
    <w:name w:val="Box Heading"/>
    <w:basedOn w:val="Normal"/>
    <w:next w:val="Normal"/>
    <w:rsid w:val="00354FBB"/>
    <w:pPr>
      <w:keepNext/>
      <w:spacing w:before="240"/>
    </w:pPr>
    <w:rPr>
      <w:b/>
      <w:color w:val="00827F" w:themeColor="accent3"/>
      <w:sz w:val="26"/>
      <w:szCs w:val="26"/>
    </w:rPr>
  </w:style>
  <w:style w:type="paragraph" w:customStyle="1" w:styleId="BoxText">
    <w:name w:val="Box Text"/>
    <w:basedOn w:val="Normal"/>
    <w:rsid w:val="000E0B74"/>
  </w:style>
  <w:style w:type="paragraph" w:customStyle="1" w:styleId="Bullet">
    <w:name w:val="Bullet"/>
    <w:aliases w:val="b,b + line,b1,Body,level 1,Bullet + line"/>
    <w:basedOn w:val="Normal"/>
    <w:link w:val="BulletChar"/>
    <w:qFormat/>
    <w:rsid w:val="00C62A7C"/>
    <w:pPr>
      <w:numPr>
        <w:numId w:val="1"/>
      </w:numPr>
      <w:tabs>
        <w:tab w:val="clear" w:pos="283"/>
        <w:tab w:val="num" w:pos="1701"/>
      </w:tabs>
      <w:spacing w:before="0"/>
      <w:ind w:left="1418" w:hanging="567"/>
    </w:pPr>
  </w:style>
  <w:style w:type="paragraph" w:customStyle="1" w:styleId="ChartandTableFootnoteAlpha">
    <w:name w:val="Chart and Table Footnote Alpha"/>
    <w:rsid w:val="002D488F"/>
    <w:pPr>
      <w:numPr>
        <w:numId w:val="7"/>
      </w:numPr>
      <w:tabs>
        <w:tab w:val="num" w:pos="284"/>
      </w:tabs>
      <w:spacing w:after="0" w:line="240" w:lineRule="auto"/>
      <w:ind w:left="284" w:hanging="284"/>
      <w:jc w:val="both"/>
    </w:pPr>
    <w:rPr>
      <w:rFonts w:ascii="Calibri" w:eastAsia="Times New Roman" w:hAnsi="Calibri" w:cs="Times New Roman"/>
      <w:color w:val="000000"/>
      <w:sz w:val="18"/>
      <w:szCs w:val="16"/>
      <w:lang w:eastAsia="en-AU"/>
    </w:rPr>
  </w:style>
  <w:style w:type="paragraph" w:customStyle="1" w:styleId="ChartMainHeading">
    <w:name w:val="Chart Main Heading"/>
    <w:basedOn w:val="TableMainHeading"/>
    <w:next w:val="ChartGraphic"/>
    <w:rsid w:val="000E0B74"/>
    <w:pPr>
      <w:jc w:val="center"/>
    </w:pPr>
  </w:style>
  <w:style w:type="paragraph" w:customStyle="1" w:styleId="ChartorTableNote">
    <w:name w:val="Chart or Table Note"/>
    <w:next w:val="Normal"/>
    <w:rsid w:val="000E0B74"/>
    <w:pPr>
      <w:spacing w:after="0" w:line="240" w:lineRule="auto"/>
      <w:jc w:val="both"/>
    </w:pPr>
    <w:rPr>
      <w:rFonts w:ascii="Calibri" w:eastAsia="Times New Roman" w:hAnsi="Calibri" w:cs="Times New Roman"/>
      <w:color w:val="000000"/>
      <w:sz w:val="18"/>
      <w:szCs w:val="20"/>
      <w:lang w:eastAsia="en-AU"/>
    </w:rPr>
  </w:style>
  <w:style w:type="paragraph" w:customStyle="1" w:styleId="ChartSecondHeading">
    <w:name w:val="Chart Second Heading"/>
    <w:basedOn w:val="TableSecondHeading"/>
    <w:next w:val="ChartGraphic"/>
    <w:rsid w:val="000E0B74"/>
    <w:pPr>
      <w:jc w:val="center"/>
    </w:pPr>
  </w:style>
  <w:style w:type="paragraph" w:customStyle="1" w:styleId="ReportDate">
    <w:name w:val="Report Date"/>
    <w:basedOn w:val="Normal"/>
    <w:link w:val="ReportDateChar"/>
    <w:rsid w:val="001D4EAA"/>
    <w:pPr>
      <w:keepNext/>
      <w:spacing w:before="0" w:after="360"/>
    </w:pPr>
    <w:rPr>
      <w:color w:val="FFFFFF" w:themeColor="background1"/>
      <w:sz w:val="44"/>
    </w:rPr>
  </w:style>
  <w:style w:type="paragraph" w:customStyle="1" w:styleId="Dash">
    <w:name w:val="Dash"/>
    <w:basedOn w:val="Normal"/>
    <w:link w:val="DashChar"/>
    <w:qFormat/>
    <w:rsid w:val="007C465B"/>
    <w:pPr>
      <w:numPr>
        <w:ilvl w:val="1"/>
        <w:numId w:val="18"/>
      </w:numPr>
      <w:tabs>
        <w:tab w:val="clear" w:pos="1040"/>
      </w:tabs>
      <w:ind w:left="1985" w:hanging="567"/>
    </w:pPr>
  </w:style>
  <w:style w:type="paragraph" w:customStyle="1" w:styleId="DoubleDot">
    <w:name w:val="Double Dot"/>
    <w:basedOn w:val="Normal"/>
    <w:qFormat/>
    <w:rsid w:val="000E0B74"/>
    <w:pPr>
      <w:numPr>
        <w:ilvl w:val="2"/>
        <w:numId w:val="1"/>
      </w:numPr>
      <w:spacing w:before="0"/>
      <w:ind w:left="851" w:hanging="284"/>
    </w:pPr>
  </w:style>
  <w:style w:type="paragraph" w:customStyle="1" w:styleId="TableMainHeading">
    <w:name w:val="Table Main Heading"/>
    <w:basedOn w:val="Heading3"/>
    <w:next w:val="Normal"/>
    <w:rsid w:val="000E0B74"/>
    <w:pPr>
      <w:spacing w:before="120" w:after="0"/>
    </w:pPr>
    <w:rPr>
      <w:b/>
    </w:rPr>
  </w:style>
  <w:style w:type="paragraph" w:customStyle="1" w:styleId="FooterEven">
    <w:name w:val="Footer Even"/>
    <w:basedOn w:val="Footer"/>
    <w:rsid w:val="000E0B74"/>
    <w:pPr>
      <w:keepNext/>
      <w:tabs>
        <w:tab w:val="clear" w:pos="4513"/>
        <w:tab w:val="clear" w:pos="9026"/>
      </w:tabs>
    </w:pPr>
    <w:rPr>
      <w:noProof/>
    </w:rPr>
  </w:style>
  <w:style w:type="paragraph" w:customStyle="1" w:styleId="FooterOdd">
    <w:name w:val="Footer Odd"/>
    <w:basedOn w:val="Footer"/>
    <w:rsid w:val="000E0B74"/>
    <w:pPr>
      <w:keepNext/>
      <w:tabs>
        <w:tab w:val="clear" w:pos="4513"/>
        <w:tab w:val="clear" w:pos="9026"/>
      </w:tabs>
      <w:jc w:val="right"/>
    </w:pPr>
  </w:style>
  <w:style w:type="character" w:styleId="Hyperlink">
    <w:name w:val="Hyperlink"/>
    <w:basedOn w:val="DefaultParagraphFont"/>
    <w:uiPriority w:val="99"/>
    <w:rsid w:val="00CE5B0C"/>
    <w:rPr>
      <w:color w:val="3A6FAF"/>
      <w:u w:val="none"/>
    </w:rPr>
  </w:style>
  <w:style w:type="paragraph" w:customStyle="1" w:styleId="OutlineNumbered1">
    <w:name w:val="Outline Numbered 1"/>
    <w:basedOn w:val="Normal"/>
    <w:rsid w:val="000E0B74"/>
    <w:pPr>
      <w:numPr>
        <w:numId w:val="6"/>
      </w:numPr>
      <w:spacing w:before="0"/>
    </w:pPr>
  </w:style>
  <w:style w:type="paragraph" w:customStyle="1" w:styleId="OneLevelNumberedParagraph">
    <w:name w:val="One Level Numbered Paragraph"/>
    <w:basedOn w:val="Normal"/>
    <w:rsid w:val="000E0B74"/>
    <w:pPr>
      <w:numPr>
        <w:numId w:val="5"/>
      </w:numPr>
      <w:spacing w:before="0"/>
    </w:pPr>
  </w:style>
  <w:style w:type="paragraph" w:customStyle="1" w:styleId="OutlineNumbered2">
    <w:name w:val="Outline Numbered 2"/>
    <w:basedOn w:val="Normal"/>
    <w:rsid w:val="000E0B74"/>
    <w:pPr>
      <w:numPr>
        <w:ilvl w:val="1"/>
        <w:numId w:val="6"/>
      </w:numPr>
      <w:spacing w:before="0"/>
    </w:pPr>
  </w:style>
  <w:style w:type="paragraph" w:customStyle="1" w:styleId="OutlineNumbered3">
    <w:name w:val="Outline Numbered 3"/>
    <w:basedOn w:val="Normal"/>
    <w:rsid w:val="000E0B74"/>
    <w:pPr>
      <w:numPr>
        <w:ilvl w:val="2"/>
        <w:numId w:val="6"/>
      </w:numPr>
      <w:spacing w:before="0"/>
    </w:pPr>
  </w:style>
  <w:style w:type="paragraph" w:customStyle="1" w:styleId="Romannumeral">
    <w:name w:val="Roman numeral"/>
    <w:basedOn w:val="Normal"/>
    <w:rsid w:val="00E35FA1"/>
    <w:pPr>
      <w:numPr>
        <w:numId w:val="13"/>
      </w:numPr>
      <w:tabs>
        <w:tab w:val="clear" w:pos="720"/>
        <w:tab w:val="left" w:pos="851"/>
      </w:tabs>
      <w:spacing w:before="0"/>
      <w:ind w:left="851" w:hanging="851"/>
    </w:pPr>
  </w:style>
  <w:style w:type="paragraph" w:customStyle="1" w:styleId="SingleParagraph">
    <w:name w:val="Single Paragraph"/>
    <w:basedOn w:val="Normal"/>
    <w:link w:val="SingleParagraphChar"/>
    <w:rsid w:val="000E0B74"/>
    <w:pPr>
      <w:spacing w:before="0" w:after="0"/>
    </w:pPr>
  </w:style>
  <w:style w:type="paragraph" w:customStyle="1" w:styleId="TableSecondHeading">
    <w:name w:val="Table Second Heading"/>
    <w:basedOn w:val="Normal"/>
    <w:next w:val="Normal"/>
    <w:rsid w:val="000E0B74"/>
    <w:pPr>
      <w:keepNext/>
      <w:spacing w:before="0" w:after="20"/>
    </w:pPr>
    <w:rPr>
      <w:b/>
      <w:color w:val="004A7F"/>
    </w:rPr>
  </w:style>
  <w:style w:type="paragraph" w:customStyle="1" w:styleId="TableColumnHeadingCentred">
    <w:name w:val="Table Column Heading Centred"/>
    <w:basedOn w:val="TableTextLeft"/>
    <w:rsid w:val="000E0B74"/>
    <w:pPr>
      <w:jc w:val="center"/>
    </w:pPr>
    <w:rPr>
      <w:b/>
      <w:color w:val="004A7F"/>
      <w:sz w:val="20"/>
    </w:rPr>
  </w:style>
  <w:style w:type="paragraph" w:customStyle="1" w:styleId="TableColumnHeadingLeft">
    <w:name w:val="Table Column Heading Left"/>
    <w:basedOn w:val="TableTextLeft"/>
    <w:rsid w:val="000E0B74"/>
    <w:rPr>
      <w:b/>
      <w:color w:val="004A7F"/>
      <w:sz w:val="20"/>
    </w:rPr>
  </w:style>
  <w:style w:type="paragraph" w:customStyle="1" w:styleId="TableColumnHeadingRight">
    <w:name w:val="Table Column Heading Right"/>
    <w:basedOn w:val="TableTextLeft"/>
    <w:rsid w:val="000E0B74"/>
    <w:pPr>
      <w:jc w:val="right"/>
    </w:pPr>
    <w:rPr>
      <w:b/>
      <w:color w:val="004A7F"/>
      <w:sz w:val="20"/>
    </w:rPr>
  </w:style>
  <w:style w:type="table" w:styleId="TableGrid">
    <w:name w:val="Table Grid"/>
    <w:basedOn w:val="TableNormal"/>
    <w:rsid w:val="000E0B74"/>
    <w:pPr>
      <w:spacing w:after="240" w:line="260" w:lineRule="exact"/>
      <w:jc w:val="both"/>
    </w:pPr>
    <w:rPr>
      <w:rFonts w:ascii="Times New Roman" w:eastAsia="Times New Roman" w:hAnsi="Times New Roman" w:cs="Times New Roman"/>
      <w:sz w:val="20"/>
      <w:szCs w:val="20"/>
      <w:lang w:eastAsia="en-AU"/>
    </w:rPr>
    <w:tblPr/>
    <w:tcPr>
      <w:shd w:val="clear" w:color="auto" w:fill="E6E6E6"/>
    </w:tcPr>
  </w:style>
  <w:style w:type="paragraph" w:customStyle="1" w:styleId="TableTextCentered">
    <w:name w:val="Table Text Centered"/>
    <w:basedOn w:val="TableTextRight"/>
    <w:rsid w:val="0060595B"/>
    <w:pPr>
      <w:jc w:val="center"/>
    </w:pPr>
  </w:style>
  <w:style w:type="paragraph" w:customStyle="1" w:styleId="TableTextLeft">
    <w:name w:val="Table Text Left"/>
    <w:basedOn w:val="TableTextRight"/>
    <w:rsid w:val="000E0B74"/>
    <w:pPr>
      <w:jc w:val="left"/>
    </w:pPr>
  </w:style>
  <w:style w:type="paragraph" w:customStyle="1" w:styleId="TableTextRight">
    <w:name w:val="Table Text Right"/>
    <w:basedOn w:val="Normal"/>
    <w:rsid w:val="000E0B74"/>
    <w:pPr>
      <w:spacing w:before="40" w:after="40"/>
      <w:jc w:val="right"/>
    </w:pPr>
    <w:rPr>
      <w:color w:val="000000"/>
      <w:sz w:val="18"/>
    </w:rPr>
  </w:style>
  <w:style w:type="paragraph" w:styleId="TOC1">
    <w:name w:val="toc 1"/>
    <w:basedOn w:val="Normal"/>
    <w:next w:val="Normal"/>
    <w:uiPriority w:val="39"/>
    <w:qFormat/>
    <w:rsid w:val="00656356"/>
    <w:pPr>
      <w:keepNext/>
      <w:tabs>
        <w:tab w:val="right" w:leader="dot" w:pos="9072"/>
      </w:tabs>
      <w:spacing w:before="180" w:after="0"/>
      <w:ind w:right="-2"/>
    </w:pPr>
    <w:rPr>
      <w:b/>
      <w:noProof/>
      <w:color w:val="004A7F"/>
      <w:szCs w:val="22"/>
    </w:rPr>
  </w:style>
  <w:style w:type="paragraph" w:styleId="TOC2">
    <w:name w:val="toc 2"/>
    <w:basedOn w:val="Normal"/>
    <w:next w:val="Normal"/>
    <w:uiPriority w:val="39"/>
    <w:qFormat/>
    <w:rsid w:val="00656356"/>
    <w:pPr>
      <w:keepNext/>
      <w:tabs>
        <w:tab w:val="right" w:leader="dot" w:pos="9072"/>
      </w:tabs>
      <w:spacing w:before="40" w:after="20"/>
      <w:ind w:right="-2"/>
    </w:pPr>
    <w:rPr>
      <w:noProof/>
      <w:color w:val="004A7F"/>
    </w:rPr>
  </w:style>
  <w:style w:type="paragraph" w:styleId="TOC3">
    <w:name w:val="toc 3"/>
    <w:basedOn w:val="Normal"/>
    <w:next w:val="Normal"/>
    <w:uiPriority w:val="39"/>
    <w:qFormat/>
    <w:rsid w:val="00E55326"/>
    <w:pPr>
      <w:tabs>
        <w:tab w:val="right" w:leader="dot" w:pos="9072"/>
      </w:tabs>
      <w:spacing w:before="20" w:after="0"/>
      <w:ind w:left="284" w:right="-2"/>
    </w:pPr>
    <w:rPr>
      <w:rFonts w:cs="Calibri"/>
      <w:noProof/>
      <w:color w:val="7F7F7F"/>
    </w:rPr>
  </w:style>
  <w:style w:type="numbering" w:customStyle="1" w:styleId="OutlineList">
    <w:name w:val="OutlineList"/>
    <w:uiPriority w:val="99"/>
    <w:rsid w:val="000E0B74"/>
    <w:pPr>
      <w:numPr>
        <w:numId w:val="4"/>
      </w:numPr>
    </w:pPr>
  </w:style>
  <w:style w:type="numbering" w:customStyle="1" w:styleId="BulletedList">
    <w:name w:val="Bulleted List"/>
    <w:uiPriority w:val="99"/>
    <w:rsid w:val="000E0B74"/>
    <w:pPr>
      <w:numPr>
        <w:numId w:val="1"/>
      </w:numPr>
    </w:pPr>
  </w:style>
  <w:style w:type="numbering" w:customStyle="1" w:styleId="BoxBulletedList">
    <w:name w:val="Box Bulleted List"/>
    <w:uiPriority w:val="99"/>
    <w:rsid w:val="000E0B74"/>
    <w:pPr>
      <w:numPr>
        <w:numId w:val="2"/>
      </w:numPr>
    </w:pPr>
  </w:style>
  <w:style w:type="numbering" w:customStyle="1" w:styleId="OneLevelList">
    <w:name w:val="OneLevelList"/>
    <w:uiPriority w:val="99"/>
    <w:rsid w:val="000E0B74"/>
    <w:pPr>
      <w:numPr>
        <w:numId w:val="3"/>
      </w:numPr>
    </w:pPr>
  </w:style>
  <w:style w:type="numbering" w:customStyle="1" w:styleId="ChartandTableFootnoteAlphaList">
    <w:name w:val="ChartandTableFootnoteAlphaList"/>
    <w:uiPriority w:val="99"/>
    <w:rsid w:val="000E0B74"/>
    <w:pPr>
      <w:numPr>
        <w:numId w:val="14"/>
      </w:numPr>
    </w:pPr>
  </w:style>
  <w:style w:type="paragraph" w:customStyle="1" w:styleId="Crest">
    <w:name w:val="Crest"/>
    <w:basedOn w:val="Header"/>
    <w:rsid w:val="000E0B74"/>
    <w:pPr>
      <w:spacing w:after="480"/>
      <w:jc w:val="center"/>
    </w:pPr>
    <w:rPr>
      <w:color w:val="000000" w:themeColor="text1"/>
    </w:rPr>
  </w:style>
  <w:style w:type="paragraph" w:customStyle="1" w:styleId="Heading1Numbered">
    <w:name w:val="Heading 1 Numbered"/>
    <w:basedOn w:val="Heading1"/>
    <w:next w:val="Normal"/>
    <w:rsid w:val="000E0B74"/>
    <w:pPr>
      <w:numPr>
        <w:numId w:val="8"/>
      </w:numPr>
    </w:pPr>
  </w:style>
  <w:style w:type="character" w:customStyle="1" w:styleId="SingleParagraphChar">
    <w:name w:val="Single Paragraph Char"/>
    <w:basedOn w:val="DefaultParagraphFont"/>
    <w:link w:val="SingleParagraph"/>
    <w:rsid w:val="000E0B74"/>
    <w:rPr>
      <w:rFonts w:ascii="Calibri" w:eastAsia="Times New Roman" w:hAnsi="Calibri" w:cs="Times New Roman"/>
      <w:szCs w:val="20"/>
      <w:lang w:eastAsia="en-AU"/>
    </w:rPr>
  </w:style>
  <w:style w:type="paragraph" w:customStyle="1" w:styleId="Heading2Numbered">
    <w:name w:val="Heading 2 Numbered"/>
    <w:basedOn w:val="Heading2"/>
    <w:next w:val="Normal"/>
    <w:rsid w:val="000E0B74"/>
    <w:pPr>
      <w:numPr>
        <w:ilvl w:val="1"/>
        <w:numId w:val="8"/>
      </w:numPr>
      <w:ind w:left="284" w:hanging="284"/>
    </w:pPr>
  </w:style>
  <w:style w:type="paragraph" w:customStyle="1" w:styleId="Heading3Numbered">
    <w:name w:val="Heading 3 Numbered"/>
    <w:basedOn w:val="Heading3"/>
    <w:qFormat/>
    <w:rsid w:val="000E0B74"/>
    <w:pPr>
      <w:numPr>
        <w:ilvl w:val="2"/>
        <w:numId w:val="8"/>
      </w:numPr>
      <w:ind w:left="284" w:hanging="284"/>
    </w:pPr>
  </w:style>
  <w:style w:type="paragraph" w:styleId="Title">
    <w:name w:val="Title"/>
    <w:basedOn w:val="Normal"/>
    <w:next w:val="Normal"/>
    <w:link w:val="TitleChar"/>
    <w:uiPriority w:val="10"/>
    <w:qFormat/>
    <w:rsid w:val="001D4EAA"/>
    <w:pPr>
      <w:spacing w:before="0" w:after="300"/>
      <w:contextualSpacing/>
    </w:pPr>
    <w:rPr>
      <w:rFonts w:eastAsiaTheme="majorEastAsia" w:cstheme="majorBidi"/>
      <w:b/>
      <w:color w:val="FFFFFF" w:themeColor="background1"/>
      <w:spacing w:val="5"/>
      <w:kern w:val="28"/>
      <w:sz w:val="72"/>
      <w:szCs w:val="52"/>
    </w:rPr>
  </w:style>
  <w:style w:type="character" w:customStyle="1" w:styleId="TitleChar">
    <w:name w:val="Title Char"/>
    <w:basedOn w:val="DefaultParagraphFont"/>
    <w:link w:val="Title"/>
    <w:uiPriority w:val="10"/>
    <w:rsid w:val="001D4EAA"/>
    <w:rPr>
      <w:rFonts w:ascii="Calibri" w:eastAsiaTheme="majorEastAsia" w:hAnsi="Calibri" w:cstheme="majorBidi"/>
      <w:b/>
      <w:color w:val="FFFFFF" w:themeColor="background1"/>
      <w:spacing w:val="5"/>
      <w:kern w:val="28"/>
      <w:sz w:val="72"/>
      <w:szCs w:val="52"/>
      <w:lang w:eastAsia="en-AU"/>
    </w:rPr>
  </w:style>
  <w:style w:type="paragraph" w:styleId="Subtitle">
    <w:name w:val="Subtitle"/>
    <w:basedOn w:val="Normal"/>
    <w:next w:val="Normal"/>
    <w:link w:val="SubtitleChar"/>
    <w:uiPriority w:val="11"/>
    <w:qFormat/>
    <w:rsid w:val="001D4EAA"/>
    <w:pPr>
      <w:numPr>
        <w:ilvl w:val="1"/>
      </w:numPr>
    </w:pPr>
    <w:rPr>
      <w:rFonts w:eastAsiaTheme="majorEastAsia" w:cstheme="majorBidi"/>
      <w:iCs/>
      <w:color w:val="FFFFFF" w:themeColor="background1"/>
      <w:sz w:val="44"/>
      <w:szCs w:val="44"/>
    </w:rPr>
  </w:style>
  <w:style w:type="character" w:customStyle="1" w:styleId="SubtitleChar">
    <w:name w:val="Subtitle Char"/>
    <w:basedOn w:val="DefaultParagraphFont"/>
    <w:link w:val="Subtitle"/>
    <w:uiPriority w:val="11"/>
    <w:rsid w:val="001D4EAA"/>
    <w:rPr>
      <w:rFonts w:ascii="Calibri" w:eastAsiaTheme="majorEastAsia" w:hAnsi="Calibri" w:cstheme="majorBidi"/>
      <w:iCs/>
      <w:color w:val="FFFFFF" w:themeColor="background1"/>
      <w:sz w:val="44"/>
      <w:szCs w:val="44"/>
      <w:lang w:eastAsia="en-AU"/>
    </w:rPr>
  </w:style>
  <w:style w:type="character" w:styleId="SubtleEmphasis">
    <w:name w:val="Subtle Emphasis"/>
    <w:basedOn w:val="DefaultParagraphFont"/>
    <w:uiPriority w:val="19"/>
    <w:qFormat/>
    <w:rsid w:val="000E0B74"/>
    <w:rPr>
      <w:i/>
      <w:iCs/>
      <w:color w:val="808080" w:themeColor="text1" w:themeTint="7F"/>
    </w:rPr>
  </w:style>
  <w:style w:type="paragraph" w:styleId="Footer">
    <w:name w:val="footer"/>
    <w:basedOn w:val="Normal"/>
    <w:link w:val="FooterChar"/>
    <w:unhideWhenUsed/>
    <w:rsid w:val="00421351"/>
    <w:pPr>
      <w:tabs>
        <w:tab w:val="center" w:pos="4513"/>
        <w:tab w:val="right" w:pos="9026"/>
      </w:tabs>
      <w:spacing w:before="0" w:after="0"/>
      <w:jc w:val="center"/>
    </w:pPr>
    <w:rPr>
      <w:color w:val="002C47" w:themeColor="accent1"/>
      <w:sz w:val="20"/>
    </w:rPr>
  </w:style>
  <w:style w:type="character" w:customStyle="1" w:styleId="FooterChar">
    <w:name w:val="Footer Char"/>
    <w:basedOn w:val="DefaultParagraphFont"/>
    <w:link w:val="Footer"/>
    <w:rsid w:val="00421351"/>
    <w:rPr>
      <w:rFonts w:ascii="Calibri" w:eastAsia="Times New Roman" w:hAnsi="Calibri" w:cs="Times New Roman"/>
      <w:color w:val="002C47" w:themeColor="accent1"/>
      <w:sz w:val="20"/>
      <w:szCs w:val="20"/>
      <w:lang w:eastAsia="en-AU"/>
    </w:rPr>
  </w:style>
  <w:style w:type="paragraph" w:styleId="Header">
    <w:name w:val="header"/>
    <w:basedOn w:val="Normal"/>
    <w:link w:val="HeaderChar"/>
    <w:uiPriority w:val="99"/>
    <w:unhideWhenUsed/>
    <w:rsid w:val="00421351"/>
    <w:pPr>
      <w:keepNext/>
      <w:spacing w:before="0" w:after="0"/>
      <w:jc w:val="right"/>
    </w:pPr>
    <w:rPr>
      <w:color w:val="002C47" w:themeColor="accent1"/>
      <w:sz w:val="20"/>
    </w:rPr>
  </w:style>
  <w:style w:type="character" w:customStyle="1" w:styleId="HeaderChar">
    <w:name w:val="Header Char"/>
    <w:basedOn w:val="DefaultParagraphFont"/>
    <w:link w:val="Header"/>
    <w:uiPriority w:val="99"/>
    <w:rsid w:val="00421351"/>
    <w:rPr>
      <w:rFonts w:ascii="Calibri" w:eastAsia="Times New Roman" w:hAnsi="Calibri" w:cs="Times New Roman"/>
      <w:color w:val="002C47" w:themeColor="accent1"/>
      <w:sz w:val="20"/>
      <w:szCs w:val="20"/>
      <w:lang w:eastAsia="en-AU"/>
    </w:rPr>
  </w:style>
  <w:style w:type="character" w:styleId="PlaceholderText">
    <w:name w:val="Placeholder Text"/>
    <w:basedOn w:val="DefaultParagraphFont"/>
    <w:uiPriority w:val="99"/>
    <w:semiHidden/>
    <w:rsid w:val="00056880"/>
    <w:rPr>
      <w:color w:val="808080"/>
    </w:rPr>
  </w:style>
  <w:style w:type="paragraph" w:customStyle="1" w:styleId="AppendixHeading">
    <w:name w:val="Appendix Heading"/>
    <w:basedOn w:val="Normal"/>
    <w:next w:val="Normal"/>
    <w:rsid w:val="00285969"/>
    <w:pPr>
      <w:keepNext/>
      <w:spacing w:before="720" w:after="360"/>
    </w:pPr>
    <w:rPr>
      <w:rFonts w:ascii="Arial Bold" w:hAnsi="Arial Bold"/>
      <w:b/>
      <w:smallCaps/>
      <w:color w:val="004A7F"/>
      <w:sz w:val="36"/>
      <w:szCs w:val="36"/>
    </w:rPr>
  </w:style>
  <w:style w:type="paragraph" w:customStyle="1" w:styleId="HeadingBase">
    <w:name w:val="Heading Base"/>
    <w:qFormat/>
    <w:rsid w:val="00CE5B0C"/>
    <w:pPr>
      <w:keepNext/>
      <w:spacing w:after="120" w:line="240" w:lineRule="auto"/>
    </w:pPr>
    <w:rPr>
      <w:rFonts w:ascii="Calibri" w:eastAsia="Times New Roman" w:hAnsi="Calibri" w:cs="Arial"/>
      <w:bCs/>
      <w:color w:val="002C47"/>
      <w:kern w:val="32"/>
      <w:szCs w:val="36"/>
      <w:lang w:eastAsia="en-AU"/>
    </w:rPr>
  </w:style>
  <w:style w:type="character" w:customStyle="1" w:styleId="ReportDateChar">
    <w:name w:val="Report Date Char"/>
    <w:basedOn w:val="DefaultParagraphFont"/>
    <w:link w:val="ReportDate"/>
    <w:rsid w:val="001D4EAA"/>
    <w:rPr>
      <w:rFonts w:ascii="Calibri" w:eastAsia="Times New Roman" w:hAnsi="Calibri" w:cs="Times New Roman"/>
      <w:color w:val="FFFFFF" w:themeColor="background1"/>
      <w:sz w:val="44"/>
      <w:szCs w:val="20"/>
      <w:lang w:eastAsia="en-AU"/>
    </w:rPr>
  </w:style>
  <w:style w:type="paragraph" w:customStyle="1" w:styleId="Disclaimer">
    <w:name w:val="Disclaimer"/>
    <w:basedOn w:val="ReportDate"/>
    <w:rsid w:val="002F617F"/>
    <w:pPr>
      <w:spacing w:after="1800"/>
      <w:ind w:right="142"/>
    </w:pPr>
    <w:rPr>
      <w:rFonts w:ascii="Century Gothic" w:hAnsi="Century Gothic"/>
      <w:b/>
      <w:bCs/>
      <w:color w:val="F06252" w:themeColor="text2"/>
      <w:sz w:val="22"/>
    </w:rPr>
  </w:style>
  <w:style w:type="paragraph" w:customStyle="1" w:styleId="NotesHeading">
    <w:name w:val="Notes Heading"/>
    <w:basedOn w:val="Normal"/>
    <w:rsid w:val="002F617F"/>
    <w:pPr>
      <w:keepNext/>
      <w:spacing w:before="240" w:after="360"/>
      <w:jc w:val="center"/>
    </w:pPr>
    <w:rPr>
      <w:rFonts w:ascii="Century Gothic" w:hAnsi="Century Gothic"/>
      <w:smallCaps/>
      <w:color w:val="F06252" w:themeColor="text2"/>
      <w:sz w:val="36"/>
      <w:szCs w:val="36"/>
    </w:rPr>
  </w:style>
  <w:style w:type="paragraph" w:customStyle="1" w:styleId="Divider">
    <w:name w:val="Divider"/>
    <w:basedOn w:val="ReportDate"/>
    <w:qFormat/>
    <w:rsid w:val="002F617F"/>
    <w:pPr>
      <w:spacing w:after="1800"/>
    </w:pPr>
    <w:rPr>
      <w:rFonts w:ascii="Rockwell" w:hAnsi="Rockwell"/>
      <w:sz w:val="24"/>
    </w:rPr>
  </w:style>
  <w:style w:type="character" w:customStyle="1" w:styleId="FramedFooter">
    <w:name w:val="Framed Footer"/>
    <w:rsid w:val="00E22D51"/>
    <w:rPr>
      <w:rFonts w:ascii="Arial" w:hAnsi="Arial"/>
      <w:color w:val="004A7F"/>
      <w:sz w:val="18"/>
    </w:rPr>
  </w:style>
  <w:style w:type="character" w:customStyle="1" w:styleId="FramedHeader">
    <w:name w:val="Framed Header"/>
    <w:basedOn w:val="DefaultParagraphFont"/>
    <w:rsid w:val="0027590B"/>
    <w:rPr>
      <w:rFonts w:ascii="Arial" w:hAnsi="Arial"/>
      <w:dstrike w:val="0"/>
      <w:color w:val="auto"/>
      <w:sz w:val="18"/>
      <w:vertAlign w:val="baseline"/>
    </w:rPr>
  </w:style>
  <w:style w:type="paragraph" w:customStyle="1" w:styleId="TableTextIndented">
    <w:name w:val="Table Text Indented"/>
    <w:basedOn w:val="TableTextLeft"/>
    <w:qFormat/>
    <w:rsid w:val="008E6292"/>
    <w:pPr>
      <w:ind w:left="284"/>
    </w:pPr>
  </w:style>
  <w:style w:type="paragraph" w:customStyle="1" w:styleId="TableHeadingContinued">
    <w:name w:val="Table Heading Continued"/>
    <w:basedOn w:val="TableMainHeading"/>
    <w:next w:val="TableGraphic"/>
    <w:qFormat/>
    <w:rsid w:val="007E2AB9"/>
  </w:style>
  <w:style w:type="paragraph" w:customStyle="1" w:styleId="TableGraphic">
    <w:name w:val="Table Graphic"/>
    <w:basedOn w:val="HeadingBase"/>
    <w:next w:val="Normal"/>
    <w:qFormat/>
    <w:rsid w:val="008E6292"/>
    <w:pPr>
      <w:spacing w:after="0"/>
    </w:pPr>
  </w:style>
  <w:style w:type="character" w:styleId="FootnoteReference">
    <w:name w:val="footnote reference"/>
    <w:basedOn w:val="DefaultParagraphFont"/>
    <w:uiPriority w:val="99"/>
    <w:rsid w:val="000F7517"/>
    <w:rPr>
      <w:rFonts w:ascii="Calibri" w:hAnsi="Calibri"/>
      <w:sz w:val="20"/>
      <w:vertAlign w:val="superscript"/>
    </w:rPr>
  </w:style>
  <w:style w:type="paragraph" w:styleId="FootnoteText">
    <w:name w:val="footnote text"/>
    <w:basedOn w:val="Normal"/>
    <w:link w:val="FootnoteTextChar"/>
    <w:uiPriority w:val="99"/>
    <w:rsid w:val="00DD19CE"/>
    <w:pPr>
      <w:spacing w:before="0" w:after="0"/>
      <w:ind w:left="567" w:hanging="567"/>
    </w:pPr>
    <w:rPr>
      <w:sz w:val="20"/>
    </w:rPr>
  </w:style>
  <w:style w:type="character" w:customStyle="1" w:styleId="FootnoteTextChar">
    <w:name w:val="Footnote Text Char"/>
    <w:basedOn w:val="DefaultParagraphFont"/>
    <w:link w:val="FootnoteText"/>
    <w:uiPriority w:val="99"/>
    <w:rsid w:val="00DD19CE"/>
    <w:rPr>
      <w:rFonts w:ascii="Calibri" w:eastAsia="Times New Roman" w:hAnsi="Calibri" w:cs="Times New Roman"/>
      <w:sz w:val="20"/>
      <w:szCs w:val="20"/>
      <w:lang w:eastAsia="en-AU"/>
    </w:rPr>
  </w:style>
  <w:style w:type="paragraph" w:customStyle="1" w:styleId="Heading3noTOC">
    <w:name w:val="Heading 3 no TOC"/>
    <w:basedOn w:val="Heading3"/>
    <w:qFormat/>
    <w:rsid w:val="00257AEE"/>
    <w:rPr>
      <w:rFonts w:cs="Calibri"/>
    </w:rPr>
  </w:style>
  <w:style w:type="paragraph" w:styleId="BalloonText">
    <w:name w:val="Balloon Text"/>
    <w:basedOn w:val="Normal"/>
    <w:link w:val="BalloonTextChar"/>
    <w:uiPriority w:val="99"/>
    <w:semiHidden/>
    <w:unhideWhenUsed/>
    <w:rsid w:val="00475B7B"/>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475B7B"/>
    <w:rPr>
      <w:rFonts w:ascii="Tahoma" w:eastAsia="Times New Roman" w:hAnsi="Tahoma" w:cs="Tahoma"/>
      <w:sz w:val="16"/>
      <w:szCs w:val="16"/>
      <w:lang w:eastAsia="en-AU"/>
    </w:rPr>
  </w:style>
  <w:style w:type="character" w:customStyle="1" w:styleId="BulletChar">
    <w:name w:val="Bullet Char"/>
    <w:aliases w:val="b + line Char Char,b Char,b Char Char,b1 Char,b + line Char,Body Char,level 1 Char,Bulleted Para Char,Bullets Char,FooterText Char,L Char,List Paragraph Char,List Paragraph1 Char,List Paragraph11 Char,List Paragraph2 Char,Number Char"/>
    <w:basedOn w:val="DefaultParagraphFont"/>
    <w:link w:val="Bullet"/>
    <w:qFormat/>
    <w:rsid w:val="00C62A7C"/>
    <w:rPr>
      <w:rFonts w:ascii="Calibri" w:eastAsia="Times New Roman" w:hAnsi="Calibri" w:cs="Times New Roman"/>
      <w:szCs w:val="20"/>
      <w:lang w:eastAsia="en-AU"/>
    </w:rPr>
  </w:style>
  <w:style w:type="character" w:customStyle="1" w:styleId="DashChar">
    <w:name w:val="Dash Char"/>
    <w:basedOn w:val="DefaultParagraphFont"/>
    <w:link w:val="Dash"/>
    <w:rsid w:val="007C465B"/>
    <w:rPr>
      <w:rFonts w:ascii="Calibri" w:eastAsia="Times New Roman" w:hAnsi="Calibri" w:cs="Times New Roman"/>
      <w:szCs w:val="20"/>
      <w:lang w:eastAsia="en-AU"/>
    </w:rPr>
  </w:style>
  <w:style w:type="paragraph" w:customStyle="1" w:styleId="dotpoint">
    <w:name w:val="dot point"/>
    <w:basedOn w:val="Normal"/>
    <w:rsid w:val="00E16BC2"/>
    <w:pPr>
      <w:numPr>
        <w:numId w:val="16"/>
      </w:numPr>
    </w:pPr>
    <w:rPr>
      <w:rFonts w:ascii="Times New Roman" w:hAnsi="Times New Roman"/>
    </w:rPr>
  </w:style>
  <w:style w:type="paragraph" w:customStyle="1" w:styleId="dotpoint2">
    <w:name w:val="dot point 2"/>
    <w:basedOn w:val="Normal"/>
    <w:rsid w:val="00E16BC2"/>
    <w:pPr>
      <w:numPr>
        <w:ilvl w:val="1"/>
        <w:numId w:val="16"/>
      </w:numPr>
      <w:tabs>
        <w:tab w:val="clear" w:pos="2625"/>
        <w:tab w:val="num" w:pos="2127"/>
      </w:tabs>
      <w:ind w:left="2127" w:hanging="426"/>
    </w:pPr>
    <w:rPr>
      <w:rFonts w:ascii="Times New Roman" w:hAnsi="Times New Roman"/>
    </w:rPr>
  </w:style>
  <w:style w:type="character" w:styleId="CommentReference">
    <w:name w:val="annotation reference"/>
    <w:basedOn w:val="DefaultParagraphFont"/>
    <w:rsid w:val="00E16BC2"/>
    <w:rPr>
      <w:sz w:val="16"/>
      <w:szCs w:val="16"/>
    </w:rPr>
  </w:style>
  <w:style w:type="paragraph" w:styleId="CommentText">
    <w:name w:val="annotation text"/>
    <w:basedOn w:val="Normal"/>
    <w:link w:val="CommentTextChar"/>
    <w:rsid w:val="00E16BC2"/>
    <w:pPr>
      <w:ind w:left="1140"/>
    </w:pPr>
    <w:rPr>
      <w:rFonts w:ascii="Times New Roman" w:hAnsi="Times New Roman"/>
      <w:sz w:val="20"/>
    </w:rPr>
  </w:style>
  <w:style w:type="character" w:customStyle="1" w:styleId="CommentTextChar">
    <w:name w:val="Comment Text Char"/>
    <w:basedOn w:val="DefaultParagraphFont"/>
    <w:link w:val="CommentText"/>
    <w:rsid w:val="00E16BC2"/>
    <w:rPr>
      <w:rFonts w:ascii="Times New Roman" w:eastAsia="Times New Roman" w:hAnsi="Times New Roman" w:cs="Times New Roman"/>
      <w:sz w:val="20"/>
      <w:szCs w:val="20"/>
      <w:lang w:eastAsia="en-AU"/>
    </w:rPr>
  </w:style>
  <w:style w:type="paragraph" w:customStyle="1" w:styleId="paragraph">
    <w:name w:val="paragraph"/>
    <w:aliases w:val="a"/>
    <w:basedOn w:val="Normal"/>
    <w:rsid w:val="00C62A7C"/>
    <w:pPr>
      <w:numPr>
        <w:numId w:val="20"/>
      </w:numPr>
      <w:ind w:left="1418" w:hanging="567"/>
    </w:pPr>
    <w:rPr>
      <w:rFonts w:asciiTheme="minorHAnsi" w:hAnsiTheme="minorHAnsi"/>
      <w:szCs w:val="22"/>
      <w:lang w:val="en"/>
    </w:rPr>
  </w:style>
  <w:style w:type="paragraph" w:customStyle="1" w:styleId="Default">
    <w:name w:val="Default"/>
    <w:rsid w:val="00E16BC2"/>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E16BC2"/>
    <w:pPr>
      <w:ind w:left="720"/>
      <w:contextualSpacing/>
    </w:pPr>
    <w:rPr>
      <w:rFonts w:ascii="Times New Roman" w:hAnsi="Times New Roman"/>
    </w:rPr>
  </w:style>
  <w:style w:type="table" w:styleId="LightShading-Accent1">
    <w:name w:val="Light Shading Accent 1"/>
    <w:basedOn w:val="TableNormal"/>
    <w:uiPriority w:val="60"/>
    <w:rsid w:val="00E16BC2"/>
    <w:pPr>
      <w:spacing w:after="0" w:line="240" w:lineRule="auto"/>
    </w:pPr>
    <w:rPr>
      <w:color w:val="002035" w:themeColor="accent1" w:themeShade="BF"/>
    </w:rPr>
    <w:tblPr>
      <w:tblStyleRowBandSize w:val="1"/>
      <w:tblStyleColBandSize w:val="1"/>
      <w:tblBorders>
        <w:top w:val="single" w:sz="8" w:space="0" w:color="002C47" w:themeColor="accent1"/>
        <w:bottom w:val="single" w:sz="8" w:space="0" w:color="002C47" w:themeColor="accent1"/>
      </w:tblBorders>
    </w:tblPr>
    <w:tblStylePr w:type="firstRow">
      <w:pPr>
        <w:spacing w:before="0" w:after="0" w:line="240" w:lineRule="auto"/>
      </w:pPr>
      <w:rPr>
        <w:b/>
        <w:bCs/>
      </w:rPr>
      <w:tblPr/>
      <w:tcPr>
        <w:tcBorders>
          <w:top w:val="single" w:sz="8" w:space="0" w:color="002C47" w:themeColor="accent1"/>
          <w:left w:val="nil"/>
          <w:bottom w:val="single" w:sz="8" w:space="0" w:color="002C47" w:themeColor="accent1"/>
          <w:right w:val="nil"/>
          <w:insideH w:val="nil"/>
          <w:insideV w:val="nil"/>
        </w:tcBorders>
      </w:tcPr>
    </w:tblStylePr>
    <w:tblStylePr w:type="lastRow">
      <w:pPr>
        <w:spacing w:before="0" w:after="0" w:line="240" w:lineRule="auto"/>
      </w:pPr>
      <w:rPr>
        <w:b/>
        <w:bCs/>
      </w:rPr>
      <w:tblPr/>
      <w:tcPr>
        <w:tcBorders>
          <w:top w:val="single" w:sz="8" w:space="0" w:color="002C47" w:themeColor="accent1"/>
          <w:left w:val="nil"/>
          <w:bottom w:val="single" w:sz="8" w:space="0" w:color="002C47"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2D5FF" w:themeFill="accent1" w:themeFillTint="3F"/>
      </w:tcPr>
    </w:tblStylePr>
    <w:tblStylePr w:type="band1Horz">
      <w:tblPr/>
      <w:tcPr>
        <w:tcBorders>
          <w:left w:val="nil"/>
          <w:right w:val="nil"/>
          <w:insideH w:val="nil"/>
          <w:insideV w:val="nil"/>
        </w:tcBorders>
        <w:shd w:val="clear" w:color="auto" w:fill="92D5FF" w:themeFill="accent1" w:themeFillTint="3F"/>
      </w:tcPr>
    </w:tblStylePr>
  </w:style>
  <w:style w:type="paragraph" w:customStyle="1" w:styleId="definition">
    <w:name w:val="definition"/>
    <w:basedOn w:val="Normal"/>
    <w:rsid w:val="00E16BC2"/>
    <w:pPr>
      <w:spacing w:before="100" w:beforeAutospacing="1" w:after="100" w:afterAutospacing="1"/>
    </w:pPr>
    <w:rPr>
      <w:rFonts w:ascii="Times New Roman" w:hAnsi="Times New Roman"/>
      <w:sz w:val="24"/>
      <w:szCs w:val="24"/>
    </w:rPr>
  </w:style>
  <w:style w:type="paragraph" w:styleId="CommentSubject">
    <w:name w:val="annotation subject"/>
    <w:basedOn w:val="CommentText"/>
    <w:next w:val="CommentText"/>
    <w:link w:val="CommentSubjectChar"/>
    <w:uiPriority w:val="99"/>
    <w:semiHidden/>
    <w:unhideWhenUsed/>
    <w:rsid w:val="002C6CFA"/>
    <w:pPr>
      <w:ind w:left="0"/>
    </w:pPr>
    <w:rPr>
      <w:rFonts w:ascii="Calibri" w:hAnsi="Calibri"/>
      <w:b/>
      <w:bCs/>
    </w:rPr>
  </w:style>
  <w:style w:type="character" w:customStyle="1" w:styleId="CommentSubjectChar">
    <w:name w:val="Comment Subject Char"/>
    <w:basedOn w:val="CommentTextChar"/>
    <w:link w:val="CommentSubject"/>
    <w:uiPriority w:val="99"/>
    <w:semiHidden/>
    <w:rsid w:val="002C6CFA"/>
    <w:rPr>
      <w:rFonts w:ascii="Calibri" w:eastAsia="Times New Roman" w:hAnsi="Calibri" w:cs="Times New Roman"/>
      <w:b/>
      <w:bCs/>
      <w:sz w:val="20"/>
      <w:szCs w:val="20"/>
      <w:lang w:eastAsia="en-AU"/>
    </w:rPr>
  </w:style>
  <w:style w:type="paragraph" w:styleId="Revision">
    <w:name w:val="Revision"/>
    <w:hidden/>
    <w:uiPriority w:val="99"/>
    <w:semiHidden/>
    <w:rsid w:val="00934296"/>
    <w:pPr>
      <w:spacing w:after="0" w:line="240" w:lineRule="auto"/>
    </w:pPr>
    <w:rPr>
      <w:rFonts w:ascii="Calibri" w:eastAsia="Times New Roman" w:hAnsi="Calibri" w:cs="Times New Roman"/>
      <w:szCs w:val="20"/>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yperlink" Target="http://www.pmc.gov.au/government/commonwealth-coat-arm" TargetMode="External"/><Relationship Id="rId26" Type="http://schemas.openxmlformats.org/officeDocument/2006/relationships/footer" Target="footer6.xml"/><Relationship Id="rId3" Type="http://schemas.openxmlformats.org/officeDocument/2006/relationships/styles" Target="styles.xml"/><Relationship Id="rId21"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creativecommons.org/licenses/by/3.0/au/deed.en" TargetMode="External"/><Relationship Id="rId25"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image" Target="media/image2.wmf"/><Relationship Id="rId20" Type="http://schemas.openxmlformats.org/officeDocument/2006/relationships/header" Target="header4.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7.xml"/><Relationship Id="rId5" Type="http://schemas.openxmlformats.org/officeDocument/2006/relationships/webSettings" Target="webSettings.xml"/><Relationship Id="rId15" Type="http://schemas.openxmlformats.org/officeDocument/2006/relationships/hyperlink" Target="http://creativecommons.org/licenses/by/3.0/au/legalcode" TargetMode="External"/><Relationship Id="rId23" Type="http://schemas.openxmlformats.org/officeDocument/2006/relationships/header" Target="header6.xml"/><Relationship Id="rId28" Type="http://schemas.openxmlformats.org/officeDocument/2006/relationships/footer" Target="footer7.xml"/><Relationship Id="rId10" Type="http://schemas.openxmlformats.org/officeDocument/2006/relationships/footer" Target="footer1.xml"/><Relationship Id="rId19" Type="http://schemas.openxmlformats.org/officeDocument/2006/relationships/hyperlink" Target="mailto:medialiaison@treasury.gov.au"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creativecommons.org/licenses/by/3.0/au/deed.en" TargetMode="External"/><Relationship Id="rId22" Type="http://schemas.openxmlformats.org/officeDocument/2006/relationships/footer" Target="footer4.xml"/><Relationship Id="rId27" Type="http://schemas.openxmlformats.org/officeDocument/2006/relationships/header" Target="header8.xml"/><Relationship Id="rId30"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Corporate">
      <a:dk1>
        <a:sysClr val="windowText" lastClr="000000"/>
      </a:dk1>
      <a:lt1>
        <a:sysClr val="window" lastClr="FFFFFF"/>
      </a:lt1>
      <a:dk2>
        <a:srgbClr val="F06252"/>
      </a:dk2>
      <a:lt2>
        <a:srgbClr val="E2E0CB"/>
      </a:lt2>
      <a:accent1>
        <a:srgbClr val="002C47"/>
      </a:accent1>
      <a:accent2>
        <a:srgbClr val="3A6FAF"/>
      </a:accent2>
      <a:accent3>
        <a:srgbClr val="00827F"/>
      </a:accent3>
      <a:accent4>
        <a:srgbClr val="F7901E"/>
      </a:accent4>
      <a:accent5>
        <a:srgbClr val="00ABBD"/>
      </a:accent5>
      <a:accent6>
        <a:srgbClr val="844D9E"/>
      </a:accent6>
      <a:hlink>
        <a:srgbClr val="3A6FAF"/>
      </a:hlink>
      <a:folHlink>
        <a:srgbClr val="E61E26"/>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7677CC-7D71-449C-866C-DB8347F375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4186</Words>
  <Characters>23861</Characters>
  <Application>Microsoft Office Word</Application>
  <DocSecurity>0</DocSecurity>
  <Lines>198</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27992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2019-11-14T00:04:00Z</dcterms:created>
  <dcterms:modified xsi:type="dcterms:W3CDTF">2019-11-14T00:05:00Z</dcterms:modified>
</cp:coreProperties>
</file>