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E55F1C" w14:paraId="7C4426A4" w14:textId="77777777" w:rsidTr="00E55F1C">
        <w:tc>
          <w:tcPr>
            <w:tcW w:w="7087" w:type="dxa"/>
            <w:shd w:val="clear" w:color="auto" w:fill="auto"/>
          </w:tcPr>
          <w:p w14:paraId="5F039563" w14:textId="77777777" w:rsidR="00E55F1C" w:rsidRDefault="00E55F1C" w:rsidP="00E55F1C">
            <w:pPr>
              <w:jc w:val="center"/>
              <w:rPr>
                <w:b/>
                <w:sz w:val="26"/>
              </w:rPr>
            </w:pPr>
            <w:bookmarkStart w:id="0" w:name="_GoBack"/>
            <w:bookmarkEnd w:id="0"/>
            <w:r>
              <w:rPr>
                <w:b/>
                <w:sz w:val="26"/>
              </w:rPr>
              <w:t>EXPOSURE DRAFT</w:t>
            </w:r>
          </w:p>
          <w:p w14:paraId="2786DFCB" w14:textId="77777777" w:rsidR="00E55F1C" w:rsidRPr="00E55F1C" w:rsidRDefault="00E55F1C" w:rsidP="00E55F1C">
            <w:pPr>
              <w:rPr>
                <w:b/>
                <w:sz w:val="20"/>
              </w:rPr>
            </w:pPr>
          </w:p>
        </w:tc>
      </w:tr>
    </w:tbl>
    <w:p w14:paraId="5D8B4EBF" w14:textId="77777777" w:rsidR="00E55F1C" w:rsidRDefault="00E55F1C" w:rsidP="0080476F">
      <w:pPr>
        <w:rPr>
          <w:sz w:val="32"/>
          <w:szCs w:val="32"/>
        </w:rPr>
      </w:pPr>
    </w:p>
    <w:p w14:paraId="4458E840" w14:textId="77777777" w:rsidR="00664C63" w:rsidRPr="0080476F" w:rsidRDefault="00664C63" w:rsidP="0080476F">
      <w:pPr>
        <w:rPr>
          <w:sz w:val="32"/>
          <w:szCs w:val="32"/>
        </w:rPr>
      </w:pPr>
      <w:r w:rsidRPr="0080476F">
        <w:rPr>
          <w:sz w:val="32"/>
          <w:szCs w:val="32"/>
        </w:rPr>
        <w:t>Inserts for</w:t>
      </w:r>
    </w:p>
    <w:p w14:paraId="21D2CA8D" w14:textId="77777777" w:rsidR="00664C63" w:rsidRPr="0080476F" w:rsidRDefault="000F24D6" w:rsidP="0080476F">
      <w:pPr>
        <w:pStyle w:val="ShortT"/>
      </w:pPr>
      <w:r w:rsidRPr="0080476F">
        <w:t>Financial Sector Reform (Hayne Royal Commission Response</w:t>
      </w:r>
      <w:r w:rsidR="0096493A" w:rsidRPr="0080476F">
        <w:t>—</w:t>
      </w:r>
      <w:r w:rsidRPr="0080476F">
        <w:t>Protecting Consumers (2020 Measures)) Bill</w:t>
      </w:r>
      <w:bookmarkStart w:id="1" w:name="BK_S1P1L4C32"/>
      <w:bookmarkEnd w:id="1"/>
      <w:r w:rsidRPr="0080476F">
        <w:t xml:space="preserve"> </w:t>
      </w:r>
      <w:r w:rsidR="00295AAE" w:rsidRPr="0080476F">
        <w:t>20</w:t>
      </w:r>
      <w:r w:rsidRPr="0080476F">
        <w:t>20</w:t>
      </w:r>
      <w:r w:rsidR="00295AAE" w:rsidRPr="0080476F">
        <w:t>: c</w:t>
      </w:r>
      <w:r w:rsidR="00A26126" w:rsidRPr="0080476F">
        <w:t xml:space="preserve">laims </w:t>
      </w:r>
      <w:r w:rsidR="00295AAE" w:rsidRPr="0080476F">
        <w:t>handling</w:t>
      </w:r>
    </w:p>
    <w:p w14:paraId="2EB13AE5" w14:textId="77777777" w:rsidR="00664C63" w:rsidRPr="0080476F" w:rsidRDefault="00664C63" w:rsidP="0080476F">
      <w:pPr>
        <w:jc w:val="center"/>
      </w:pPr>
    </w:p>
    <w:p w14:paraId="602D3B75" w14:textId="77777777" w:rsidR="00664C63" w:rsidRPr="0080476F" w:rsidRDefault="00664C63" w:rsidP="0080476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80476F" w14:paraId="6499B073" w14:textId="77777777" w:rsidTr="00DA65D6">
        <w:trPr>
          <w:tblHeader/>
        </w:trPr>
        <w:tc>
          <w:tcPr>
            <w:tcW w:w="7111" w:type="dxa"/>
            <w:gridSpan w:val="3"/>
            <w:tcBorders>
              <w:top w:val="single" w:sz="12" w:space="0" w:color="auto"/>
              <w:bottom w:val="single" w:sz="6" w:space="0" w:color="auto"/>
            </w:tcBorders>
            <w:shd w:val="clear" w:color="auto" w:fill="auto"/>
          </w:tcPr>
          <w:p w14:paraId="424ED04B" w14:textId="77777777" w:rsidR="00664C63" w:rsidRPr="0080476F" w:rsidRDefault="00664C63" w:rsidP="0080476F">
            <w:pPr>
              <w:pStyle w:val="TableHeading"/>
            </w:pPr>
            <w:r w:rsidRPr="0080476F">
              <w:t>Commencement information</w:t>
            </w:r>
          </w:p>
        </w:tc>
      </w:tr>
      <w:tr w:rsidR="00664C63" w:rsidRPr="0080476F" w14:paraId="4E4E7A86" w14:textId="77777777" w:rsidTr="00DA65D6">
        <w:trPr>
          <w:tblHeader/>
        </w:trPr>
        <w:tc>
          <w:tcPr>
            <w:tcW w:w="1701" w:type="dxa"/>
            <w:tcBorders>
              <w:top w:val="single" w:sz="6" w:space="0" w:color="auto"/>
              <w:bottom w:val="single" w:sz="6" w:space="0" w:color="auto"/>
            </w:tcBorders>
            <w:shd w:val="clear" w:color="auto" w:fill="auto"/>
          </w:tcPr>
          <w:p w14:paraId="7713187F" w14:textId="77777777" w:rsidR="00664C63" w:rsidRPr="0080476F" w:rsidRDefault="00664C63" w:rsidP="0080476F">
            <w:pPr>
              <w:pStyle w:val="TableHeading"/>
            </w:pPr>
            <w:r w:rsidRPr="0080476F">
              <w:t>Column 1</w:t>
            </w:r>
          </w:p>
        </w:tc>
        <w:tc>
          <w:tcPr>
            <w:tcW w:w="3828" w:type="dxa"/>
            <w:tcBorders>
              <w:top w:val="single" w:sz="6" w:space="0" w:color="auto"/>
              <w:bottom w:val="single" w:sz="6" w:space="0" w:color="auto"/>
            </w:tcBorders>
            <w:shd w:val="clear" w:color="auto" w:fill="auto"/>
          </w:tcPr>
          <w:p w14:paraId="329FAF7B" w14:textId="77777777" w:rsidR="00664C63" w:rsidRPr="0080476F" w:rsidRDefault="00664C63" w:rsidP="0080476F">
            <w:pPr>
              <w:pStyle w:val="TableHeading"/>
            </w:pPr>
            <w:r w:rsidRPr="0080476F">
              <w:t>Column 2</w:t>
            </w:r>
          </w:p>
        </w:tc>
        <w:tc>
          <w:tcPr>
            <w:tcW w:w="1582" w:type="dxa"/>
            <w:tcBorders>
              <w:top w:val="single" w:sz="6" w:space="0" w:color="auto"/>
              <w:bottom w:val="single" w:sz="6" w:space="0" w:color="auto"/>
            </w:tcBorders>
            <w:shd w:val="clear" w:color="auto" w:fill="auto"/>
          </w:tcPr>
          <w:p w14:paraId="331BD887" w14:textId="77777777" w:rsidR="00664C63" w:rsidRPr="0080476F" w:rsidRDefault="00664C63" w:rsidP="0080476F">
            <w:pPr>
              <w:pStyle w:val="TableHeading"/>
            </w:pPr>
            <w:r w:rsidRPr="0080476F">
              <w:t>Column 3</w:t>
            </w:r>
          </w:p>
        </w:tc>
      </w:tr>
      <w:tr w:rsidR="00664C63" w:rsidRPr="0080476F" w14:paraId="0E7623CE" w14:textId="77777777" w:rsidTr="00DA65D6">
        <w:trPr>
          <w:tblHeader/>
        </w:trPr>
        <w:tc>
          <w:tcPr>
            <w:tcW w:w="1701" w:type="dxa"/>
            <w:tcBorders>
              <w:top w:val="single" w:sz="6" w:space="0" w:color="auto"/>
              <w:bottom w:val="single" w:sz="12" w:space="0" w:color="auto"/>
            </w:tcBorders>
            <w:shd w:val="clear" w:color="auto" w:fill="auto"/>
          </w:tcPr>
          <w:p w14:paraId="33BF4B76" w14:textId="77777777" w:rsidR="00664C63" w:rsidRPr="0080476F" w:rsidRDefault="00664C63" w:rsidP="0080476F">
            <w:pPr>
              <w:pStyle w:val="TableHeading"/>
            </w:pPr>
            <w:r w:rsidRPr="0080476F">
              <w:t>Provisions</w:t>
            </w:r>
          </w:p>
        </w:tc>
        <w:tc>
          <w:tcPr>
            <w:tcW w:w="3828" w:type="dxa"/>
            <w:tcBorders>
              <w:top w:val="single" w:sz="6" w:space="0" w:color="auto"/>
              <w:bottom w:val="single" w:sz="12" w:space="0" w:color="auto"/>
            </w:tcBorders>
            <w:shd w:val="clear" w:color="auto" w:fill="auto"/>
          </w:tcPr>
          <w:p w14:paraId="4CBEAD1B" w14:textId="77777777" w:rsidR="00664C63" w:rsidRPr="0080476F" w:rsidRDefault="00664C63" w:rsidP="0080476F">
            <w:pPr>
              <w:pStyle w:val="TableHeading"/>
            </w:pPr>
            <w:r w:rsidRPr="0080476F">
              <w:t>Commencement</w:t>
            </w:r>
          </w:p>
        </w:tc>
        <w:tc>
          <w:tcPr>
            <w:tcW w:w="1582" w:type="dxa"/>
            <w:tcBorders>
              <w:top w:val="single" w:sz="6" w:space="0" w:color="auto"/>
              <w:bottom w:val="single" w:sz="12" w:space="0" w:color="auto"/>
            </w:tcBorders>
            <w:shd w:val="clear" w:color="auto" w:fill="auto"/>
          </w:tcPr>
          <w:p w14:paraId="4A03CA56" w14:textId="77777777" w:rsidR="00664C63" w:rsidRPr="0080476F" w:rsidRDefault="00664C63" w:rsidP="0080476F">
            <w:pPr>
              <w:pStyle w:val="TableHeading"/>
            </w:pPr>
            <w:r w:rsidRPr="0080476F">
              <w:t>Date/Details</w:t>
            </w:r>
          </w:p>
        </w:tc>
      </w:tr>
      <w:tr w:rsidR="00664C63" w:rsidRPr="0080476F" w14:paraId="7BFA2216" w14:textId="77777777" w:rsidTr="00DA65D6">
        <w:tc>
          <w:tcPr>
            <w:tcW w:w="1701" w:type="dxa"/>
            <w:tcBorders>
              <w:top w:val="single" w:sz="12" w:space="0" w:color="auto"/>
              <w:bottom w:val="single" w:sz="12" w:space="0" w:color="auto"/>
            </w:tcBorders>
            <w:shd w:val="clear" w:color="auto" w:fill="auto"/>
          </w:tcPr>
          <w:p w14:paraId="65485227" w14:textId="77777777" w:rsidR="00664C63" w:rsidRPr="0080476F" w:rsidRDefault="00664C63" w:rsidP="0080476F">
            <w:pPr>
              <w:pStyle w:val="Tabletext"/>
            </w:pPr>
            <w:r w:rsidRPr="0080476F">
              <w:t xml:space="preserve">1.  </w:t>
            </w:r>
            <w:r w:rsidR="00754D62" w:rsidRPr="0080476F">
              <w:t>Schedule [x]</w:t>
            </w:r>
          </w:p>
        </w:tc>
        <w:tc>
          <w:tcPr>
            <w:tcW w:w="3828" w:type="dxa"/>
            <w:tcBorders>
              <w:top w:val="single" w:sz="12" w:space="0" w:color="auto"/>
              <w:bottom w:val="single" w:sz="12" w:space="0" w:color="auto"/>
            </w:tcBorders>
            <w:shd w:val="clear" w:color="auto" w:fill="auto"/>
          </w:tcPr>
          <w:p w14:paraId="2284847A" w14:textId="77777777" w:rsidR="00664C63" w:rsidRPr="0080476F" w:rsidRDefault="00DA65D6" w:rsidP="0080476F">
            <w:pPr>
              <w:pStyle w:val="Tabletext"/>
            </w:pPr>
            <w:r w:rsidRPr="0080476F">
              <w:t>1</w:t>
            </w:r>
            <w:r w:rsidR="0080476F" w:rsidRPr="0080476F">
              <w:t> </w:t>
            </w:r>
            <w:r w:rsidRPr="0080476F">
              <w:t>July 2020.</w:t>
            </w:r>
          </w:p>
        </w:tc>
        <w:tc>
          <w:tcPr>
            <w:tcW w:w="1582" w:type="dxa"/>
            <w:tcBorders>
              <w:top w:val="single" w:sz="12" w:space="0" w:color="auto"/>
              <w:bottom w:val="single" w:sz="12" w:space="0" w:color="auto"/>
            </w:tcBorders>
            <w:shd w:val="clear" w:color="auto" w:fill="auto"/>
          </w:tcPr>
          <w:p w14:paraId="50DAFBC9" w14:textId="77777777" w:rsidR="00664C63" w:rsidRPr="0080476F" w:rsidRDefault="00DA65D6" w:rsidP="0080476F">
            <w:pPr>
              <w:pStyle w:val="Tabletext"/>
            </w:pPr>
            <w:r w:rsidRPr="0080476F">
              <w:t>1</w:t>
            </w:r>
            <w:r w:rsidR="0080476F" w:rsidRPr="0080476F">
              <w:t> </w:t>
            </w:r>
            <w:r w:rsidRPr="0080476F">
              <w:t>July 2020</w:t>
            </w:r>
          </w:p>
        </w:tc>
      </w:tr>
    </w:tbl>
    <w:p w14:paraId="45FA9E8D" w14:textId="77777777" w:rsidR="00633625" w:rsidRPr="0080476F" w:rsidRDefault="00633625" w:rsidP="0080476F">
      <w:pPr>
        <w:pStyle w:val="Tabletext"/>
      </w:pPr>
    </w:p>
    <w:p w14:paraId="3AA16B1A" w14:textId="77777777" w:rsidR="00295AAE" w:rsidRPr="0080476F" w:rsidRDefault="00295AAE" w:rsidP="0080476F">
      <w:pPr>
        <w:pStyle w:val="ActHead6"/>
        <w:pageBreakBefore/>
      </w:pPr>
      <w:bookmarkStart w:id="2" w:name="_Toc25142662"/>
      <w:bookmarkStart w:id="3" w:name="opcAmSched"/>
      <w:bookmarkStart w:id="4" w:name="opcCurrentFind"/>
      <w:r w:rsidRPr="00E55F1C">
        <w:rPr>
          <w:rStyle w:val="CharAmSchNo"/>
        </w:rPr>
        <w:lastRenderedPageBreak/>
        <w:t>Schedule</w:t>
      </w:r>
      <w:bookmarkStart w:id="5" w:name="BK_S1P2L1C9"/>
      <w:bookmarkEnd w:id="5"/>
      <w:r w:rsidRPr="00E55F1C">
        <w:rPr>
          <w:rStyle w:val="CharAmSchNo"/>
        </w:rPr>
        <w:t xml:space="preserve"> </w:t>
      </w:r>
      <w:r w:rsidR="00B115B7" w:rsidRPr="00E55F1C">
        <w:rPr>
          <w:rStyle w:val="CharAmSchNo"/>
        </w:rPr>
        <w:t>[</w:t>
      </w:r>
      <w:r w:rsidRPr="00E55F1C">
        <w:rPr>
          <w:rStyle w:val="CharAmSchNo"/>
        </w:rPr>
        <w:t>x</w:t>
      </w:r>
      <w:r w:rsidR="00B115B7" w:rsidRPr="00E55F1C">
        <w:rPr>
          <w:rStyle w:val="CharAmSchNo"/>
        </w:rPr>
        <w:t>]</w:t>
      </w:r>
      <w:r w:rsidRPr="0080476F">
        <w:t>—</w:t>
      </w:r>
      <w:r w:rsidRPr="00E55F1C">
        <w:rPr>
          <w:rStyle w:val="CharAmSchText"/>
        </w:rPr>
        <w:t>Claims handling and settling</w:t>
      </w:r>
      <w:bookmarkEnd w:id="2"/>
    </w:p>
    <w:bookmarkEnd w:id="3"/>
    <w:bookmarkEnd w:id="4"/>
    <w:p w14:paraId="5D96A327" w14:textId="77777777" w:rsidR="00F012DB" w:rsidRPr="00E55F1C" w:rsidRDefault="00633D81" w:rsidP="0080476F">
      <w:pPr>
        <w:pStyle w:val="Header"/>
      </w:pPr>
      <w:r w:rsidRPr="00E55F1C">
        <w:rPr>
          <w:rStyle w:val="CharAmPartNo"/>
        </w:rPr>
        <w:t xml:space="preserve"> </w:t>
      </w:r>
      <w:r w:rsidRPr="00E55F1C">
        <w:rPr>
          <w:rStyle w:val="CharAmPartText"/>
        </w:rPr>
        <w:t xml:space="preserve"> </w:t>
      </w:r>
    </w:p>
    <w:p w14:paraId="76FDFFC8" w14:textId="77777777" w:rsidR="00633D81" w:rsidRPr="0080476F" w:rsidRDefault="00633D81" w:rsidP="0080476F">
      <w:pPr>
        <w:pStyle w:val="ActHead9"/>
        <w:rPr>
          <w:i w:val="0"/>
        </w:rPr>
      </w:pPr>
      <w:bookmarkStart w:id="6" w:name="_Toc25142663"/>
      <w:r w:rsidRPr="0080476F">
        <w:t>Corporations</w:t>
      </w:r>
      <w:bookmarkStart w:id="7" w:name="BK_S1P2L3C13"/>
      <w:bookmarkEnd w:id="7"/>
      <w:r w:rsidRPr="0080476F">
        <w:t xml:space="preserve"> Act 2001</w:t>
      </w:r>
      <w:bookmarkEnd w:id="6"/>
    </w:p>
    <w:p w14:paraId="094A9C16" w14:textId="77777777" w:rsidR="00633D81" w:rsidRPr="0080476F" w:rsidRDefault="0096493A" w:rsidP="0080476F">
      <w:pPr>
        <w:pStyle w:val="ItemHead"/>
      </w:pPr>
      <w:r w:rsidRPr="0080476F">
        <w:t>1</w:t>
      </w:r>
      <w:r w:rsidR="00633D81" w:rsidRPr="0080476F">
        <w:t xml:space="preserve">  Section</w:t>
      </w:r>
      <w:r w:rsidR="0080476F" w:rsidRPr="0080476F">
        <w:t> </w:t>
      </w:r>
      <w:r w:rsidR="00633D81" w:rsidRPr="0080476F">
        <w:t>9</w:t>
      </w:r>
    </w:p>
    <w:p w14:paraId="0E52B85C" w14:textId="77777777" w:rsidR="00633D81" w:rsidRPr="0080476F" w:rsidRDefault="00633D81" w:rsidP="0080476F">
      <w:pPr>
        <w:pStyle w:val="Item"/>
      </w:pPr>
      <w:r w:rsidRPr="0080476F">
        <w:t>Insert:</w:t>
      </w:r>
    </w:p>
    <w:p w14:paraId="16775606" w14:textId="77777777" w:rsidR="00B22454" w:rsidRPr="0080476F" w:rsidRDefault="00B22454" w:rsidP="0080476F">
      <w:pPr>
        <w:pStyle w:val="Definition"/>
        <w:rPr>
          <w:b/>
          <w:i/>
        </w:rPr>
      </w:pPr>
      <w:r w:rsidRPr="0080476F">
        <w:rPr>
          <w:b/>
          <w:i/>
        </w:rPr>
        <w:t>claims handling and settling service</w:t>
      </w:r>
      <w:r w:rsidRPr="0080476F">
        <w:t>, when used in a provision outside Chapter</w:t>
      </w:r>
      <w:r w:rsidR="0080476F" w:rsidRPr="0080476F">
        <w:t> </w:t>
      </w:r>
      <w:r w:rsidRPr="0080476F">
        <w:t>7, has the same meaning as in Chapter</w:t>
      </w:r>
      <w:r w:rsidR="0080476F" w:rsidRPr="0080476F">
        <w:t> </w:t>
      </w:r>
      <w:r w:rsidRPr="0080476F">
        <w:t>7.</w:t>
      </w:r>
    </w:p>
    <w:p w14:paraId="7B2BEB49" w14:textId="77777777" w:rsidR="00633D81" w:rsidRPr="0080476F" w:rsidRDefault="0096493A" w:rsidP="0080476F">
      <w:pPr>
        <w:pStyle w:val="ItemHead"/>
      </w:pPr>
      <w:r w:rsidRPr="0080476F">
        <w:t>2</w:t>
      </w:r>
      <w:r w:rsidR="00633D81" w:rsidRPr="0080476F">
        <w:t xml:space="preserve">  Section</w:t>
      </w:r>
      <w:r w:rsidR="0080476F" w:rsidRPr="0080476F">
        <w:t> </w:t>
      </w:r>
      <w:r w:rsidR="00633D81" w:rsidRPr="0080476F">
        <w:t xml:space="preserve">9 (at the end of </w:t>
      </w:r>
      <w:r w:rsidR="0080476F" w:rsidRPr="0080476F">
        <w:t>paragraph (</w:t>
      </w:r>
      <w:r w:rsidR="00633D81" w:rsidRPr="0080476F">
        <w:t xml:space="preserve">a) of the definition of </w:t>
      </w:r>
      <w:r w:rsidR="00633D81" w:rsidRPr="0080476F">
        <w:rPr>
          <w:i/>
        </w:rPr>
        <w:t>professional investor</w:t>
      </w:r>
      <w:r w:rsidR="00633D81" w:rsidRPr="0080476F">
        <w:t>)</w:t>
      </w:r>
    </w:p>
    <w:p w14:paraId="5EEE37D1" w14:textId="77777777" w:rsidR="00633D81" w:rsidRPr="0080476F" w:rsidRDefault="00633D81" w:rsidP="0080476F">
      <w:pPr>
        <w:pStyle w:val="Item"/>
      </w:pPr>
      <w:r w:rsidRPr="0080476F">
        <w:t>Add “whose Australian financial services licence covers the provision of financial services that are not limited to claims handling and settling services”.</w:t>
      </w:r>
    </w:p>
    <w:p w14:paraId="73E04722" w14:textId="77777777" w:rsidR="00633D81" w:rsidRPr="0080476F" w:rsidRDefault="0096493A" w:rsidP="0080476F">
      <w:pPr>
        <w:pStyle w:val="ItemHead"/>
      </w:pPr>
      <w:r w:rsidRPr="0080476F">
        <w:t>3</w:t>
      </w:r>
      <w:r w:rsidR="00633D81" w:rsidRPr="0080476F">
        <w:t xml:space="preserve">  Section</w:t>
      </w:r>
      <w:r w:rsidR="0080476F" w:rsidRPr="0080476F">
        <w:t> </w:t>
      </w:r>
      <w:r w:rsidR="00633D81" w:rsidRPr="0080476F">
        <w:t>761A (</w:t>
      </w:r>
      <w:r w:rsidR="0080476F" w:rsidRPr="0080476F">
        <w:t>paragraph (</w:t>
      </w:r>
      <w:r w:rsidR="00633D81" w:rsidRPr="0080476F">
        <w:t xml:space="preserve">b) of the definition of </w:t>
      </w:r>
      <w:r w:rsidR="00633D81" w:rsidRPr="0080476F">
        <w:rPr>
          <w:i/>
        </w:rPr>
        <w:t>binder</w:t>
      </w:r>
      <w:r w:rsidR="00633D81" w:rsidRPr="0080476F">
        <w:t>)</w:t>
      </w:r>
    </w:p>
    <w:p w14:paraId="7E15C701" w14:textId="77777777" w:rsidR="00633D81" w:rsidRPr="0080476F" w:rsidRDefault="00633D81" w:rsidP="0080476F">
      <w:pPr>
        <w:pStyle w:val="Item"/>
      </w:pPr>
      <w:r w:rsidRPr="0080476F">
        <w:t>Repeal the paragraph, substitute:</w:t>
      </w:r>
    </w:p>
    <w:p w14:paraId="248061AF" w14:textId="77777777" w:rsidR="00633D81" w:rsidRPr="0080476F" w:rsidRDefault="00633D81" w:rsidP="0080476F">
      <w:pPr>
        <w:pStyle w:val="paragraph"/>
      </w:pPr>
      <w:r w:rsidRPr="0080476F">
        <w:tab/>
        <w:t>(b)</w:t>
      </w:r>
      <w:r w:rsidRPr="0080476F">
        <w:tab/>
        <w:t>provide a claims handling and settling service, on behalf of the insurer as insurer, in relation to risk insurance products;</w:t>
      </w:r>
    </w:p>
    <w:p w14:paraId="6C3034D6" w14:textId="77777777" w:rsidR="00633D81" w:rsidRPr="0080476F" w:rsidRDefault="0096493A" w:rsidP="0080476F">
      <w:pPr>
        <w:pStyle w:val="ItemHead"/>
      </w:pPr>
      <w:r w:rsidRPr="0080476F">
        <w:t>4</w:t>
      </w:r>
      <w:r w:rsidR="00633D81" w:rsidRPr="0080476F">
        <w:t xml:space="preserve">  Section</w:t>
      </w:r>
      <w:r w:rsidR="0080476F" w:rsidRPr="0080476F">
        <w:t> </w:t>
      </w:r>
      <w:r w:rsidR="00633D81" w:rsidRPr="0080476F">
        <w:t>761A</w:t>
      </w:r>
    </w:p>
    <w:p w14:paraId="1067F3C6" w14:textId="77777777" w:rsidR="00633D81" w:rsidRPr="0080476F" w:rsidRDefault="00633D81" w:rsidP="0080476F">
      <w:pPr>
        <w:pStyle w:val="Item"/>
      </w:pPr>
      <w:r w:rsidRPr="0080476F">
        <w:t>Insert:</w:t>
      </w:r>
    </w:p>
    <w:p w14:paraId="7EFFBA7C" w14:textId="77777777" w:rsidR="00B22454" w:rsidRPr="0080476F" w:rsidRDefault="00B22454" w:rsidP="0080476F">
      <w:pPr>
        <w:pStyle w:val="Definition"/>
      </w:pPr>
      <w:r w:rsidRPr="0080476F">
        <w:rPr>
          <w:b/>
          <w:i/>
        </w:rPr>
        <w:t>claims handling and settling service</w:t>
      </w:r>
      <w:r w:rsidRPr="0080476F">
        <w:t xml:space="preserve"> has the meaning given by section</w:t>
      </w:r>
      <w:r w:rsidR="0080476F" w:rsidRPr="0080476F">
        <w:t> </w:t>
      </w:r>
      <w:r w:rsidRPr="0080476F">
        <w:t>766G.</w:t>
      </w:r>
    </w:p>
    <w:p w14:paraId="33A212CB" w14:textId="77777777" w:rsidR="00633D81" w:rsidRPr="0080476F" w:rsidRDefault="00633D81" w:rsidP="0080476F">
      <w:pPr>
        <w:pStyle w:val="Definition"/>
      </w:pPr>
      <w:r w:rsidRPr="0080476F">
        <w:rPr>
          <w:b/>
          <w:i/>
        </w:rPr>
        <w:t>insurance claims manager</w:t>
      </w:r>
      <w:r w:rsidRPr="0080476F">
        <w:t xml:space="preserve"> means a person who carries on a business of providing claims handling and settling services on behalf of one or more insurers.</w:t>
      </w:r>
    </w:p>
    <w:p w14:paraId="6BB7D760" w14:textId="77777777" w:rsidR="00633D81" w:rsidRPr="0080476F" w:rsidRDefault="00633D81" w:rsidP="0080476F">
      <w:pPr>
        <w:pStyle w:val="Definition"/>
      </w:pPr>
      <w:r w:rsidRPr="0080476F">
        <w:rPr>
          <w:b/>
          <w:i/>
        </w:rPr>
        <w:t>insurance fulfilment provider</w:t>
      </w:r>
      <w:r w:rsidRPr="0080476F">
        <w:t xml:space="preserve"> means a person who carries on a business of providing goods or services to persons insured under insurance products in satisfaction of the liability of the insurers under those products.</w:t>
      </w:r>
    </w:p>
    <w:p w14:paraId="06CE71B8" w14:textId="77777777" w:rsidR="00633D81" w:rsidRPr="0080476F" w:rsidRDefault="00633D81" w:rsidP="0080476F">
      <w:pPr>
        <w:pStyle w:val="Definition"/>
      </w:pPr>
      <w:r w:rsidRPr="0080476F">
        <w:rPr>
          <w:b/>
          <w:i/>
        </w:rPr>
        <w:t>loss assessor</w:t>
      </w:r>
      <w:r w:rsidRPr="0080476F">
        <w:t xml:space="preserve"> means a person who carries on a business of doing either or both of the following</w:t>
      </w:r>
      <w:r w:rsidR="007A30FF" w:rsidRPr="0080476F">
        <w:t xml:space="preserve"> on behalf of one or more insurers</w:t>
      </w:r>
      <w:r w:rsidRPr="0080476F">
        <w:t>:</w:t>
      </w:r>
    </w:p>
    <w:p w14:paraId="38ED4C6D" w14:textId="77777777" w:rsidR="00633D81" w:rsidRPr="0080476F" w:rsidRDefault="00633D81" w:rsidP="0080476F">
      <w:pPr>
        <w:pStyle w:val="paragraph"/>
      </w:pPr>
      <w:r w:rsidRPr="0080476F">
        <w:tab/>
        <w:t>(a)</w:t>
      </w:r>
      <w:r w:rsidRPr="0080476F">
        <w:tab/>
        <w:t>investigating the validity of claims under insurance products;</w:t>
      </w:r>
    </w:p>
    <w:p w14:paraId="0299CE5D" w14:textId="77777777" w:rsidR="00633D81" w:rsidRPr="0080476F" w:rsidRDefault="00633D81" w:rsidP="0080476F">
      <w:pPr>
        <w:pStyle w:val="paragraph"/>
      </w:pPr>
      <w:r w:rsidRPr="0080476F">
        <w:tab/>
        <w:t>(b)</w:t>
      </w:r>
      <w:r w:rsidRPr="0080476F">
        <w:tab/>
        <w:t>assessing the extent of insurers’ liability under insurance products under which claims are made.</w:t>
      </w:r>
    </w:p>
    <w:p w14:paraId="618E7450" w14:textId="77777777" w:rsidR="00633625" w:rsidRPr="0080476F" w:rsidRDefault="00633625" w:rsidP="0080476F">
      <w:pPr>
        <w:pStyle w:val="Definition"/>
      </w:pPr>
      <w:r w:rsidRPr="0080476F">
        <w:rPr>
          <w:b/>
          <w:i/>
        </w:rPr>
        <w:lastRenderedPageBreak/>
        <w:t>Statement of Claim Settlement Options</w:t>
      </w:r>
      <w:r w:rsidRPr="0080476F">
        <w:t xml:space="preserve"> means a Statement of Claim Settlement Options required by section</w:t>
      </w:r>
      <w:r w:rsidR="0080476F" w:rsidRPr="0080476F">
        <w:t> </w:t>
      </w:r>
      <w:r w:rsidRPr="0080476F">
        <w:t>948C to be given in accordance with Division</w:t>
      </w:r>
      <w:r w:rsidR="0080476F" w:rsidRPr="0080476F">
        <w:t> </w:t>
      </w:r>
      <w:r w:rsidRPr="0080476F">
        <w:t>3A of Part</w:t>
      </w:r>
      <w:r w:rsidR="0080476F" w:rsidRPr="0080476F">
        <w:t> </w:t>
      </w:r>
      <w:r w:rsidRPr="0080476F">
        <w:t>7.7.</w:t>
      </w:r>
    </w:p>
    <w:p w14:paraId="3111198D" w14:textId="77777777" w:rsidR="00633D81" w:rsidRPr="0080476F" w:rsidRDefault="0096493A" w:rsidP="0080476F">
      <w:pPr>
        <w:pStyle w:val="ItemHead"/>
      </w:pPr>
      <w:r w:rsidRPr="0080476F">
        <w:t>5</w:t>
      </w:r>
      <w:r w:rsidR="00633D81" w:rsidRPr="0080476F">
        <w:t xml:space="preserve">  After paragraph</w:t>
      </w:r>
      <w:r w:rsidR="0080476F" w:rsidRPr="0080476F">
        <w:t> </w:t>
      </w:r>
      <w:r w:rsidR="00633D81" w:rsidRPr="0080476F">
        <w:t>766A(1)(ea)</w:t>
      </w:r>
    </w:p>
    <w:p w14:paraId="780E03B2" w14:textId="77777777" w:rsidR="00633D81" w:rsidRPr="0080476F" w:rsidRDefault="00633D81" w:rsidP="0080476F">
      <w:pPr>
        <w:pStyle w:val="Item"/>
      </w:pPr>
      <w:r w:rsidRPr="0080476F">
        <w:t>Insert:</w:t>
      </w:r>
    </w:p>
    <w:p w14:paraId="4CB0BCD3" w14:textId="77777777" w:rsidR="00633D81" w:rsidRPr="0080476F" w:rsidRDefault="00633D81" w:rsidP="0080476F">
      <w:pPr>
        <w:pStyle w:val="paragraph"/>
      </w:pPr>
      <w:r w:rsidRPr="0080476F">
        <w:tab/>
        <w:t>(eb)</w:t>
      </w:r>
      <w:r w:rsidRPr="0080476F">
        <w:tab/>
        <w:t>provide a claims handling and settling service (see section</w:t>
      </w:r>
      <w:r w:rsidR="0080476F" w:rsidRPr="0080476F">
        <w:t> </w:t>
      </w:r>
      <w:r w:rsidRPr="0080476F">
        <w:t>766G); or</w:t>
      </w:r>
    </w:p>
    <w:p w14:paraId="3348B98E" w14:textId="77777777" w:rsidR="00633D81" w:rsidRPr="0080476F" w:rsidRDefault="0096493A" w:rsidP="0080476F">
      <w:pPr>
        <w:pStyle w:val="ItemHead"/>
      </w:pPr>
      <w:r w:rsidRPr="0080476F">
        <w:t>6</w:t>
      </w:r>
      <w:r w:rsidR="00633D81" w:rsidRPr="0080476F">
        <w:t xml:space="preserve">  After subsection</w:t>
      </w:r>
      <w:r w:rsidR="0080476F" w:rsidRPr="0080476F">
        <w:t> </w:t>
      </w:r>
      <w:r w:rsidR="00633D81" w:rsidRPr="0080476F">
        <w:t>766B(7)</w:t>
      </w:r>
    </w:p>
    <w:p w14:paraId="08033A55" w14:textId="77777777" w:rsidR="00633D81" w:rsidRPr="0080476F" w:rsidRDefault="00633D81" w:rsidP="0080476F">
      <w:pPr>
        <w:pStyle w:val="Item"/>
      </w:pPr>
      <w:r w:rsidRPr="0080476F">
        <w:t>Insert:</w:t>
      </w:r>
    </w:p>
    <w:p w14:paraId="7EE175C3" w14:textId="77777777" w:rsidR="00633D81" w:rsidRPr="0080476F" w:rsidRDefault="00633D81" w:rsidP="0080476F">
      <w:pPr>
        <w:pStyle w:val="subsection"/>
      </w:pPr>
      <w:r w:rsidRPr="0080476F">
        <w:tab/>
        <w:t>(7A)</w:t>
      </w:r>
      <w:r w:rsidRPr="0080476F">
        <w:tab/>
        <w:t>A recommendation or statement of opinion, or a report of either of those things,</w:t>
      </w:r>
      <w:r w:rsidRPr="0080476F">
        <w:rPr>
          <w:i/>
        </w:rPr>
        <w:t xml:space="preserve"> </w:t>
      </w:r>
      <w:r w:rsidRPr="0080476F">
        <w:t>is not financial product advice if giving the recommendation, statement of opinion or report</w:t>
      </w:r>
      <w:r w:rsidRPr="0080476F">
        <w:rPr>
          <w:i/>
        </w:rPr>
        <w:t xml:space="preserve"> </w:t>
      </w:r>
      <w:r w:rsidRPr="0080476F">
        <w:t>could reasonably be regarded as a necessary part of providing a claims handling and settling service.</w:t>
      </w:r>
    </w:p>
    <w:p w14:paraId="2A6FC475" w14:textId="77777777" w:rsidR="00633D81" w:rsidRPr="0080476F" w:rsidRDefault="00633D81" w:rsidP="0080476F">
      <w:pPr>
        <w:pStyle w:val="subsection"/>
      </w:pPr>
      <w:r w:rsidRPr="0080476F">
        <w:tab/>
        <w:t>(7B)</w:t>
      </w:r>
      <w:r w:rsidRPr="0080476F">
        <w:tab/>
        <w:t>The regulation</w:t>
      </w:r>
      <w:bookmarkStart w:id="8" w:name="BK_S1P3L15C21"/>
      <w:bookmarkEnd w:id="8"/>
      <w:r w:rsidRPr="0080476F">
        <w:t>s may prescribe:</w:t>
      </w:r>
    </w:p>
    <w:p w14:paraId="1CD097D8" w14:textId="77777777" w:rsidR="00633D81" w:rsidRPr="0080476F" w:rsidRDefault="00633D81" w:rsidP="0080476F">
      <w:pPr>
        <w:pStyle w:val="paragraph"/>
      </w:pPr>
      <w:r w:rsidRPr="0080476F">
        <w:tab/>
        <w:t>(a)</w:t>
      </w:r>
      <w:r w:rsidRPr="0080476F">
        <w:tab/>
        <w:t xml:space="preserve">circumstances in which giving a recommendation, statement of opinion or report could reasonably be regarded as a necessary part of providing a claims handling and settling service for the purposes of </w:t>
      </w:r>
      <w:r w:rsidR="0080476F" w:rsidRPr="0080476F">
        <w:t>subsection (</w:t>
      </w:r>
      <w:r w:rsidRPr="0080476F">
        <w:t>7A); and</w:t>
      </w:r>
    </w:p>
    <w:p w14:paraId="095DFD0F" w14:textId="77777777" w:rsidR="00633D81" w:rsidRPr="0080476F" w:rsidRDefault="00633D81" w:rsidP="0080476F">
      <w:pPr>
        <w:pStyle w:val="paragraph"/>
      </w:pPr>
      <w:r w:rsidRPr="0080476F">
        <w:tab/>
        <w:t>(b)</w:t>
      </w:r>
      <w:r w:rsidRPr="0080476F">
        <w:tab/>
        <w:t xml:space="preserve">circumstances in which giving a recommendation, statement of opinion or report could not reasonably be regarded as a necessary part of providing a claims handling and settling service for the purposes of </w:t>
      </w:r>
      <w:r w:rsidR="0080476F" w:rsidRPr="0080476F">
        <w:t>subsection (</w:t>
      </w:r>
      <w:r w:rsidRPr="0080476F">
        <w:t>7A).</w:t>
      </w:r>
    </w:p>
    <w:p w14:paraId="75C1D5C7" w14:textId="77777777" w:rsidR="00633D81" w:rsidRPr="0080476F" w:rsidRDefault="0096493A" w:rsidP="0080476F">
      <w:pPr>
        <w:pStyle w:val="ItemHead"/>
      </w:pPr>
      <w:r w:rsidRPr="0080476F">
        <w:t>7</w:t>
      </w:r>
      <w:r w:rsidR="00633D81" w:rsidRPr="0080476F">
        <w:t xml:space="preserve">  Subsection</w:t>
      </w:r>
      <w:r w:rsidR="0080476F" w:rsidRPr="0080476F">
        <w:t> </w:t>
      </w:r>
      <w:r w:rsidR="00633D81" w:rsidRPr="0080476F">
        <w:t>766B(8)</w:t>
      </w:r>
    </w:p>
    <w:p w14:paraId="28332F60" w14:textId="77777777" w:rsidR="00633D81" w:rsidRPr="0080476F" w:rsidRDefault="00633D81" w:rsidP="0080476F">
      <w:pPr>
        <w:pStyle w:val="Item"/>
      </w:pPr>
      <w:r w:rsidRPr="0080476F">
        <w:t>Omit “and (7)”, substitute “, (7) and (7A)”.</w:t>
      </w:r>
    </w:p>
    <w:p w14:paraId="4EAD47EC" w14:textId="77777777" w:rsidR="00633D81" w:rsidRPr="0080476F" w:rsidRDefault="0096493A" w:rsidP="0080476F">
      <w:pPr>
        <w:pStyle w:val="ItemHead"/>
      </w:pPr>
      <w:r w:rsidRPr="0080476F">
        <w:t>8</w:t>
      </w:r>
      <w:r w:rsidR="00633D81" w:rsidRPr="0080476F">
        <w:t xml:space="preserve">  At the end of Division</w:t>
      </w:r>
      <w:r w:rsidR="0080476F" w:rsidRPr="0080476F">
        <w:t> </w:t>
      </w:r>
      <w:r w:rsidR="00633D81" w:rsidRPr="0080476F">
        <w:t>4 of Part</w:t>
      </w:r>
      <w:r w:rsidR="0080476F" w:rsidRPr="0080476F">
        <w:t> </w:t>
      </w:r>
      <w:r w:rsidR="00633D81" w:rsidRPr="0080476F">
        <w:t>7.1</w:t>
      </w:r>
    </w:p>
    <w:p w14:paraId="68ACFE9A" w14:textId="77777777" w:rsidR="00633D81" w:rsidRPr="0080476F" w:rsidRDefault="00633D81" w:rsidP="0080476F">
      <w:pPr>
        <w:pStyle w:val="Item"/>
      </w:pPr>
      <w:r w:rsidRPr="0080476F">
        <w:t>Add:</w:t>
      </w:r>
    </w:p>
    <w:p w14:paraId="4FB039EE" w14:textId="77777777" w:rsidR="00633D81" w:rsidRPr="0080476F" w:rsidRDefault="00633D81" w:rsidP="0080476F">
      <w:pPr>
        <w:pStyle w:val="ActHead5"/>
        <w:rPr>
          <w:i/>
        </w:rPr>
      </w:pPr>
      <w:bookmarkStart w:id="9" w:name="_Toc25142664"/>
      <w:r w:rsidRPr="00E55F1C">
        <w:rPr>
          <w:rStyle w:val="CharSectno"/>
        </w:rPr>
        <w:t>766G</w:t>
      </w:r>
      <w:r w:rsidRPr="0080476F">
        <w:t xml:space="preserve">   Meaning of </w:t>
      </w:r>
      <w:r w:rsidRPr="0080476F">
        <w:rPr>
          <w:i/>
        </w:rPr>
        <w:t>claims handling and settling service</w:t>
      </w:r>
      <w:bookmarkEnd w:id="9"/>
    </w:p>
    <w:p w14:paraId="36AB2D16" w14:textId="77777777" w:rsidR="00633D81" w:rsidRPr="0080476F" w:rsidRDefault="00633D81" w:rsidP="0080476F">
      <w:pPr>
        <w:pStyle w:val="subsection"/>
      </w:pPr>
      <w:r w:rsidRPr="0080476F">
        <w:tab/>
        <w:t>(1)</w:t>
      </w:r>
      <w:r w:rsidRPr="0080476F">
        <w:tab/>
        <w:t xml:space="preserve">A person provides a </w:t>
      </w:r>
      <w:r w:rsidRPr="0080476F">
        <w:rPr>
          <w:b/>
          <w:i/>
        </w:rPr>
        <w:t xml:space="preserve">claims handling and settling service </w:t>
      </w:r>
      <w:r w:rsidRPr="0080476F">
        <w:t>if:</w:t>
      </w:r>
    </w:p>
    <w:p w14:paraId="5FED85B9" w14:textId="77777777" w:rsidR="00633D81" w:rsidRPr="0080476F" w:rsidRDefault="00633D81" w:rsidP="0080476F">
      <w:pPr>
        <w:pStyle w:val="paragraph"/>
      </w:pPr>
      <w:r w:rsidRPr="0080476F">
        <w:tab/>
        <w:t>(a)</w:t>
      </w:r>
      <w:r w:rsidRPr="0080476F">
        <w:tab/>
        <w:t>the person makes a recommendation, or states an opinion, in the following circumstances:</w:t>
      </w:r>
    </w:p>
    <w:p w14:paraId="362FF727" w14:textId="77777777" w:rsidR="00633D81" w:rsidRPr="0080476F" w:rsidRDefault="00633D81" w:rsidP="0080476F">
      <w:pPr>
        <w:pStyle w:val="paragraphsub"/>
      </w:pPr>
      <w:r w:rsidRPr="0080476F">
        <w:tab/>
        <w:t>(i)</w:t>
      </w:r>
      <w:r w:rsidRPr="0080476F">
        <w:tab/>
        <w:t xml:space="preserve">the recommendation, or statement of opinion, is made in response to an inquiry by or on behalf of another person </w:t>
      </w:r>
      <w:r w:rsidRPr="0080476F">
        <w:lastRenderedPageBreak/>
        <w:t>about a potential claim by the other person under an insurance product;</w:t>
      </w:r>
    </w:p>
    <w:p w14:paraId="6929710D" w14:textId="77777777" w:rsidR="00633D81" w:rsidRPr="0080476F" w:rsidRDefault="00633D81" w:rsidP="0080476F">
      <w:pPr>
        <w:pStyle w:val="paragraphsub"/>
      </w:pPr>
      <w:r w:rsidRPr="0080476F">
        <w:tab/>
        <w:t>(ii)</w:t>
      </w:r>
      <w:r w:rsidRPr="0080476F">
        <w:tab/>
        <w:t>the recommendation, or statement of opinion, could reasonably be expected to influence a decision whether to make the claim; or</w:t>
      </w:r>
    </w:p>
    <w:p w14:paraId="75E2F069" w14:textId="77777777" w:rsidR="00633D81" w:rsidRPr="0080476F" w:rsidRDefault="00633D81" w:rsidP="0080476F">
      <w:pPr>
        <w:pStyle w:val="paragraph"/>
      </w:pPr>
      <w:r w:rsidRPr="0080476F">
        <w:tab/>
        <w:t>(b)</w:t>
      </w:r>
      <w:r w:rsidRPr="0080476F">
        <w:tab/>
        <w:t>the person assists another person to make a claim under an insurance product; or</w:t>
      </w:r>
    </w:p>
    <w:p w14:paraId="1E2DF38B" w14:textId="77777777" w:rsidR="00633D81" w:rsidRPr="0080476F" w:rsidRDefault="00633D81" w:rsidP="0080476F">
      <w:pPr>
        <w:pStyle w:val="paragraph"/>
      </w:pPr>
      <w:r w:rsidRPr="0080476F">
        <w:tab/>
        <w:t>(c)</w:t>
      </w:r>
      <w:r w:rsidRPr="0080476F">
        <w:tab/>
        <w:t>the person assesses whether an insurer has a liability under an insurance product, or provides assistance in relation to such an assessment; or</w:t>
      </w:r>
    </w:p>
    <w:p w14:paraId="63E4D7A9" w14:textId="77777777" w:rsidR="00633D81" w:rsidRPr="0080476F" w:rsidRDefault="00633D81" w:rsidP="0080476F">
      <w:pPr>
        <w:pStyle w:val="paragraph"/>
      </w:pPr>
      <w:r w:rsidRPr="0080476F">
        <w:tab/>
        <w:t>(d)</w:t>
      </w:r>
      <w:r w:rsidRPr="0080476F">
        <w:tab/>
        <w:t>the person makes a decision to accept or reject all or part of a claim under an insurance product; or</w:t>
      </w:r>
    </w:p>
    <w:p w14:paraId="5D326920" w14:textId="77777777" w:rsidR="00633D81" w:rsidRPr="0080476F" w:rsidRDefault="00633D81" w:rsidP="0080476F">
      <w:pPr>
        <w:pStyle w:val="paragraph"/>
      </w:pPr>
      <w:r w:rsidRPr="0080476F">
        <w:tab/>
        <w:t>(e)</w:t>
      </w:r>
      <w:r w:rsidRPr="0080476F">
        <w:tab/>
        <w:t>the person quantifies the extent of the insurer’s liability to another person under an insurance product, or provides assistance in relation to the quantification of the extent of such a liability; or</w:t>
      </w:r>
    </w:p>
    <w:p w14:paraId="71F7DEB1" w14:textId="77777777" w:rsidR="00633D81" w:rsidRPr="0080476F" w:rsidRDefault="00633D81" w:rsidP="0080476F">
      <w:pPr>
        <w:pStyle w:val="paragraph"/>
      </w:pPr>
      <w:r w:rsidRPr="0080476F">
        <w:tab/>
        <w:t>(f)</w:t>
      </w:r>
      <w:r w:rsidRPr="0080476F">
        <w:tab/>
        <w:t>the person offers to settle all or part of a claim under an insurance product; or</w:t>
      </w:r>
    </w:p>
    <w:p w14:paraId="4D2725FC" w14:textId="77777777" w:rsidR="00633D81" w:rsidRPr="0080476F" w:rsidRDefault="00633D81" w:rsidP="0080476F">
      <w:pPr>
        <w:pStyle w:val="paragraph"/>
      </w:pPr>
      <w:r w:rsidRPr="0080476F">
        <w:tab/>
        <w:t>(g)</w:t>
      </w:r>
      <w:r w:rsidRPr="0080476F">
        <w:tab/>
        <w:t>the person satisfies a liability of the insurer under an insurance product in full or partial settlement of a claim under the insurance product.</w:t>
      </w:r>
    </w:p>
    <w:p w14:paraId="71E90DC9" w14:textId="77777777" w:rsidR="00633D81" w:rsidRPr="0080476F" w:rsidRDefault="00633D81" w:rsidP="0080476F">
      <w:pPr>
        <w:pStyle w:val="subsection"/>
      </w:pPr>
      <w:r w:rsidRPr="0080476F">
        <w:tab/>
        <w:t>(2)</w:t>
      </w:r>
      <w:r w:rsidRPr="0080476F">
        <w:tab/>
        <w:t xml:space="preserve">Each of the following is not a </w:t>
      </w:r>
      <w:r w:rsidRPr="0080476F">
        <w:rPr>
          <w:b/>
          <w:i/>
        </w:rPr>
        <w:t>claims handling and settling service</w:t>
      </w:r>
      <w:r w:rsidRPr="0080476F">
        <w:t>:</w:t>
      </w:r>
    </w:p>
    <w:p w14:paraId="14C2BEAD" w14:textId="77777777" w:rsidR="00633D81" w:rsidRPr="0080476F" w:rsidRDefault="00633D81" w:rsidP="0080476F">
      <w:pPr>
        <w:pStyle w:val="paragraph"/>
      </w:pPr>
      <w:r w:rsidRPr="0080476F">
        <w:tab/>
        <w:t>(a)</w:t>
      </w:r>
      <w:r w:rsidRPr="0080476F">
        <w:tab/>
        <w:t>any advice given by a lawyer, in a professional capacity as a lawyer, about matters of law, legal interpretation or the application of the law to any facts;</w:t>
      </w:r>
    </w:p>
    <w:p w14:paraId="0E19A0A2" w14:textId="77777777" w:rsidR="00633D81" w:rsidRPr="0080476F" w:rsidRDefault="00633D81" w:rsidP="0080476F">
      <w:pPr>
        <w:pStyle w:val="paragraph"/>
      </w:pPr>
      <w:r w:rsidRPr="0080476F">
        <w:tab/>
        <w:t>(b)</w:t>
      </w:r>
      <w:r w:rsidRPr="0080476F">
        <w:tab/>
        <w:t>except as prescribed by the regulations—any other advice given by a lawyer in the ordinary course of activities as a lawyer, that is reasonably regarded as a necessary part of those activities;</w:t>
      </w:r>
    </w:p>
    <w:p w14:paraId="083419A8" w14:textId="77777777" w:rsidR="00633D81" w:rsidRPr="0080476F" w:rsidRDefault="00633D81" w:rsidP="0080476F">
      <w:pPr>
        <w:pStyle w:val="paragraph"/>
      </w:pPr>
      <w:r w:rsidRPr="0080476F">
        <w:tab/>
        <w:t>(c)</w:t>
      </w:r>
      <w:r w:rsidRPr="0080476F">
        <w:tab/>
        <w:t>any action taken by a lawyer to determine whether an insurer is liable to another person under an insurance product, or to quantify the extent of the insurer’s liability;</w:t>
      </w:r>
    </w:p>
    <w:p w14:paraId="51C8FB5A" w14:textId="77777777" w:rsidR="00633D81" w:rsidRPr="0080476F" w:rsidRDefault="00633D81" w:rsidP="0080476F">
      <w:pPr>
        <w:pStyle w:val="paragraph"/>
      </w:pPr>
      <w:r w:rsidRPr="0080476F">
        <w:tab/>
        <w:t>(d)</w:t>
      </w:r>
      <w:r w:rsidRPr="0080476F">
        <w:tab/>
        <w:t>any negotiat</w:t>
      </w:r>
      <w:bookmarkStart w:id="10" w:name="BK_S1P4L34C18"/>
      <w:bookmarkEnd w:id="10"/>
      <w:r w:rsidRPr="0080476F">
        <w:t>ion by a lawyer of the settlement of a claim under an insurance product;</w:t>
      </w:r>
    </w:p>
    <w:p w14:paraId="265F83D0" w14:textId="77777777" w:rsidR="00633D81" w:rsidRPr="0080476F" w:rsidRDefault="00633D81" w:rsidP="0080476F">
      <w:pPr>
        <w:pStyle w:val="paragraph"/>
      </w:pPr>
      <w:r w:rsidRPr="0080476F">
        <w:tab/>
        <w:t>(e)</w:t>
      </w:r>
      <w:r w:rsidRPr="0080476F">
        <w:tab/>
        <w:t>any conduct by a lawyer on behalf of another person that would, but for this paragraph, constitute dealing in a financial product, provided that:</w:t>
      </w:r>
    </w:p>
    <w:p w14:paraId="39508D6B" w14:textId="77777777" w:rsidR="00633D81" w:rsidRPr="0080476F" w:rsidRDefault="00633D81" w:rsidP="0080476F">
      <w:pPr>
        <w:pStyle w:val="paragraphsub"/>
      </w:pPr>
      <w:r w:rsidRPr="0080476F">
        <w:tab/>
        <w:t>(i)</w:t>
      </w:r>
      <w:r w:rsidRPr="0080476F">
        <w:tab/>
        <w:t>the lawyer is acting on instructions in a professional capacity as a lawyer; and</w:t>
      </w:r>
    </w:p>
    <w:p w14:paraId="624E06F4" w14:textId="77777777" w:rsidR="00633D81" w:rsidRPr="0080476F" w:rsidRDefault="00633D81" w:rsidP="0080476F">
      <w:pPr>
        <w:pStyle w:val="paragraphsub"/>
      </w:pPr>
      <w:r w:rsidRPr="0080476F">
        <w:lastRenderedPageBreak/>
        <w:tab/>
        <w:t>(ii)</w:t>
      </w:r>
      <w:r w:rsidRPr="0080476F">
        <w:tab/>
        <w:t>the conduct can reasonably be regarded as a necessary part of acting on those instructions in a professional capacity as a lawyer; and</w:t>
      </w:r>
    </w:p>
    <w:p w14:paraId="666DAA9C" w14:textId="77777777" w:rsidR="00633D81" w:rsidRPr="0080476F" w:rsidRDefault="00633D81" w:rsidP="0080476F">
      <w:pPr>
        <w:pStyle w:val="paragraphsub"/>
      </w:pPr>
      <w:r w:rsidRPr="0080476F">
        <w:tab/>
        <w:t>(iii)</w:t>
      </w:r>
      <w:r w:rsidRPr="0080476F">
        <w:tab/>
        <w:t>the lawyer has not received and is not entitled to receive a benefit in relation to the conduct, other than the payment of professional charges, the reimbursement for expenses incurred on behalf of the other person, or the payment on account of expenses to be incurred on behalf of the other person.</w:t>
      </w:r>
    </w:p>
    <w:p w14:paraId="18371910" w14:textId="77777777" w:rsidR="00633D81" w:rsidRPr="0080476F" w:rsidRDefault="00633D81" w:rsidP="0080476F">
      <w:pPr>
        <w:pStyle w:val="subsection"/>
      </w:pPr>
      <w:r w:rsidRPr="0080476F">
        <w:tab/>
        <w:t>(3)</w:t>
      </w:r>
      <w:r w:rsidRPr="0080476F">
        <w:tab/>
        <w:t xml:space="preserve">For the purposes of this Act, a claims handling and settling service provided in relation to an insurance product is to be treated as having been provided to the insured under the insurance product (who may be a person insured as a third party beneficiary under the insurance contract that constitutes the insurance product, within the meaning of the </w:t>
      </w:r>
      <w:r w:rsidRPr="0080476F">
        <w:rPr>
          <w:i/>
        </w:rPr>
        <w:t>Insurance Contracts Act 1984</w:t>
      </w:r>
      <w:r w:rsidRPr="0080476F">
        <w:t>).</w:t>
      </w:r>
    </w:p>
    <w:p w14:paraId="14C92DFE" w14:textId="77777777" w:rsidR="00633D81" w:rsidRPr="0080476F" w:rsidRDefault="0096493A" w:rsidP="0080476F">
      <w:pPr>
        <w:pStyle w:val="ItemHead"/>
      </w:pPr>
      <w:r w:rsidRPr="0080476F">
        <w:t>9</w:t>
      </w:r>
      <w:r w:rsidR="00633D81" w:rsidRPr="0080476F">
        <w:t xml:space="preserve">  After paragraph</w:t>
      </w:r>
      <w:r w:rsidR="0080476F" w:rsidRPr="0080476F">
        <w:t> </w:t>
      </w:r>
      <w:r w:rsidR="00633D81" w:rsidRPr="0080476F">
        <w:t>911A(2)(ej)</w:t>
      </w:r>
    </w:p>
    <w:p w14:paraId="04F61F13" w14:textId="77777777" w:rsidR="00633D81" w:rsidRPr="0080476F" w:rsidRDefault="00633D81" w:rsidP="0080476F">
      <w:pPr>
        <w:pStyle w:val="Item"/>
      </w:pPr>
      <w:r w:rsidRPr="0080476F">
        <w:t>Insert:</w:t>
      </w:r>
    </w:p>
    <w:p w14:paraId="7112DF69" w14:textId="77777777" w:rsidR="00633D81" w:rsidRPr="0080476F" w:rsidRDefault="00633D81" w:rsidP="0080476F">
      <w:pPr>
        <w:pStyle w:val="paragraph"/>
      </w:pPr>
      <w:r w:rsidRPr="0080476F">
        <w:tab/>
        <w:t>(ek)</w:t>
      </w:r>
      <w:r w:rsidRPr="0080476F">
        <w:tab/>
        <w:t>the service is the provision of a claims handling and settling service in relation to an insurance product, and the person providing the service is not one of the following:</w:t>
      </w:r>
    </w:p>
    <w:p w14:paraId="7C11B23B" w14:textId="77777777" w:rsidR="00633D81" w:rsidRPr="0080476F" w:rsidRDefault="00633D81" w:rsidP="0080476F">
      <w:pPr>
        <w:pStyle w:val="paragraphsub"/>
      </w:pPr>
      <w:r w:rsidRPr="0080476F">
        <w:tab/>
        <w:t>(i)</w:t>
      </w:r>
      <w:r w:rsidRPr="0080476F">
        <w:tab/>
        <w:t>the insurer under the insurance product;</w:t>
      </w:r>
    </w:p>
    <w:p w14:paraId="4DEF81A3" w14:textId="77777777" w:rsidR="00633D81" w:rsidRPr="0080476F" w:rsidRDefault="00633D81" w:rsidP="0080476F">
      <w:pPr>
        <w:pStyle w:val="paragraphsub"/>
      </w:pPr>
      <w:r w:rsidRPr="0080476F">
        <w:tab/>
        <w:t>(ii)</w:t>
      </w:r>
      <w:r w:rsidRPr="0080476F">
        <w:tab/>
        <w:t>a loss assessor;</w:t>
      </w:r>
    </w:p>
    <w:p w14:paraId="784D1BF5" w14:textId="77777777" w:rsidR="00633D81" w:rsidRPr="0080476F" w:rsidRDefault="00633D81" w:rsidP="0080476F">
      <w:pPr>
        <w:pStyle w:val="paragraphsub"/>
      </w:pPr>
      <w:r w:rsidRPr="0080476F">
        <w:tab/>
        <w:t>(iii)</w:t>
      </w:r>
      <w:r w:rsidRPr="0080476F">
        <w:tab/>
        <w:t>an insurance fulfilment provider who has authority from the insurer to reject all or part of a claim under the insurance product;</w:t>
      </w:r>
    </w:p>
    <w:p w14:paraId="41368CBA" w14:textId="77777777" w:rsidR="00633D81" w:rsidRPr="0080476F" w:rsidRDefault="00633D81" w:rsidP="0080476F">
      <w:pPr>
        <w:pStyle w:val="paragraphsub"/>
      </w:pPr>
      <w:r w:rsidRPr="0080476F">
        <w:tab/>
        <w:t>(iv)</w:t>
      </w:r>
      <w:r w:rsidRPr="0080476F">
        <w:tab/>
        <w:t>an insurance claims manager;</w:t>
      </w:r>
    </w:p>
    <w:p w14:paraId="64C185D3" w14:textId="77777777" w:rsidR="00633D81" w:rsidRPr="0080476F" w:rsidRDefault="00633D81" w:rsidP="0080476F">
      <w:pPr>
        <w:pStyle w:val="paragraphsub"/>
      </w:pPr>
      <w:r w:rsidRPr="0080476F">
        <w:tab/>
        <w:t>(v)</w:t>
      </w:r>
      <w:r w:rsidRPr="0080476F">
        <w:tab/>
        <w:t xml:space="preserve">an insurance broker (within the meaning of the </w:t>
      </w:r>
      <w:r w:rsidRPr="0080476F">
        <w:rPr>
          <w:i/>
        </w:rPr>
        <w:t>Insurance Contracts Act 1984</w:t>
      </w:r>
      <w:r w:rsidRPr="0080476F">
        <w:t>) who provides the claims handling and settling service in relation to the insurance product on behalf of the insurer;</w:t>
      </w:r>
    </w:p>
    <w:p w14:paraId="6F37C9B7" w14:textId="77777777" w:rsidR="00633D81" w:rsidRPr="0080476F" w:rsidRDefault="00633D81" w:rsidP="0080476F">
      <w:pPr>
        <w:pStyle w:val="paragraphsub"/>
      </w:pPr>
      <w:r w:rsidRPr="0080476F">
        <w:tab/>
        <w:t>(vi)</w:t>
      </w:r>
      <w:r w:rsidRPr="0080476F">
        <w:tab/>
        <w:t xml:space="preserve">a person who has provided, or has entered into an arrangement to provide, financial product advice to a person insured under the insurance product (including a person insured as a third party beneficiary under the insurance contract that constitutes the insurance product, within the meaning of the </w:t>
      </w:r>
      <w:r w:rsidRPr="0080476F">
        <w:rPr>
          <w:i/>
        </w:rPr>
        <w:t>Insurance Contracts Act 1984</w:t>
      </w:r>
      <w:r w:rsidRPr="0080476F">
        <w:t>) and who also provides the claims handling and settling service on behalf of the insurer under the insurance product;</w:t>
      </w:r>
    </w:p>
    <w:p w14:paraId="4A42580F" w14:textId="77777777" w:rsidR="00633D81" w:rsidRPr="0080476F" w:rsidRDefault="00633D81" w:rsidP="0080476F">
      <w:pPr>
        <w:pStyle w:val="paragraph"/>
      </w:pPr>
      <w:r w:rsidRPr="0080476F">
        <w:lastRenderedPageBreak/>
        <w:tab/>
        <w:t>(el)</w:t>
      </w:r>
      <w:r w:rsidRPr="0080476F">
        <w:tab/>
        <w:t>the service is the provision of a claims handling and settling service in relation to an insurance product and all of the following apply:</w:t>
      </w:r>
    </w:p>
    <w:p w14:paraId="6E39048C" w14:textId="77777777" w:rsidR="00633D81" w:rsidRPr="0080476F" w:rsidRDefault="00633D81" w:rsidP="0080476F">
      <w:pPr>
        <w:pStyle w:val="paragraphsub"/>
      </w:pPr>
      <w:r w:rsidRPr="0080476F">
        <w:tab/>
        <w:t>(i)</w:t>
      </w:r>
      <w:r w:rsidRPr="0080476F">
        <w:tab/>
        <w:t>the claims handling and settling service is provided under an arrangement between the issuer of the insurance product and a financial services licensee;</w:t>
      </w:r>
    </w:p>
    <w:p w14:paraId="1C706B8B" w14:textId="77777777" w:rsidR="00633D81" w:rsidRPr="0080476F" w:rsidRDefault="00633D81" w:rsidP="0080476F">
      <w:pPr>
        <w:pStyle w:val="paragraphsub"/>
      </w:pPr>
      <w:r w:rsidRPr="0080476F">
        <w:tab/>
        <w:t>(ii)</w:t>
      </w:r>
      <w:r w:rsidRPr="0080476F">
        <w:tab/>
        <w:t>under the arrangement, the financial services licensee, or their authorised representatives, may provide the claims handling and settling service in relation to the insurance product;</w:t>
      </w:r>
    </w:p>
    <w:p w14:paraId="1FDA7091" w14:textId="77777777" w:rsidR="00633D81" w:rsidRPr="0080476F" w:rsidRDefault="00633D81" w:rsidP="0080476F">
      <w:pPr>
        <w:pStyle w:val="paragraphsub"/>
      </w:pPr>
      <w:r w:rsidRPr="0080476F">
        <w:tab/>
        <w:t>(iii)</w:t>
      </w:r>
      <w:r w:rsidRPr="0080476F">
        <w:tab/>
        <w:t>the provision of the claims handling and settling service is covered by the financial services licensee’s Australian financial services licence;</w:t>
      </w:r>
    </w:p>
    <w:p w14:paraId="1A1D1F94" w14:textId="77777777" w:rsidR="00633D81" w:rsidRPr="0080476F" w:rsidRDefault="00633D81" w:rsidP="0080476F">
      <w:pPr>
        <w:pStyle w:val="paragraphsub"/>
      </w:pPr>
      <w:r w:rsidRPr="0080476F">
        <w:tab/>
        <w:t>(iv)</w:t>
      </w:r>
      <w:r w:rsidRPr="0080476F">
        <w:tab/>
        <w:t>the claims handling and settling service is provided to the insured as a retail client;</w:t>
      </w:r>
    </w:p>
    <w:p w14:paraId="6A512D61" w14:textId="77777777" w:rsidR="00633D81" w:rsidRPr="0080476F" w:rsidRDefault="00633D81" w:rsidP="0080476F">
      <w:pPr>
        <w:pStyle w:val="paragraph"/>
      </w:pPr>
      <w:r w:rsidRPr="0080476F">
        <w:tab/>
        <w:t>(em)</w:t>
      </w:r>
      <w:r w:rsidRPr="0080476F">
        <w:tab/>
        <w:t>the service is the provision of a claims handling and settling service in relation to an insurance product provided to a wholesale client under an arrangement between the issuer of the insurance product and a financial services licensee;</w:t>
      </w:r>
    </w:p>
    <w:p w14:paraId="4746E06B" w14:textId="77777777" w:rsidR="003D1A48" w:rsidRPr="0080476F" w:rsidRDefault="0096493A" w:rsidP="0080476F">
      <w:pPr>
        <w:pStyle w:val="ItemHead"/>
      </w:pPr>
      <w:r w:rsidRPr="0080476F">
        <w:t>10</w:t>
      </w:r>
      <w:r w:rsidR="003D1A48" w:rsidRPr="0080476F">
        <w:t xml:space="preserve">  Subsection</w:t>
      </w:r>
      <w:r w:rsidR="0080476F" w:rsidRPr="0080476F">
        <w:t> </w:t>
      </w:r>
      <w:r w:rsidR="003D1A48" w:rsidRPr="0080476F">
        <w:t>940C(1)</w:t>
      </w:r>
    </w:p>
    <w:p w14:paraId="051C3E38" w14:textId="77777777" w:rsidR="003D1A48" w:rsidRPr="0080476F" w:rsidRDefault="003D1A48" w:rsidP="0080476F">
      <w:pPr>
        <w:pStyle w:val="Item"/>
      </w:pPr>
      <w:r w:rsidRPr="0080476F">
        <w:t>Omit “or a Statement of Advice”, substitute “, a Statement of Advice or a Statement of Claim Settlement Options”.</w:t>
      </w:r>
    </w:p>
    <w:p w14:paraId="278B998D" w14:textId="77777777" w:rsidR="00816B6B" w:rsidRPr="0080476F" w:rsidRDefault="0096493A" w:rsidP="0080476F">
      <w:pPr>
        <w:pStyle w:val="ItemHead"/>
      </w:pPr>
      <w:r w:rsidRPr="0080476F">
        <w:t>11</w:t>
      </w:r>
      <w:r w:rsidR="00816B6B" w:rsidRPr="0080476F">
        <w:t xml:space="preserve">  After subsection</w:t>
      </w:r>
      <w:r w:rsidR="0080476F" w:rsidRPr="0080476F">
        <w:t> </w:t>
      </w:r>
      <w:r w:rsidR="00816B6B" w:rsidRPr="0080476F">
        <w:t>941C(7)</w:t>
      </w:r>
    </w:p>
    <w:p w14:paraId="318E7A55" w14:textId="77777777" w:rsidR="00816B6B" w:rsidRPr="0080476F" w:rsidRDefault="00816B6B" w:rsidP="0080476F">
      <w:pPr>
        <w:pStyle w:val="Item"/>
      </w:pPr>
      <w:r w:rsidRPr="0080476F">
        <w:t>Insert:</w:t>
      </w:r>
    </w:p>
    <w:p w14:paraId="41F7ECFD" w14:textId="77777777" w:rsidR="00816B6B" w:rsidRPr="0080476F" w:rsidRDefault="00816B6B" w:rsidP="0080476F">
      <w:pPr>
        <w:pStyle w:val="SubsectionHead"/>
      </w:pPr>
      <w:r w:rsidRPr="0080476F">
        <w:t>Claims handling and settling service</w:t>
      </w:r>
    </w:p>
    <w:p w14:paraId="5F4B8524" w14:textId="77777777" w:rsidR="00816B6B" w:rsidRPr="0080476F" w:rsidRDefault="00816B6B" w:rsidP="0080476F">
      <w:pPr>
        <w:pStyle w:val="subsection"/>
      </w:pPr>
      <w:r w:rsidRPr="0080476F">
        <w:tab/>
        <w:t>(7A)</w:t>
      </w:r>
      <w:r w:rsidRPr="0080476F">
        <w:tab/>
        <w:t>The providing entity does not have to give the client a Financial Services Guide if the financial service consists only of a claims handling and settling service.</w:t>
      </w:r>
    </w:p>
    <w:p w14:paraId="6F3FB11C" w14:textId="77777777" w:rsidR="00816B6B" w:rsidRPr="0080476F" w:rsidRDefault="0096493A" w:rsidP="0080476F">
      <w:pPr>
        <w:pStyle w:val="ItemHead"/>
      </w:pPr>
      <w:r w:rsidRPr="0080476F">
        <w:t>12</w:t>
      </w:r>
      <w:r w:rsidR="00816B6B" w:rsidRPr="0080476F">
        <w:t xml:space="preserve">  After Division</w:t>
      </w:r>
      <w:r w:rsidR="0080476F" w:rsidRPr="0080476F">
        <w:t> </w:t>
      </w:r>
      <w:r w:rsidR="00816B6B" w:rsidRPr="0080476F">
        <w:t>3 of Part</w:t>
      </w:r>
      <w:r w:rsidR="0080476F" w:rsidRPr="0080476F">
        <w:t> </w:t>
      </w:r>
      <w:r w:rsidR="00816B6B" w:rsidRPr="0080476F">
        <w:t>7.7</w:t>
      </w:r>
    </w:p>
    <w:p w14:paraId="797A62C0" w14:textId="77777777" w:rsidR="00816B6B" w:rsidRPr="0080476F" w:rsidRDefault="00816B6B" w:rsidP="0080476F">
      <w:pPr>
        <w:pStyle w:val="Item"/>
      </w:pPr>
      <w:r w:rsidRPr="0080476F">
        <w:t>Insert:</w:t>
      </w:r>
    </w:p>
    <w:p w14:paraId="672B4906" w14:textId="77777777" w:rsidR="00816B6B" w:rsidRPr="0080476F" w:rsidRDefault="00816B6B" w:rsidP="0080476F">
      <w:pPr>
        <w:pStyle w:val="ActHead3"/>
      </w:pPr>
      <w:bookmarkStart w:id="11" w:name="_Toc25142665"/>
      <w:r w:rsidRPr="00E55F1C">
        <w:rPr>
          <w:rStyle w:val="CharDivNo"/>
        </w:rPr>
        <w:t>Division</w:t>
      </w:r>
      <w:r w:rsidR="0080476F" w:rsidRPr="00E55F1C">
        <w:rPr>
          <w:rStyle w:val="CharDivNo"/>
        </w:rPr>
        <w:t> </w:t>
      </w:r>
      <w:r w:rsidRPr="00E55F1C">
        <w:rPr>
          <w:rStyle w:val="CharDivNo"/>
        </w:rPr>
        <w:t>3A</w:t>
      </w:r>
      <w:r w:rsidRPr="0080476F">
        <w:t>—</w:t>
      </w:r>
      <w:r w:rsidRPr="00E55F1C">
        <w:rPr>
          <w:rStyle w:val="CharDivText"/>
        </w:rPr>
        <w:t>Statement of Claim Settlement Options</w:t>
      </w:r>
      <w:bookmarkEnd w:id="11"/>
    </w:p>
    <w:p w14:paraId="029D4CF7" w14:textId="77777777" w:rsidR="00816B6B" w:rsidRPr="0080476F" w:rsidRDefault="00816B6B" w:rsidP="0080476F">
      <w:pPr>
        <w:pStyle w:val="ActHead4"/>
      </w:pPr>
      <w:bookmarkStart w:id="12" w:name="_Toc25142666"/>
      <w:r w:rsidRPr="00E55F1C">
        <w:rPr>
          <w:rStyle w:val="CharSubdNo"/>
        </w:rPr>
        <w:t>Subdivision A</w:t>
      </w:r>
      <w:r w:rsidRPr="0080476F">
        <w:t>—</w:t>
      </w:r>
      <w:r w:rsidRPr="00E55F1C">
        <w:rPr>
          <w:rStyle w:val="CharSubdText"/>
        </w:rPr>
        <w:t>When this Division applies</w:t>
      </w:r>
      <w:bookmarkEnd w:id="12"/>
    </w:p>
    <w:p w14:paraId="679E54C7" w14:textId="77777777" w:rsidR="00816B6B" w:rsidRPr="0080476F" w:rsidRDefault="00816B6B" w:rsidP="0080476F">
      <w:pPr>
        <w:pStyle w:val="ActHead5"/>
      </w:pPr>
      <w:bookmarkStart w:id="13" w:name="_Toc25142667"/>
      <w:r w:rsidRPr="00E55F1C">
        <w:rPr>
          <w:rStyle w:val="CharSectno"/>
        </w:rPr>
        <w:t>948B</w:t>
      </w:r>
      <w:r w:rsidRPr="0080476F">
        <w:t xml:space="preserve">  Situation in which this Division applies</w:t>
      </w:r>
      <w:bookmarkEnd w:id="13"/>
    </w:p>
    <w:p w14:paraId="40274736" w14:textId="77777777" w:rsidR="00816B6B" w:rsidRPr="0080476F" w:rsidRDefault="00816B6B" w:rsidP="0080476F">
      <w:pPr>
        <w:pStyle w:val="subsection"/>
      </w:pPr>
      <w:r w:rsidRPr="0080476F">
        <w:tab/>
      </w:r>
      <w:r w:rsidRPr="0080476F">
        <w:tab/>
        <w:t>This Division applies in relation to the provision of a claims handling and settling service in the following circumstances:</w:t>
      </w:r>
    </w:p>
    <w:p w14:paraId="3DE3C932" w14:textId="77777777" w:rsidR="00816B6B" w:rsidRPr="0080476F" w:rsidRDefault="00816B6B" w:rsidP="0080476F">
      <w:pPr>
        <w:pStyle w:val="paragraph"/>
      </w:pPr>
      <w:r w:rsidRPr="0080476F">
        <w:tab/>
        <w:t>(a)</w:t>
      </w:r>
      <w:r w:rsidRPr="0080476F">
        <w:tab/>
        <w:t>the service is offering to settle all or part of a claim under a general insurance product using a cash payment;</w:t>
      </w:r>
    </w:p>
    <w:p w14:paraId="66AA5030" w14:textId="77777777" w:rsidR="00816B6B" w:rsidRPr="0080476F" w:rsidRDefault="00816B6B" w:rsidP="0080476F">
      <w:pPr>
        <w:pStyle w:val="paragraph"/>
      </w:pPr>
      <w:r w:rsidRPr="0080476F">
        <w:tab/>
        <w:t>(b)</w:t>
      </w:r>
      <w:r w:rsidRPr="0080476F">
        <w:tab/>
        <w:t>the service is provided:</w:t>
      </w:r>
    </w:p>
    <w:p w14:paraId="2ED33727" w14:textId="77777777" w:rsidR="00816B6B" w:rsidRPr="0080476F" w:rsidRDefault="00816B6B" w:rsidP="0080476F">
      <w:pPr>
        <w:pStyle w:val="paragraphsub"/>
      </w:pPr>
      <w:r w:rsidRPr="0080476F">
        <w:tab/>
        <w:t>(i)</w:t>
      </w:r>
      <w:r w:rsidRPr="0080476F">
        <w:tab/>
        <w:t xml:space="preserve">by a financial services licensee (the </w:t>
      </w:r>
      <w:r w:rsidRPr="0080476F">
        <w:rPr>
          <w:b/>
          <w:i/>
        </w:rPr>
        <w:t>providing entity</w:t>
      </w:r>
      <w:r w:rsidRPr="0080476F">
        <w:t>); or</w:t>
      </w:r>
    </w:p>
    <w:p w14:paraId="77F7945A" w14:textId="77777777" w:rsidR="00816B6B" w:rsidRPr="0080476F" w:rsidRDefault="00816B6B" w:rsidP="0080476F">
      <w:pPr>
        <w:pStyle w:val="paragraphsub"/>
      </w:pPr>
      <w:r w:rsidRPr="0080476F">
        <w:tab/>
        <w:t>(ii)</w:t>
      </w:r>
      <w:r w:rsidRPr="0080476F">
        <w:tab/>
        <w:t xml:space="preserve">by a person (the </w:t>
      </w:r>
      <w:r w:rsidRPr="0080476F">
        <w:rPr>
          <w:b/>
          <w:i/>
        </w:rPr>
        <w:t>providing entity</w:t>
      </w:r>
      <w:r w:rsidRPr="0080476F">
        <w:t xml:space="preserve">) in their capacity as authorised representative of a financial services licensee (the </w:t>
      </w:r>
      <w:r w:rsidRPr="0080476F">
        <w:rPr>
          <w:b/>
          <w:i/>
        </w:rPr>
        <w:t>authorising licensee</w:t>
      </w:r>
      <w:r w:rsidRPr="0080476F">
        <w:t xml:space="preserve">), or of 2 or more financial services licensees (the </w:t>
      </w:r>
      <w:r w:rsidRPr="0080476F">
        <w:rPr>
          <w:b/>
          <w:i/>
        </w:rPr>
        <w:t>authorising licensees</w:t>
      </w:r>
      <w:r w:rsidRPr="0080476F">
        <w:t>);</w:t>
      </w:r>
    </w:p>
    <w:p w14:paraId="700341F2" w14:textId="77777777" w:rsidR="00633D81" w:rsidRPr="0080476F" w:rsidRDefault="00816B6B" w:rsidP="0080476F">
      <w:pPr>
        <w:pStyle w:val="paragraph"/>
      </w:pPr>
      <w:r w:rsidRPr="0080476F">
        <w:tab/>
        <w:t>(c)</w:t>
      </w:r>
      <w:r w:rsidRPr="0080476F">
        <w:tab/>
        <w:t xml:space="preserve">the service is provided to a person (the </w:t>
      </w:r>
      <w:r w:rsidRPr="0080476F">
        <w:rPr>
          <w:b/>
          <w:i/>
        </w:rPr>
        <w:t>client</w:t>
      </w:r>
      <w:r w:rsidRPr="0080476F">
        <w:t>) as a retail client.</w:t>
      </w:r>
    </w:p>
    <w:p w14:paraId="4805C77E" w14:textId="77777777" w:rsidR="00816B6B" w:rsidRPr="0080476F" w:rsidRDefault="00816B6B" w:rsidP="0080476F">
      <w:pPr>
        <w:pStyle w:val="ActHead4"/>
      </w:pPr>
      <w:bookmarkStart w:id="14" w:name="_Toc25142668"/>
      <w:r w:rsidRPr="00E55F1C">
        <w:rPr>
          <w:rStyle w:val="CharSubdNo"/>
        </w:rPr>
        <w:t>Subdivision B</w:t>
      </w:r>
      <w:r w:rsidRPr="0080476F">
        <w:t>—</w:t>
      </w:r>
      <w:r w:rsidRPr="00E55F1C">
        <w:rPr>
          <w:rStyle w:val="CharSubdText"/>
        </w:rPr>
        <w:t>Requirement for a Statement of Claim Settlement Options to be given</w:t>
      </w:r>
      <w:bookmarkEnd w:id="14"/>
    </w:p>
    <w:p w14:paraId="20C2F9E0" w14:textId="77777777" w:rsidR="00816B6B" w:rsidRPr="0080476F" w:rsidRDefault="00816B6B" w:rsidP="0080476F">
      <w:pPr>
        <w:pStyle w:val="ActHead5"/>
      </w:pPr>
      <w:bookmarkStart w:id="15" w:name="_Toc25142669"/>
      <w:r w:rsidRPr="00E55F1C">
        <w:rPr>
          <w:rStyle w:val="CharSectno"/>
        </w:rPr>
        <w:t>948C</w:t>
      </w:r>
      <w:r w:rsidRPr="0080476F">
        <w:t xml:space="preserve">  Obligation to give client a Statement of Claim Settlement Options</w:t>
      </w:r>
      <w:bookmarkEnd w:id="15"/>
    </w:p>
    <w:p w14:paraId="72F8DCB1" w14:textId="77777777" w:rsidR="00816B6B" w:rsidRPr="0080476F" w:rsidRDefault="00816B6B" w:rsidP="0080476F">
      <w:pPr>
        <w:pStyle w:val="subsection"/>
      </w:pPr>
      <w:r w:rsidRPr="0080476F">
        <w:tab/>
        <w:t>(1)</w:t>
      </w:r>
      <w:r w:rsidRPr="0080476F">
        <w:tab/>
        <w:t xml:space="preserve">The providing entity must give the client a Statement of Claim Settlement Options in accordance with this </w:t>
      </w:r>
      <w:r w:rsidR="00B22454" w:rsidRPr="0080476F">
        <w:t>D</w:t>
      </w:r>
      <w:r w:rsidRPr="0080476F">
        <w:t>ivision.</w:t>
      </w:r>
    </w:p>
    <w:p w14:paraId="503755BB" w14:textId="77777777" w:rsidR="00816B6B" w:rsidRPr="0080476F" w:rsidRDefault="00816B6B" w:rsidP="0080476F">
      <w:pPr>
        <w:pStyle w:val="subsection"/>
      </w:pPr>
      <w:r w:rsidRPr="0080476F">
        <w:tab/>
        <w:t>(2)</w:t>
      </w:r>
      <w:r w:rsidRPr="0080476F">
        <w:tab/>
        <w:t xml:space="preserve">A person contravenes this subsection if the person contravenes </w:t>
      </w:r>
      <w:r w:rsidR="0080476F" w:rsidRPr="0080476F">
        <w:t>subsection (</w:t>
      </w:r>
      <w:r w:rsidRPr="0080476F">
        <w:t>1).</w:t>
      </w:r>
    </w:p>
    <w:p w14:paraId="75E0C245" w14:textId="77777777" w:rsidR="00633625" w:rsidRPr="0080476F" w:rsidRDefault="00816B6B" w:rsidP="0080476F">
      <w:pPr>
        <w:pStyle w:val="notetext"/>
      </w:pPr>
      <w:r w:rsidRPr="0080476F">
        <w:t>Note:</w:t>
      </w:r>
      <w:r w:rsidRPr="0080476F">
        <w:tab/>
        <w:t>This subsection is a civil penalty provision (see section</w:t>
      </w:r>
      <w:r w:rsidR="0080476F" w:rsidRPr="0080476F">
        <w:t> </w:t>
      </w:r>
      <w:r w:rsidRPr="0080476F">
        <w:t>1317E).</w:t>
      </w:r>
    </w:p>
    <w:p w14:paraId="4A89BB04" w14:textId="77777777" w:rsidR="00816B6B" w:rsidRPr="0080476F" w:rsidRDefault="00816B6B" w:rsidP="0080476F">
      <w:pPr>
        <w:pStyle w:val="ActHead5"/>
      </w:pPr>
      <w:bookmarkStart w:id="16" w:name="_Toc25142670"/>
      <w:r w:rsidRPr="00E55F1C">
        <w:rPr>
          <w:rStyle w:val="CharSectno"/>
        </w:rPr>
        <w:t>948D</w:t>
      </w:r>
      <w:r w:rsidRPr="0080476F">
        <w:t xml:space="preserve">  Timing for giving a Statement of Claim Settlement Options</w:t>
      </w:r>
      <w:bookmarkEnd w:id="16"/>
    </w:p>
    <w:p w14:paraId="20D85C4D" w14:textId="77777777" w:rsidR="00816B6B" w:rsidRPr="0080476F" w:rsidRDefault="00816B6B" w:rsidP="0080476F">
      <w:pPr>
        <w:pStyle w:val="subsection"/>
      </w:pPr>
      <w:r w:rsidRPr="0080476F">
        <w:tab/>
      </w:r>
      <w:r w:rsidRPr="0080476F">
        <w:tab/>
        <w:t xml:space="preserve">The Statement of Claim Settlement Options must be given to the client </w:t>
      </w:r>
      <w:r w:rsidR="00A370B8" w:rsidRPr="0080476F">
        <w:t>when the offer to settle all or part of the claim using a cash payment is made</w:t>
      </w:r>
      <w:r w:rsidRPr="0080476F">
        <w:t>.</w:t>
      </w:r>
    </w:p>
    <w:p w14:paraId="2759B344" w14:textId="77777777" w:rsidR="00816B6B" w:rsidRPr="0080476F" w:rsidRDefault="00816B6B" w:rsidP="0080476F">
      <w:pPr>
        <w:pStyle w:val="ActHead4"/>
      </w:pPr>
      <w:bookmarkStart w:id="17" w:name="_Toc25142671"/>
      <w:r w:rsidRPr="00E55F1C">
        <w:rPr>
          <w:rStyle w:val="CharSubdNo"/>
        </w:rPr>
        <w:t>Subdivision C</w:t>
      </w:r>
      <w:r w:rsidRPr="0080476F">
        <w:t>—</w:t>
      </w:r>
      <w:r w:rsidRPr="00E55F1C">
        <w:rPr>
          <w:rStyle w:val="CharSubdText"/>
        </w:rPr>
        <w:t>Contents of a Statement of Claim Settlement Options</w:t>
      </w:r>
      <w:bookmarkEnd w:id="17"/>
    </w:p>
    <w:p w14:paraId="373F0182" w14:textId="77777777" w:rsidR="00816B6B" w:rsidRPr="0080476F" w:rsidRDefault="00816B6B" w:rsidP="0080476F">
      <w:pPr>
        <w:pStyle w:val="ActHead5"/>
      </w:pPr>
      <w:bookmarkStart w:id="18" w:name="_Toc25142672"/>
      <w:r w:rsidRPr="00E55F1C">
        <w:rPr>
          <w:rStyle w:val="CharSectno"/>
        </w:rPr>
        <w:t>948E</w:t>
      </w:r>
      <w:r w:rsidRPr="0080476F">
        <w:t xml:space="preserve">  Title of Statement of Claim Settlement Options</w:t>
      </w:r>
      <w:bookmarkEnd w:id="18"/>
    </w:p>
    <w:p w14:paraId="0729AED9" w14:textId="77777777" w:rsidR="00816B6B" w:rsidRPr="0080476F" w:rsidRDefault="00816B6B" w:rsidP="0080476F">
      <w:pPr>
        <w:pStyle w:val="subsection"/>
      </w:pPr>
      <w:r w:rsidRPr="0080476F">
        <w:tab/>
        <w:t>(1)</w:t>
      </w:r>
      <w:r w:rsidRPr="0080476F">
        <w:tab/>
        <w:t>The title “Statement of Claim Settlement Options”</w:t>
      </w:r>
      <w:r w:rsidR="00A301C7" w:rsidRPr="0080476F">
        <w:t xml:space="preserve"> </w:t>
      </w:r>
      <w:bookmarkStart w:id="19" w:name="BK_S1P8L4C56"/>
      <w:bookmarkEnd w:id="19"/>
      <w:r w:rsidRPr="0080476F">
        <w:t>must be used on the cover, or at or near the front of, a Statement of Claim Settlement Options.</w:t>
      </w:r>
    </w:p>
    <w:p w14:paraId="65256D68" w14:textId="77777777" w:rsidR="00816B6B" w:rsidRPr="0080476F" w:rsidRDefault="00816B6B" w:rsidP="0080476F">
      <w:pPr>
        <w:pStyle w:val="subsection"/>
      </w:pPr>
      <w:r w:rsidRPr="0080476F">
        <w:tab/>
        <w:t>(2)</w:t>
      </w:r>
      <w:r w:rsidRPr="0080476F">
        <w:tab/>
        <w:t>In any other part of the Statement of Claim Settlement Options, “Statement of Claim Settlement Options” may be abbreviated to “SCSO”.</w:t>
      </w:r>
    </w:p>
    <w:p w14:paraId="67E31FEC" w14:textId="77777777" w:rsidR="00816B6B" w:rsidRPr="0080476F" w:rsidRDefault="00816B6B" w:rsidP="0080476F">
      <w:pPr>
        <w:pStyle w:val="ActHead5"/>
      </w:pPr>
      <w:bookmarkStart w:id="20" w:name="_Toc25142673"/>
      <w:r w:rsidRPr="00E55F1C">
        <w:rPr>
          <w:rStyle w:val="CharSectno"/>
        </w:rPr>
        <w:t>948F</w:t>
      </w:r>
      <w:r w:rsidRPr="0080476F">
        <w:t xml:space="preserve">  Content of Statement of Claim Settlement Options</w:t>
      </w:r>
      <w:bookmarkEnd w:id="20"/>
    </w:p>
    <w:p w14:paraId="0F4C8537" w14:textId="77777777" w:rsidR="00816B6B" w:rsidRPr="0080476F" w:rsidRDefault="00816B6B" w:rsidP="0080476F">
      <w:pPr>
        <w:pStyle w:val="subsection"/>
      </w:pPr>
      <w:r w:rsidRPr="0080476F">
        <w:tab/>
        <w:t>(1)</w:t>
      </w:r>
      <w:r w:rsidRPr="0080476F">
        <w:tab/>
        <w:t>A Statement of Claim Settlement Options must contain:</w:t>
      </w:r>
    </w:p>
    <w:p w14:paraId="059F58B7" w14:textId="77777777" w:rsidR="00816B6B" w:rsidRPr="0080476F" w:rsidRDefault="00816B6B" w:rsidP="0080476F">
      <w:pPr>
        <w:pStyle w:val="paragraph"/>
      </w:pPr>
      <w:r w:rsidRPr="0080476F">
        <w:tab/>
        <w:t>(a)</w:t>
      </w:r>
      <w:r w:rsidRPr="0080476F">
        <w:tab/>
        <w:t>a statement outlining the options for settlement legally available under the insurance product; and</w:t>
      </w:r>
    </w:p>
    <w:p w14:paraId="4D1B0DC4" w14:textId="77777777" w:rsidR="00816B6B" w:rsidRPr="0080476F" w:rsidRDefault="00816B6B" w:rsidP="0080476F">
      <w:pPr>
        <w:pStyle w:val="paragraph"/>
      </w:pPr>
      <w:r w:rsidRPr="0080476F">
        <w:tab/>
        <w:t>(b)</w:t>
      </w:r>
      <w:r w:rsidRPr="0080476F">
        <w:tab/>
        <w:t>a statement setting out the amount of the cash settlement being offered and the sum insured under the insurance product; and</w:t>
      </w:r>
    </w:p>
    <w:p w14:paraId="21EBF544" w14:textId="77777777" w:rsidR="00816B6B" w:rsidRPr="0080476F" w:rsidRDefault="00816B6B" w:rsidP="0080476F">
      <w:pPr>
        <w:pStyle w:val="paragraph"/>
      </w:pPr>
      <w:r w:rsidRPr="0080476F">
        <w:tab/>
        <w:t>(c)</w:t>
      </w:r>
      <w:r w:rsidRPr="0080476F">
        <w:tab/>
        <w:t>a statement that the client should obtain independent financial advice before settling; and</w:t>
      </w:r>
    </w:p>
    <w:p w14:paraId="742CFC1B" w14:textId="77777777" w:rsidR="00816B6B" w:rsidRPr="0080476F" w:rsidRDefault="00816B6B" w:rsidP="0080476F">
      <w:pPr>
        <w:pStyle w:val="paragraph"/>
      </w:pPr>
      <w:r w:rsidRPr="0080476F">
        <w:tab/>
        <w:t>(d)</w:t>
      </w:r>
      <w:r w:rsidRPr="0080476F">
        <w:tab/>
        <w:t>any other inform</w:t>
      </w:r>
      <w:bookmarkStart w:id="21" w:name="BK_S1P8L19C22"/>
      <w:bookmarkEnd w:id="21"/>
      <w:r w:rsidRPr="0080476F">
        <w:t>ation prescribed by the regulations.</w:t>
      </w:r>
    </w:p>
    <w:p w14:paraId="7CD07FCE" w14:textId="77777777" w:rsidR="00816B6B" w:rsidRPr="0080476F" w:rsidRDefault="00816B6B" w:rsidP="0080476F">
      <w:pPr>
        <w:pStyle w:val="subsection"/>
      </w:pPr>
      <w:r w:rsidRPr="0080476F">
        <w:tab/>
        <w:t>(2)</w:t>
      </w:r>
      <w:r w:rsidRPr="0080476F">
        <w:tab/>
        <w:t>The Statement of Claim Settlement Options must be given in writi</w:t>
      </w:r>
      <w:bookmarkStart w:id="22" w:name="BK_S1P8L21C6"/>
      <w:bookmarkEnd w:id="22"/>
      <w:r w:rsidRPr="0080476F">
        <w:t>ng.</w:t>
      </w:r>
    </w:p>
    <w:p w14:paraId="65C40688" w14:textId="77777777" w:rsidR="00816B6B" w:rsidRPr="0080476F" w:rsidRDefault="00816B6B" w:rsidP="0080476F">
      <w:pPr>
        <w:pStyle w:val="subsection"/>
      </w:pPr>
      <w:r w:rsidRPr="0080476F">
        <w:tab/>
        <w:t>(3)</w:t>
      </w:r>
      <w:r w:rsidRPr="0080476F">
        <w:tab/>
        <w:t>The Statement of Claim Settlement Options must be dated. The date must be the date on which the Statement of Claim Settlement Options was prepared or its preparation completed.</w:t>
      </w:r>
    </w:p>
    <w:p w14:paraId="2C3B839F" w14:textId="77777777" w:rsidR="00816B6B" w:rsidRPr="0080476F" w:rsidRDefault="00816B6B" w:rsidP="0080476F">
      <w:pPr>
        <w:pStyle w:val="subsection"/>
      </w:pPr>
      <w:r w:rsidRPr="0080476F">
        <w:tab/>
        <w:t>(4)</w:t>
      </w:r>
      <w:r w:rsidRPr="0080476F">
        <w:tab/>
        <w:t>The Statement of Claim Settlement Options may also contain other information.</w:t>
      </w:r>
    </w:p>
    <w:p w14:paraId="02353A0A" w14:textId="77777777" w:rsidR="00816B6B" w:rsidRPr="0080476F" w:rsidRDefault="00816B6B" w:rsidP="0080476F">
      <w:pPr>
        <w:pStyle w:val="subsection"/>
      </w:pPr>
      <w:r w:rsidRPr="0080476F">
        <w:tab/>
        <w:t>(5)</w:t>
      </w:r>
      <w:r w:rsidRPr="0080476F">
        <w:tab/>
        <w:t>The information included in the Statement of Claim Settlement Options must be worded and presented in a clear, concise and effective manner.</w:t>
      </w:r>
    </w:p>
    <w:p w14:paraId="4F004BDA" w14:textId="77777777" w:rsidR="00812BE2" w:rsidRPr="0080476F" w:rsidRDefault="0096493A" w:rsidP="0080476F">
      <w:pPr>
        <w:pStyle w:val="ItemHead"/>
      </w:pPr>
      <w:r w:rsidRPr="0080476F">
        <w:t>13</w:t>
      </w:r>
      <w:r w:rsidR="00812BE2" w:rsidRPr="0080476F">
        <w:t xml:space="preserve">  Paragraph 951A(b)</w:t>
      </w:r>
    </w:p>
    <w:p w14:paraId="596AC935" w14:textId="77777777" w:rsidR="00812BE2" w:rsidRPr="0080476F" w:rsidRDefault="00812BE2" w:rsidP="0080476F">
      <w:pPr>
        <w:pStyle w:val="Item"/>
      </w:pPr>
      <w:r w:rsidRPr="0080476F">
        <w:t>After “Statement of Advice”, insert “</w:t>
      </w:r>
      <w:r w:rsidR="00BC5E82" w:rsidRPr="0080476F">
        <w:t xml:space="preserve">, </w:t>
      </w:r>
      <w:r w:rsidRPr="0080476F">
        <w:t>Statement of Claim Settlement Options”.</w:t>
      </w:r>
    </w:p>
    <w:p w14:paraId="70B5CD05" w14:textId="77777777" w:rsidR="00522C02" w:rsidRPr="0080476F" w:rsidRDefault="0096493A" w:rsidP="0080476F">
      <w:pPr>
        <w:pStyle w:val="ItemHead"/>
      </w:pPr>
      <w:r w:rsidRPr="0080476F">
        <w:t>14</w:t>
      </w:r>
      <w:r w:rsidR="00522C02" w:rsidRPr="0080476F">
        <w:t xml:space="preserve">  Subsection</w:t>
      </w:r>
      <w:r w:rsidR="0080476F" w:rsidRPr="0080476F">
        <w:t> </w:t>
      </w:r>
      <w:r w:rsidR="00522C02" w:rsidRPr="0080476F">
        <w:t>952B(1) (</w:t>
      </w:r>
      <w:r w:rsidR="0080476F" w:rsidRPr="0080476F">
        <w:t>paragraph (</w:t>
      </w:r>
      <w:r w:rsidR="00522C02" w:rsidRPr="0080476F">
        <w:t xml:space="preserve">b) of the definition of </w:t>
      </w:r>
      <w:r w:rsidR="00522C02" w:rsidRPr="0080476F">
        <w:rPr>
          <w:i/>
        </w:rPr>
        <w:t>defective</w:t>
      </w:r>
      <w:r w:rsidR="00522C02" w:rsidRPr="0080476F">
        <w:t>)</w:t>
      </w:r>
    </w:p>
    <w:p w14:paraId="09871FB2" w14:textId="77777777" w:rsidR="00522C02" w:rsidRPr="0080476F" w:rsidRDefault="000D6E89" w:rsidP="0080476F">
      <w:pPr>
        <w:pStyle w:val="Item"/>
      </w:pPr>
      <w:r w:rsidRPr="0080476F">
        <w:t>Omit</w:t>
      </w:r>
      <w:r w:rsidR="00522C02" w:rsidRPr="0080476F">
        <w:t xml:space="preserve"> “</w:t>
      </w:r>
      <w:r w:rsidR="00BC5E82" w:rsidRPr="0080476F">
        <w:t>a Statement of Advice,</w:t>
      </w:r>
      <w:r w:rsidRPr="0080476F">
        <w:t xml:space="preserve"> or is</w:t>
      </w:r>
      <w:r w:rsidR="00BC5E82" w:rsidRPr="0080476F">
        <w:t>”</w:t>
      </w:r>
      <w:r w:rsidR="00522C02" w:rsidRPr="0080476F">
        <w:t xml:space="preserve">, </w:t>
      </w:r>
      <w:r w:rsidRPr="0080476F">
        <w:t>substitute</w:t>
      </w:r>
      <w:r w:rsidR="00522C02" w:rsidRPr="0080476F">
        <w:t xml:space="preserve"> “</w:t>
      </w:r>
      <w:r w:rsidRPr="0080476F">
        <w:t xml:space="preserve">a Statement of Advice, </w:t>
      </w:r>
      <w:r w:rsidR="00522C02" w:rsidRPr="0080476F">
        <w:t>a Statement of Claim Settlement Options</w:t>
      </w:r>
      <w:r w:rsidR="00BC5E82" w:rsidRPr="0080476F">
        <w:t>,</w:t>
      </w:r>
      <w:r w:rsidRPr="0080476F">
        <w:t xml:space="preserve"> or</w:t>
      </w:r>
      <w:r w:rsidR="00522C02" w:rsidRPr="0080476F">
        <w:t>”.</w:t>
      </w:r>
    </w:p>
    <w:p w14:paraId="1FD7B247" w14:textId="77777777" w:rsidR="00522C02" w:rsidRPr="0080476F" w:rsidRDefault="0096493A" w:rsidP="0080476F">
      <w:pPr>
        <w:pStyle w:val="ItemHead"/>
      </w:pPr>
      <w:r w:rsidRPr="0080476F">
        <w:t>15</w:t>
      </w:r>
      <w:r w:rsidR="00522C02" w:rsidRPr="0080476F">
        <w:t xml:space="preserve">  Subsection</w:t>
      </w:r>
      <w:r w:rsidR="0080476F" w:rsidRPr="0080476F">
        <w:t> </w:t>
      </w:r>
      <w:r w:rsidR="00522C02" w:rsidRPr="0080476F">
        <w:t xml:space="preserve">952B(1) (after </w:t>
      </w:r>
      <w:r w:rsidR="0080476F" w:rsidRPr="0080476F">
        <w:t>subparagraph (</w:t>
      </w:r>
      <w:r w:rsidR="00522C02" w:rsidRPr="0080476F">
        <w:t xml:space="preserve">b)(ii) of the definition of </w:t>
      </w:r>
      <w:r w:rsidR="00522C02" w:rsidRPr="0080476F">
        <w:rPr>
          <w:i/>
        </w:rPr>
        <w:t>defective</w:t>
      </w:r>
      <w:r w:rsidR="00522C02" w:rsidRPr="0080476F">
        <w:t>)</w:t>
      </w:r>
    </w:p>
    <w:p w14:paraId="30DF13A1" w14:textId="77777777" w:rsidR="00522C02" w:rsidRPr="0080476F" w:rsidRDefault="00522C02" w:rsidP="0080476F">
      <w:pPr>
        <w:pStyle w:val="Item"/>
      </w:pPr>
      <w:r w:rsidRPr="0080476F">
        <w:t>Insert:</w:t>
      </w:r>
    </w:p>
    <w:p w14:paraId="7900C60D" w14:textId="77777777" w:rsidR="00522C02" w:rsidRPr="0080476F" w:rsidRDefault="00522C02" w:rsidP="0080476F">
      <w:pPr>
        <w:pStyle w:val="paragraphsub"/>
      </w:pPr>
      <w:r w:rsidRPr="0080476F">
        <w:tab/>
        <w:t>(iia)</w:t>
      </w:r>
      <w:r w:rsidRPr="0080476F">
        <w:tab/>
        <w:t>if it is a Statement of Claim Settlement Options—there is an omission from the Statement of Claim Settlement Options of material required by section</w:t>
      </w:r>
      <w:r w:rsidR="0080476F" w:rsidRPr="0080476F">
        <w:t> </w:t>
      </w:r>
      <w:r w:rsidRPr="0080476F">
        <w:t>948F; or</w:t>
      </w:r>
    </w:p>
    <w:p w14:paraId="2DBAD443" w14:textId="77777777" w:rsidR="00B73D47" w:rsidRPr="0080476F" w:rsidRDefault="0096493A" w:rsidP="0080476F">
      <w:pPr>
        <w:pStyle w:val="ItemHead"/>
      </w:pPr>
      <w:r w:rsidRPr="0080476F">
        <w:t>16</w:t>
      </w:r>
      <w:r w:rsidR="00B73D47" w:rsidRPr="0080476F">
        <w:t xml:space="preserve">  Subsection</w:t>
      </w:r>
      <w:r w:rsidR="0080476F" w:rsidRPr="0080476F">
        <w:t> </w:t>
      </w:r>
      <w:r w:rsidR="00B73D47" w:rsidRPr="0080476F">
        <w:t xml:space="preserve">952B(1) (after </w:t>
      </w:r>
      <w:r w:rsidR="0080476F" w:rsidRPr="0080476F">
        <w:t>paragraph (</w:t>
      </w:r>
      <w:r w:rsidR="00B73D47" w:rsidRPr="0080476F">
        <w:t xml:space="preserve">c) of the definition of </w:t>
      </w:r>
      <w:r w:rsidR="00B73D47" w:rsidRPr="0080476F">
        <w:rPr>
          <w:i/>
        </w:rPr>
        <w:t>disclosure document or statement</w:t>
      </w:r>
      <w:r w:rsidR="00B73D47" w:rsidRPr="0080476F">
        <w:t>)</w:t>
      </w:r>
    </w:p>
    <w:p w14:paraId="736DEBC6" w14:textId="77777777" w:rsidR="00B73D47" w:rsidRPr="0080476F" w:rsidRDefault="00B73D47" w:rsidP="0080476F">
      <w:pPr>
        <w:pStyle w:val="Item"/>
      </w:pPr>
      <w:r w:rsidRPr="0080476F">
        <w:t>Insert:</w:t>
      </w:r>
    </w:p>
    <w:p w14:paraId="5AFAF82D" w14:textId="77777777" w:rsidR="00B73D47" w:rsidRPr="0080476F" w:rsidRDefault="00B73D47" w:rsidP="0080476F">
      <w:pPr>
        <w:pStyle w:val="paragraph"/>
      </w:pPr>
      <w:r w:rsidRPr="0080476F">
        <w:tab/>
        <w:t>(ca)</w:t>
      </w:r>
      <w:r w:rsidRPr="0080476F">
        <w:tab/>
        <w:t>a Statement of Claim Settlement Options; or</w:t>
      </w:r>
    </w:p>
    <w:p w14:paraId="690FA9E4" w14:textId="77777777" w:rsidR="00812BE2" w:rsidRPr="0080476F" w:rsidRDefault="0096493A" w:rsidP="0080476F">
      <w:pPr>
        <w:pStyle w:val="ItemHead"/>
      </w:pPr>
      <w:r w:rsidRPr="0080476F">
        <w:t>17</w:t>
      </w:r>
      <w:r w:rsidR="00812BE2" w:rsidRPr="0080476F">
        <w:t xml:space="preserve">  Paragraph 952E(2)(a)</w:t>
      </w:r>
    </w:p>
    <w:p w14:paraId="18F57DFA" w14:textId="77777777" w:rsidR="00812BE2" w:rsidRPr="0080476F" w:rsidRDefault="00812BE2" w:rsidP="0080476F">
      <w:pPr>
        <w:pStyle w:val="Item"/>
      </w:pPr>
      <w:r w:rsidRPr="0080476F">
        <w:t>Repeal the paragraph, substitute:</w:t>
      </w:r>
    </w:p>
    <w:p w14:paraId="1CEE93C0" w14:textId="77777777" w:rsidR="00812BE2" w:rsidRPr="0080476F" w:rsidRDefault="00812BE2" w:rsidP="0080476F">
      <w:pPr>
        <w:pStyle w:val="paragraph"/>
      </w:pPr>
      <w:r w:rsidRPr="0080476F">
        <w:tab/>
        <w:t>(a)</w:t>
      </w:r>
      <w:r w:rsidRPr="0080476F">
        <w:tab/>
        <w:t xml:space="preserve">the representative gives (see </w:t>
      </w:r>
      <w:r w:rsidR="0080476F" w:rsidRPr="0080476F">
        <w:t>subsection (</w:t>
      </w:r>
      <w:r w:rsidRPr="0080476F">
        <w:t>5)) a person a disclosure document or statement that is one of the following, in circumstances in which the document or statement is required by a provision of this Part to be given to the person:</w:t>
      </w:r>
    </w:p>
    <w:p w14:paraId="07A6DB82" w14:textId="77777777" w:rsidR="00812BE2" w:rsidRPr="0080476F" w:rsidRDefault="00812BE2" w:rsidP="0080476F">
      <w:pPr>
        <w:pStyle w:val="paragraphsub"/>
      </w:pPr>
      <w:r w:rsidRPr="0080476F">
        <w:tab/>
        <w:t>(i)</w:t>
      </w:r>
      <w:r w:rsidRPr="0080476F">
        <w:tab/>
        <w:t>a Statement of Advice;</w:t>
      </w:r>
    </w:p>
    <w:p w14:paraId="273FCAE4" w14:textId="77777777" w:rsidR="00812BE2" w:rsidRPr="0080476F" w:rsidRDefault="00812BE2" w:rsidP="0080476F">
      <w:pPr>
        <w:pStyle w:val="paragraphsub"/>
      </w:pPr>
      <w:r w:rsidRPr="0080476F">
        <w:tab/>
        <w:t>(ii)</w:t>
      </w:r>
      <w:r w:rsidRPr="0080476F">
        <w:tab/>
        <w:t>a Statement of Claim Settlement Options;</w:t>
      </w:r>
    </w:p>
    <w:p w14:paraId="55575D4D" w14:textId="77777777" w:rsidR="00812BE2" w:rsidRPr="0080476F" w:rsidRDefault="00812BE2" w:rsidP="0080476F">
      <w:pPr>
        <w:pStyle w:val="paragraphsub"/>
      </w:pPr>
      <w:r w:rsidRPr="0080476F">
        <w:tab/>
        <w:t>(iii)</w:t>
      </w:r>
      <w:r w:rsidRPr="0080476F">
        <w:tab/>
        <w:t>information, a statement or a copy of a record required by subsection</w:t>
      </w:r>
      <w:r w:rsidR="0080476F" w:rsidRPr="0080476F">
        <w:t> </w:t>
      </w:r>
      <w:r w:rsidRPr="0080476F">
        <w:t>941C(5) or (7), 941D(2), 946AA(5), 946B(3), (6) or (8) or 946C(2); and</w:t>
      </w:r>
    </w:p>
    <w:p w14:paraId="13A32FF6" w14:textId="77777777" w:rsidR="00812BE2" w:rsidRPr="0080476F" w:rsidRDefault="0096493A" w:rsidP="0080476F">
      <w:pPr>
        <w:pStyle w:val="ItemHead"/>
      </w:pPr>
      <w:r w:rsidRPr="0080476F">
        <w:t>18</w:t>
      </w:r>
      <w:r w:rsidR="00812BE2" w:rsidRPr="0080476F">
        <w:t xml:space="preserve">  Paragraph 952F(1)(b)</w:t>
      </w:r>
    </w:p>
    <w:p w14:paraId="7673B3CD" w14:textId="77777777" w:rsidR="00812BE2" w:rsidRPr="0080476F" w:rsidRDefault="00812BE2" w:rsidP="0080476F">
      <w:pPr>
        <w:pStyle w:val="Item"/>
      </w:pPr>
      <w:r w:rsidRPr="0080476F">
        <w:t>Repeal the paragraph, substitute:</w:t>
      </w:r>
    </w:p>
    <w:p w14:paraId="4FC5AB98" w14:textId="77777777" w:rsidR="00812BE2" w:rsidRPr="0080476F" w:rsidRDefault="00812BE2" w:rsidP="0080476F">
      <w:pPr>
        <w:pStyle w:val="paragraph"/>
      </w:pPr>
      <w:r w:rsidRPr="0080476F">
        <w:tab/>
        <w:t>(b)</w:t>
      </w:r>
      <w:r w:rsidRPr="0080476F">
        <w:tab/>
        <w:t>the licensee provides the representative with a disclosure document or statement, being:</w:t>
      </w:r>
    </w:p>
    <w:p w14:paraId="6D54C440" w14:textId="77777777" w:rsidR="00812BE2" w:rsidRPr="0080476F" w:rsidRDefault="00812BE2" w:rsidP="0080476F">
      <w:pPr>
        <w:pStyle w:val="paragraphsub"/>
      </w:pPr>
      <w:r w:rsidRPr="0080476F">
        <w:tab/>
        <w:t>(i)</w:t>
      </w:r>
      <w:r w:rsidRPr="0080476F">
        <w:tab/>
        <w:t>a Statement of Advice; or</w:t>
      </w:r>
    </w:p>
    <w:p w14:paraId="67F9C9E0" w14:textId="77777777" w:rsidR="00812BE2" w:rsidRPr="0080476F" w:rsidRDefault="00812BE2" w:rsidP="0080476F">
      <w:pPr>
        <w:pStyle w:val="paragraphsub"/>
      </w:pPr>
      <w:r w:rsidRPr="0080476F">
        <w:tab/>
        <w:t>(ii)</w:t>
      </w:r>
      <w:r w:rsidRPr="0080476F">
        <w:tab/>
        <w:t>a Statement of Claim Settlement Options; or</w:t>
      </w:r>
    </w:p>
    <w:p w14:paraId="74C295AD" w14:textId="77777777" w:rsidR="00812BE2" w:rsidRPr="0080476F" w:rsidRDefault="00812BE2" w:rsidP="0080476F">
      <w:pPr>
        <w:pStyle w:val="paragraphsub"/>
      </w:pPr>
      <w:r w:rsidRPr="0080476F">
        <w:tab/>
        <w:t>(iii)</w:t>
      </w:r>
      <w:r w:rsidRPr="0080476F">
        <w:tab/>
        <w:t>information, a statement or a copy of a record required by subsection</w:t>
      </w:r>
      <w:r w:rsidR="0080476F" w:rsidRPr="0080476F">
        <w:t> </w:t>
      </w:r>
      <w:r w:rsidRPr="0080476F">
        <w:t>941C(5) or (7), 941D(2), 946AA(5), 946B(3), (6) or (8) or 946C(2); or</w:t>
      </w:r>
    </w:p>
    <w:p w14:paraId="67F4FEFD" w14:textId="77777777" w:rsidR="00812BE2" w:rsidRPr="0080476F" w:rsidRDefault="0096493A" w:rsidP="0080476F">
      <w:pPr>
        <w:pStyle w:val="ItemHead"/>
      </w:pPr>
      <w:r w:rsidRPr="0080476F">
        <w:t>19</w:t>
      </w:r>
      <w:r w:rsidR="00812BE2" w:rsidRPr="0080476F">
        <w:t xml:space="preserve">  Subparagraph 952F(1)(c)(i)</w:t>
      </w:r>
    </w:p>
    <w:p w14:paraId="3CE7148A" w14:textId="77777777" w:rsidR="00812BE2" w:rsidRPr="0080476F" w:rsidRDefault="00812BE2" w:rsidP="0080476F">
      <w:pPr>
        <w:pStyle w:val="Item"/>
      </w:pPr>
      <w:r w:rsidRPr="0080476F">
        <w:t xml:space="preserve">After </w:t>
      </w:r>
      <w:r w:rsidR="00C867B9" w:rsidRPr="0080476F">
        <w:t>“</w:t>
      </w:r>
      <w:r w:rsidRPr="0080476F">
        <w:t>a Statement of Advice,”, insert “a Statement of Claim Settlement Options,”.</w:t>
      </w:r>
    </w:p>
    <w:p w14:paraId="080BC9CD" w14:textId="77777777" w:rsidR="00812BE2" w:rsidRPr="0080476F" w:rsidRDefault="0096493A" w:rsidP="0080476F">
      <w:pPr>
        <w:pStyle w:val="ItemHead"/>
      </w:pPr>
      <w:r w:rsidRPr="0080476F">
        <w:t>20</w:t>
      </w:r>
      <w:r w:rsidR="00812BE2" w:rsidRPr="0080476F">
        <w:t xml:space="preserve">  Paragraph 952G(1)(b)</w:t>
      </w:r>
    </w:p>
    <w:p w14:paraId="474984E1" w14:textId="77777777" w:rsidR="00812BE2" w:rsidRPr="0080476F" w:rsidRDefault="00812BE2" w:rsidP="0080476F">
      <w:pPr>
        <w:pStyle w:val="Item"/>
      </w:pPr>
      <w:r w:rsidRPr="0080476F">
        <w:t>Repeal the paragraph, substitute:</w:t>
      </w:r>
    </w:p>
    <w:p w14:paraId="6A7B898C" w14:textId="77777777" w:rsidR="00812BE2" w:rsidRPr="0080476F" w:rsidRDefault="00812BE2" w:rsidP="0080476F">
      <w:pPr>
        <w:pStyle w:val="paragraph"/>
      </w:pPr>
      <w:r w:rsidRPr="0080476F">
        <w:tab/>
        <w:t>(b)</w:t>
      </w:r>
      <w:r w:rsidRPr="0080476F">
        <w:tab/>
        <w:t>the licensee provides the representative with a disclosure document or statement, being:</w:t>
      </w:r>
    </w:p>
    <w:p w14:paraId="2058A996" w14:textId="77777777" w:rsidR="00812BE2" w:rsidRPr="0080476F" w:rsidRDefault="00812BE2" w:rsidP="0080476F">
      <w:pPr>
        <w:pStyle w:val="paragraphsub"/>
      </w:pPr>
      <w:r w:rsidRPr="0080476F">
        <w:tab/>
        <w:t>(i)</w:t>
      </w:r>
      <w:r w:rsidRPr="0080476F">
        <w:tab/>
        <w:t>a Statement of Advice; or</w:t>
      </w:r>
    </w:p>
    <w:p w14:paraId="046E9E49" w14:textId="77777777" w:rsidR="00812BE2" w:rsidRPr="0080476F" w:rsidRDefault="00812BE2" w:rsidP="0080476F">
      <w:pPr>
        <w:pStyle w:val="paragraphsub"/>
      </w:pPr>
      <w:r w:rsidRPr="0080476F">
        <w:tab/>
        <w:t>(ii)</w:t>
      </w:r>
      <w:r w:rsidRPr="0080476F">
        <w:tab/>
        <w:t>a Statement of Claim Settlement Options; or</w:t>
      </w:r>
    </w:p>
    <w:p w14:paraId="22BB123D" w14:textId="77777777" w:rsidR="00812BE2" w:rsidRPr="0080476F" w:rsidRDefault="00812BE2" w:rsidP="0080476F">
      <w:pPr>
        <w:pStyle w:val="paragraphsub"/>
      </w:pPr>
      <w:r w:rsidRPr="0080476F">
        <w:tab/>
        <w:t>(iii)</w:t>
      </w:r>
      <w:r w:rsidRPr="0080476F">
        <w:tab/>
        <w:t>information, a statement or a copy of a record required by subsection</w:t>
      </w:r>
      <w:r w:rsidR="0080476F" w:rsidRPr="0080476F">
        <w:t> </w:t>
      </w:r>
      <w:r w:rsidRPr="0080476F">
        <w:t>941C(5) or (7), 941D(2), 946AA(5), 946B(3), (6) or (8) or 946C(2); or</w:t>
      </w:r>
    </w:p>
    <w:p w14:paraId="7DB77F14" w14:textId="77777777" w:rsidR="00812BE2" w:rsidRPr="0080476F" w:rsidRDefault="0096493A" w:rsidP="0080476F">
      <w:pPr>
        <w:pStyle w:val="ItemHead"/>
      </w:pPr>
      <w:r w:rsidRPr="0080476F">
        <w:t>21</w:t>
      </w:r>
      <w:r w:rsidR="00812BE2" w:rsidRPr="0080476F">
        <w:t xml:space="preserve">  Subparagraph 952G(1)(c)(i)</w:t>
      </w:r>
    </w:p>
    <w:p w14:paraId="03932911" w14:textId="77777777" w:rsidR="00812BE2" w:rsidRPr="0080476F" w:rsidRDefault="00812BE2" w:rsidP="0080476F">
      <w:pPr>
        <w:pStyle w:val="Item"/>
      </w:pPr>
      <w:r w:rsidRPr="0080476F">
        <w:t xml:space="preserve">After </w:t>
      </w:r>
      <w:r w:rsidR="00C867B9" w:rsidRPr="0080476F">
        <w:t>“</w:t>
      </w:r>
      <w:r w:rsidRPr="0080476F">
        <w:t>a Statement of Advice,”, insert “a Statement of Claim Settlement Options,”.</w:t>
      </w:r>
    </w:p>
    <w:p w14:paraId="3F9B1BF6" w14:textId="77777777" w:rsidR="00812BE2" w:rsidRPr="0080476F" w:rsidRDefault="0096493A" w:rsidP="0080476F">
      <w:pPr>
        <w:pStyle w:val="ItemHead"/>
      </w:pPr>
      <w:r w:rsidRPr="0080476F">
        <w:t>22</w:t>
      </w:r>
      <w:r w:rsidR="00812BE2" w:rsidRPr="0080476F">
        <w:t xml:space="preserve">  After section</w:t>
      </w:r>
      <w:r w:rsidR="0080476F" w:rsidRPr="0080476F">
        <w:t> </w:t>
      </w:r>
      <w:r w:rsidR="00812BE2" w:rsidRPr="0080476F">
        <w:t>952J</w:t>
      </w:r>
    </w:p>
    <w:p w14:paraId="3C8C7B58" w14:textId="77777777" w:rsidR="00812BE2" w:rsidRPr="0080476F" w:rsidRDefault="00812BE2" w:rsidP="0080476F">
      <w:pPr>
        <w:pStyle w:val="Item"/>
      </w:pPr>
      <w:r w:rsidRPr="0080476F">
        <w:t>Insert:</w:t>
      </w:r>
    </w:p>
    <w:p w14:paraId="7464A3AD" w14:textId="77777777" w:rsidR="00812BE2" w:rsidRPr="0080476F" w:rsidRDefault="00812BE2" w:rsidP="0080476F">
      <w:pPr>
        <w:pStyle w:val="ActHead5"/>
      </w:pPr>
      <w:bookmarkStart w:id="23" w:name="_Toc25142674"/>
      <w:r w:rsidRPr="00E55F1C">
        <w:rPr>
          <w:rStyle w:val="CharSectno"/>
        </w:rPr>
        <w:t>952J</w:t>
      </w:r>
      <w:r w:rsidR="00CA4E72" w:rsidRPr="00E55F1C">
        <w:rPr>
          <w:rStyle w:val="CharSectno"/>
        </w:rPr>
        <w:t>A</w:t>
      </w:r>
      <w:r w:rsidRPr="0080476F">
        <w:t xml:space="preserve">  Offence if a Statement of Claim Settlement Options does not comply with certain requirements</w:t>
      </w:r>
      <w:bookmarkEnd w:id="23"/>
    </w:p>
    <w:p w14:paraId="53E81357" w14:textId="77777777" w:rsidR="00812BE2" w:rsidRPr="0080476F" w:rsidRDefault="00812BE2" w:rsidP="0080476F">
      <w:pPr>
        <w:pStyle w:val="subsection"/>
      </w:pPr>
      <w:r w:rsidRPr="0080476F">
        <w:tab/>
        <w:t>(1)</w:t>
      </w:r>
      <w:r w:rsidRPr="0080476F">
        <w:tab/>
        <w:t>A financial services licensee, or an authorised representative of a financial services licensee, commits</w:t>
      </w:r>
      <w:bookmarkStart w:id="24" w:name="BK_S1P10L21C37"/>
      <w:bookmarkEnd w:id="24"/>
      <w:r w:rsidRPr="0080476F">
        <w:t xml:space="preserve"> an offence if:</w:t>
      </w:r>
    </w:p>
    <w:p w14:paraId="093AD53D" w14:textId="77777777" w:rsidR="00812BE2" w:rsidRPr="0080476F" w:rsidRDefault="00812BE2" w:rsidP="0080476F">
      <w:pPr>
        <w:pStyle w:val="paragraph"/>
      </w:pPr>
      <w:r w:rsidRPr="0080476F">
        <w:tab/>
        <w:t>(a)</w:t>
      </w:r>
      <w:r w:rsidRPr="0080476F">
        <w:tab/>
        <w:t xml:space="preserve">the licensee or representative gives (see </w:t>
      </w:r>
      <w:r w:rsidR="0080476F" w:rsidRPr="0080476F">
        <w:t>subsection (</w:t>
      </w:r>
      <w:r w:rsidRPr="0080476F">
        <w:t>3)) a person a Statement of Claim Settlement Options in circumstances in which it is required by a provision of this Part to be given to the person; and</w:t>
      </w:r>
    </w:p>
    <w:p w14:paraId="31133677" w14:textId="77777777" w:rsidR="00812BE2" w:rsidRPr="0080476F" w:rsidRDefault="00812BE2" w:rsidP="0080476F">
      <w:pPr>
        <w:pStyle w:val="paragraph"/>
      </w:pPr>
      <w:r w:rsidRPr="0080476F">
        <w:tab/>
        <w:t>(b)</w:t>
      </w:r>
      <w:r w:rsidRPr="0080476F">
        <w:tab/>
        <w:t>the Statement of Claim Settlement Options does not comply with section</w:t>
      </w:r>
      <w:r w:rsidR="0080476F" w:rsidRPr="0080476F">
        <w:t> </w:t>
      </w:r>
      <w:r w:rsidRPr="0080476F">
        <w:t>948E.</w:t>
      </w:r>
    </w:p>
    <w:p w14:paraId="491D3AA3" w14:textId="77777777" w:rsidR="00CA4E72" w:rsidRPr="0080476F" w:rsidRDefault="00CA4E72" w:rsidP="0080476F">
      <w:pPr>
        <w:pStyle w:val="notetext"/>
      </w:pPr>
      <w:r w:rsidRPr="0080476F">
        <w:t>Note:</w:t>
      </w:r>
      <w:r w:rsidRPr="0080476F">
        <w:tab/>
        <w:t>Failure to comply with this subsection is an offence (see subsection</w:t>
      </w:r>
      <w:r w:rsidR="0080476F" w:rsidRPr="0080476F">
        <w:t> </w:t>
      </w:r>
      <w:r w:rsidRPr="0080476F">
        <w:t>1311(1)).</w:t>
      </w:r>
    </w:p>
    <w:p w14:paraId="015F5D07" w14:textId="77777777" w:rsidR="00812BE2" w:rsidRPr="0080476F" w:rsidRDefault="00812BE2" w:rsidP="0080476F">
      <w:pPr>
        <w:pStyle w:val="subsection"/>
      </w:pPr>
      <w:r w:rsidRPr="0080476F">
        <w:tab/>
        <w:t>(2)</w:t>
      </w:r>
      <w:r w:rsidRPr="0080476F">
        <w:tab/>
        <w:t xml:space="preserve">For the purposes of an offence based on </w:t>
      </w:r>
      <w:r w:rsidR="0080476F" w:rsidRPr="0080476F">
        <w:t>subsection (</w:t>
      </w:r>
      <w:r w:rsidRPr="0080476F">
        <w:t>1), strict liability</w:t>
      </w:r>
      <w:bookmarkStart w:id="25" w:name="BK_S1P10L31C10"/>
      <w:bookmarkEnd w:id="25"/>
      <w:r w:rsidRPr="0080476F">
        <w:t xml:space="preserve"> applies to </w:t>
      </w:r>
      <w:r w:rsidR="0080476F" w:rsidRPr="0080476F">
        <w:t>paragraph (</w:t>
      </w:r>
      <w:r w:rsidRPr="0080476F">
        <w:t>b) of that subsection.</w:t>
      </w:r>
    </w:p>
    <w:p w14:paraId="428098E7" w14:textId="77777777" w:rsidR="00812BE2" w:rsidRPr="0080476F" w:rsidRDefault="00812BE2" w:rsidP="0080476F">
      <w:pPr>
        <w:pStyle w:val="subsection"/>
      </w:pPr>
      <w:r w:rsidRPr="0080476F">
        <w:tab/>
        <w:t>(3)</w:t>
      </w:r>
      <w:r w:rsidRPr="0080476F">
        <w:tab/>
        <w:t xml:space="preserve">In this section, </w:t>
      </w:r>
      <w:r w:rsidRPr="0080476F">
        <w:rPr>
          <w:b/>
          <w:i/>
        </w:rPr>
        <w:t>give</w:t>
      </w:r>
      <w:r w:rsidRPr="0080476F">
        <w:t xml:space="preserve"> means give by any means (including orally), and is not limited to the meaning it has because of section</w:t>
      </w:r>
      <w:r w:rsidR="0080476F" w:rsidRPr="0080476F">
        <w:t> </w:t>
      </w:r>
      <w:r w:rsidRPr="0080476F">
        <w:t>940C.</w:t>
      </w:r>
    </w:p>
    <w:p w14:paraId="5A76BB12" w14:textId="77777777" w:rsidR="00812BE2" w:rsidRPr="0080476F" w:rsidRDefault="0096493A" w:rsidP="0080476F">
      <w:pPr>
        <w:pStyle w:val="ItemHead"/>
      </w:pPr>
      <w:r w:rsidRPr="0080476F">
        <w:t>23</w:t>
      </w:r>
      <w:r w:rsidR="00812BE2" w:rsidRPr="0080476F">
        <w:t xml:space="preserve">  Subsection</w:t>
      </w:r>
      <w:r w:rsidR="0080476F" w:rsidRPr="0080476F">
        <w:t> </w:t>
      </w:r>
      <w:r w:rsidR="00812BE2" w:rsidRPr="0080476F">
        <w:t>953A(1) (</w:t>
      </w:r>
      <w:r w:rsidR="0080476F" w:rsidRPr="0080476F">
        <w:t>paragraph (</w:t>
      </w:r>
      <w:r w:rsidR="00812BE2" w:rsidRPr="0080476F">
        <w:t xml:space="preserve">b) of the definition of </w:t>
      </w:r>
      <w:r w:rsidR="00812BE2" w:rsidRPr="0080476F">
        <w:rPr>
          <w:i/>
        </w:rPr>
        <w:t>defective</w:t>
      </w:r>
      <w:r w:rsidR="00812BE2" w:rsidRPr="0080476F">
        <w:t>)</w:t>
      </w:r>
    </w:p>
    <w:p w14:paraId="17F38F16" w14:textId="77777777" w:rsidR="000D6E89" w:rsidRPr="0080476F" w:rsidRDefault="000D6E89" w:rsidP="0080476F">
      <w:pPr>
        <w:pStyle w:val="Item"/>
      </w:pPr>
      <w:r w:rsidRPr="0080476F">
        <w:t>Omit “a Statement of Advice, or is”, substitute “a Statement of Advice, a Statement of Claim Settlement Options, or”.</w:t>
      </w:r>
    </w:p>
    <w:p w14:paraId="75C507E5" w14:textId="77777777" w:rsidR="00812BE2" w:rsidRPr="0080476F" w:rsidRDefault="0096493A" w:rsidP="0080476F">
      <w:pPr>
        <w:pStyle w:val="ItemHead"/>
      </w:pPr>
      <w:r w:rsidRPr="0080476F">
        <w:t>24</w:t>
      </w:r>
      <w:r w:rsidR="00812BE2" w:rsidRPr="0080476F">
        <w:t xml:space="preserve">  Subsection</w:t>
      </w:r>
      <w:r w:rsidR="0080476F" w:rsidRPr="0080476F">
        <w:t> </w:t>
      </w:r>
      <w:r w:rsidR="00812BE2" w:rsidRPr="0080476F">
        <w:t xml:space="preserve">953A(1) (after </w:t>
      </w:r>
      <w:r w:rsidR="0080476F" w:rsidRPr="0080476F">
        <w:t>subparagraph (</w:t>
      </w:r>
      <w:r w:rsidR="00812BE2" w:rsidRPr="0080476F">
        <w:t xml:space="preserve">b)(ii) of the definition of </w:t>
      </w:r>
      <w:r w:rsidR="00812BE2" w:rsidRPr="0080476F">
        <w:rPr>
          <w:i/>
        </w:rPr>
        <w:t>defective</w:t>
      </w:r>
      <w:r w:rsidR="00812BE2" w:rsidRPr="0080476F">
        <w:t>)</w:t>
      </w:r>
    </w:p>
    <w:p w14:paraId="22CCD248" w14:textId="77777777" w:rsidR="00812BE2" w:rsidRPr="0080476F" w:rsidRDefault="00812BE2" w:rsidP="0080476F">
      <w:pPr>
        <w:pStyle w:val="Item"/>
      </w:pPr>
      <w:r w:rsidRPr="0080476F">
        <w:t>Insert:</w:t>
      </w:r>
    </w:p>
    <w:p w14:paraId="26ABD1D3" w14:textId="77777777" w:rsidR="00812BE2" w:rsidRPr="0080476F" w:rsidRDefault="00812BE2" w:rsidP="0080476F">
      <w:pPr>
        <w:pStyle w:val="paragraphsub"/>
      </w:pPr>
      <w:r w:rsidRPr="0080476F">
        <w:tab/>
        <w:t>(iia)</w:t>
      </w:r>
      <w:r w:rsidRPr="0080476F">
        <w:tab/>
        <w:t xml:space="preserve">if it is a Statement of Claim Settlement Options—there is an omission from the Statement of Claim Settlement Options of material required by </w:t>
      </w:r>
      <w:r w:rsidR="0051129D" w:rsidRPr="0080476F">
        <w:t>section</w:t>
      </w:r>
      <w:r w:rsidR="0080476F" w:rsidRPr="0080476F">
        <w:t> </w:t>
      </w:r>
      <w:r w:rsidR="0051129D" w:rsidRPr="0080476F">
        <w:t>948F; or</w:t>
      </w:r>
    </w:p>
    <w:p w14:paraId="289D51F0" w14:textId="77777777" w:rsidR="0051129D" w:rsidRPr="0080476F" w:rsidRDefault="0096493A" w:rsidP="0080476F">
      <w:pPr>
        <w:pStyle w:val="ItemHead"/>
      </w:pPr>
      <w:r w:rsidRPr="0080476F">
        <w:t>25</w:t>
      </w:r>
      <w:r w:rsidR="0051129D" w:rsidRPr="0080476F">
        <w:t xml:space="preserve">  Subsection</w:t>
      </w:r>
      <w:r w:rsidR="0080476F" w:rsidRPr="0080476F">
        <w:t> </w:t>
      </w:r>
      <w:r w:rsidR="0051129D" w:rsidRPr="0080476F">
        <w:t xml:space="preserve">953A(1) (after </w:t>
      </w:r>
      <w:r w:rsidR="0080476F" w:rsidRPr="0080476F">
        <w:t>paragraph (</w:t>
      </w:r>
      <w:r w:rsidR="0051129D" w:rsidRPr="0080476F">
        <w:t xml:space="preserve">c) of the definition of </w:t>
      </w:r>
      <w:r w:rsidR="0051129D" w:rsidRPr="0080476F">
        <w:rPr>
          <w:i/>
        </w:rPr>
        <w:t>disclosure document or statement</w:t>
      </w:r>
      <w:r w:rsidR="0051129D" w:rsidRPr="0080476F">
        <w:t>)</w:t>
      </w:r>
    </w:p>
    <w:p w14:paraId="365D2633" w14:textId="77777777" w:rsidR="0051129D" w:rsidRPr="0080476F" w:rsidRDefault="0051129D" w:rsidP="0080476F">
      <w:pPr>
        <w:pStyle w:val="Item"/>
      </w:pPr>
      <w:r w:rsidRPr="0080476F">
        <w:t>Insert:</w:t>
      </w:r>
    </w:p>
    <w:p w14:paraId="2E8F4D58" w14:textId="77777777" w:rsidR="0051129D" w:rsidRPr="0080476F" w:rsidRDefault="0051129D" w:rsidP="0080476F">
      <w:pPr>
        <w:pStyle w:val="paragraph"/>
      </w:pPr>
      <w:r w:rsidRPr="0080476F">
        <w:tab/>
        <w:t>(ca)</w:t>
      </w:r>
      <w:r w:rsidRPr="0080476F">
        <w:tab/>
        <w:t>a Statement of Claim Settlement Options; or</w:t>
      </w:r>
    </w:p>
    <w:p w14:paraId="4A96E224" w14:textId="77777777" w:rsidR="00EC0A95" w:rsidRPr="0080476F" w:rsidRDefault="0096493A" w:rsidP="0080476F">
      <w:pPr>
        <w:pStyle w:val="ItemHead"/>
      </w:pPr>
      <w:r w:rsidRPr="0080476F">
        <w:t>26</w:t>
      </w:r>
      <w:r w:rsidR="00EC0A95" w:rsidRPr="0080476F">
        <w:t xml:space="preserve">  In the appropriate position in subsection</w:t>
      </w:r>
      <w:r w:rsidR="0080476F" w:rsidRPr="0080476F">
        <w:t> </w:t>
      </w:r>
      <w:r w:rsidR="00EC0A95" w:rsidRPr="0080476F">
        <w:t>1317E(3)</w:t>
      </w:r>
    </w:p>
    <w:p w14:paraId="196E4943" w14:textId="77777777" w:rsidR="00EC0A95" w:rsidRPr="0080476F" w:rsidRDefault="00EC0A95" w:rsidP="0080476F">
      <w:pPr>
        <w:pStyle w:val="Item"/>
      </w:pPr>
      <w:r w:rsidRPr="0080476F">
        <w:t>Insert:</w:t>
      </w:r>
    </w:p>
    <w:p w14:paraId="36FD3C13" w14:textId="77777777" w:rsidR="00EC0A95" w:rsidRPr="0080476F" w:rsidRDefault="00EC0A95" w:rsidP="0080476F">
      <w:pPr>
        <w:pStyle w:val="Tabletext"/>
      </w:pPr>
    </w:p>
    <w:tbl>
      <w:tblPr>
        <w:tblW w:w="0" w:type="auto"/>
        <w:tblInd w:w="113" w:type="dxa"/>
        <w:tblLayout w:type="fixed"/>
        <w:tblLook w:val="0000" w:firstRow="0" w:lastRow="0" w:firstColumn="0" w:lastColumn="0" w:noHBand="0" w:noVBand="0"/>
      </w:tblPr>
      <w:tblGrid>
        <w:gridCol w:w="2263"/>
        <w:gridCol w:w="3119"/>
        <w:gridCol w:w="1707"/>
      </w:tblGrid>
      <w:tr w:rsidR="00EC0A95" w:rsidRPr="0080476F" w14:paraId="710E3B1D" w14:textId="77777777" w:rsidTr="00EC0A95">
        <w:tc>
          <w:tcPr>
            <w:tcW w:w="2263" w:type="dxa"/>
            <w:shd w:val="clear" w:color="auto" w:fill="auto"/>
          </w:tcPr>
          <w:p w14:paraId="2BF6693D" w14:textId="77777777" w:rsidR="00EC0A95" w:rsidRPr="0080476F" w:rsidRDefault="00EC0A95" w:rsidP="0080476F">
            <w:pPr>
              <w:pStyle w:val="Tabletext"/>
            </w:pPr>
            <w:r w:rsidRPr="0080476F">
              <w:t>subsection</w:t>
            </w:r>
            <w:r w:rsidR="0080476F" w:rsidRPr="0080476F">
              <w:t> </w:t>
            </w:r>
            <w:r w:rsidRPr="0080476F">
              <w:t>948C(2)</w:t>
            </w:r>
          </w:p>
        </w:tc>
        <w:tc>
          <w:tcPr>
            <w:tcW w:w="3119" w:type="dxa"/>
            <w:shd w:val="clear" w:color="auto" w:fill="auto"/>
          </w:tcPr>
          <w:p w14:paraId="273015D0" w14:textId="77777777" w:rsidR="00EC0A95" w:rsidRPr="0080476F" w:rsidRDefault="00EC0A95" w:rsidP="0080476F">
            <w:pPr>
              <w:pStyle w:val="Tabletext"/>
            </w:pPr>
            <w:r w:rsidRPr="0080476F">
              <w:t>obligation to give client a Statement of Claim Settlement Options</w:t>
            </w:r>
          </w:p>
        </w:tc>
        <w:tc>
          <w:tcPr>
            <w:tcW w:w="1707" w:type="dxa"/>
            <w:shd w:val="clear" w:color="auto" w:fill="auto"/>
          </w:tcPr>
          <w:p w14:paraId="7AC19F6E" w14:textId="77777777" w:rsidR="00EC0A95" w:rsidRPr="0080476F" w:rsidRDefault="00EC0A95" w:rsidP="0080476F">
            <w:pPr>
              <w:pStyle w:val="Tabletext"/>
            </w:pPr>
            <w:r w:rsidRPr="0080476F">
              <w:t>uncategorised</w:t>
            </w:r>
          </w:p>
        </w:tc>
      </w:tr>
    </w:tbl>
    <w:p w14:paraId="49FEC6FD" w14:textId="77777777" w:rsidR="000D6E89" w:rsidRPr="0080476F" w:rsidRDefault="0096493A" w:rsidP="0080476F">
      <w:pPr>
        <w:pStyle w:val="ItemHead"/>
      </w:pPr>
      <w:r w:rsidRPr="0080476F">
        <w:t>27</w:t>
      </w:r>
      <w:r w:rsidR="000D6E89" w:rsidRPr="0080476F">
        <w:t xml:space="preserve">  In the appropriate position in Schedule</w:t>
      </w:r>
      <w:r w:rsidR="0080476F" w:rsidRPr="0080476F">
        <w:t> </w:t>
      </w:r>
      <w:r w:rsidR="000D6E89" w:rsidRPr="0080476F">
        <w:t>3</w:t>
      </w:r>
    </w:p>
    <w:p w14:paraId="4E24B0B3" w14:textId="77777777" w:rsidR="000D6E89" w:rsidRPr="0080476F" w:rsidRDefault="000D6E89" w:rsidP="0080476F">
      <w:pPr>
        <w:pStyle w:val="Item"/>
      </w:pPr>
      <w:r w:rsidRPr="0080476F">
        <w:t>Insert:</w:t>
      </w:r>
    </w:p>
    <w:tbl>
      <w:tblPr>
        <w:tblW w:w="0" w:type="auto"/>
        <w:tblInd w:w="113" w:type="dxa"/>
        <w:tblLayout w:type="fixed"/>
        <w:tblLook w:val="0000" w:firstRow="0" w:lastRow="0" w:firstColumn="0" w:lastColumn="0" w:noHBand="0" w:noVBand="0"/>
      </w:tblPr>
      <w:tblGrid>
        <w:gridCol w:w="2263"/>
        <w:gridCol w:w="4820"/>
      </w:tblGrid>
      <w:tr w:rsidR="00CA4E72" w:rsidRPr="0080476F" w14:paraId="5AD65196" w14:textId="77777777" w:rsidTr="00CA4E72">
        <w:tc>
          <w:tcPr>
            <w:tcW w:w="2263" w:type="dxa"/>
            <w:shd w:val="clear" w:color="auto" w:fill="auto"/>
          </w:tcPr>
          <w:p w14:paraId="709BA63B" w14:textId="77777777" w:rsidR="00CA4E72" w:rsidRPr="0080476F" w:rsidRDefault="00CA4E72" w:rsidP="0080476F">
            <w:pPr>
              <w:pStyle w:val="Tabletext"/>
            </w:pPr>
            <w:r w:rsidRPr="0080476F">
              <w:t>subsection</w:t>
            </w:r>
            <w:r w:rsidR="0080476F" w:rsidRPr="0080476F">
              <w:t> </w:t>
            </w:r>
            <w:r w:rsidRPr="0080476F">
              <w:t>952JA(1)</w:t>
            </w:r>
          </w:p>
        </w:tc>
        <w:tc>
          <w:tcPr>
            <w:tcW w:w="4820" w:type="dxa"/>
            <w:shd w:val="clear" w:color="auto" w:fill="auto"/>
          </w:tcPr>
          <w:p w14:paraId="1E451228" w14:textId="77777777" w:rsidR="00CA4E72" w:rsidRPr="0080476F" w:rsidRDefault="00CA4E72" w:rsidP="0080476F">
            <w:pPr>
              <w:pStyle w:val="Tabletext"/>
            </w:pPr>
            <w:r w:rsidRPr="0080476F">
              <w:t>30 penalty unit</w:t>
            </w:r>
            <w:bookmarkStart w:id="26" w:name="BK_S1P11L22C16"/>
            <w:bookmarkEnd w:id="26"/>
            <w:r w:rsidRPr="0080476F">
              <w:t>s</w:t>
            </w:r>
          </w:p>
        </w:tc>
      </w:tr>
    </w:tbl>
    <w:p w14:paraId="6B04C526" w14:textId="77777777" w:rsidR="00816B6B" w:rsidRPr="0080476F" w:rsidRDefault="0096493A" w:rsidP="0080476F">
      <w:pPr>
        <w:pStyle w:val="ItemHead"/>
      </w:pPr>
      <w:r w:rsidRPr="0080476F">
        <w:t>28</w:t>
      </w:r>
      <w:r w:rsidR="00816B6B" w:rsidRPr="0080476F">
        <w:t xml:space="preserve">  In the appropriate position in Chapter</w:t>
      </w:r>
      <w:r w:rsidR="0080476F" w:rsidRPr="0080476F">
        <w:t> </w:t>
      </w:r>
      <w:r w:rsidR="00816B6B" w:rsidRPr="0080476F">
        <w:t>10</w:t>
      </w:r>
    </w:p>
    <w:p w14:paraId="310C44F5" w14:textId="77777777" w:rsidR="00816B6B" w:rsidRPr="0080476F" w:rsidRDefault="00816B6B" w:rsidP="0080476F">
      <w:pPr>
        <w:pStyle w:val="Item"/>
      </w:pPr>
      <w:r w:rsidRPr="0080476F">
        <w:t>Insert:</w:t>
      </w:r>
    </w:p>
    <w:p w14:paraId="3EBE321C" w14:textId="77777777" w:rsidR="00816B6B" w:rsidRPr="0080476F" w:rsidRDefault="00816B6B" w:rsidP="0080476F">
      <w:pPr>
        <w:pStyle w:val="ActHead2"/>
        <w:rPr>
          <w:b w:val="0"/>
          <w:kern w:val="0"/>
          <w:sz w:val="16"/>
        </w:rPr>
      </w:pPr>
      <w:bookmarkStart w:id="27" w:name="_Toc25142675"/>
      <w:r w:rsidRPr="00E55F1C">
        <w:rPr>
          <w:rStyle w:val="CharPartNo"/>
        </w:rPr>
        <w:t>Part</w:t>
      </w:r>
      <w:r w:rsidR="0080476F" w:rsidRPr="00E55F1C">
        <w:rPr>
          <w:rStyle w:val="CharPartNo"/>
        </w:rPr>
        <w:t> </w:t>
      </w:r>
      <w:r w:rsidRPr="00E55F1C">
        <w:rPr>
          <w:rStyle w:val="CharPartNo"/>
        </w:rPr>
        <w:t>10.41</w:t>
      </w:r>
      <w:r w:rsidRPr="0080476F">
        <w:t>—</w:t>
      </w:r>
      <w:r w:rsidRPr="00E55F1C">
        <w:rPr>
          <w:rStyle w:val="CharPartText"/>
        </w:rPr>
        <w:t xml:space="preserve">Application </w:t>
      </w:r>
      <w:r w:rsidR="00517A48" w:rsidRPr="00E55F1C">
        <w:rPr>
          <w:rStyle w:val="CharPartText"/>
        </w:rPr>
        <w:t xml:space="preserve">and transitional provisions relating to Schedule [x] to the </w:t>
      </w:r>
      <w:r w:rsidR="00EB0625" w:rsidRPr="00E55F1C">
        <w:rPr>
          <w:rStyle w:val="CharPartText"/>
        </w:rPr>
        <w:t>Financial Sector Reform (Hayne Royal Commission Response—Protecting Consumers (2020 Measures)) Act 2020</w:t>
      </w:r>
      <w:bookmarkStart w:id="28" w:name="BK_S1P12L5C20"/>
      <w:bookmarkEnd w:id="27"/>
      <w:bookmarkEnd w:id="28"/>
    </w:p>
    <w:p w14:paraId="21954479" w14:textId="77777777" w:rsidR="00816B6B" w:rsidRPr="00E55F1C" w:rsidRDefault="00816B6B" w:rsidP="0080476F">
      <w:pPr>
        <w:pStyle w:val="Header"/>
      </w:pPr>
      <w:r w:rsidRPr="00E55F1C">
        <w:rPr>
          <w:rStyle w:val="CharDivNo"/>
        </w:rPr>
        <w:t xml:space="preserve"> </w:t>
      </w:r>
      <w:r w:rsidRPr="00E55F1C">
        <w:rPr>
          <w:rStyle w:val="CharDivText"/>
        </w:rPr>
        <w:t xml:space="preserve"> </w:t>
      </w:r>
    </w:p>
    <w:p w14:paraId="7670A9CC" w14:textId="77777777" w:rsidR="00816B6B" w:rsidRPr="0080476F" w:rsidRDefault="00816B6B" w:rsidP="0080476F">
      <w:pPr>
        <w:pStyle w:val="ActHead5"/>
      </w:pPr>
      <w:bookmarkStart w:id="29" w:name="_Toc25142676"/>
      <w:r w:rsidRPr="00E55F1C">
        <w:rPr>
          <w:rStyle w:val="CharSectno"/>
        </w:rPr>
        <w:t>1668</w:t>
      </w:r>
      <w:r w:rsidRPr="0080476F">
        <w:t xml:space="preserve">  Application of claims handling and settling services reforms</w:t>
      </w:r>
      <w:bookmarkEnd w:id="29"/>
    </w:p>
    <w:p w14:paraId="5B2F0120" w14:textId="77777777" w:rsidR="00816B6B" w:rsidRPr="0080476F" w:rsidRDefault="00816B6B" w:rsidP="0080476F">
      <w:pPr>
        <w:pStyle w:val="subsection"/>
      </w:pPr>
      <w:r w:rsidRPr="0080476F">
        <w:tab/>
      </w:r>
      <w:r w:rsidRPr="0080476F">
        <w:tab/>
        <w:t xml:space="preserve">Subject to this Part, the amendments made by Schedule </w:t>
      </w:r>
      <w:r w:rsidRPr="0080476F">
        <w:rPr>
          <w:i/>
        </w:rPr>
        <w:t>[</w:t>
      </w:r>
      <w:r w:rsidR="00EB0625" w:rsidRPr="0080476F">
        <w:rPr>
          <w:i/>
        </w:rPr>
        <w:t>x</w:t>
      </w:r>
      <w:r w:rsidRPr="0080476F">
        <w:rPr>
          <w:i/>
        </w:rPr>
        <w:t>]</w:t>
      </w:r>
      <w:r w:rsidRPr="0080476F">
        <w:t xml:space="preserve"> to the </w:t>
      </w:r>
      <w:r w:rsidR="00EB0625" w:rsidRPr="0080476F">
        <w:rPr>
          <w:i/>
        </w:rPr>
        <w:t>Financial Sector Reform (Hayne Royal Commission Response—Protecting Consumers (2020 Measures)) Act 2020</w:t>
      </w:r>
      <w:r w:rsidRPr="0080476F">
        <w:t xml:space="preserve"> apply to claims or potential claims under insurance products made on or after 1</w:t>
      </w:r>
      <w:r w:rsidR="0080476F" w:rsidRPr="0080476F">
        <w:t> </w:t>
      </w:r>
      <w:r w:rsidRPr="0080476F">
        <w:t>July 2020.</w:t>
      </w:r>
    </w:p>
    <w:p w14:paraId="354B18F2" w14:textId="77777777" w:rsidR="00816B6B" w:rsidRPr="0080476F" w:rsidRDefault="00816B6B" w:rsidP="0080476F">
      <w:pPr>
        <w:pStyle w:val="ActHead5"/>
      </w:pPr>
      <w:bookmarkStart w:id="30" w:name="_Toc25142677"/>
      <w:r w:rsidRPr="00E55F1C">
        <w:rPr>
          <w:rStyle w:val="CharSectno"/>
        </w:rPr>
        <w:t>1669</w:t>
      </w:r>
      <w:r w:rsidRPr="0080476F">
        <w:t xml:space="preserve">  Transition periods</w:t>
      </w:r>
      <w:bookmarkEnd w:id="30"/>
    </w:p>
    <w:p w14:paraId="1D08BA1B" w14:textId="77777777" w:rsidR="00816B6B" w:rsidRPr="0080476F" w:rsidRDefault="00816B6B" w:rsidP="0080476F">
      <w:pPr>
        <w:pStyle w:val="subsection"/>
      </w:pPr>
      <w:r w:rsidRPr="0080476F">
        <w:tab/>
        <w:t>(1)</w:t>
      </w:r>
      <w:r w:rsidRPr="0080476F">
        <w:tab/>
        <w:t xml:space="preserve">For the purposes of this Part, the </w:t>
      </w:r>
      <w:r w:rsidRPr="0080476F">
        <w:rPr>
          <w:b/>
          <w:i/>
        </w:rPr>
        <w:t>transition period</w:t>
      </w:r>
      <w:r w:rsidRPr="0080476F">
        <w:t xml:space="preserve"> for a person begins on 1</w:t>
      </w:r>
      <w:r w:rsidR="0080476F" w:rsidRPr="0080476F">
        <w:t> </w:t>
      </w:r>
      <w:r w:rsidRPr="0080476F">
        <w:t>July 2020 and ends on:</w:t>
      </w:r>
    </w:p>
    <w:p w14:paraId="72D86E81" w14:textId="77777777" w:rsidR="00816B6B" w:rsidRPr="0080476F" w:rsidRDefault="00816B6B" w:rsidP="0080476F">
      <w:pPr>
        <w:pStyle w:val="paragraph"/>
      </w:pPr>
      <w:r w:rsidRPr="0080476F">
        <w:tab/>
        <w:t>(a)</w:t>
      </w:r>
      <w:r w:rsidRPr="0080476F">
        <w:tab/>
        <w:t>if, on or before 31</w:t>
      </w:r>
      <w:r w:rsidR="0080476F" w:rsidRPr="0080476F">
        <w:t> </w:t>
      </w:r>
      <w:r w:rsidRPr="0080476F">
        <w:t>December 2020, the person lodges an application for an Australian financial services licence covering claims handling and settling services, the application complies with section</w:t>
      </w:r>
      <w:r w:rsidR="0080476F" w:rsidRPr="0080476F">
        <w:t> </w:t>
      </w:r>
      <w:r w:rsidRPr="0080476F">
        <w:t>913A</w:t>
      </w:r>
      <w:r w:rsidRPr="0080476F">
        <w:rPr>
          <w:i/>
        </w:rPr>
        <w:t xml:space="preserve"> </w:t>
      </w:r>
      <w:r w:rsidRPr="0080476F">
        <w:t>and is pending on that day—the earlier of:</w:t>
      </w:r>
    </w:p>
    <w:p w14:paraId="74143CC0" w14:textId="77777777" w:rsidR="00816B6B" w:rsidRPr="0080476F" w:rsidRDefault="00816B6B" w:rsidP="0080476F">
      <w:pPr>
        <w:pStyle w:val="paragraphsub"/>
      </w:pPr>
      <w:r w:rsidRPr="0080476F">
        <w:tab/>
        <w:t>(i)</w:t>
      </w:r>
      <w:r w:rsidRPr="0080476F">
        <w:tab/>
        <w:t>if, after 31</w:t>
      </w:r>
      <w:r w:rsidR="0080476F" w:rsidRPr="0080476F">
        <w:t> </w:t>
      </w:r>
      <w:r w:rsidRPr="0080476F">
        <w:t>December 2020, the person withdraws the application—the day on which the application is withdrawn; and</w:t>
      </w:r>
    </w:p>
    <w:p w14:paraId="476B958C" w14:textId="77777777" w:rsidR="00816B6B" w:rsidRPr="0080476F" w:rsidRDefault="00816B6B" w:rsidP="0080476F">
      <w:pPr>
        <w:pStyle w:val="paragraphsub"/>
      </w:pPr>
      <w:r w:rsidRPr="0080476F">
        <w:tab/>
        <w:t>(ii)</w:t>
      </w:r>
      <w:r w:rsidRPr="0080476F">
        <w:tab/>
        <w:t>if, after 31</w:t>
      </w:r>
      <w:r w:rsidR="0080476F" w:rsidRPr="0080476F">
        <w:t> </w:t>
      </w:r>
      <w:r w:rsidRPr="0080476F">
        <w:t>December 2020, ASIC notifies the person in writing that ASIC refuses to receive the application under subsection</w:t>
      </w:r>
      <w:r w:rsidR="0080476F" w:rsidRPr="0080476F">
        <w:t> </w:t>
      </w:r>
      <w:r w:rsidRPr="0080476F">
        <w:t>1274(8)—the day on which ASIC gives that notification; and</w:t>
      </w:r>
    </w:p>
    <w:p w14:paraId="0555092F" w14:textId="77777777" w:rsidR="00816B6B" w:rsidRPr="0080476F" w:rsidRDefault="00816B6B" w:rsidP="0080476F">
      <w:pPr>
        <w:pStyle w:val="paragraphsub"/>
      </w:pPr>
      <w:r w:rsidRPr="0080476F">
        <w:tab/>
        <w:t>(iii)</w:t>
      </w:r>
      <w:r w:rsidRPr="0080476F">
        <w:tab/>
        <w:t>if ASIC refuses to grant the person an Australian financial services licence covering claims handling and settling services—the day on which ASIC gives the person notice in writing of the refusal; and</w:t>
      </w:r>
    </w:p>
    <w:p w14:paraId="2A4E0413" w14:textId="77777777" w:rsidR="00816B6B" w:rsidRPr="0080476F" w:rsidRDefault="00816B6B" w:rsidP="0080476F">
      <w:pPr>
        <w:pStyle w:val="paragraphsub"/>
      </w:pPr>
      <w:r w:rsidRPr="0080476F">
        <w:tab/>
        <w:t>(iv)</w:t>
      </w:r>
      <w:r w:rsidRPr="0080476F">
        <w:tab/>
        <w:t>30</w:t>
      </w:r>
      <w:r w:rsidR="0080476F" w:rsidRPr="0080476F">
        <w:t> </w:t>
      </w:r>
      <w:r w:rsidRPr="0080476F">
        <w:t>June 2021; or</w:t>
      </w:r>
    </w:p>
    <w:p w14:paraId="0DFF28FE" w14:textId="77777777" w:rsidR="00816B6B" w:rsidRPr="0080476F" w:rsidRDefault="00816B6B" w:rsidP="0080476F">
      <w:pPr>
        <w:pStyle w:val="paragraph"/>
      </w:pPr>
      <w:r w:rsidRPr="0080476F">
        <w:tab/>
        <w:t>(b)</w:t>
      </w:r>
      <w:r w:rsidRPr="0080476F">
        <w:tab/>
        <w:t>if the person is a financial services licensee and, on or before 31</w:t>
      </w:r>
      <w:r w:rsidR="0080476F" w:rsidRPr="0080476F">
        <w:t> </w:t>
      </w:r>
      <w:r w:rsidRPr="0080476F">
        <w:t>December 2020, lodges an application for ASIC to vary the conditions on the licence to specify that claims handling and settling services are financial services that the licensee is authorised to provide, the application complies with paragraph</w:t>
      </w:r>
      <w:r w:rsidR="0080476F" w:rsidRPr="0080476F">
        <w:t> </w:t>
      </w:r>
      <w:r w:rsidRPr="0080476F">
        <w:t>914A(2)(b)</w:t>
      </w:r>
      <w:r w:rsidRPr="0080476F">
        <w:rPr>
          <w:i/>
        </w:rPr>
        <w:t xml:space="preserve"> </w:t>
      </w:r>
      <w:r w:rsidRPr="0080476F">
        <w:t>and is pending on that day—the earlier of:</w:t>
      </w:r>
    </w:p>
    <w:p w14:paraId="10D454D2" w14:textId="77777777" w:rsidR="00816B6B" w:rsidRPr="0080476F" w:rsidRDefault="00816B6B" w:rsidP="0080476F">
      <w:pPr>
        <w:pStyle w:val="paragraphsub"/>
      </w:pPr>
      <w:r w:rsidRPr="0080476F">
        <w:tab/>
        <w:t>(i)</w:t>
      </w:r>
      <w:r w:rsidRPr="0080476F">
        <w:tab/>
        <w:t>if, after 31</w:t>
      </w:r>
      <w:r w:rsidR="0080476F" w:rsidRPr="0080476F">
        <w:t> </w:t>
      </w:r>
      <w:r w:rsidRPr="0080476F">
        <w:t>December 2020, the person withdraws the application—the day on which the application is withdrawn; and</w:t>
      </w:r>
    </w:p>
    <w:p w14:paraId="3CC6A6C6" w14:textId="77777777" w:rsidR="00816B6B" w:rsidRPr="0080476F" w:rsidRDefault="00816B6B" w:rsidP="0080476F">
      <w:pPr>
        <w:pStyle w:val="paragraphsub"/>
      </w:pPr>
      <w:r w:rsidRPr="0080476F">
        <w:tab/>
        <w:t>(ii)</w:t>
      </w:r>
      <w:r w:rsidRPr="0080476F">
        <w:tab/>
        <w:t>if, after 31</w:t>
      </w:r>
      <w:r w:rsidR="0080476F" w:rsidRPr="0080476F">
        <w:t> </w:t>
      </w:r>
      <w:r w:rsidRPr="0080476F">
        <w:t>December 2020, ASIC notifies the person in writing that ASIC refuses to receive the application under subsection</w:t>
      </w:r>
      <w:r w:rsidR="0080476F" w:rsidRPr="0080476F">
        <w:t> </w:t>
      </w:r>
      <w:r w:rsidRPr="0080476F">
        <w:t>1274(8)—the day on which ASIC gives that notification; and</w:t>
      </w:r>
    </w:p>
    <w:p w14:paraId="2BF8D365" w14:textId="77777777" w:rsidR="00816B6B" w:rsidRPr="0080476F" w:rsidRDefault="00816B6B" w:rsidP="0080476F">
      <w:pPr>
        <w:pStyle w:val="paragraphsub"/>
      </w:pPr>
      <w:r w:rsidRPr="0080476F">
        <w:tab/>
        <w:t>(iii)</w:t>
      </w:r>
      <w:r w:rsidRPr="0080476F">
        <w:tab/>
        <w:t>if ASIC refuses to grant the person the variation—the day on which ASIC gives the person notice in writing of the refusal; and</w:t>
      </w:r>
    </w:p>
    <w:p w14:paraId="03D29EE4" w14:textId="77777777" w:rsidR="00816B6B" w:rsidRPr="0080476F" w:rsidRDefault="00816B6B" w:rsidP="0080476F">
      <w:pPr>
        <w:pStyle w:val="paragraphsub"/>
      </w:pPr>
      <w:r w:rsidRPr="0080476F">
        <w:tab/>
        <w:t>(iv)</w:t>
      </w:r>
      <w:r w:rsidRPr="0080476F">
        <w:tab/>
        <w:t>30</w:t>
      </w:r>
      <w:r w:rsidR="0080476F" w:rsidRPr="0080476F">
        <w:t> </w:t>
      </w:r>
      <w:r w:rsidRPr="0080476F">
        <w:t>June 2021; or</w:t>
      </w:r>
    </w:p>
    <w:p w14:paraId="42263219" w14:textId="77777777" w:rsidR="00816B6B" w:rsidRPr="0080476F" w:rsidRDefault="00816B6B" w:rsidP="0080476F">
      <w:pPr>
        <w:pStyle w:val="paragraph"/>
      </w:pPr>
      <w:r w:rsidRPr="0080476F">
        <w:rPr>
          <w:i/>
        </w:rPr>
        <w:tab/>
      </w:r>
      <w:r w:rsidRPr="0080476F">
        <w:t>(c)</w:t>
      </w:r>
      <w:r w:rsidRPr="0080476F">
        <w:tab/>
        <w:t xml:space="preserve">if a statement that the person will be authorised to provide claims handling and settling services on behalf of another person (the </w:t>
      </w:r>
      <w:r w:rsidRPr="0080476F">
        <w:rPr>
          <w:b/>
          <w:i/>
        </w:rPr>
        <w:t>licensee applicant</w:t>
      </w:r>
      <w:r w:rsidRPr="0080476F">
        <w:t xml:space="preserve">) is included in one or more applications mentioned in </w:t>
      </w:r>
      <w:r w:rsidR="0080476F" w:rsidRPr="0080476F">
        <w:t>paragraph (</w:t>
      </w:r>
      <w:r w:rsidRPr="0080476F">
        <w:t>a) or (b)—the earlier of:</w:t>
      </w:r>
    </w:p>
    <w:p w14:paraId="4E5CB56F" w14:textId="77777777" w:rsidR="00816B6B" w:rsidRPr="0080476F" w:rsidRDefault="00816B6B" w:rsidP="0080476F">
      <w:pPr>
        <w:pStyle w:val="paragraphsub"/>
      </w:pPr>
      <w:r w:rsidRPr="0080476F">
        <w:tab/>
        <w:t>(i)</w:t>
      </w:r>
      <w:r w:rsidRPr="0080476F">
        <w:tab/>
        <w:t>the day on which the longest transition period for any of the licensee applicants under those applications ends; and</w:t>
      </w:r>
    </w:p>
    <w:p w14:paraId="55A940AF" w14:textId="77777777" w:rsidR="00816B6B" w:rsidRPr="0080476F" w:rsidRDefault="00816B6B" w:rsidP="0080476F">
      <w:pPr>
        <w:pStyle w:val="paragraphsub"/>
      </w:pPr>
      <w:r w:rsidRPr="0080476F">
        <w:tab/>
        <w:t>(ii)</w:t>
      </w:r>
      <w:r w:rsidRPr="0080476F">
        <w:tab/>
        <w:t>30</w:t>
      </w:r>
      <w:r w:rsidR="0080476F" w:rsidRPr="0080476F">
        <w:t> </w:t>
      </w:r>
      <w:r w:rsidRPr="0080476F">
        <w:t>June 2021; or</w:t>
      </w:r>
    </w:p>
    <w:p w14:paraId="59235FDA" w14:textId="77777777" w:rsidR="00816B6B" w:rsidRPr="0080476F" w:rsidRDefault="00816B6B" w:rsidP="0080476F">
      <w:pPr>
        <w:pStyle w:val="paragraph"/>
      </w:pPr>
      <w:r w:rsidRPr="0080476F">
        <w:tab/>
        <w:t>(d)</w:t>
      </w:r>
      <w:r w:rsidRPr="0080476F">
        <w:tab/>
        <w:t>otherwise—31</w:t>
      </w:r>
      <w:r w:rsidR="0080476F" w:rsidRPr="0080476F">
        <w:t> </w:t>
      </w:r>
      <w:r w:rsidRPr="0080476F">
        <w:t>December 2020.</w:t>
      </w:r>
    </w:p>
    <w:p w14:paraId="3D2105B6" w14:textId="77777777" w:rsidR="00B22454" w:rsidRPr="0080476F" w:rsidRDefault="00B22454" w:rsidP="0080476F">
      <w:pPr>
        <w:pStyle w:val="subsection"/>
      </w:pPr>
      <w:r w:rsidRPr="0080476F">
        <w:tab/>
        <w:t>(2)</w:t>
      </w:r>
      <w:r w:rsidRPr="0080476F">
        <w:tab/>
        <w:t xml:space="preserve">In this section, an application is </w:t>
      </w:r>
      <w:r w:rsidRPr="0080476F">
        <w:rPr>
          <w:b/>
          <w:i/>
        </w:rPr>
        <w:t>pending</w:t>
      </w:r>
      <w:r w:rsidRPr="0080476F">
        <w:t xml:space="preserve"> on a particular day if:</w:t>
      </w:r>
    </w:p>
    <w:p w14:paraId="36E4F6F4" w14:textId="77777777" w:rsidR="00B22454" w:rsidRPr="0080476F" w:rsidRDefault="00B22454" w:rsidP="0080476F">
      <w:pPr>
        <w:pStyle w:val="paragraph"/>
      </w:pPr>
      <w:r w:rsidRPr="0080476F">
        <w:tab/>
        <w:t>(a)</w:t>
      </w:r>
      <w:r w:rsidRPr="0080476F">
        <w:tab/>
        <w:t>the application has not been withdrawn by the applicant on or before that day; and</w:t>
      </w:r>
    </w:p>
    <w:p w14:paraId="08E2AE55" w14:textId="77777777" w:rsidR="00B22454" w:rsidRPr="0080476F" w:rsidRDefault="00B22454" w:rsidP="0080476F">
      <w:pPr>
        <w:pStyle w:val="paragraph"/>
      </w:pPr>
      <w:r w:rsidRPr="0080476F">
        <w:tab/>
        <w:t>(b)</w:t>
      </w:r>
      <w:r w:rsidRPr="0080476F">
        <w:tab/>
        <w:t>ASIC has not, on or before that day, given the applicant notice in writing that the application has been granted or refused; and</w:t>
      </w:r>
    </w:p>
    <w:p w14:paraId="7B46B57D" w14:textId="77777777" w:rsidR="00B22454" w:rsidRPr="0080476F" w:rsidRDefault="00B22454" w:rsidP="0080476F">
      <w:pPr>
        <w:pStyle w:val="paragraph"/>
      </w:pPr>
      <w:r w:rsidRPr="0080476F">
        <w:tab/>
        <w:t>(c)</w:t>
      </w:r>
      <w:r w:rsidRPr="0080476F">
        <w:tab/>
        <w:t>ASIC has not, on or before that day, notified that applicant in writing that ASIC refuses to receive the application under subsection</w:t>
      </w:r>
      <w:r w:rsidR="0080476F" w:rsidRPr="0080476F">
        <w:t> </w:t>
      </w:r>
      <w:r w:rsidRPr="0080476F">
        <w:t>1274(8).</w:t>
      </w:r>
    </w:p>
    <w:p w14:paraId="62AD689B" w14:textId="77777777" w:rsidR="00816B6B" w:rsidRPr="0080476F" w:rsidRDefault="00816B6B" w:rsidP="0080476F">
      <w:pPr>
        <w:pStyle w:val="ActHead5"/>
      </w:pPr>
      <w:bookmarkStart w:id="31" w:name="_Toc25142678"/>
      <w:r w:rsidRPr="00E55F1C">
        <w:rPr>
          <w:rStyle w:val="CharSectno"/>
        </w:rPr>
        <w:t>1670</w:t>
      </w:r>
      <w:r w:rsidRPr="0080476F">
        <w:t xml:space="preserve">  Sections</w:t>
      </w:r>
      <w:r w:rsidR="0080476F" w:rsidRPr="0080476F">
        <w:t> </w:t>
      </w:r>
      <w:r w:rsidRPr="0080476F">
        <w:t>911A and 911B do not apply to a person during the transition period for the person</w:t>
      </w:r>
      <w:bookmarkEnd w:id="31"/>
    </w:p>
    <w:p w14:paraId="3192E73D" w14:textId="77777777" w:rsidR="00816B6B" w:rsidRPr="0080476F" w:rsidRDefault="00816B6B" w:rsidP="0080476F">
      <w:pPr>
        <w:pStyle w:val="subsection"/>
      </w:pPr>
      <w:r w:rsidRPr="0080476F">
        <w:tab/>
        <w:t>(1)</w:t>
      </w:r>
      <w:r w:rsidRPr="0080476F">
        <w:tab/>
        <w:t>Despite section</w:t>
      </w:r>
      <w:r w:rsidR="0080476F" w:rsidRPr="0080476F">
        <w:t> </w:t>
      </w:r>
      <w:r w:rsidRPr="0080476F">
        <w:t>911A, a person who carries on a financial services business in this jurisdiction is exempt from the requirement to hold an Australian financial services licence during the transition period for that person covering:</w:t>
      </w:r>
    </w:p>
    <w:p w14:paraId="6BBDDC55" w14:textId="77777777" w:rsidR="00816B6B" w:rsidRPr="0080476F" w:rsidRDefault="00816B6B" w:rsidP="0080476F">
      <w:pPr>
        <w:pStyle w:val="paragraph"/>
      </w:pPr>
      <w:r w:rsidRPr="0080476F">
        <w:tab/>
        <w:t>(a)</w:t>
      </w:r>
      <w:r w:rsidRPr="0080476F">
        <w:tab/>
        <w:t>the provision of a claims handling and settling service; or</w:t>
      </w:r>
    </w:p>
    <w:p w14:paraId="6DBAAC87" w14:textId="77777777" w:rsidR="00816B6B" w:rsidRPr="0080476F" w:rsidRDefault="00816B6B" w:rsidP="0080476F">
      <w:pPr>
        <w:pStyle w:val="paragraph"/>
      </w:pPr>
      <w:r w:rsidRPr="0080476F">
        <w:tab/>
        <w:t>(b)</w:t>
      </w:r>
      <w:r w:rsidRPr="0080476F">
        <w:tab/>
        <w:t>giving advice that consists only of a recommendation or statement of opinion provided in the course of, and as a necessary or incidental part of, either or both of:</w:t>
      </w:r>
    </w:p>
    <w:p w14:paraId="2D79966E" w14:textId="77777777" w:rsidR="00816B6B" w:rsidRPr="0080476F" w:rsidRDefault="00816B6B" w:rsidP="0080476F">
      <w:pPr>
        <w:pStyle w:val="paragraphsub"/>
      </w:pPr>
      <w:r w:rsidRPr="0080476F">
        <w:tab/>
        <w:t>(i)</w:t>
      </w:r>
      <w:r w:rsidRPr="0080476F">
        <w:tab/>
        <w:t>the handling of claims or potential claims in relation to an insurance product; and</w:t>
      </w:r>
    </w:p>
    <w:p w14:paraId="2C8CB648" w14:textId="77777777" w:rsidR="00816B6B" w:rsidRPr="0080476F" w:rsidRDefault="00816B6B" w:rsidP="0080476F">
      <w:pPr>
        <w:pStyle w:val="paragraphsub"/>
      </w:pPr>
      <w:r w:rsidRPr="0080476F">
        <w:tab/>
        <w:t>(ii)</w:t>
      </w:r>
      <w:r w:rsidRPr="0080476F">
        <w:tab/>
        <w:t>the settlement of claims or potential claims in relation to an insurance product; or</w:t>
      </w:r>
    </w:p>
    <w:p w14:paraId="2D39A41A" w14:textId="77777777" w:rsidR="00816B6B" w:rsidRPr="0080476F" w:rsidRDefault="00816B6B" w:rsidP="0080476F">
      <w:pPr>
        <w:pStyle w:val="paragraph"/>
      </w:pPr>
      <w:r w:rsidRPr="0080476F">
        <w:tab/>
        <w:t>(c)</w:t>
      </w:r>
      <w:r w:rsidRPr="0080476F">
        <w:tab/>
        <w:t>dealing in an insurance product, to the extent that the dealing is a necessary or incidental part of either or both of:</w:t>
      </w:r>
    </w:p>
    <w:p w14:paraId="175938EA" w14:textId="77777777" w:rsidR="00816B6B" w:rsidRPr="0080476F" w:rsidRDefault="00816B6B" w:rsidP="0080476F">
      <w:pPr>
        <w:pStyle w:val="paragraphsub"/>
      </w:pPr>
      <w:r w:rsidRPr="0080476F">
        <w:tab/>
        <w:t>(i)</w:t>
      </w:r>
      <w:r w:rsidRPr="0080476F">
        <w:tab/>
        <w:t>the handling of claims or potential claims in relation to that product; and</w:t>
      </w:r>
    </w:p>
    <w:p w14:paraId="54E916B7" w14:textId="77777777" w:rsidR="00816B6B" w:rsidRPr="0080476F" w:rsidRDefault="00816B6B" w:rsidP="0080476F">
      <w:pPr>
        <w:pStyle w:val="paragraphsub"/>
      </w:pPr>
      <w:r w:rsidRPr="0080476F">
        <w:tab/>
        <w:t>(ii)</w:t>
      </w:r>
      <w:r w:rsidRPr="0080476F">
        <w:tab/>
        <w:t>the settlement of claims or potential claims in relation to that product.</w:t>
      </w:r>
    </w:p>
    <w:p w14:paraId="0D193CAE" w14:textId="77777777" w:rsidR="00816B6B" w:rsidRPr="0080476F" w:rsidRDefault="00816B6B" w:rsidP="0080476F">
      <w:pPr>
        <w:pStyle w:val="subsection"/>
      </w:pPr>
      <w:r w:rsidRPr="0080476F">
        <w:tab/>
        <w:t>(2)</w:t>
      </w:r>
      <w:r w:rsidRPr="0080476F">
        <w:tab/>
        <w:t xml:space="preserve">During the transition period for a person, the person (the </w:t>
      </w:r>
      <w:r w:rsidRPr="0080476F">
        <w:rPr>
          <w:b/>
          <w:i/>
        </w:rPr>
        <w:t>provider</w:t>
      </w:r>
      <w:r w:rsidRPr="0080476F">
        <w:t>) is not limited under section</w:t>
      </w:r>
      <w:r w:rsidR="0080476F" w:rsidRPr="0080476F">
        <w:t> </w:t>
      </w:r>
      <w:r w:rsidRPr="0080476F">
        <w:t>911B in providing a financial service in this jurisdiction on behalf of another person who carries on a financial services business, if the service provided by the provider is one of the following:</w:t>
      </w:r>
    </w:p>
    <w:p w14:paraId="1C399CA8" w14:textId="77777777" w:rsidR="00816B6B" w:rsidRPr="0080476F" w:rsidRDefault="00816B6B" w:rsidP="0080476F">
      <w:pPr>
        <w:pStyle w:val="paragraph"/>
      </w:pPr>
      <w:r w:rsidRPr="0080476F">
        <w:tab/>
        <w:t>(a)</w:t>
      </w:r>
      <w:r w:rsidRPr="0080476F">
        <w:tab/>
        <w:t>the provision of a claims handling and settling service;</w:t>
      </w:r>
    </w:p>
    <w:p w14:paraId="693B8A68" w14:textId="77777777" w:rsidR="00816B6B" w:rsidRPr="0080476F" w:rsidRDefault="00816B6B" w:rsidP="0080476F">
      <w:pPr>
        <w:pStyle w:val="paragraph"/>
      </w:pPr>
      <w:r w:rsidRPr="0080476F">
        <w:tab/>
        <w:t>(b)</w:t>
      </w:r>
      <w:r w:rsidRPr="0080476F">
        <w:tab/>
        <w:t>giving advice that consists only of a recommendation or statement of opinion provided in the course of, and as a necessary or incidental part of, either or both of:</w:t>
      </w:r>
    </w:p>
    <w:p w14:paraId="2C39AC85" w14:textId="77777777" w:rsidR="00816B6B" w:rsidRPr="0080476F" w:rsidRDefault="00816B6B" w:rsidP="0080476F">
      <w:pPr>
        <w:pStyle w:val="paragraphsub"/>
      </w:pPr>
      <w:r w:rsidRPr="0080476F">
        <w:tab/>
        <w:t>(i)</w:t>
      </w:r>
      <w:r w:rsidRPr="0080476F">
        <w:tab/>
        <w:t>the handling of claims or potential claims in relation to an insurance product; and</w:t>
      </w:r>
    </w:p>
    <w:p w14:paraId="3B9C4402" w14:textId="77777777" w:rsidR="00816B6B" w:rsidRPr="0080476F" w:rsidRDefault="00816B6B" w:rsidP="0080476F">
      <w:pPr>
        <w:pStyle w:val="paragraphsub"/>
      </w:pPr>
      <w:r w:rsidRPr="0080476F">
        <w:tab/>
        <w:t>(ii)</w:t>
      </w:r>
      <w:r w:rsidRPr="0080476F">
        <w:tab/>
        <w:t>the settlement of claims or potential claims in rela</w:t>
      </w:r>
      <w:r w:rsidR="006B36C9" w:rsidRPr="0080476F">
        <w:t>tion to an insurance product;</w:t>
      </w:r>
    </w:p>
    <w:p w14:paraId="74E9C475" w14:textId="77777777" w:rsidR="00816B6B" w:rsidRPr="0080476F" w:rsidRDefault="00816B6B" w:rsidP="0080476F">
      <w:pPr>
        <w:pStyle w:val="paragraph"/>
      </w:pPr>
      <w:r w:rsidRPr="0080476F">
        <w:tab/>
        <w:t>(c)</w:t>
      </w:r>
      <w:r w:rsidRPr="0080476F">
        <w:tab/>
        <w:t>dealing in an insurance product, to the extent that the dealing is a necessary or incidental part of either or both of:</w:t>
      </w:r>
    </w:p>
    <w:p w14:paraId="4722C480" w14:textId="77777777" w:rsidR="00816B6B" w:rsidRPr="0080476F" w:rsidRDefault="00816B6B" w:rsidP="0080476F">
      <w:pPr>
        <w:pStyle w:val="paragraphsub"/>
      </w:pPr>
      <w:r w:rsidRPr="0080476F">
        <w:tab/>
        <w:t>(i)</w:t>
      </w:r>
      <w:r w:rsidRPr="0080476F">
        <w:tab/>
        <w:t>the handling of claims or potential claims in relation to that product; and</w:t>
      </w:r>
    </w:p>
    <w:p w14:paraId="1BD9300E" w14:textId="77777777" w:rsidR="00816B6B" w:rsidRPr="0080476F" w:rsidRDefault="00816B6B" w:rsidP="0080476F">
      <w:pPr>
        <w:pStyle w:val="paragraphsub"/>
      </w:pPr>
      <w:r w:rsidRPr="0080476F">
        <w:tab/>
        <w:t>(ii)</w:t>
      </w:r>
      <w:r w:rsidRPr="0080476F">
        <w:tab/>
        <w:t>the settlement of claims or potential claims in relation to that product.</w:t>
      </w:r>
    </w:p>
    <w:sectPr w:rsidR="00816B6B" w:rsidRPr="0080476F" w:rsidSect="0080476F">
      <w:headerReference w:type="even" r:id="rId13"/>
      <w:headerReference w:type="default" r:id="rId14"/>
      <w:footerReference w:type="even" r:id="rId15"/>
      <w:footerReference w:type="default" r:id="rId16"/>
      <w:headerReference w:type="first" r:id="rId17"/>
      <w:footerReference w:type="first" r:id="rId18"/>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4D39D" w14:textId="77777777" w:rsidR="00295AAE" w:rsidRDefault="00295AAE" w:rsidP="00664C63">
      <w:pPr>
        <w:spacing w:line="240" w:lineRule="auto"/>
      </w:pPr>
      <w:r>
        <w:separator/>
      </w:r>
    </w:p>
  </w:endnote>
  <w:endnote w:type="continuationSeparator" w:id="0">
    <w:p w14:paraId="6CB52B33" w14:textId="77777777" w:rsidR="00295AAE" w:rsidRDefault="00295AAE"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8EC8" w14:textId="77777777" w:rsidR="00664C63" w:rsidRPr="00BB4623" w:rsidRDefault="00664C63" w:rsidP="0080476F">
    <w:pPr>
      <w:pBdr>
        <w:top w:val="single" w:sz="6" w:space="1" w:color="auto"/>
      </w:pBdr>
      <w:spacing w:before="120"/>
      <w:jc w:val="right"/>
      <w:rPr>
        <w:sz w:val="18"/>
      </w:rPr>
    </w:pPr>
  </w:p>
  <w:p w14:paraId="72928232" w14:textId="77777777"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80476F">
      <w:rPr>
        <w:i/>
        <w:noProof/>
        <w:sz w:val="18"/>
      </w:rPr>
      <w:t>14</w:t>
    </w:r>
    <w:r w:rsidRPr="00BB4623">
      <w:rPr>
        <w:i/>
        <w:sz w:val="18"/>
      </w:rPr>
      <w:fldChar w:fldCharType="end"/>
    </w:r>
  </w:p>
  <w:p w14:paraId="7999AC73" w14:textId="77777777"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9F024" w14:textId="77777777" w:rsidR="0095602D" w:rsidRDefault="00E55F1C" w:rsidP="0080476F">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62336" behindDoc="1" locked="0" layoutInCell="1" allowOverlap="1" wp14:anchorId="74BF5530" wp14:editId="6B340D3E">
              <wp:simplePos x="0" y="0"/>
              <wp:positionH relativeFrom="column">
                <wp:align>center</wp:align>
              </wp:positionH>
              <wp:positionV relativeFrom="page">
                <wp:posOffset>9737725</wp:posOffset>
              </wp:positionV>
              <wp:extent cx="4413250" cy="393700"/>
              <wp:effectExtent l="0" t="0" r="635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08B174"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F5530" id="_x0000_t202" coordsize="21600,21600" o:spt="202" path="m,l,21600r21600,l21600,xe">
              <v:stroke joinstyle="miter"/>
              <v:path gradientshapeok="t" o:connecttype="rect"/>
            </v:shapetype>
            <v:shape id="Text Box 7" o:spid="_x0000_s1028" type="#_x0000_t202" style="position:absolute;margin-left:0;margin-top:766.75pt;width:347.5pt;height:31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Du/gIAAJs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" stroked="f" strokeweight=".5pt">
              <v:path arrowok="t"/>
              <v:textbox>
                <w:txbxContent>
                  <w:p w14:paraId="7408B174"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61312" behindDoc="1" locked="0" layoutInCell="1" allowOverlap="1" wp14:anchorId="46ECF8A3" wp14:editId="0C0B5B76">
              <wp:simplePos x="0" y="0"/>
              <wp:positionH relativeFrom="column">
                <wp:align>center</wp:align>
              </wp:positionH>
              <wp:positionV relativeFrom="page">
                <wp:posOffset>10079990</wp:posOffset>
              </wp:positionV>
              <wp:extent cx="4413250" cy="393700"/>
              <wp:effectExtent l="0" t="0" r="635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43DF53"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CF8A3" id="Text Box 6" o:spid="_x0000_s1029" type="#_x0000_t202" style="position:absolute;margin-left:0;margin-top:793.7pt;width:347.5pt;height:31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Lo/gIAAJs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" stroked="f" strokeweight=".5pt">
              <v:path arrowok="t"/>
              <v:textbox>
                <w:txbxContent>
                  <w:p w14:paraId="0B43DF53"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W w:w="0" w:type="auto"/>
      <w:tblLayout w:type="fixed"/>
      <w:tblLook w:val="0000" w:firstRow="0" w:lastRow="0" w:firstColumn="0" w:lastColumn="0" w:noHBand="0" w:noVBand="0"/>
    </w:tblPr>
    <w:tblGrid>
      <w:gridCol w:w="7087"/>
    </w:tblGrid>
    <w:tr w:rsidR="0095602D" w:rsidRPr="00B3608C" w14:paraId="1B224BAA" w14:textId="77777777" w:rsidTr="00A91C76">
      <w:trPr>
        <w:trHeight w:val="280"/>
      </w:trPr>
      <w:tc>
        <w:tcPr>
          <w:tcW w:w="7087" w:type="dxa"/>
        </w:tcPr>
        <w:p w14:paraId="1F4E5512" w14:textId="4F928B6D" w:rsidR="0095602D" w:rsidRPr="00B3608C" w:rsidRDefault="0095602D" w:rsidP="00A91C76">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00B658ED">
            <w:rPr>
              <w:i/>
              <w:noProof/>
              <w:sz w:val="18"/>
            </w:rPr>
            <w:t>1</w:t>
          </w:r>
          <w:r w:rsidRPr="00BB4623">
            <w:rPr>
              <w:i/>
              <w:sz w:val="18"/>
            </w:rPr>
            <w:fldChar w:fldCharType="end"/>
          </w:r>
        </w:p>
      </w:tc>
    </w:tr>
    <w:tr w:rsidR="0095602D" w:rsidRPr="00B3608C" w14:paraId="3735E83D" w14:textId="77777777" w:rsidTr="00A91C76">
      <w:tc>
        <w:tcPr>
          <w:tcW w:w="7087" w:type="dxa"/>
        </w:tcPr>
        <w:p w14:paraId="0DBD6E1C" w14:textId="77777777" w:rsidR="0095602D" w:rsidRPr="00B3608C" w:rsidRDefault="0095602D" w:rsidP="00A91C76">
          <w:pPr>
            <w:rPr>
              <w:i/>
              <w:sz w:val="18"/>
            </w:rPr>
          </w:pPr>
          <w:r w:rsidRPr="00BB4623">
            <w:rPr>
              <w:i/>
              <w:sz w:val="18"/>
            </w:rPr>
            <w:t xml:space="preserve">  </w:t>
          </w:r>
        </w:p>
      </w:tc>
    </w:tr>
  </w:tbl>
  <w:p w14:paraId="2A1B2B40" w14:textId="77777777" w:rsidR="00B3608C" w:rsidRPr="00BB4623" w:rsidRDefault="00B3608C" w:rsidP="00B3608C">
    <w:pPr>
      <w:pStyle w:val="Tabletext"/>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1E0A" w14:textId="77777777" w:rsidR="00664C63" w:rsidRPr="00BB4623" w:rsidRDefault="00664C63" w:rsidP="0080476F">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E521E" w14:textId="77777777" w:rsidR="00295AAE" w:rsidRDefault="00295AAE" w:rsidP="00664C63">
      <w:pPr>
        <w:spacing w:line="240" w:lineRule="auto"/>
      </w:pPr>
      <w:r>
        <w:separator/>
      </w:r>
    </w:p>
  </w:footnote>
  <w:footnote w:type="continuationSeparator" w:id="0">
    <w:p w14:paraId="634E7A14" w14:textId="77777777" w:rsidR="00295AAE" w:rsidRDefault="00295AAE"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4783" w14:textId="77777777" w:rsidR="00664C63" w:rsidRPr="00BB4623" w:rsidRDefault="00664C63" w:rsidP="00664C63">
    <w:pPr>
      <w:rPr>
        <w:sz w:val="24"/>
      </w:rPr>
    </w:pPr>
  </w:p>
  <w:p w14:paraId="4A823EA3" w14:textId="77777777"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0A9C" w14:textId="77777777" w:rsidR="00664C63" w:rsidRPr="00BB4623" w:rsidRDefault="00E55F1C" w:rsidP="00664C63">
    <w:pPr>
      <w:jc w:val="right"/>
      <w:rPr>
        <w:sz w:val="24"/>
      </w:rPr>
    </w:pPr>
    <w:r>
      <w:rPr>
        <w:noProof/>
        <w:sz w:val="24"/>
        <w:lang w:eastAsia="en-AU"/>
      </w:rPr>
      <mc:AlternateContent>
        <mc:Choice Requires="wps">
          <w:drawing>
            <wp:anchor distT="0" distB="0" distL="114300" distR="114300" simplePos="0" relativeHeight="251660288" behindDoc="1" locked="0" layoutInCell="1" allowOverlap="1" wp14:anchorId="0F3CD5E1" wp14:editId="2BE5DF9F">
              <wp:simplePos x="0" y="0"/>
              <wp:positionH relativeFrom="column">
                <wp:align>center</wp:align>
              </wp:positionH>
              <wp:positionV relativeFrom="page">
                <wp:posOffset>443230</wp:posOffset>
              </wp:positionV>
              <wp:extent cx="4413250" cy="393700"/>
              <wp:effectExtent l="0" t="0" r="635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C073F8"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CD5E1" id="_x0000_t202" coordsize="21600,21600" o:spt="202" path="m,l,21600r21600,l21600,xe">
              <v:stroke joinstyle="miter"/>
              <v:path gradientshapeok="t" o:connecttype="rect"/>
            </v:shapetype>
            <v:shape id="Text Box 5" o:spid="_x0000_s1026" type="#_x0000_t202" style="position:absolute;left:0;text-align:left;margin-left:0;margin-top:34.9pt;width:347.5pt;height:31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" stroked="f" strokeweight=".5pt">
              <v:path arrowok="t"/>
              <v:textbox>
                <w:txbxContent>
                  <w:p w14:paraId="2AC073F8"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4"/>
        <w:lang w:eastAsia="en-AU"/>
      </w:rPr>
      <mc:AlternateContent>
        <mc:Choice Requires="wps">
          <w:drawing>
            <wp:anchor distT="0" distB="0" distL="114300" distR="114300" simplePos="0" relativeHeight="251659264" behindDoc="1" locked="0" layoutInCell="1" allowOverlap="1" wp14:anchorId="2CC0AA29" wp14:editId="764CA0BC">
              <wp:simplePos x="0" y="0"/>
              <wp:positionH relativeFrom="column">
                <wp:align>center</wp:align>
              </wp:positionH>
              <wp:positionV relativeFrom="page">
                <wp:posOffset>143510</wp:posOffset>
              </wp:positionV>
              <wp:extent cx="4413250" cy="39370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370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E3FD24"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0AA29" id="Text Box 4" o:spid="_x0000_s1027" type="#_x0000_t202" style="position:absolute;left:0;text-align:left;margin-left:0;margin-top:11.3pt;width:347.5pt;height:31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" stroked="f" strokeweight=".5pt">
              <v:path arrowok="t"/>
              <v:textbox>
                <w:txbxContent>
                  <w:p w14:paraId="56E3FD24" w14:textId="77777777" w:rsidR="00E55F1C" w:rsidRPr="00E55F1C" w:rsidRDefault="00E55F1C" w:rsidP="00E55F1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6F67F6A9" w14:textId="77777777"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D7E7" w14:textId="77777777"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AE"/>
    <w:rsid w:val="000136AF"/>
    <w:rsid w:val="00014B9A"/>
    <w:rsid w:val="0002260A"/>
    <w:rsid w:val="00055D20"/>
    <w:rsid w:val="000614BF"/>
    <w:rsid w:val="00073C5A"/>
    <w:rsid w:val="00087033"/>
    <w:rsid w:val="000C4AD9"/>
    <w:rsid w:val="000C74F9"/>
    <w:rsid w:val="000D05EF"/>
    <w:rsid w:val="000D3899"/>
    <w:rsid w:val="000D6E89"/>
    <w:rsid w:val="000F21C1"/>
    <w:rsid w:val="000F24D6"/>
    <w:rsid w:val="000F4126"/>
    <w:rsid w:val="001016D1"/>
    <w:rsid w:val="0010240E"/>
    <w:rsid w:val="0010717C"/>
    <w:rsid w:val="0010745C"/>
    <w:rsid w:val="0011206D"/>
    <w:rsid w:val="00166C2F"/>
    <w:rsid w:val="00182C9A"/>
    <w:rsid w:val="0018435F"/>
    <w:rsid w:val="001939E1"/>
    <w:rsid w:val="00195382"/>
    <w:rsid w:val="001B0F61"/>
    <w:rsid w:val="001C69C4"/>
    <w:rsid w:val="001E3590"/>
    <w:rsid w:val="001E7407"/>
    <w:rsid w:val="0021250A"/>
    <w:rsid w:val="002277A0"/>
    <w:rsid w:val="00237B0B"/>
    <w:rsid w:val="00240749"/>
    <w:rsid w:val="00295AAE"/>
    <w:rsid w:val="00296415"/>
    <w:rsid w:val="00297ECB"/>
    <w:rsid w:val="002C085A"/>
    <w:rsid w:val="002D043A"/>
    <w:rsid w:val="002E061C"/>
    <w:rsid w:val="002F08B3"/>
    <w:rsid w:val="00313C6F"/>
    <w:rsid w:val="0033411C"/>
    <w:rsid w:val="00334771"/>
    <w:rsid w:val="003415D3"/>
    <w:rsid w:val="00352B0F"/>
    <w:rsid w:val="003B0F1E"/>
    <w:rsid w:val="003D0317"/>
    <w:rsid w:val="003D0BFE"/>
    <w:rsid w:val="003D1A48"/>
    <w:rsid w:val="003D5700"/>
    <w:rsid w:val="003F060A"/>
    <w:rsid w:val="003F60D2"/>
    <w:rsid w:val="00402376"/>
    <w:rsid w:val="004043EE"/>
    <w:rsid w:val="0040616D"/>
    <w:rsid w:val="004116CD"/>
    <w:rsid w:val="004168B4"/>
    <w:rsid w:val="00424CA9"/>
    <w:rsid w:val="00427D10"/>
    <w:rsid w:val="0044291A"/>
    <w:rsid w:val="00496F97"/>
    <w:rsid w:val="004E3680"/>
    <w:rsid w:val="005104CE"/>
    <w:rsid w:val="0051129D"/>
    <w:rsid w:val="00516B8D"/>
    <w:rsid w:val="00517A48"/>
    <w:rsid w:val="00522C02"/>
    <w:rsid w:val="00537FBC"/>
    <w:rsid w:val="00543850"/>
    <w:rsid w:val="00584052"/>
    <w:rsid w:val="00584811"/>
    <w:rsid w:val="00593AA6"/>
    <w:rsid w:val="00594161"/>
    <w:rsid w:val="00594749"/>
    <w:rsid w:val="005A6F34"/>
    <w:rsid w:val="005B4067"/>
    <w:rsid w:val="005C3F41"/>
    <w:rsid w:val="005C5800"/>
    <w:rsid w:val="005D4DEA"/>
    <w:rsid w:val="00600219"/>
    <w:rsid w:val="0060504A"/>
    <w:rsid w:val="00611C2E"/>
    <w:rsid w:val="006265E7"/>
    <w:rsid w:val="00633625"/>
    <w:rsid w:val="00633D81"/>
    <w:rsid w:val="006444FB"/>
    <w:rsid w:val="0065106B"/>
    <w:rsid w:val="006527A6"/>
    <w:rsid w:val="00662AD5"/>
    <w:rsid w:val="00664C63"/>
    <w:rsid w:val="00677CC2"/>
    <w:rsid w:val="00681A4A"/>
    <w:rsid w:val="0069207B"/>
    <w:rsid w:val="006B36C9"/>
    <w:rsid w:val="006B51F1"/>
    <w:rsid w:val="006C2674"/>
    <w:rsid w:val="006C4AA3"/>
    <w:rsid w:val="006C7F8C"/>
    <w:rsid w:val="006D3764"/>
    <w:rsid w:val="006E6BDE"/>
    <w:rsid w:val="00700B2C"/>
    <w:rsid w:val="00713084"/>
    <w:rsid w:val="007173B8"/>
    <w:rsid w:val="00726359"/>
    <w:rsid w:val="00731E00"/>
    <w:rsid w:val="00732A85"/>
    <w:rsid w:val="007440B7"/>
    <w:rsid w:val="00752157"/>
    <w:rsid w:val="0075226A"/>
    <w:rsid w:val="00754D62"/>
    <w:rsid w:val="007627F4"/>
    <w:rsid w:val="007635E4"/>
    <w:rsid w:val="00765A24"/>
    <w:rsid w:val="007715C9"/>
    <w:rsid w:val="00774EDD"/>
    <w:rsid w:val="007757EC"/>
    <w:rsid w:val="007845BF"/>
    <w:rsid w:val="00795FCE"/>
    <w:rsid w:val="007A30FF"/>
    <w:rsid w:val="007A659A"/>
    <w:rsid w:val="007B081F"/>
    <w:rsid w:val="007E4CC8"/>
    <w:rsid w:val="0080476F"/>
    <w:rsid w:val="00812BE2"/>
    <w:rsid w:val="00816B6B"/>
    <w:rsid w:val="00830815"/>
    <w:rsid w:val="00856A31"/>
    <w:rsid w:val="008754D0"/>
    <w:rsid w:val="0088314E"/>
    <w:rsid w:val="00883892"/>
    <w:rsid w:val="008A6470"/>
    <w:rsid w:val="008C3394"/>
    <w:rsid w:val="008D0EE0"/>
    <w:rsid w:val="008E05CA"/>
    <w:rsid w:val="00932377"/>
    <w:rsid w:val="00932FA3"/>
    <w:rsid w:val="0095602D"/>
    <w:rsid w:val="009620C2"/>
    <w:rsid w:val="0096493A"/>
    <w:rsid w:val="00A120DD"/>
    <w:rsid w:val="00A231E2"/>
    <w:rsid w:val="00A25627"/>
    <w:rsid w:val="00A26126"/>
    <w:rsid w:val="00A301C7"/>
    <w:rsid w:val="00A370B8"/>
    <w:rsid w:val="00A415B9"/>
    <w:rsid w:val="00A64912"/>
    <w:rsid w:val="00A70A74"/>
    <w:rsid w:val="00AA5445"/>
    <w:rsid w:val="00AB5A90"/>
    <w:rsid w:val="00AD27B3"/>
    <w:rsid w:val="00AD5641"/>
    <w:rsid w:val="00AE59F7"/>
    <w:rsid w:val="00AE7BD7"/>
    <w:rsid w:val="00B05DED"/>
    <w:rsid w:val="00B115B7"/>
    <w:rsid w:val="00B22454"/>
    <w:rsid w:val="00B26413"/>
    <w:rsid w:val="00B30BBF"/>
    <w:rsid w:val="00B33B3C"/>
    <w:rsid w:val="00B340B6"/>
    <w:rsid w:val="00B3608C"/>
    <w:rsid w:val="00B372A6"/>
    <w:rsid w:val="00B429C2"/>
    <w:rsid w:val="00B61C25"/>
    <w:rsid w:val="00B658ED"/>
    <w:rsid w:val="00B70E56"/>
    <w:rsid w:val="00B73D47"/>
    <w:rsid w:val="00BC30F2"/>
    <w:rsid w:val="00BC5E82"/>
    <w:rsid w:val="00BD1655"/>
    <w:rsid w:val="00BE719A"/>
    <w:rsid w:val="00BE720A"/>
    <w:rsid w:val="00C42BF8"/>
    <w:rsid w:val="00C50043"/>
    <w:rsid w:val="00C53114"/>
    <w:rsid w:val="00C723B9"/>
    <w:rsid w:val="00C7573B"/>
    <w:rsid w:val="00C77D10"/>
    <w:rsid w:val="00C867B9"/>
    <w:rsid w:val="00CA4E72"/>
    <w:rsid w:val="00CB0EA8"/>
    <w:rsid w:val="00CC7A09"/>
    <w:rsid w:val="00CD078F"/>
    <w:rsid w:val="00CF0BB2"/>
    <w:rsid w:val="00CF4975"/>
    <w:rsid w:val="00D11755"/>
    <w:rsid w:val="00D13441"/>
    <w:rsid w:val="00D3213F"/>
    <w:rsid w:val="00D374CE"/>
    <w:rsid w:val="00D40252"/>
    <w:rsid w:val="00D70DFB"/>
    <w:rsid w:val="00D766DF"/>
    <w:rsid w:val="00D9284D"/>
    <w:rsid w:val="00DA65D6"/>
    <w:rsid w:val="00DD314D"/>
    <w:rsid w:val="00E05704"/>
    <w:rsid w:val="00E1363F"/>
    <w:rsid w:val="00E54CAB"/>
    <w:rsid w:val="00E55F1C"/>
    <w:rsid w:val="00E74DC7"/>
    <w:rsid w:val="00E85CB9"/>
    <w:rsid w:val="00E94998"/>
    <w:rsid w:val="00EB0625"/>
    <w:rsid w:val="00EC0A95"/>
    <w:rsid w:val="00ED1A6C"/>
    <w:rsid w:val="00EE6DCC"/>
    <w:rsid w:val="00EF2E3A"/>
    <w:rsid w:val="00F012DB"/>
    <w:rsid w:val="00F0132A"/>
    <w:rsid w:val="00F0706B"/>
    <w:rsid w:val="00F078DC"/>
    <w:rsid w:val="00F5076A"/>
    <w:rsid w:val="00F71234"/>
    <w:rsid w:val="00F8103A"/>
    <w:rsid w:val="00FA3991"/>
    <w:rsid w:val="00FE224A"/>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0E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476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0476F"/>
  </w:style>
  <w:style w:type="paragraph" w:customStyle="1" w:styleId="OPCParaBase">
    <w:name w:val="OPCParaBase"/>
    <w:qFormat/>
    <w:rsid w:val="0080476F"/>
    <w:pPr>
      <w:spacing w:line="260" w:lineRule="atLeast"/>
    </w:pPr>
    <w:rPr>
      <w:rFonts w:eastAsia="Times New Roman" w:cs="Times New Roman"/>
      <w:sz w:val="22"/>
      <w:lang w:eastAsia="en-AU"/>
    </w:rPr>
  </w:style>
  <w:style w:type="paragraph" w:customStyle="1" w:styleId="ShortT">
    <w:name w:val="ShortT"/>
    <w:basedOn w:val="OPCParaBase"/>
    <w:next w:val="Normal"/>
    <w:qFormat/>
    <w:rsid w:val="0080476F"/>
    <w:pPr>
      <w:spacing w:line="240" w:lineRule="auto"/>
    </w:pPr>
    <w:rPr>
      <w:b/>
      <w:sz w:val="40"/>
    </w:rPr>
  </w:style>
  <w:style w:type="paragraph" w:customStyle="1" w:styleId="ActHead1">
    <w:name w:val="ActHead 1"/>
    <w:aliases w:val="c"/>
    <w:basedOn w:val="OPCParaBase"/>
    <w:next w:val="Normal"/>
    <w:qFormat/>
    <w:rsid w:val="008047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047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047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047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047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047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047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047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047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0476F"/>
  </w:style>
  <w:style w:type="paragraph" w:customStyle="1" w:styleId="Blocks">
    <w:name w:val="Blocks"/>
    <w:aliases w:val="bb"/>
    <w:basedOn w:val="OPCParaBase"/>
    <w:qFormat/>
    <w:rsid w:val="0080476F"/>
    <w:pPr>
      <w:spacing w:line="240" w:lineRule="auto"/>
    </w:pPr>
    <w:rPr>
      <w:sz w:val="24"/>
    </w:rPr>
  </w:style>
  <w:style w:type="paragraph" w:customStyle="1" w:styleId="BoxText">
    <w:name w:val="BoxText"/>
    <w:aliases w:val="bt"/>
    <w:basedOn w:val="OPCParaBase"/>
    <w:qFormat/>
    <w:rsid w:val="008047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0476F"/>
    <w:rPr>
      <w:b/>
    </w:rPr>
  </w:style>
  <w:style w:type="paragraph" w:customStyle="1" w:styleId="BoxHeadItalic">
    <w:name w:val="BoxHeadItalic"/>
    <w:aliases w:val="bhi"/>
    <w:basedOn w:val="BoxText"/>
    <w:next w:val="BoxStep"/>
    <w:qFormat/>
    <w:rsid w:val="0080476F"/>
    <w:rPr>
      <w:i/>
    </w:rPr>
  </w:style>
  <w:style w:type="paragraph" w:customStyle="1" w:styleId="BoxList">
    <w:name w:val="BoxList"/>
    <w:aliases w:val="bl"/>
    <w:basedOn w:val="BoxText"/>
    <w:qFormat/>
    <w:rsid w:val="0080476F"/>
    <w:pPr>
      <w:ind w:left="1559" w:hanging="425"/>
    </w:pPr>
  </w:style>
  <w:style w:type="paragraph" w:customStyle="1" w:styleId="BoxNote">
    <w:name w:val="BoxNote"/>
    <w:aliases w:val="bn"/>
    <w:basedOn w:val="BoxText"/>
    <w:qFormat/>
    <w:rsid w:val="0080476F"/>
    <w:pPr>
      <w:tabs>
        <w:tab w:val="left" w:pos="1985"/>
      </w:tabs>
      <w:spacing w:before="122" w:line="198" w:lineRule="exact"/>
      <w:ind w:left="2948" w:hanging="1814"/>
    </w:pPr>
    <w:rPr>
      <w:sz w:val="18"/>
    </w:rPr>
  </w:style>
  <w:style w:type="paragraph" w:customStyle="1" w:styleId="BoxPara">
    <w:name w:val="BoxPara"/>
    <w:aliases w:val="bp"/>
    <w:basedOn w:val="BoxText"/>
    <w:qFormat/>
    <w:rsid w:val="0080476F"/>
    <w:pPr>
      <w:tabs>
        <w:tab w:val="right" w:pos="2268"/>
      </w:tabs>
      <w:ind w:left="2552" w:hanging="1418"/>
    </w:pPr>
  </w:style>
  <w:style w:type="paragraph" w:customStyle="1" w:styleId="BoxStep">
    <w:name w:val="BoxStep"/>
    <w:aliases w:val="bs"/>
    <w:basedOn w:val="BoxText"/>
    <w:qFormat/>
    <w:rsid w:val="0080476F"/>
    <w:pPr>
      <w:ind w:left="1985" w:hanging="851"/>
    </w:pPr>
  </w:style>
  <w:style w:type="character" w:customStyle="1" w:styleId="CharAmPartNo">
    <w:name w:val="CharAmPartNo"/>
    <w:basedOn w:val="OPCCharBase"/>
    <w:qFormat/>
    <w:rsid w:val="0080476F"/>
  </w:style>
  <w:style w:type="character" w:customStyle="1" w:styleId="CharAmPartText">
    <w:name w:val="CharAmPartText"/>
    <w:basedOn w:val="OPCCharBase"/>
    <w:qFormat/>
    <w:rsid w:val="0080476F"/>
  </w:style>
  <w:style w:type="character" w:customStyle="1" w:styleId="CharAmSchNo">
    <w:name w:val="CharAmSchNo"/>
    <w:basedOn w:val="OPCCharBase"/>
    <w:qFormat/>
    <w:rsid w:val="0080476F"/>
  </w:style>
  <w:style w:type="character" w:customStyle="1" w:styleId="CharAmSchText">
    <w:name w:val="CharAmSchText"/>
    <w:basedOn w:val="OPCCharBase"/>
    <w:qFormat/>
    <w:rsid w:val="0080476F"/>
  </w:style>
  <w:style w:type="character" w:customStyle="1" w:styleId="CharBoldItalic">
    <w:name w:val="CharBoldItalic"/>
    <w:basedOn w:val="OPCCharBase"/>
    <w:uiPriority w:val="1"/>
    <w:qFormat/>
    <w:rsid w:val="0080476F"/>
    <w:rPr>
      <w:b/>
      <w:i/>
    </w:rPr>
  </w:style>
  <w:style w:type="character" w:customStyle="1" w:styleId="CharChapNo">
    <w:name w:val="CharChapNo"/>
    <w:basedOn w:val="OPCCharBase"/>
    <w:uiPriority w:val="1"/>
    <w:qFormat/>
    <w:rsid w:val="0080476F"/>
  </w:style>
  <w:style w:type="character" w:customStyle="1" w:styleId="CharChapText">
    <w:name w:val="CharChapText"/>
    <w:basedOn w:val="OPCCharBase"/>
    <w:uiPriority w:val="1"/>
    <w:qFormat/>
    <w:rsid w:val="0080476F"/>
  </w:style>
  <w:style w:type="character" w:customStyle="1" w:styleId="CharDivNo">
    <w:name w:val="CharDivNo"/>
    <w:basedOn w:val="OPCCharBase"/>
    <w:uiPriority w:val="1"/>
    <w:qFormat/>
    <w:rsid w:val="0080476F"/>
  </w:style>
  <w:style w:type="character" w:customStyle="1" w:styleId="CharDivText">
    <w:name w:val="CharDivText"/>
    <w:basedOn w:val="OPCCharBase"/>
    <w:uiPriority w:val="1"/>
    <w:qFormat/>
    <w:rsid w:val="0080476F"/>
  </w:style>
  <w:style w:type="character" w:customStyle="1" w:styleId="CharItalic">
    <w:name w:val="CharItalic"/>
    <w:basedOn w:val="OPCCharBase"/>
    <w:uiPriority w:val="1"/>
    <w:qFormat/>
    <w:rsid w:val="0080476F"/>
    <w:rPr>
      <w:i/>
    </w:rPr>
  </w:style>
  <w:style w:type="character" w:customStyle="1" w:styleId="CharPartNo">
    <w:name w:val="CharPartNo"/>
    <w:basedOn w:val="OPCCharBase"/>
    <w:uiPriority w:val="1"/>
    <w:qFormat/>
    <w:rsid w:val="0080476F"/>
  </w:style>
  <w:style w:type="character" w:customStyle="1" w:styleId="CharPartText">
    <w:name w:val="CharPartText"/>
    <w:basedOn w:val="OPCCharBase"/>
    <w:uiPriority w:val="1"/>
    <w:qFormat/>
    <w:rsid w:val="0080476F"/>
  </w:style>
  <w:style w:type="character" w:customStyle="1" w:styleId="CharSectno">
    <w:name w:val="CharSectno"/>
    <w:basedOn w:val="OPCCharBase"/>
    <w:qFormat/>
    <w:rsid w:val="0080476F"/>
  </w:style>
  <w:style w:type="character" w:customStyle="1" w:styleId="CharSubdNo">
    <w:name w:val="CharSubdNo"/>
    <w:basedOn w:val="OPCCharBase"/>
    <w:uiPriority w:val="1"/>
    <w:qFormat/>
    <w:rsid w:val="0080476F"/>
  </w:style>
  <w:style w:type="character" w:customStyle="1" w:styleId="CharSubdText">
    <w:name w:val="CharSubdText"/>
    <w:basedOn w:val="OPCCharBase"/>
    <w:uiPriority w:val="1"/>
    <w:qFormat/>
    <w:rsid w:val="0080476F"/>
  </w:style>
  <w:style w:type="paragraph" w:customStyle="1" w:styleId="CTA--">
    <w:name w:val="CTA --"/>
    <w:basedOn w:val="OPCParaBase"/>
    <w:next w:val="Normal"/>
    <w:rsid w:val="0080476F"/>
    <w:pPr>
      <w:spacing w:before="60" w:line="240" w:lineRule="atLeast"/>
      <w:ind w:left="142" w:hanging="142"/>
    </w:pPr>
    <w:rPr>
      <w:sz w:val="20"/>
    </w:rPr>
  </w:style>
  <w:style w:type="paragraph" w:customStyle="1" w:styleId="CTA-">
    <w:name w:val="CTA -"/>
    <w:basedOn w:val="OPCParaBase"/>
    <w:rsid w:val="0080476F"/>
    <w:pPr>
      <w:spacing w:before="60" w:line="240" w:lineRule="atLeast"/>
      <w:ind w:left="85" w:hanging="85"/>
    </w:pPr>
    <w:rPr>
      <w:sz w:val="20"/>
    </w:rPr>
  </w:style>
  <w:style w:type="paragraph" w:customStyle="1" w:styleId="CTA---">
    <w:name w:val="CTA ---"/>
    <w:basedOn w:val="OPCParaBase"/>
    <w:next w:val="Normal"/>
    <w:rsid w:val="0080476F"/>
    <w:pPr>
      <w:spacing w:before="60" w:line="240" w:lineRule="atLeast"/>
      <w:ind w:left="198" w:hanging="198"/>
    </w:pPr>
    <w:rPr>
      <w:sz w:val="20"/>
    </w:rPr>
  </w:style>
  <w:style w:type="paragraph" w:customStyle="1" w:styleId="CTA----">
    <w:name w:val="CTA ----"/>
    <w:basedOn w:val="OPCParaBase"/>
    <w:next w:val="Normal"/>
    <w:rsid w:val="0080476F"/>
    <w:pPr>
      <w:spacing w:before="60" w:line="240" w:lineRule="atLeast"/>
      <w:ind w:left="255" w:hanging="255"/>
    </w:pPr>
    <w:rPr>
      <w:sz w:val="20"/>
    </w:rPr>
  </w:style>
  <w:style w:type="paragraph" w:customStyle="1" w:styleId="CTA1a">
    <w:name w:val="CTA 1(a)"/>
    <w:basedOn w:val="OPCParaBase"/>
    <w:rsid w:val="0080476F"/>
    <w:pPr>
      <w:tabs>
        <w:tab w:val="right" w:pos="414"/>
      </w:tabs>
      <w:spacing w:before="40" w:line="240" w:lineRule="atLeast"/>
      <w:ind w:left="675" w:hanging="675"/>
    </w:pPr>
    <w:rPr>
      <w:sz w:val="20"/>
    </w:rPr>
  </w:style>
  <w:style w:type="paragraph" w:customStyle="1" w:styleId="CTA1ai">
    <w:name w:val="CTA 1(a)(i)"/>
    <w:basedOn w:val="OPCParaBase"/>
    <w:rsid w:val="0080476F"/>
    <w:pPr>
      <w:tabs>
        <w:tab w:val="right" w:pos="1004"/>
      </w:tabs>
      <w:spacing w:before="40" w:line="240" w:lineRule="atLeast"/>
      <w:ind w:left="1253" w:hanging="1253"/>
    </w:pPr>
    <w:rPr>
      <w:sz w:val="20"/>
    </w:rPr>
  </w:style>
  <w:style w:type="paragraph" w:customStyle="1" w:styleId="CTA2a">
    <w:name w:val="CTA 2(a)"/>
    <w:basedOn w:val="OPCParaBase"/>
    <w:rsid w:val="0080476F"/>
    <w:pPr>
      <w:tabs>
        <w:tab w:val="right" w:pos="482"/>
      </w:tabs>
      <w:spacing w:before="40" w:line="240" w:lineRule="atLeast"/>
      <w:ind w:left="748" w:hanging="748"/>
    </w:pPr>
    <w:rPr>
      <w:sz w:val="20"/>
    </w:rPr>
  </w:style>
  <w:style w:type="paragraph" w:customStyle="1" w:styleId="CTA2ai">
    <w:name w:val="CTA 2(a)(i)"/>
    <w:basedOn w:val="OPCParaBase"/>
    <w:rsid w:val="0080476F"/>
    <w:pPr>
      <w:tabs>
        <w:tab w:val="right" w:pos="1089"/>
      </w:tabs>
      <w:spacing w:before="40" w:line="240" w:lineRule="atLeast"/>
      <w:ind w:left="1327" w:hanging="1327"/>
    </w:pPr>
    <w:rPr>
      <w:sz w:val="20"/>
    </w:rPr>
  </w:style>
  <w:style w:type="paragraph" w:customStyle="1" w:styleId="CTA3a">
    <w:name w:val="CTA 3(a)"/>
    <w:basedOn w:val="OPCParaBase"/>
    <w:rsid w:val="0080476F"/>
    <w:pPr>
      <w:tabs>
        <w:tab w:val="right" w:pos="556"/>
      </w:tabs>
      <w:spacing w:before="40" w:line="240" w:lineRule="atLeast"/>
      <w:ind w:left="805" w:hanging="805"/>
    </w:pPr>
    <w:rPr>
      <w:sz w:val="20"/>
    </w:rPr>
  </w:style>
  <w:style w:type="paragraph" w:customStyle="1" w:styleId="CTA3ai">
    <w:name w:val="CTA 3(a)(i)"/>
    <w:basedOn w:val="OPCParaBase"/>
    <w:rsid w:val="0080476F"/>
    <w:pPr>
      <w:tabs>
        <w:tab w:val="right" w:pos="1140"/>
      </w:tabs>
      <w:spacing w:before="40" w:line="240" w:lineRule="atLeast"/>
      <w:ind w:left="1361" w:hanging="1361"/>
    </w:pPr>
    <w:rPr>
      <w:sz w:val="20"/>
    </w:rPr>
  </w:style>
  <w:style w:type="paragraph" w:customStyle="1" w:styleId="CTA4a">
    <w:name w:val="CTA 4(a)"/>
    <w:basedOn w:val="OPCParaBase"/>
    <w:rsid w:val="0080476F"/>
    <w:pPr>
      <w:tabs>
        <w:tab w:val="right" w:pos="624"/>
      </w:tabs>
      <w:spacing w:before="40" w:line="240" w:lineRule="atLeast"/>
      <w:ind w:left="873" w:hanging="873"/>
    </w:pPr>
    <w:rPr>
      <w:sz w:val="20"/>
    </w:rPr>
  </w:style>
  <w:style w:type="paragraph" w:customStyle="1" w:styleId="CTA4ai">
    <w:name w:val="CTA 4(a)(i)"/>
    <w:basedOn w:val="OPCParaBase"/>
    <w:rsid w:val="0080476F"/>
    <w:pPr>
      <w:tabs>
        <w:tab w:val="right" w:pos="1213"/>
      </w:tabs>
      <w:spacing w:before="40" w:line="240" w:lineRule="atLeast"/>
      <w:ind w:left="1452" w:hanging="1452"/>
    </w:pPr>
    <w:rPr>
      <w:sz w:val="20"/>
    </w:rPr>
  </w:style>
  <w:style w:type="paragraph" w:customStyle="1" w:styleId="CTACAPS">
    <w:name w:val="CTA CAPS"/>
    <w:basedOn w:val="OPCParaBase"/>
    <w:rsid w:val="0080476F"/>
    <w:pPr>
      <w:spacing w:before="60" w:line="240" w:lineRule="atLeast"/>
    </w:pPr>
    <w:rPr>
      <w:sz w:val="20"/>
    </w:rPr>
  </w:style>
  <w:style w:type="paragraph" w:customStyle="1" w:styleId="CTAright">
    <w:name w:val="CTA right"/>
    <w:basedOn w:val="OPCParaBase"/>
    <w:rsid w:val="0080476F"/>
    <w:pPr>
      <w:spacing w:before="60" w:line="240" w:lineRule="auto"/>
      <w:jc w:val="right"/>
    </w:pPr>
    <w:rPr>
      <w:sz w:val="20"/>
    </w:rPr>
  </w:style>
  <w:style w:type="paragraph" w:customStyle="1" w:styleId="subsection">
    <w:name w:val="subsection"/>
    <w:aliases w:val="ss"/>
    <w:basedOn w:val="OPCParaBase"/>
    <w:link w:val="subsectionChar"/>
    <w:rsid w:val="0080476F"/>
    <w:pPr>
      <w:tabs>
        <w:tab w:val="right" w:pos="1021"/>
      </w:tabs>
      <w:spacing w:before="180" w:line="240" w:lineRule="auto"/>
      <w:ind w:left="1134" w:hanging="1134"/>
    </w:pPr>
  </w:style>
  <w:style w:type="paragraph" w:customStyle="1" w:styleId="Definition">
    <w:name w:val="Definition"/>
    <w:aliases w:val="dd"/>
    <w:basedOn w:val="OPCParaBase"/>
    <w:rsid w:val="0080476F"/>
    <w:pPr>
      <w:spacing w:before="180" w:line="240" w:lineRule="auto"/>
      <w:ind w:left="1134"/>
    </w:pPr>
  </w:style>
  <w:style w:type="paragraph" w:customStyle="1" w:styleId="ETAsubitem">
    <w:name w:val="ETA(subitem)"/>
    <w:basedOn w:val="OPCParaBase"/>
    <w:rsid w:val="0080476F"/>
    <w:pPr>
      <w:tabs>
        <w:tab w:val="right" w:pos="340"/>
      </w:tabs>
      <w:spacing w:before="60" w:line="240" w:lineRule="auto"/>
      <w:ind w:left="454" w:hanging="454"/>
    </w:pPr>
    <w:rPr>
      <w:sz w:val="20"/>
    </w:rPr>
  </w:style>
  <w:style w:type="paragraph" w:customStyle="1" w:styleId="ETApara">
    <w:name w:val="ETA(para)"/>
    <w:basedOn w:val="OPCParaBase"/>
    <w:rsid w:val="0080476F"/>
    <w:pPr>
      <w:tabs>
        <w:tab w:val="right" w:pos="754"/>
      </w:tabs>
      <w:spacing w:before="60" w:line="240" w:lineRule="auto"/>
      <w:ind w:left="828" w:hanging="828"/>
    </w:pPr>
    <w:rPr>
      <w:sz w:val="20"/>
    </w:rPr>
  </w:style>
  <w:style w:type="paragraph" w:customStyle="1" w:styleId="ETAsubpara">
    <w:name w:val="ETA(subpara)"/>
    <w:basedOn w:val="OPCParaBase"/>
    <w:rsid w:val="0080476F"/>
    <w:pPr>
      <w:tabs>
        <w:tab w:val="right" w:pos="1083"/>
      </w:tabs>
      <w:spacing w:before="60" w:line="240" w:lineRule="auto"/>
      <w:ind w:left="1191" w:hanging="1191"/>
    </w:pPr>
    <w:rPr>
      <w:sz w:val="20"/>
    </w:rPr>
  </w:style>
  <w:style w:type="paragraph" w:customStyle="1" w:styleId="ETAsub-subpara">
    <w:name w:val="ETA(sub-subpara)"/>
    <w:basedOn w:val="OPCParaBase"/>
    <w:rsid w:val="0080476F"/>
    <w:pPr>
      <w:tabs>
        <w:tab w:val="right" w:pos="1412"/>
      </w:tabs>
      <w:spacing w:before="60" w:line="240" w:lineRule="auto"/>
      <w:ind w:left="1525" w:hanging="1525"/>
    </w:pPr>
    <w:rPr>
      <w:sz w:val="20"/>
    </w:rPr>
  </w:style>
  <w:style w:type="paragraph" w:customStyle="1" w:styleId="Formula">
    <w:name w:val="Formula"/>
    <w:basedOn w:val="OPCParaBase"/>
    <w:rsid w:val="0080476F"/>
    <w:pPr>
      <w:spacing w:line="240" w:lineRule="auto"/>
      <w:ind w:left="1134"/>
    </w:pPr>
    <w:rPr>
      <w:sz w:val="20"/>
    </w:rPr>
  </w:style>
  <w:style w:type="paragraph" w:styleId="Header">
    <w:name w:val="header"/>
    <w:basedOn w:val="OPCParaBase"/>
    <w:link w:val="HeaderChar"/>
    <w:unhideWhenUsed/>
    <w:rsid w:val="008047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0476F"/>
    <w:rPr>
      <w:rFonts w:eastAsia="Times New Roman" w:cs="Times New Roman"/>
      <w:sz w:val="16"/>
      <w:lang w:eastAsia="en-AU"/>
    </w:rPr>
  </w:style>
  <w:style w:type="paragraph" w:customStyle="1" w:styleId="House">
    <w:name w:val="House"/>
    <w:basedOn w:val="OPCParaBase"/>
    <w:rsid w:val="0080476F"/>
    <w:pPr>
      <w:spacing w:line="240" w:lineRule="auto"/>
    </w:pPr>
    <w:rPr>
      <w:sz w:val="28"/>
    </w:rPr>
  </w:style>
  <w:style w:type="paragraph" w:customStyle="1" w:styleId="Item">
    <w:name w:val="Item"/>
    <w:aliases w:val="i"/>
    <w:basedOn w:val="OPCParaBase"/>
    <w:next w:val="ItemHead"/>
    <w:rsid w:val="0080476F"/>
    <w:pPr>
      <w:keepLines/>
      <w:spacing w:before="80" w:line="240" w:lineRule="auto"/>
      <w:ind w:left="709"/>
    </w:pPr>
  </w:style>
  <w:style w:type="paragraph" w:customStyle="1" w:styleId="ItemHead">
    <w:name w:val="ItemHead"/>
    <w:aliases w:val="ih"/>
    <w:basedOn w:val="OPCParaBase"/>
    <w:next w:val="Item"/>
    <w:rsid w:val="008047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0476F"/>
    <w:pPr>
      <w:spacing w:line="240" w:lineRule="auto"/>
    </w:pPr>
    <w:rPr>
      <w:b/>
      <w:sz w:val="32"/>
    </w:rPr>
  </w:style>
  <w:style w:type="paragraph" w:customStyle="1" w:styleId="notedraft">
    <w:name w:val="note(draft)"/>
    <w:aliases w:val="nd"/>
    <w:basedOn w:val="OPCParaBase"/>
    <w:rsid w:val="0080476F"/>
    <w:pPr>
      <w:spacing w:before="240" w:line="240" w:lineRule="auto"/>
      <w:ind w:left="284" w:hanging="284"/>
    </w:pPr>
    <w:rPr>
      <w:i/>
      <w:sz w:val="24"/>
    </w:rPr>
  </w:style>
  <w:style w:type="paragraph" w:customStyle="1" w:styleId="notemargin">
    <w:name w:val="note(margin)"/>
    <w:aliases w:val="nm"/>
    <w:basedOn w:val="OPCParaBase"/>
    <w:rsid w:val="0080476F"/>
    <w:pPr>
      <w:tabs>
        <w:tab w:val="left" w:pos="709"/>
      </w:tabs>
      <w:spacing w:before="122" w:line="198" w:lineRule="exact"/>
      <w:ind w:left="709" w:hanging="709"/>
    </w:pPr>
    <w:rPr>
      <w:sz w:val="18"/>
    </w:rPr>
  </w:style>
  <w:style w:type="paragraph" w:customStyle="1" w:styleId="noteToPara">
    <w:name w:val="noteToPara"/>
    <w:aliases w:val="ntp"/>
    <w:basedOn w:val="OPCParaBase"/>
    <w:rsid w:val="0080476F"/>
    <w:pPr>
      <w:spacing w:before="122" w:line="198" w:lineRule="exact"/>
      <w:ind w:left="2353" w:hanging="709"/>
    </w:pPr>
    <w:rPr>
      <w:sz w:val="18"/>
    </w:rPr>
  </w:style>
  <w:style w:type="paragraph" w:customStyle="1" w:styleId="noteParlAmend">
    <w:name w:val="note(ParlAmend)"/>
    <w:aliases w:val="npp"/>
    <w:basedOn w:val="OPCParaBase"/>
    <w:next w:val="ParlAmend"/>
    <w:rsid w:val="0080476F"/>
    <w:pPr>
      <w:spacing w:line="240" w:lineRule="auto"/>
      <w:jc w:val="right"/>
    </w:pPr>
    <w:rPr>
      <w:rFonts w:ascii="Arial" w:hAnsi="Arial"/>
      <w:b/>
      <w:i/>
    </w:rPr>
  </w:style>
  <w:style w:type="paragraph" w:customStyle="1" w:styleId="Page1">
    <w:name w:val="Page1"/>
    <w:basedOn w:val="OPCParaBase"/>
    <w:rsid w:val="0080476F"/>
    <w:pPr>
      <w:spacing w:before="5600" w:line="240" w:lineRule="auto"/>
    </w:pPr>
    <w:rPr>
      <w:b/>
      <w:sz w:val="32"/>
    </w:rPr>
  </w:style>
  <w:style w:type="paragraph" w:customStyle="1" w:styleId="PageBreak">
    <w:name w:val="PageBreak"/>
    <w:aliases w:val="pb"/>
    <w:basedOn w:val="OPCParaBase"/>
    <w:rsid w:val="0080476F"/>
    <w:pPr>
      <w:spacing w:line="240" w:lineRule="auto"/>
    </w:pPr>
    <w:rPr>
      <w:sz w:val="20"/>
    </w:rPr>
  </w:style>
  <w:style w:type="paragraph" w:customStyle="1" w:styleId="paragraphsub">
    <w:name w:val="paragraph(sub)"/>
    <w:aliases w:val="aa"/>
    <w:basedOn w:val="OPCParaBase"/>
    <w:rsid w:val="0080476F"/>
    <w:pPr>
      <w:tabs>
        <w:tab w:val="right" w:pos="1985"/>
      </w:tabs>
      <w:spacing w:before="40" w:line="240" w:lineRule="auto"/>
      <w:ind w:left="2098" w:hanging="2098"/>
    </w:pPr>
  </w:style>
  <w:style w:type="paragraph" w:customStyle="1" w:styleId="paragraphsub-sub">
    <w:name w:val="paragraph(sub-sub)"/>
    <w:aliases w:val="aaa"/>
    <w:basedOn w:val="OPCParaBase"/>
    <w:rsid w:val="0080476F"/>
    <w:pPr>
      <w:tabs>
        <w:tab w:val="right" w:pos="2722"/>
      </w:tabs>
      <w:spacing w:before="40" w:line="240" w:lineRule="auto"/>
      <w:ind w:left="2835" w:hanging="2835"/>
    </w:pPr>
  </w:style>
  <w:style w:type="paragraph" w:customStyle="1" w:styleId="paragraph">
    <w:name w:val="paragraph"/>
    <w:aliases w:val="a"/>
    <w:basedOn w:val="OPCParaBase"/>
    <w:link w:val="paragraphChar"/>
    <w:rsid w:val="0080476F"/>
    <w:pPr>
      <w:tabs>
        <w:tab w:val="right" w:pos="1531"/>
      </w:tabs>
      <w:spacing w:before="40" w:line="240" w:lineRule="auto"/>
      <w:ind w:left="1644" w:hanging="1644"/>
    </w:pPr>
  </w:style>
  <w:style w:type="paragraph" w:customStyle="1" w:styleId="ParlAmend">
    <w:name w:val="ParlAmend"/>
    <w:aliases w:val="pp"/>
    <w:basedOn w:val="OPCParaBase"/>
    <w:rsid w:val="0080476F"/>
    <w:pPr>
      <w:spacing w:before="240" w:line="240" w:lineRule="atLeast"/>
      <w:ind w:hanging="567"/>
    </w:pPr>
    <w:rPr>
      <w:sz w:val="24"/>
    </w:rPr>
  </w:style>
  <w:style w:type="paragraph" w:customStyle="1" w:styleId="Penalty">
    <w:name w:val="Penalty"/>
    <w:basedOn w:val="OPCParaBase"/>
    <w:rsid w:val="0080476F"/>
    <w:pPr>
      <w:tabs>
        <w:tab w:val="left" w:pos="2977"/>
      </w:tabs>
      <w:spacing w:before="180" w:line="240" w:lineRule="auto"/>
      <w:ind w:left="1985" w:hanging="851"/>
    </w:pPr>
  </w:style>
  <w:style w:type="paragraph" w:customStyle="1" w:styleId="Portfolio">
    <w:name w:val="Portfolio"/>
    <w:basedOn w:val="OPCParaBase"/>
    <w:rsid w:val="0080476F"/>
    <w:pPr>
      <w:spacing w:line="240" w:lineRule="auto"/>
    </w:pPr>
    <w:rPr>
      <w:i/>
      <w:sz w:val="20"/>
    </w:rPr>
  </w:style>
  <w:style w:type="paragraph" w:customStyle="1" w:styleId="Preamble">
    <w:name w:val="Preamble"/>
    <w:basedOn w:val="OPCParaBase"/>
    <w:next w:val="Normal"/>
    <w:rsid w:val="008047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0476F"/>
    <w:pPr>
      <w:spacing w:line="240" w:lineRule="auto"/>
    </w:pPr>
    <w:rPr>
      <w:i/>
      <w:sz w:val="20"/>
    </w:rPr>
  </w:style>
  <w:style w:type="paragraph" w:customStyle="1" w:styleId="Session">
    <w:name w:val="Session"/>
    <w:basedOn w:val="OPCParaBase"/>
    <w:rsid w:val="0080476F"/>
    <w:pPr>
      <w:spacing w:line="240" w:lineRule="auto"/>
    </w:pPr>
    <w:rPr>
      <w:sz w:val="28"/>
    </w:rPr>
  </w:style>
  <w:style w:type="paragraph" w:customStyle="1" w:styleId="Sponsor">
    <w:name w:val="Sponsor"/>
    <w:basedOn w:val="OPCParaBase"/>
    <w:rsid w:val="0080476F"/>
    <w:pPr>
      <w:spacing w:line="240" w:lineRule="auto"/>
    </w:pPr>
    <w:rPr>
      <w:i/>
    </w:rPr>
  </w:style>
  <w:style w:type="paragraph" w:customStyle="1" w:styleId="Subitem">
    <w:name w:val="Subitem"/>
    <w:aliases w:val="iss"/>
    <w:basedOn w:val="OPCParaBase"/>
    <w:rsid w:val="0080476F"/>
    <w:pPr>
      <w:spacing w:before="180" w:line="240" w:lineRule="auto"/>
      <w:ind w:left="709" w:hanging="709"/>
    </w:pPr>
  </w:style>
  <w:style w:type="paragraph" w:customStyle="1" w:styleId="SubitemHead">
    <w:name w:val="SubitemHead"/>
    <w:aliases w:val="issh"/>
    <w:basedOn w:val="OPCParaBase"/>
    <w:rsid w:val="008047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0476F"/>
    <w:pPr>
      <w:spacing w:before="40" w:line="240" w:lineRule="auto"/>
      <w:ind w:left="1134"/>
    </w:pPr>
  </w:style>
  <w:style w:type="paragraph" w:customStyle="1" w:styleId="SubsectionHead">
    <w:name w:val="SubsectionHead"/>
    <w:aliases w:val="ssh"/>
    <w:basedOn w:val="OPCParaBase"/>
    <w:next w:val="subsection"/>
    <w:rsid w:val="0080476F"/>
    <w:pPr>
      <w:keepNext/>
      <w:keepLines/>
      <w:spacing w:before="240" w:line="240" w:lineRule="auto"/>
      <w:ind w:left="1134"/>
    </w:pPr>
    <w:rPr>
      <w:i/>
    </w:rPr>
  </w:style>
  <w:style w:type="paragraph" w:customStyle="1" w:styleId="Tablea">
    <w:name w:val="Table(a)"/>
    <w:aliases w:val="ta"/>
    <w:basedOn w:val="OPCParaBase"/>
    <w:rsid w:val="0080476F"/>
    <w:pPr>
      <w:spacing w:before="60" w:line="240" w:lineRule="auto"/>
      <w:ind w:left="284" w:hanging="284"/>
    </w:pPr>
    <w:rPr>
      <w:sz w:val="20"/>
    </w:rPr>
  </w:style>
  <w:style w:type="paragraph" w:customStyle="1" w:styleId="TableAA">
    <w:name w:val="Table(AA)"/>
    <w:aliases w:val="taaa"/>
    <w:basedOn w:val="OPCParaBase"/>
    <w:rsid w:val="008047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047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0476F"/>
    <w:pPr>
      <w:spacing w:before="60" w:line="240" w:lineRule="atLeast"/>
    </w:pPr>
    <w:rPr>
      <w:sz w:val="20"/>
    </w:rPr>
  </w:style>
  <w:style w:type="paragraph" w:customStyle="1" w:styleId="TLPBoxTextnote">
    <w:name w:val="TLPBoxText(note"/>
    <w:aliases w:val="right)"/>
    <w:basedOn w:val="OPCParaBase"/>
    <w:rsid w:val="008047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047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0476F"/>
    <w:pPr>
      <w:spacing w:before="122" w:line="198" w:lineRule="exact"/>
      <w:ind w:left="1985" w:hanging="851"/>
      <w:jc w:val="right"/>
    </w:pPr>
    <w:rPr>
      <w:sz w:val="18"/>
    </w:rPr>
  </w:style>
  <w:style w:type="paragraph" w:customStyle="1" w:styleId="TLPTableBullet">
    <w:name w:val="TLPTableBullet"/>
    <w:aliases w:val="ttb"/>
    <w:basedOn w:val="OPCParaBase"/>
    <w:rsid w:val="0080476F"/>
    <w:pPr>
      <w:spacing w:line="240" w:lineRule="exact"/>
      <w:ind w:left="284" w:hanging="284"/>
    </w:pPr>
    <w:rPr>
      <w:sz w:val="20"/>
    </w:rPr>
  </w:style>
  <w:style w:type="paragraph" w:styleId="TOC1">
    <w:name w:val="toc 1"/>
    <w:basedOn w:val="OPCParaBase"/>
    <w:next w:val="Normal"/>
    <w:uiPriority w:val="39"/>
    <w:semiHidden/>
    <w:unhideWhenUsed/>
    <w:rsid w:val="0080476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0476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0476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0476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0476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0476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0476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0476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0476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0476F"/>
    <w:pPr>
      <w:keepLines/>
      <w:spacing w:before="240" w:after="120" w:line="240" w:lineRule="auto"/>
      <w:ind w:left="794"/>
    </w:pPr>
    <w:rPr>
      <w:b/>
      <w:kern w:val="28"/>
      <w:sz w:val="20"/>
    </w:rPr>
  </w:style>
  <w:style w:type="paragraph" w:customStyle="1" w:styleId="TofSectsHeading">
    <w:name w:val="TofSects(Heading)"/>
    <w:basedOn w:val="OPCParaBase"/>
    <w:rsid w:val="0080476F"/>
    <w:pPr>
      <w:spacing w:before="240" w:after="120" w:line="240" w:lineRule="auto"/>
    </w:pPr>
    <w:rPr>
      <w:b/>
      <w:sz w:val="24"/>
    </w:rPr>
  </w:style>
  <w:style w:type="paragraph" w:customStyle="1" w:styleId="TofSectsSection">
    <w:name w:val="TofSects(Section)"/>
    <w:basedOn w:val="OPCParaBase"/>
    <w:rsid w:val="0080476F"/>
    <w:pPr>
      <w:keepLines/>
      <w:spacing w:before="40" w:line="240" w:lineRule="auto"/>
      <w:ind w:left="1588" w:hanging="794"/>
    </w:pPr>
    <w:rPr>
      <w:kern w:val="28"/>
      <w:sz w:val="18"/>
    </w:rPr>
  </w:style>
  <w:style w:type="paragraph" w:customStyle="1" w:styleId="TofSectsSubdiv">
    <w:name w:val="TofSects(Subdiv)"/>
    <w:basedOn w:val="OPCParaBase"/>
    <w:rsid w:val="0080476F"/>
    <w:pPr>
      <w:keepLines/>
      <w:spacing w:before="80" w:line="240" w:lineRule="auto"/>
      <w:ind w:left="1588" w:hanging="794"/>
    </w:pPr>
    <w:rPr>
      <w:kern w:val="28"/>
    </w:rPr>
  </w:style>
  <w:style w:type="paragraph" w:customStyle="1" w:styleId="WRStyle">
    <w:name w:val="WR Style"/>
    <w:aliases w:val="WR"/>
    <w:basedOn w:val="OPCParaBase"/>
    <w:rsid w:val="0080476F"/>
    <w:pPr>
      <w:spacing w:before="240" w:line="240" w:lineRule="auto"/>
      <w:ind w:left="284" w:hanging="284"/>
    </w:pPr>
    <w:rPr>
      <w:b/>
      <w:i/>
      <w:kern w:val="28"/>
      <w:sz w:val="24"/>
    </w:rPr>
  </w:style>
  <w:style w:type="paragraph" w:customStyle="1" w:styleId="notepara">
    <w:name w:val="note(para)"/>
    <w:aliases w:val="na"/>
    <w:basedOn w:val="OPCParaBase"/>
    <w:rsid w:val="0080476F"/>
    <w:pPr>
      <w:spacing w:before="40" w:line="198" w:lineRule="exact"/>
      <w:ind w:left="2354" w:hanging="369"/>
    </w:pPr>
    <w:rPr>
      <w:sz w:val="18"/>
    </w:rPr>
  </w:style>
  <w:style w:type="paragraph" w:styleId="Footer">
    <w:name w:val="footer"/>
    <w:link w:val="FooterChar"/>
    <w:rsid w:val="008047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0476F"/>
    <w:rPr>
      <w:rFonts w:eastAsia="Times New Roman" w:cs="Times New Roman"/>
      <w:sz w:val="22"/>
      <w:szCs w:val="24"/>
      <w:lang w:eastAsia="en-AU"/>
    </w:rPr>
  </w:style>
  <w:style w:type="character" w:styleId="LineNumber">
    <w:name w:val="line number"/>
    <w:basedOn w:val="OPCCharBase"/>
    <w:uiPriority w:val="99"/>
    <w:semiHidden/>
    <w:unhideWhenUsed/>
    <w:rsid w:val="0080476F"/>
    <w:rPr>
      <w:sz w:val="16"/>
    </w:rPr>
  </w:style>
  <w:style w:type="table" w:customStyle="1" w:styleId="CFlag">
    <w:name w:val="CFlag"/>
    <w:basedOn w:val="TableNormal"/>
    <w:uiPriority w:val="99"/>
    <w:rsid w:val="0080476F"/>
    <w:rPr>
      <w:rFonts w:eastAsia="Times New Roman" w:cs="Times New Roman"/>
      <w:lang w:eastAsia="en-AU"/>
    </w:rPr>
    <w:tblPr/>
  </w:style>
  <w:style w:type="paragraph" w:customStyle="1" w:styleId="CompiledActNo">
    <w:name w:val="CompiledActNo"/>
    <w:basedOn w:val="OPCParaBase"/>
    <w:next w:val="Normal"/>
    <w:rsid w:val="0080476F"/>
    <w:rPr>
      <w:b/>
      <w:sz w:val="24"/>
      <w:szCs w:val="24"/>
    </w:rPr>
  </w:style>
  <w:style w:type="paragraph" w:customStyle="1" w:styleId="CompiledMadeUnder">
    <w:name w:val="CompiledMadeUnder"/>
    <w:basedOn w:val="OPCParaBase"/>
    <w:next w:val="Normal"/>
    <w:rsid w:val="0080476F"/>
    <w:rPr>
      <w:i/>
      <w:sz w:val="24"/>
      <w:szCs w:val="24"/>
    </w:rPr>
  </w:style>
  <w:style w:type="paragraph" w:customStyle="1" w:styleId="ENotesText">
    <w:name w:val="ENotesText"/>
    <w:aliases w:val="Ent"/>
    <w:basedOn w:val="OPCParaBase"/>
    <w:next w:val="Normal"/>
    <w:rsid w:val="0080476F"/>
    <w:pPr>
      <w:spacing w:before="120"/>
    </w:pPr>
  </w:style>
  <w:style w:type="paragraph" w:customStyle="1" w:styleId="Paragraphsub-sub-sub">
    <w:name w:val="Paragraph(sub-sub-sub)"/>
    <w:aliases w:val="aaaa"/>
    <w:basedOn w:val="OPCParaBase"/>
    <w:rsid w:val="0080476F"/>
    <w:pPr>
      <w:tabs>
        <w:tab w:val="right" w:pos="3402"/>
      </w:tabs>
      <w:spacing w:before="40" w:line="240" w:lineRule="auto"/>
      <w:ind w:left="3402" w:hanging="3402"/>
    </w:pPr>
  </w:style>
  <w:style w:type="paragraph" w:customStyle="1" w:styleId="NoteToSubpara">
    <w:name w:val="NoteToSubpara"/>
    <w:aliases w:val="nts"/>
    <w:basedOn w:val="OPCParaBase"/>
    <w:rsid w:val="0080476F"/>
    <w:pPr>
      <w:spacing w:before="40" w:line="198" w:lineRule="exact"/>
      <w:ind w:left="2835" w:hanging="709"/>
    </w:pPr>
    <w:rPr>
      <w:sz w:val="18"/>
    </w:rPr>
  </w:style>
  <w:style w:type="paragraph" w:customStyle="1" w:styleId="ENoteTableHeading">
    <w:name w:val="ENoteTableHeading"/>
    <w:aliases w:val="enth"/>
    <w:basedOn w:val="OPCParaBase"/>
    <w:rsid w:val="0080476F"/>
    <w:pPr>
      <w:keepNext/>
      <w:spacing w:before="60" w:line="240" w:lineRule="atLeast"/>
    </w:pPr>
    <w:rPr>
      <w:rFonts w:ascii="Arial" w:hAnsi="Arial"/>
      <w:b/>
      <w:sz w:val="16"/>
    </w:rPr>
  </w:style>
  <w:style w:type="paragraph" w:customStyle="1" w:styleId="ENoteTTi">
    <w:name w:val="ENoteTTi"/>
    <w:aliases w:val="entti"/>
    <w:basedOn w:val="OPCParaBase"/>
    <w:rsid w:val="0080476F"/>
    <w:pPr>
      <w:keepNext/>
      <w:spacing w:before="60" w:line="240" w:lineRule="atLeast"/>
      <w:ind w:left="170"/>
    </w:pPr>
    <w:rPr>
      <w:sz w:val="16"/>
    </w:rPr>
  </w:style>
  <w:style w:type="paragraph" w:customStyle="1" w:styleId="ENotesHeading1">
    <w:name w:val="ENotesHeading 1"/>
    <w:aliases w:val="Enh1"/>
    <w:basedOn w:val="OPCParaBase"/>
    <w:next w:val="Normal"/>
    <w:rsid w:val="0080476F"/>
    <w:pPr>
      <w:spacing w:before="120"/>
      <w:outlineLvl w:val="1"/>
    </w:pPr>
    <w:rPr>
      <w:b/>
      <w:sz w:val="28"/>
      <w:szCs w:val="28"/>
    </w:rPr>
  </w:style>
  <w:style w:type="paragraph" w:customStyle="1" w:styleId="ENotesHeading2">
    <w:name w:val="ENotesHeading 2"/>
    <w:aliases w:val="Enh2"/>
    <w:basedOn w:val="OPCParaBase"/>
    <w:next w:val="Normal"/>
    <w:rsid w:val="0080476F"/>
    <w:pPr>
      <w:spacing w:before="120" w:after="120"/>
      <w:outlineLvl w:val="2"/>
    </w:pPr>
    <w:rPr>
      <w:b/>
      <w:sz w:val="24"/>
      <w:szCs w:val="28"/>
    </w:rPr>
  </w:style>
  <w:style w:type="paragraph" w:customStyle="1" w:styleId="ENoteTTIndentHeading">
    <w:name w:val="ENoteTTIndentHeading"/>
    <w:aliases w:val="enTTHi"/>
    <w:basedOn w:val="OPCParaBase"/>
    <w:rsid w:val="008047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0476F"/>
    <w:pPr>
      <w:spacing w:before="60" w:line="240" w:lineRule="atLeast"/>
    </w:pPr>
    <w:rPr>
      <w:sz w:val="16"/>
    </w:rPr>
  </w:style>
  <w:style w:type="paragraph" w:customStyle="1" w:styleId="MadeunderText">
    <w:name w:val="MadeunderText"/>
    <w:basedOn w:val="OPCParaBase"/>
    <w:next w:val="Normal"/>
    <w:rsid w:val="0080476F"/>
    <w:pPr>
      <w:spacing w:before="240"/>
    </w:pPr>
    <w:rPr>
      <w:sz w:val="24"/>
      <w:szCs w:val="24"/>
    </w:rPr>
  </w:style>
  <w:style w:type="paragraph" w:customStyle="1" w:styleId="ENotesHeading3">
    <w:name w:val="ENotesHeading 3"/>
    <w:aliases w:val="Enh3"/>
    <w:basedOn w:val="OPCParaBase"/>
    <w:next w:val="Normal"/>
    <w:rsid w:val="0080476F"/>
    <w:pPr>
      <w:keepNext/>
      <w:spacing w:before="120" w:line="240" w:lineRule="auto"/>
      <w:outlineLvl w:val="4"/>
    </w:pPr>
    <w:rPr>
      <w:b/>
      <w:szCs w:val="24"/>
    </w:rPr>
  </w:style>
  <w:style w:type="character" w:customStyle="1" w:styleId="CharSubPartTextCASA">
    <w:name w:val="CharSubPartText(CASA)"/>
    <w:basedOn w:val="OPCCharBase"/>
    <w:uiPriority w:val="1"/>
    <w:rsid w:val="0080476F"/>
  </w:style>
  <w:style w:type="character" w:customStyle="1" w:styleId="CharSubPartNoCASA">
    <w:name w:val="CharSubPartNo(CASA)"/>
    <w:basedOn w:val="OPCCharBase"/>
    <w:uiPriority w:val="1"/>
    <w:rsid w:val="0080476F"/>
  </w:style>
  <w:style w:type="paragraph" w:customStyle="1" w:styleId="ENoteTTIndentHeadingSub">
    <w:name w:val="ENoteTTIndentHeadingSub"/>
    <w:aliases w:val="enTTHis"/>
    <w:basedOn w:val="OPCParaBase"/>
    <w:rsid w:val="0080476F"/>
    <w:pPr>
      <w:keepNext/>
      <w:spacing w:before="60" w:line="240" w:lineRule="atLeast"/>
      <w:ind w:left="340"/>
    </w:pPr>
    <w:rPr>
      <w:b/>
      <w:sz w:val="16"/>
    </w:rPr>
  </w:style>
  <w:style w:type="paragraph" w:customStyle="1" w:styleId="ENoteTTiSub">
    <w:name w:val="ENoteTTiSub"/>
    <w:aliases w:val="enttis"/>
    <w:basedOn w:val="OPCParaBase"/>
    <w:rsid w:val="0080476F"/>
    <w:pPr>
      <w:keepNext/>
      <w:spacing w:before="60" w:line="240" w:lineRule="atLeast"/>
      <w:ind w:left="340"/>
    </w:pPr>
    <w:rPr>
      <w:sz w:val="16"/>
    </w:rPr>
  </w:style>
  <w:style w:type="paragraph" w:customStyle="1" w:styleId="SubDivisionMigration">
    <w:name w:val="SubDivisionMigration"/>
    <w:aliases w:val="sdm"/>
    <w:basedOn w:val="OPCParaBase"/>
    <w:rsid w:val="008047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0476F"/>
    <w:pPr>
      <w:keepNext/>
      <w:keepLines/>
      <w:spacing w:before="240" w:line="240" w:lineRule="auto"/>
      <w:ind w:left="1134" w:hanging="1134"/>
    </w:pPr>
    <w:rPr>
      <w:b/>
      <w:sz w:val="28"/>
    </w:rPr>
  </w:style>
  <w:style w:type="paragraph" w:customStyle="1" w:styleId="notetext">
    <w:name w:val="note(text)"/>
    <w:aliases w:val="n"/>
    <w:basedOn w:val="OPCParaBase"/>
    <w:rsid w:val="0080476F"/>
    <w:pPr>
      <w:spacing w:before="122" w:line="240" w:lineRule="auto"/>
      <w:ind w:left="1985" w:hanging="851"/>
    </w:pPr>
    <w:rPr>
      <w:sz w:val="18"/>
    </w:rPr>
  </w:style>
  <w:style w:type="paragraph" w:customStyle="1" w:styleId="FreeForm">
    <w:name w:val="FreeForm"/>
    <w:rsid w:val="00E85CB9"/>
    <w:rPr>
      <w:rFonts w:ascii="Arial" w:hAnsi="Arial"/>
      <w:sz w:val="22"/>
    </w:rPr>
  </w:style>
  <w:style w:type="paragraph" w:customStyle="1" w:styleId="SOText">
    <w:name w:val="SO Text"/>
    <w:aliases w:val="sot"/>
    <w:link w:val="SOTextChar"/>
    <w:rsid w:val="0080476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0476F"/>
    <w:rPr>
      <w:sz w:val="22"/>
    </w:rPr>
  </w:style>
  <w:style w:type="paragraph" w:customStyle="1" w:styleId="SOTextNote">
    <w:name w:val="SO TextNote"/>
    <w:aliases w:val="sont"/>
    <w:basedOn w:val="SOText"/>
    <w:qFormat/>
    <w:rsid w:val="0080476F"/>
    <w:pPr>
      <w:spacing w:before="122" w:line="198" w:lineRule="exact"/>
      <w:ind w:left="1843" w:hanging="709"/>
    </w:pPr>
    <w:rPr>
      <w:sz w:val="18"/>
    </w:rPr>
  </w:style>
  <w:style w:type="paragraph" w:customStyle="1" w:styleId="SOPara">
    <w:name w:val="SO Para"/>
    <w:aliases w:val="soa"/>
    <w:basedOn w:val="SOText"/>
    <w:link w:val="SOParaChar"/>
    <w:qFormat/>
    <w:rsid w:val="0080476F"/>
    <w:pPr>
      <w:tabs>
        <w:tab w:val="right" w:pos="1786"/>
      </w:tabs>
      <w:spacing w:before="40"/>
      <w:ind w:left="2070" w:hanging="936"/>
    </w:pPr>
  </w:style>
  <w:style w:type="character" w:customStyle="1" w:styleId="SOParaChar">
    <w:name w:val="SO Para Char"/>
    <w:aliases w:val="soa Char"/>
    <w:basedOn w:val="DefaultParagraphFont"/>
    <w:link w:val="SOPara"/>
    <w:rsid w:val="0080476F"/>
    <w:rPr>
      <w:sz w:val="22"/>
    </w:rPr>
  </w:style>
  <w:style w:type="paragraph" w:customStyle="1" w:styleId="FileName">
    <w:name w:val="FileName"/>
    <w:basedOn w:val="Normal"/>
    <w:rsid w:val="0080476F"/>
  </w:style>
  <w:style w:type="paragraph" w:customStyle="1" w:styleId="TableHeading">
    <w:name w:val="TableHeading"/>
    <w:aliases w:val="th"/>
    <w:basedOn w:val="OPCParaBase"/>
    <w:next w:val="Tabletext"/>
    <w:rsid w:val="0080476F"/>
    <w:pPr>
      <w:keepNext/>
      <w:spacing w:before="60" w:line="240" w:lineRule="atLeast"/>
    </w:pPr>
    <w:rPr>
      <w:b/>
      <w:sz w:val="20"/>
    </w:rPr>
  </w:style>
  <w:style w:type="paragraph" w:customStyle="1" w:styleId="SOHeadBold">
    <w:name w:val="SO HeadBold"/>
    <w:aliases w:val="sohb"/>
    <w:basedOn w:val="SOText"/>
    <w:next w:val="SOText"/>
    <w:link w:val="SOHeadBoldChar"/>
    <w:qFormat/>
    <w:rsid w:val="0080476F"/>
    <w:rPr>
      <w:b/>
    </w:rPr>
  </w:style>
  <w:style w:type="character" w:customStyle="1" w:styleId="SOHeadBoldChar">
    <w:name w:val="SO HeadBold Char"/>
    <w:aliases w:val="sohb Char"/>
    <w:basedOn w:val="DefaultParagraphFont"/>
    <w:link w:val="SOHeadBold"/>
    <w:rsid w:val="0080476F"/>
    <w:rPr>
      <w:b/>
      <w:sz w:val="22"/>
    </w:rPr>
  </w:style>
  <w:style w:type="paragraph" w:customStyle="1" w:styleId="SOHeadItalic">
    <w:name w:val="SO HeadItalic"/>
    <w:aliases w:val="sohi"/>
    <w:basedOn w:val="SOText"/>
    <w:next w:val="SOText"/>
    <w:link w:val="SOHeadItalicChar"/>
    <w:qFormat/>
    <w:rsid w:val="0080476F"/>
    <w:rPr>
      <w:i/>
    </w:rPr>
  </w:style>
  <w:style w:type="character" w:customStyle="1" w:styleId="SOHeadItalicChar">
    <w:name w:val="SO HeadItalic Char"/>
    <w:aliases w:val="sohi Char"/>
    <w:basedOn w:val="DefaultParagraphFont"/>
    <w:link w:val="SOHeadItalic"/>
    <w:rsid w:val="0080476F"/>
    <w:rPr>
      <w:i/>
      <w:sz w:val="22"/>
    </w:rPr>
  </w:style>
  <w:style w:type="paragraph" w:customStyle="1" w:styleId="SOBullet">
    <w:name w:val="SO Bullet"/>
    <w:aliases w:val="sotb"/>
    <w:basedOn w:val="SOText"/>
    <w:link w:val="SOBulletChar"/>
    <w:qFormat/>
    <w:rsid w:val="0080476F"/>
    <w:pPr>
      <w:ind w:left="1559" w:hanging="425"/>
    </w:pPr>
  </w:style>
  <w:style w:type="character" w:customStyle="1" w:styleId="SOBulletChar">
    <w:name w:val="SO Bullet Char"/>
    <w:aliases w:val="sotb Char"/>
    <w:basedOn w:val="DefaultParagraphFont"/>
    <w:link w:val="SOBullet"/>
    <w:rsid w:val="0080476F"/>
    <w:rPr>
      <w:sz w:val="22"/>
    </w:rPr>
  </w:style>
  <w:style w:type="paragraph" w:customStyle="1" w:styleId="SOBulletNote">
    <w:name w:val="SO BulletNote"/>
    <w:aliases w:val="sonb"/>
    <w:basedOn w:val="SOTextNote"/>
    <w:link w:val="SOBulletNoteChar"/>
    <w:qFormat/>
    <w:rsid w:val="0080476F"/>
    <w:pPr>
      <w:tabs>
        <w:tab w:val="left" w:pos="1560"/>
      </w:tabs>
      <w:ind w:left="2268" w:hanging="1134"/>
    </w:pPr>
  </w:style>
  <w:style w:type="character" w:customStyle="1" w:styleId="SOBulletNoteChar">
    <w:name w:val="SO BulletNote Char"/>
    <w:aliases w:val="sonb Char"/>
    <w:basedOn w:val="DefaultParagraphFont"/>
    <w:link w:val="SOBulletNote"/>
    <w:rsid w:val="0080476F"/>
    <w:rPr>
      <w:sz w:val="18"/>
    </w:rPr>
  </w:style>
  <w:style w:type="paragraph" w:customStyle="1" w:styleId="SOText2">
    <w:name w:val="SO Text2"/>
    <w:aliases w:val="sot2"/>
    <w:basedOn w:val="Normal"/>
    <w:next w:val="SOText"/>
    <w:link w:val="SOText2Char"/>
    <w:rsid w:val="0080476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0476F"/>
    <w:rPr>
      <w:sz w:val="22"/>
    </w:rPr>
  </w:style>
  <w:style w:type="paragraph" w:customStyle="1" w:styleId="SubPartCASA">
    <w:name w:val="SubPart(CASA)"/>
    <w:aliases w:val="csp"/>
    <w:basedOn w:val="OPCParaBase"/>
    <w:next w:val="ActHead3"/>
    <w:rsid w:val="0080476F"/>
    <w:pPr>
      <w:keepNext/>
      <w:keepLines/>
      <w:spacing w:before="280"/>
      <w:ind w:left="1134" w:hanging="1134"/>
      <w:outlineLvl w:val="1"/>
    </w:pPr>
    <w:rPr>
      <w:b/>
      <w:kern w:val="28"/>
      <w:sz w:val="32"/>
    </w:rPr>
  </w:style>
  <w:style w:type="paragraph" w:customStyle="1" w:styleId="NotesHeading1">
    <w:name w:val="NotesHeading 1"/>
    <w:basedOn w:val="OPCParaBase"/>
    <w:next w:val="Normal"/>
    <w:rsid w:val="0080476F"/>
    <w:rPr>
      <w:b/>
      <w:sz w:val="28"/>
      <w:szCs w:val="28"/>
    </w:rPr>
  </w:style>
  <w:style w:type="paragraph" w:customStyle="1" w:styleId="NotesHeading2">
    <w:name w:val="NotesHeading 2"/>
    <w:basedOn w:val="OPCParaBase"/>
    <w:next w:val="Normal"/>
    <w:rsid w:val="0080476F"/>
    <w:rPr>
      <w:b/>
      <w:sz w:val="28"/>
      <w:szCs w:val="28"/>
    </w:rPr>
  </w:style>
  <w:style w:type="paragraph" w:customStyle="1" w:styleId="SignCoverPageEnd">
    <w:name w:val="SignCoverPageEnd"/>
    <w:basedOn w:val="OPCParaBase"/>
    <w:next w:val="Normal"/>
    <w:rsid w:val="008047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0476F"/>
    <w:pPr>
      <w:pBdr>
        <w:top w:val="single" w:sz="4" w:space="1" w:color="auto"/>
      </w:pBdr>
      <w:spacing w:before="360"/>
      <w:ind w:right="397"/>
      <w:jc w:val="both"/>
    </w:pPr>
  </w:style>
  <w:style w:type="paragraph" w:customStyle="1" w:styleId="EndNotespara">
    <w:name w:val="EndNotes(para)"/>
    <w:aliases w:val="eta"/>
    <w:basedOn w:val="OPCParaBase"/>
    <w:next w:val="EndNotessubpara"/>
    <w:rsid w:val="008047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047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047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047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0476F"/>
    <w:pPr>
      <w:spacing w:before="60" w:line="240" w:lineRule="auto"/>
    </w:pPr>
    <w:rPr>
      <w:rFonts w:cs="Arial"/>
      <w:sz w:val="20"/>
      <w:szCs w:val="22"/>
    </w:rPr>
  </w:style>
  <w:style w:type="table" w:styleId="TableGrid">
    <w:name w:val="Table Grid"/>
    <w:basedOn w:val="TableNormal"/>
    <w:uiPriority w:val="59"/>
    <w:rsid w:val="0080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80476F"/>
  </w:style>
  <w:style w:type="character" w:customStyle="1" w:styleId="paragraphChar">
    <w:name w:val="paragraph Char"/>
    <w:aliases w:val="a Char"/>
    <w:link w:val="paragraph"/>
    <w:rsid w:val="00633D81"/>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633D81"/>
    <w:rPr>
      <w:rFonts w:eastAsia="Times New Roman" w:cs="Times New Roman"/>
      <w:sz w:val="22"/>
      <w:lang w:eastAsia="en-AU"/>
    </w:rPr>
  </w:style>
  <w:style w:type="character" w:customStyle="1" w:styleId="ActHead5Char">
    <w:name w:val="ActHead 5 Char"/>
    <w:aliases w:val="s Char"/>
    <w:link w:val="ActHead5"/>
    <w:rsid w:val="00633D81"/>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EC0A95"/>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4426" ma:contentTypeDescription=" " ma:contentTypeScope="" ma:versionID="04e26060468c1f4f246555df85c9d597">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2019MG-92-69116</_dlc_DocId>
    <_dlc_DocIdUrl xmlns="0f563589-9cf9-4143-b1eb-fb0534803d38">
      <Url>http://tweb/sites/mg/fsd/_layouts/15/DocIdRedir.aspx?ID=2019MG-92-69116</Url>
      <Description>2019MG-92-69116</Description>
    </_dlc_DocIdUrl>
  </documentManagement>
</p:properties>
</file>

<file path=customXml/itemProps1.xml><?xml version="1.0" encoding="utf-8"?>
<ds:datastoreItem xmlns:ds="http://schemas.openxmlformats.org/officeDocument/2006/customXml" ds:itemID="{91FC66E5-53BE-4B70-9C06-C1EB50488A06}"/>
</file>

<file path=customXml/itemProps2.xml><?xml version="1.0" encoding="utf-8"?>
<ds:datastoreItem xmlns:ds="http://schemas.openxmlformats.org/officeDocument/2006/customXml" ds:itemID="{BBC892D5-FC70-43DB-912F-5635ADB119B2}">
  <ds:schemaRefs>
    <ds:schemaRef ds:uri="http://schemas.microsoft.com/sharepoint/events"/>
  </ds:schemaRefs>
</ds:datastoreItem>
</file>

<file path=customXml/itemProps3.xml><?xml version="1.0" encoding="utf-8"?>
<ds:datastoreItem xmlns:ds="http://schemas.openxmlformats.org/officeDocument/2006/customXml" ds:itemID="{491FA246-69B3-4095-8127-575AA85D872C}">
  <ds:schemaRefs>
    <ds:schemaRef ds:uri="http://schemas.microsoft.com/sharepoint/events"/>
  </ds:schemaRefs>
</ds:datastoreItem>
</file>

<file path=customXml/itemProps4.xml><?xml version="1.0" encoding="utf-8"?>
<ds:datastoreItem xmlns:ds="http://schemas.openxmlformats.org/officeDocument/2006/customXml" ds:itemID="{88657AC9-FF51-4079-B45B-D862D920BAFA}">
  <ds:schemaRefs>
    <ds:schemaRef ds:uri="office.server.policy"/>
  </ds:schemaRefs>
</ds:datastoreItem>
</file>

<file path=customXml/itemProps5.xml><?xml version="1.0" encoding="utf-8"?>
<ds:datastoreItem xmlns:ds="http://schemas.openxmlformats.org/officeDocument/2006/customXml" ds:itemID="{89F0C5BF-7BDE-4CFC-A789-66262C62EFB4}">
  <ds:schemaRefs>
    <ds:schemaRef ds:uri="http://schemas.microsoft.com/sharepoint/v3/contenttype/forms"/>
  </ds:schemaRefs>
</ds:datastoreItem>
</file>

<file path=customXml/itemProps6.xml><?xml version="1.0" encoding="utf-8"?>
<ds:datastoreItem xmlns:ds="http://schemas.openxmlformats.org/officeDocument/2006/customXml" ds:itemID="{CE78CB79-B502-4982-923E-54635627A80E}">
  <ds:schemaRefs>
    <ds:schemaRef ds:uri="http://schemas.openxmlformats.org/package/2006/metadata/core-properties"/>
    <ds:schemaRef ds:uri="http://schemas.microsoft.com/office/2006/documentManagement/types"/>
    <ds:schemaRef ds:uri="http://purl.org/dc/dcmitype/"/>
    <ds:schemaRef ds:uri="0f563589-9cf9-4143-b1eb-fb0534803d38"/>
    <ds:schemaRef ds:uri="http://schemas.microsoft.com/sharepoint/v3"/>
    <ds:schemaRef ds:uri="http://schemas.microsoft.com/office/infopath/2007/PartnerControls"/>
    <ds:schemaRef ds:uri="http://purl.org/dc/elements/1.1/"/>
    <ds:schemaRef ds:uri="http://schemas.microsoft.com/office/2006/metadata/properties"/>
    <ds:schemaRef ds:uri="http://purl.org/dc/terms/"/>
    <ds:schemaRef ds:uri="http://schemas.microsoft.com/sharepoint/v4"/>
    <ds:schemaRef ds:uri="d4dd4adf-ddb3-46a3-8d7c-fab3fb2a6b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5</Pages>
  <Words>3070</Words>
  <Characters>17504</Characters>
  <Application>Microsoft Office Word</Application>
  <DocSecurity>6</DocSecurity>
  <PresentationFormat/>
  <Lines>145</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2019-11-13T06:21:00Z</cp:lastPrinted>
  <dcterms:created xsi:type="dcterms:W3CDTF">2019-11-20T06:28:00Z</dcterms:created>
  <dcterms:modified xsi:type="dcterms:W3CDTF">2019-11-20T06:28:00Z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DocType">
    <vt:lpwstr>INS</vt:lpwstr>
  </property>
  <property fmtid="{D5CDD505-2E9C-101B-9397-08002B2CF9AE}" pid="5" name="ShortT">
    <vt:lpwstr>Financial Sector Reform (Hayne Royal Commission Response—Protecting Consumers (2020 Measures)) Bill 2020: claims handling</vt:lpwstr>
  </property>
  <property fmtid="{D5CDD505-2E9C-101B-9397-08002B2CF9AE}" pid="6" name="ID">
    <vt:lpwstr>OPC7273</vt:lpwstr>
  </property>
  <property fmtid="{D5CDD505-2E9C-101B-9397-08002B2CF9AE}" pid="7" name="DoNotAsk">
    <vt:lpwstr>0</vt:lpwstr>
  </property>
  <property fmtid="{D5CDD505-2E9C-101B-9397-08002B2CF9AE}" pid="8" name="ChangedTitle">
    <vt:lpwstr/>
  </property>
  <property fmtid="{D5CDD505-2E9C-101B-9397-08002B2CF9AE}" pid="9" name="Actno">
    <vt:lpwstr/>
  </property>
  <property fmtid="{D5CDD505-2E9C-101B-9397-08002B2CF9AE}" pid="10" name="Class">
    <vt:lpwstr/>
  </property>
  <property fmtid="{D5CDD505-2E9C-101B-9397-08002B2CF9AE}" pid="11" name="Type">
    <vt:lpwstr>BILL</vt:lpwstr>
  </property>
  <property fmtid="{D5CDD505-2E9C-101B-9397-08002B2CF9AE}" pid="12" name="TrimID">
    <vt:lpwstr>PC:D19/12916</vt:lpwstr>
  </property>
  <property fmtid="{D5CDD505-2E9C-101B-9397-08002B2CF9AE}" pid="13" name="ContentTypeId">
    <vt:lpwstr>0x010100E95D40E5DFEA714B90E88DB5CE07A6B500BFDF0D6C871D7942A562434B13DA708E</vt:lpwstr>
  </property>
  <property fmtid="{D5CDD505-2E9C-101B-9397-08002B2CF9AE}" pid="14" name="TSYRecordClass">
    <vt:lpwstr>2;#TSY RA-9081 - Retain as national archives|bbf0bcde-1687-4ff2-bc57-f31b5d545d4b</vt:lpwstr>
  </property>
  <property fmtid="{D5CDD505-2E9C-101B-9397-08002B2CF9AE}" pid="15" name="_dlc_DocIdItemGuid">
    <vt:lpwstr>72f93a7f-a7e1-4d72-9c5e-d0555f370541</vt:lpwstr>
  </property>
  <property fmtid="{D5CDD505-2E9C-101B-9397-08002B2CF9AE}" pid="16" name="_AdHocReviewCycleID">
    <vt:i4>-150836429</vt:i4>
  </property>
  <property fmtid="{D5CDD505-2E9C-101B-9397-08002B2CF9AE}" pid="17" name="_NewReviewCycle">
    <vt:lpwstr/>
  </property>
</Properties>
</file>