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41D2C" w14:textId="31AD6254" w:rsidR="000E0B74" w:rsidRPr="006D0240" w:rsidRDefault="000E0B74" w:rsidP="008E6292"/>
    <w:p w14:paraId="63A1FB24" w14:textId="40FFDB03" w:rsidR="000E0B74" w:rsidRPr="006D0240" w:rsidRDefault="000E0B74" w:rsidP="000E0B74"/>
    <w:p w14:paraId="3281CD78" w14:textId="7D5C3500" w:rsidR="00273ECA" w:rsidRDefault="00273ECA" w:rsidP="000E0B74"/>
    <w:p w14:paraId="780540A4" w14:textId="77777777" w:rsidR="00EC3AE1" w:rsidRPr="00A26E78" w:rsidRDefault="00EC3AE1" w:rsidP="00EC3AE1">
      <w:pPr>
        <w:pStyle w:val="Title"/>
        <w:rPr>
          <w:sz w:val="56"/>
          <w:szCs w:val="56"/>
        </w:rPr>
      </w:pPr>
      <w:r w:rsidRPr="00A26E78">
        <w:rPr>
          <w:sz w:val="56"/>
          <w:szCs w:val="56"/>
        </w:rPr>
        <w:t>Implementing Royal Commission Recommendation 7.1 – Establishing a Compensation Scheme of Last Resort</w:t>
      </w:r>
    </w:p>
    <w:p w14:paraId="7C8DD92C" w14:textId="280FFA67" w:rsidR="00060655" w:rsidRPr="001D4EAA" w:rsidRDefault="00E413BA" w:rsidP="00EC3AE1">
      <w:pPr>
        <w:pStyle w:val="Subtitle"/>
      </w:pPr>
      <w:r>
        <w:t>Discussion Paper</w:t>
      </w:r>
    </w:p>
    <w:p w14:paraId="68D16817" w14:textId="3DA3CCE4" w:rsidR="00EC3AE1" w:rsidRDefault="00200BE2" w:rsidP="00EC3AE1">
      <w:pPr>
        <w:pStyle w:val="ReportDate"/>
        <w:rPr>
          <w:rFonts w:ascii="Rockwell" w:hAnsi="Rockwell"/>
          <w:sz w:val="24"/>
        </w:rPr>
      </w:pPr>
      <w:r>
        <w:rPr>
          <w:rStyle w:val="ReportDateChar"/>
        </w:rPr>
        <w:t>December</w:t>
      </w:r>
      <w:r w:rsidR="00B425D9">
        <w:rPr>
          <w:rStyle w:val="ReportDateChar"/>
        </w:rPr>
        <w:t xml:space="preserve"> 20</w:t>
      </w:r>
      <w:r>
        <w:rPr>
          <w:rStyle w:val="ReportDateChar"/>
        </w:rPr>
        <w:t>19</w:t>
      </w:r>
    </w:p>
    <w:p w14:paraId="2F11AAEF" w14:textId="6564638D" w:rsidR="002F617F" w:rsidRPr="001D4EAA" w:rsidRDefault="002F617F" w:rsidP="000E0B74"/>
    <w:p w14:paraId="3F35756A" w14:textId="77777777" w:rsidR="00334ECB" w:rsidRDefault="00334ECB">
      <w:pPr>
        <w:sectPr w:rsidR="00334ECB" w:rsidSect="00273ECA">
          <w:headerReference w:type="default" r:id="rId15"/>
          <w:footerReference w:type="default" r:id="rId16"/>
          <w:headerReference w:type="first" r:id="rId17"/>
          <w:pgSz w:w="11906" w:h="16838"/>
          <w:pgMar w:top="1418" w:right="1418" w:bottom="1418" w:left="1418" w:header="709" w:footer="709" w:gutter="0"/>
          <w:pgNumType w:fmt="lowerRoman" w:start="1"/>
          <w:cols w:space="720"/>
          <w:titlePg/>
          <w:docGrid w:linePitch="299"/>
        </w:sectPr>
      </w:pPr>
    </w:p>
    <w:p w14:paraId="38C170DC" w14:textId="7F1DD9DD" w:rsidR="0031001D" w:rsidRDefault="0031001D" w:rsidP="0031001D">
      <w:pPr>
        <w:spacing w:before="240"/>
      </w:pPr>
      <w:r w:rsidRPr="00B425D9">
        <w:lastRenderedPageBreak/>
        <w:t>© Commonwealth of Australia 20</w:t>
      </w:r>
      <w:r w:rsidR="00200BE2">
        <w:t>19</w:t>
      </w:r>
    </w:p>
    <w:p w14:paraId="701378C4" w14:textId="77777777" w:rsidR="0031001D" w:rsidRPr="00086F82" w:rsidRDefault="0031001D" w:rsidP="0031001D">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8"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9"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360CF708" w14:textId="77777777" w:rsidR="0031001D" w:rsidRDefault="0031001D" w:rsidP="0031001D">
      <w:pPr>
        <w:pStyle w:val="ChartGraphic"/>
        <w:jc w:val="left"/>
      </w:pPr>
      <w:r w:rsidRPr="00E56DFB">
        <w:rPr>
          <w:noProof/>
        </w:rPr>
        <w:drawing>
          <wp:inline distT="0" distB="0" distL="0" distR="0" wp14:anchorId="25B80A1D" wp14:editId="2068CB89">
            <wp:extent cx="809625" cy="285750"/>
            <wp:effectExtent l="0" t="0" r="9525" b="0"/>
            <wp:docPr id="5"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A6DC340" w14:textId="77777777" w:rsidR="0031001D" w:rsidRPr="006627B4" w:rsidRDefault="0031001D" w:rsidP="0031001D">
      <w:pPr>
        <w:tabs>
          <w:tab w:val="left" w:pos="1650"/>
        </w:tabs>
        <w:spacing w:before="240"/>
      </w:pPr>
      <w:r w:rsidRPr="006627B4">
        <w:t>Use of Treasury material under a</w:t>
      </w:r>
      <w:r w:rsidRPr="00476F09">
        <w:rPr>
          <w:rFonts w:cstheme="minorHAnsi"/>
          <w:sz w:val="24"/>
          <w:szCs w:val="24"/>
        </w:rPr>
        <w:t xml:space="preserve"> </w:t>
      </w:r>
      <w:hyperlink r:id="rId21"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4FE843D1" w14:textId="77777777" w:rsidR="0031001D" w:rsidRPr="002F1BC2" w:rsidRDefault="0031001D" w:rsidP="0031001D">
      <w:pPr>
        <w:ind w:left="709"/>
        <w:rPr>
          <w:i/>
        </w:rPr>
      </w:pPr>
      <w:r w:rsidRPr="002F1BC2">
        <w:rPr>
          <w:i/>
        </w:rPr>
        <w:t xml:space="preserve">Treasury material used </w:t>
      </w:r>
      <w:r>
        <w:rPr>
          <w:i/>
        </w:rPr>
        <w:t>‘</w:t>
      </w:r>
      <w:r w:rsidRPr="002F1BC2">
        <w:rPr>
          <w:i/>
        </w:rPr>
        <w:t>as supplied</w:t>
      </w:r>
      <w:r>
        <w:rPr>
          <w:i/>
        </w:rPr>
        <w:t>’.</w:t>
      </w:r>
    </w:p>
    <w:p w14:paraId="1C7E9367" w14:textId="77777777" w:rsidR="0031001D" w:rsidRPr="00476F09" w:rsidRDefault="0031001D" w:rsidP="0031001D">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3EE98E2A" w14:textId="77777777" w:rsidR="0031001D" w:rsidRPr="00A13A11" w:rsidRDefault="0031001D" w:rsidP="0031001D">
      <w:pPr>
        <w:ind w:firstLine="720"/>
      </w:pPr>
      <w:r w:rsidRPr="002F1BC2">
        <w:rPr>
          <w:i/>
        </w:rPr>
        <w:t xml:space="preserve">Source: The </w:t>
      </w:r>
      <w:r w:rsidRPr="002F1BC2">
        <w:rPr>
          <w:i/>
          <w:iCs/>
        </w:rPr>
        <w:t>Australian Government the Treasury</w:t>
      </w:r>
      <w:r>
        <w:t>.</w:t>
      </w:r>
    </w:p>
    <w:p w14:paraId="20FFC07E" w14:textId="77777777" w:rsidR="0031001D" w:rsidRPr="006627B4" w:rsidRDefault="0031001D" w:rsidP="0031001D">
      <w:pPr>
        <w:spacing w:before="240"/>
      </w:pPr>
      <w:r w:rsidRPr="00CC63CC">
        <w:rPr>
          <w:b/>
        </w:rPr>
        <w:t>Derivative</w:t>
      </w:r>
      <w:r w:rsidRPr="006627B4">
        <w:t xml:space="preserve"> </w:t>
      </w:r>
      <w:r w:rsidRPr="00CC63CC">
        <w:rPr>
          <w:b/>
        </w:rPr>
        <w:t>material</w:t>
      </w:r>
    </w:p>
    <w:p w14:paraId="0E887672" w14:textId="77777777" w:rsidR="0031001D" w:rsidRPr="006627B4" w:rsidRDefault="0031001D" w:rsidP="0031001D">
      <w:r w:rsidRPr="006627B4">
        <w:t xml:space="preserve">If you have modified or transformed Treasury material, or derived new material from those of the Treasury in any way, then Treasury prefers the following attribution: </w:t>
      </w:r>
    </w:p>
    <w:p w14:paraId="2434B0A2" w14:textId="77777777" w:rsidR="0031001D" w:rsidRPr="006627B4" w:rsidRDefault="0031001D" w:rsidP="0031001D">
      <w:pPr>
        <w:ind w:firstLine="720"/>
      </w:pPr>
      <w:r w:rsidRPr="002F1BC2">
        <w:rPr>
          <w:i/>
        </w:rPr>
        <w:t>Based on The Australian Government the Treasury data</w:t>
      </w:r>
      <w:r>
        <w:t>.</w:t>
      </w:r>
    </w:p>
    <w:p w14:paraId="1468F9B1" w14:textId="77777777" w:rsidR="0031001D" w:rsidRPr="006627B4" w:rsidRDefault="0031001D" w:rsidP="0031001D">
      <w:pPr>
        <w:spacing w:before="240"/>
        <w:rPr>
          <w:b/>
        </w:rPr>
      </w:pPr>
      <w:r w:rsidRPr="006627B4">
        <w:rPr>
          <w:b/>
        </w:rPr>
        <w:t>Use of the Coat of Arms</w:t>
      </w:r>
    </w:p>
    <w:p w14:paraId="1A3FAFAE" w14:textId="77777777" w:rsidR="0031001D" w:rsidRPr="006627B4" w:rsidRDefault="0031001D" w:rsidP="0031001D">
      <w:r w:rsidRPr="004A7BC2">
        <w:t>The terms under which the Coat of Arms can be used are set out</w:t>
      </w:r>
      <w:r>
        <w:t xml:space="preserve"> on the Department of the Prime </w:t>
      </w:r>
      <w:r w:rsidRPr="004A7BC2">
        <w:t xml:space="preserve">Minister and Cabinet website (see </w:t>
      </w:r>
      <w:hyperlink r:id="rId22" w:history="1">
        <w:r w:rsidRPr="005A283B">
          <w:rPr>
            <w:rStyle w:val="Hyperlink"/>
          </w:rPr>
          <w:t>www.pmc.gov.au/government/commonwealth-coat-arm</w:t>
        </w:r>
      </w:hyperlink>
      <w:r>
        <w:rPr>
          <w:rStyle w:val="Hyperlink"/>
        </w:rPr>
        <w:t>s</w:t>
      </w:r>
      <w:r w:rsidRPr="004A7BC2">
        <w:t>).</w:t>
      </w:r>
    </w:p>
    <w:p w14:paraId="1843586A" w14:textId="77777777" w:rsidR="0031001D" w:rsidRPr="006627B4" w:rsidRDefault="0031001D" w:rsidP="0031001D">
      <w:pPr>
        <w:spacing w:before="240"/>
        <w:rPr>
          <w:b/>
        </w:rPr>
      </w:pPr>
      <w:r>
        <w:rPr>
          <w:b/>
        </w:rPr>
        <w:t>Other u</w:t>
      </w:r>
      <w:r w:rsidRPr="006627B4">
        <w:rPr>
          <w:b/>
        </w:rPr>
        <w:t>ses</w:t>
      </w:r>
    </w:p>
    <w:p w14:paraId="6AA3A8CE" w14:textId="77777777" w:rsidR="0031001D" w:rsidRPr="006627B4" w:rsidRDefault="0031001D" w:rsidP="0031001D">
      <w:r>
        <w:t>E</w:t>
      </w:r>
      <w:r w:rsidRPr="006627B4">
        <w:t>nquiries regarding this licence and any other use of this document are welcome at:</w:t>
      </w:r>
    </w:p>
    <w:p w14:paraId="238FDFEC" w14:textId="77777777" w:rsidR="0031001D" w:rsidRPr="002F1BC2" w:rsidRDefault="0031001D" w:rsidP="0031001D">
      <w:pPr>
        <w:ind w:left="720"/>
        <w:rPr>
          <w:rStyle w:val="Hyperlink"/>
        </w:rPr>
      </w:pPr>
      <w:r w:rsidRPr="006627B4">
        <w:t>Manager</w:t>
      </w:r>
      <w:r>
        <w:b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3" w:history="1">
        <w:r w:rsidRPr="00B31CFB">
          <w:rPr>
            <w:rStyle w:val="Hyperlink"/>
          </w:rPr>
          <w:t>medialiaison@treasury.gov.au</w:t>
        </w:r>
      </w:hyperlink>
    </w:p>
    <w:p w14:paraId="212F36EE" w14:textId="77777777" w:rsidR="00334ECB" w:rsidRDefault="00334ECB"/>
    <w:p w14:paraId="0F1A5D6C" w14:textId="35CC868E" w:rsidR="000E0B74" w:rsidRDefault="000E0B74" w:rsidP="000E0B74"/>
    <w:p w14:paraId="0252C670" w14:textId="77777777" w:rsidR="000E0B74" w:rsidRDefault="000E0B74" w:rsidP="000E0B74">
      <w:pPr>
        <w:sectPr w:rsidR="000E0B74" w:rsidSect="00334ECB">
          <w:headerReference w:type="default" r:id="rId24"/>
          <w:headerReference w:type="first" r:id="rId25"/>
          <w:footerReference w:type="first" r:id="rId26"/>
          <w:pgSz w:w="11906" w:h="16838"/>
          <w:pgMar w:top="1418" w:right="1418" w:bottom="1418" w:left="1418" w:header="709" w:footer="709" w:gutter="0"/>
          <w:pgNumType w:fmt="lowerRoman" w:start="1"/>
          <w:cols w:space="720"/>
          <w:docGrid w:linePitch="299"/>
        </w:sectPr>
      </w:pPr>
    </w:p>
    <w:p w14:paraId="2FC781C8" w14:textId="77777777" w:rsidR="009745A0" w:rsidRPr="009745A0" w:rsidRDefault="00060655" w:rsidP="009745A0">
      <w:pPr>
        <w:rPr>
          <w:rStyle w:val="Hyperlink"/>
          <w:b/>
          <w:sz w:val="36"/>
          <w:szCs w:val="36"/>
        </w:rPr>
      </w:pPr>
      <w:bookmarkStart w:id="0" w:name="_Toc25063038"/>
      <w:bookmarkStart w:id="1" w:name="_Toc25063233"/>
      <w:bookmarkStart w:id="2" w:name="_Toc25064291"/>
      <w:bookmarkStart w:id="3" w:name="_Toc25066077"/>
      <w:bookmarkStart w:id="4" w:name="_Toc25074399"/>
      <w:bookmarkStart w:id="5" w:name="_Toc26967603"/>
      <w:bookmarkStart w:id="6" w:name="_Toc26975029"/>
      <w:bookmarkStart w:id="7" w:name="_Toc26979136"/>
      <w:r w:rsidRPr="009745A0">
        <w:rPr>
          <w:rStyle w:val="Hyperlink"/>
          <w:b/>
          <w:sz w:val="36"/>
          <w:szCs w:val="36"/>
        </w:rPr>
        <w:lastRenderedPageBreak/>
        <w:t>Contents</w:t>
      </w:r>
      <w:bookmarkEnd w:id="0"/>
      <w:bookmarkEnd w:id="1"/>
      <w:bookmarkEnd w:id="2"/>
      <w:bookmarkEnd w:id="3"/>
      <w:bookmarkEnd w:id="4"/>
      <w:bookmarkEnd w:id="5"/>
      <w:bookmarkEnd w:id="6"/>
      <w:bookmarkEnd w:id="7"/>
    </w:p>
    <w:p w14:paraId="40431688" w14:textId="3E766289" w:rsidR="00480A74" w:rsidRDefault="00257AEE">
      <w:pPr>
        <w:pStyle w:val="TOC1"/>
        <w:rPr>
          <w:rFonts w:asciiTheme="minorHAnsi" w:eastAsiaTheme="minorEastAsia" w:hAnsiTheme="minorHAnsi" w:cstheme="minorBidi"/>
          <w:b w:val="0"/>
          <w:color w:val="auto"/>
        </w:rPr>
      </w:pPr>
      <w:r>
        <w:rPr>
          <w:color w:val="002C47" w:themeColor="accent1"/>
          <w:sz w:val="48"/>
          <w:szCs w:val="36"/>
        </w:rPr>
        <w:fldChar w:fldCharType="begin"/>
      </w:r>
      <w:r>
        <w:instrText xml:space="preserve"> TOC \o "1-2" \h \z \t "Heading 3,3,Chart Main Heading,3,Table Main Heading,3,Heading 3 Numbered,3,Table Heading Continued,3" </w:instrText>
      </w:r>
      <w:r>
        <w:rPr>
          <w:color w:val="002C47" w:themeColor="accent1"/>
          <w:sz w:val="48"/>
          <w:szCs w:val="36"/>
        </w:rPr>
        <w:fldChar w:fldCharType="separate"/>
      </w:r>
      <w:hyperlink w:anchor="_Toc27650462" w:history="1">
        <w:r w:rsidR="00480A74" w:rsidRPr="007627E1">
          <w:rPr>
            <w:rStyle w:val="Hyperlink"/>
          </w:rPr>
          <w:t>Submission Process</w:t>
        </w:r>
        <w:r w:rsidR="00480A74">
          <w:rPr>
            <w:webHidden/>
          </w:rPr>
          <w:tab/>
        </w:r>
        <w:r w:rsidR="00480A74">
          <w:rPr>
            <w:webHidden/>
          </w:rPr>
          <w:fldChar w:fldCharType="begin"/>
        </w:r>
        <w:r w:rsidR="00480A74">
          <w:rPr>
            <w:webHidden/>
          </w:rPr>
          <w:instrText xml:space="preserve"> PAGEREF _Toc27650462 \h </w:instrText>
        </w:r>
        <w:r w:rsidR="00480A74">
          <w:rPr>
            <w:webHidden/>
          </w:rPr>
        </w:r>
        <w:r w:rsidR="00480A74">
          <w:rPr>
            <w:webHidden/>
          </w:rPr>
          <w:fldChar w:fldCharType="separate"/>
        </w:r>
        <w:r w:rsidR="004D0E4D">
          <w:rPr>
            <w:webHidden/>
          </w:rPr>
          <w:t>1</w:t>
        </w:r>
        <w:r w:rsidR="00480A74">
          <w:rPr>
            <w:webHidden/>
          </w:rPr>
          <w:fldChar w:fldCharType="end"/>
        </w:r>
      </w:hyperlink>
    </w:p>
    <w:p w14:paraId="68C4325A" w14:textId="185F5D9D" w:rsidR="00480A74" w:rsidRDefault="004D0E4D">
      <w:pPr>
        <w:pStyle w:val="TOC3"/>
        <w:rPr>
          <w:rFonts w:asciiTheme="minorHAnsi" w:eastAsiaTheme="minorEastAsia" w:hAnsiTheme="minorHAnsi" w:cstheme="minorBidi"/>
          <w:color w:val="auto"/>
          <w:szCs w:val="22"/>
        </w:rPr>
      </w:pPr>
      <w:hyperlink w:anchor="_Toc27650463" w:history="1">
        <w:r w:rsidR="00480A74" w:rsidRPr="007627E1">
          <w:rPr>
            <w:rStyle w:val="Hyperlink"/>
          </w:rPr>
          <w:t>Request for feedback and comments</w:t>
        </w:r>
        <w:r w:rsidR="00480A74">
          <w:rPr>
            <w:webHidden/>
          </w:rPr>
          <w:tab/>
        </w:r>
        <w:r w:rsidR="00480A74">
          <w:rPr>
            <w:webHidden/>
          </w:rPr>
          <w:fldChar w:fldCharType="begin"/>
        </w:r>
        <w:r w:rsidR="00480A74">
          <w:rPr>
            <w:webHidden/>
          </w:rPr>
          <w:instrText xml:space="preserve"> PAGEREF _Toc27650463 \h </w:instrText>
        </w:r>
        <w:r w:rsidR="00480A74">
          <w:rPr>
            <w:webHidden/>
          </w:rPr>
        </w:r>
        <w:r w:rsidR="00480A74">
          <w:rPr>
            <w:webHidden/>
          </w:rPr>
          <w:fldChar w:fldCharType="separate"/>
        </w:r>
        <w:r>
          <w:rPr>
            <w:webHidden/>
          </w:rPr>
          <w:t>1</w:t>
        </w:r>
        <w:r w:rsidR="00480A74">
          <w:rPr>
            <w:webHidden/>
          </w:rPr>
          <w:fldChar w:fldCharType="end"/>
        </w:r>
      </w:hyperlink>
    </w:p>
    <w:p w14:paraId="49CC8375" w14:textId="3464C6D5" w:rsidR="00480A74" w:rsidRDefault="004D0E4D">
      <w:pPr>
        <w:pStyle w:val="TOC1"/>
        <w:rPr>
          <w:rFonts w:asciiTheme="minorHAnsi" w:eastAsiaTheme="minorEastAsia" w:hAnsiTheme="minorHAnsi" w:cstheme="minorBidi"/>
          <w:b w:val="0"/>
          <w:color w:val="auto"/>
        </w:rPr>
      </w:pPr>
      <w:hyperlink w:anchor="_Toc27650464" w:history="1">
        <w:r w:rsidR="00480A74" w:rsidRPr="007627E1">
          <w:rPr>
            <w:rStyle w:val="Hyperlink"/>
          </w:rPr>
          <w:t>Introduction</w:t>
        </w:r>
        <w:r w:rsidR="00480A74">
          <w:rPr>
            <w:webHidden/>
          </w:rPr>
          <w:tab/>
        </w:r>
        <w:r w:rsidR="00480A74">
          <w:rPr>
            <w:webHidden/>
          </w:rPr>
          <w:fldChar w:fldCharType="begin"/>
        </w:r>
        <w:r w:rsidR="00480A74">
          <w:rPr>
            <w:webHidden/>
          </w:rPr>
          <w:instrText xml:space="preserve"> PAGEREF _Toc27650464 \h </w:instrText>
        </w:r>
        <w:r w:rsidR="00480A74">
          <w:rPr>
            <w:webHidden/>
          </w:rPr>
        </w:r>
        <w:r w:rsidR="00480A74">
          <w:rPr>
            <w:webHidden/>
          </w:rPr>
          <w:fldChar w:fldCharType="separate"/>
        </w:r>
        <w:r>
          <w:rPr>
            <w:webHidden/>
          </w:rPr>
          <w:t>2</w:t>
        </w:r>
        <w:r w:rsidR="00480A74">
          <w:rPr>
            <w:webHidden/>
          </w:rPr>
          <w:fldChar w:fldCharType="end"/>
        </w:r>
      </w:hyperlink>
    </w:p>
    <w:p w14:paraId="45DBF466" w14:textId="610CB444" w:rsidR="00480A74" w:rsidRDefault="004D0E4D">
      <w:pPr>
        <w:pStyle w:val="TOC1"/>
        <w:rPr>
          <w:rFonts w:asciiTheme="minorHAnsi" w:eastAsiaTheme="minorEastAsia" w:hAnsiTheme="minorHAnsi" w:cstheme="minorBidi"/>
          <w:b w:val="0"/>
          <w:color w:val="auto"/>
        </w:rPr>
      </w:pPr>
      <w:hyperlink w:anchor="_Toc27650465" w:history="1">
        <w:r w:rsidR="00480A74" w:rsidRPr="007627E1">
          <w:rPr>
            <w:rStyle w:val="Hyperlink"/>
          </w:rPr>
          <w:t>Background</w:t>
        </w:r>
        <w:r w:rsidR="00480A74">
          <w:rPr>
            <w:webHidden/>
          </w:rPr>
          <w:tab/>
        </w:r>
        <w:r w:rsidR="00480A74">
          <w:rPr>
            <w:webHidden/>
          </w:rPr>
          <w:fldChar w:fldCharType="begin"/>
        </w:r>
        <w:r w:rsidR="00480A74">
          <w:rPr>
            <w:webHidden/>
          </w:rPr>
          <w:instrText xml:space="preserve"> PAGEREF _Toc27650465 \h </w:instrText>
        </w:r>
        <w:r w:rsidR="00480A74">
          <w:rPr>
            <w:webHidden/>
          </w:rPr>
        </w:r>
        <w:r w:rsidR="00480A74">
          <w:rPr>
            <w:webHidden/>
          </w:rPr>
          <w:fldChar w:fldCharType="separate"/>
        </w:r>
        <w:r>
          <w:rPr>
            <w:webHidden/>
          </w:rPr>
          <w:t>3</w:t>
        </w:r>
        <w:r w:rsidR="00480A74">
          <w:rPr>
            <w:webHidden/>
          </w:rPr>
          <w:fldChar w:fldCharType="end"/>
        </w:r>
      </w:hyperlink>
    </w:p>
    <w:p w14:paraId="223BBF2E" w14:textId="73CA5413" w:rsidR="00480A74" w:rsidRDefault="004D0E4D">
      <w:pPr>
        <w:pStyle w:val="TOC3"/>
        <w:rPr>
          <w:rFonts w:asciiTheme="minorHAnsi" w:eastAsiaTheme="minorEastAsia" w:hAnsiTheme="minorHAnsi" w:cstheme="minorBidi"/>
          <w:color w:val="auto"/>
          <w:szCs w:val="22"/>
        </w:rPr>
      </w:pPr>
      <w:hyperlink w:anchor="_Toc27650466" w:history="1">
        <w:r w:rsidR="00480A74" w:rsidRPr="007627E1">
          <w:rPr>
            <w:rStyle w:val="Hyperlink"/>
          </w:rPr>
          <w:t>Ramsay Review</w:t>
        </w:r>
        <w:r w:rsidR="00480A74">
          <w:rPr>
            <w:webHidden/>
          </w:rPr>
          <w:tab/>
        </w:r>
        <w:r w:rsidR="00480A74">
          <w:rPr>
            <w:webHidden/>
          </w:rPr>
          <w:fldChar w:fldCharType="begin"/>
        </w:r>
        <w:r w:rsidR="00480A74">
          <w:rPr>
            <w:webHidden/>
          </w:rPr>
          <w:instrText xml:space="preserve"> PAGEREF _Toc27650466 \h </w:instrText>
        </w:r>
        <w:r w:rsidR="00480A74">
          <w:rPr>
            <w:webHidden/>
          </w:rPr>
        </w:r>
        <w:r w:rsidR="00480A74">
          <w:rPr>
            <w:webHidden/>
          </w:rPr>
          <w:fldChar w:fldCharType="separate"/>
        </w:r>
        <w:r>
          <w:rPr>
            <w:webHidden/>
          </w:rPr>
          <w:t>3</w:t>
        </w:r>
        <w:r w:rsidR="00480A74">
          <w:rPr>
            <w:webHidden/>
          </w:rPr>
          <w:fldChar w:fldCharType="end"/>
        </w:r>
      </w:hyperlink>
    </w:p>
    <w:p w14:paraId="6921FE2E" w14:textId="6B588254" w:rsidR="00480A74" w:rsidRDefault="004D0E4D">
      <w:pPr>
        <w:pStyle w:val="TOC3"/>
        <w:rPr>
          <w:rFonts w:asciiTheme="minorHAnsi" w:eastAsiaTheme="minorEastAsia" w:hAnsiTheme="minorHAnsi" w:cstheme="minorBidi"/>
          <w:color w:val="auto"/>
          <w:szCs w:val="22"/>
        </w:rPr>
      </w:pPr>
      <w:hyperlink w:anchor="_Toc27650467" w:history="1">
        <w:r w:rsidR="00480A74" w:rsidRPr="007627E1">
          <w:rPr>
            <w:rStyle w:val="Hyperlink"/>
          </w:rPr>
          <w:t>Royal Commission</w:t>
        </w:r>
        <w:r w:rsidR="00480A74">
          <w:rPr>
            <w:webHidden/>
          </w:rPr>
          <w:tab/>
        </w:r>
        <w:r w:rsidR="00480A74">
          <w:rPr>
            <w:webHidden/>
          </w:rPr>
          <w:fldChar w:fldCharType="begin"/>
        </w:r>
        <w:r w:rsidR="00480A74">
          <w:rPr>
            <w:webHidden/>
          </w:rPr>
          <w:instrText xml:space="preserve"> PAGEREF _Toc27650467 \h </w:instrText>
        </w:r>
        <w:r w:rsidR="00480A74">
          <w:rPr>
            <w:webHidden/>
          </w:rPr>
        </w:r>
        <w:r w:rsidR="00480A74">
          <w:rPr>
            <w:webHidden/>
          </w:rPr>
          <w:fldChar w:fldCharType="separate"/>
        </w:r>
        <w:r>
          <w:rPr>
            <w:webHidden/>
          </w:rPr>
          <w:t>4</w:t>
        </w:r>
        <w:r w:rsidR="00480A74">
          <w:rPr>
            <w:webHidden/>
          </w:rPr>
          <w:fldChar w:fldCharType="end"/>
        </w:r>
      </w:hyperlink>
    </w:p>
    <w:p w14:paraId="58212CEF" w14:textId="16213580" w:rsidR="00480A74" w:rsidRDefault="004D0E4D">
      <w:pPr>
        <w:pStyle w:val="TOC3"/>
        <w:rPr>
          <w:rFonts w:asciiTheme="minorHAnsi" w:eastAsiaTheme="minorEastAsia" w:hAnsiTheme="minorHAnsi" w:cstheme="minorBidi"/>
          <w:color w:val="auto"/>
          <w:szCs w:val="22"/>
        </w:rPr>
      </w:pPr>
      <w:hyperlink w:anchor="_Toc27650468" w:history="1">
        <w:r w:rsidR="00480A74" w:rsidRPr="007627E1">
          <w:rPr>
            <w:rStyle w:val="Hyperlink"/>
          </w:rPr>
          <w:t>Government Response</w:t>
        </w:r>
        <w:r w:rsidR="00480A74">
          <w:rPr>
            <w:webHidden/>
          </w:rPr>
          <w:tab/>
        </w:r>
        <w:r w:rsidR="00480A74">
          <w:rPr>
            <w:webHidden/>
          </w:rPr>
          <w:fldChar w:fldCharType="begin"/>
        </w:r>
        <w:r w:rsidR="00480A74">
          <w:rPr>
            <w:webHidden/>
          </w:rPr>
          <w:instrText xml:space="preserve"> PAGEREF _Toc27650468 \h </w:instrText>
        </w:r>
        <w:r w:rsidR="00480A74">
          <w:rPr>
            <w:webHidden/>
          </w:rPr>
        </w:r>
        <w:r w:rsidR="00480A74">
          <w:rPr>
            <w:webHidden/>
          </w:rPr>
          <w:fldChar w:fldCharType="separate"/>
        </w:r>
        <w:r>
          <w:rPr>
            <w:webHidden/>
          </w:rPr>
          <w:t>4</w:t>
        </w:r>
        <w:r w:rsidR="00480A74">
          <w:rPr>
            <w:webHidden/>
          </w:rPr>
          <w:fldChar w:fldCharType="end"/>
        </w:r>
      </w:hyperlink>
    </w:p>
    <w:p w14:paraId="0BC5C131" w14:textId="7B460988" w:rsidR="00480A74" w:rsidRDefault="004D0E4D">
      <w:pPr>
        <w:pStyle w:val="TOC3"/>
        <w:rPr>
          <w:rFonts w:asciiTheme="minorHAnsi" w:eastAsiaTheme="minorEastAsia" w:hAnsiTheme="minorHAnsi" w:cstheme="minorBidi"/>
          <w:color w:val="auto"/>
          <w:szCs w:val="22"/>
        </w:rPr>
      </w:pPr>
      <w:hyperlink w:anchor="_Toc27650469" w:history="1">
        <w:r w:rsidR="00480A74" w:rsidRPr="007627E1">
          <w:rPr>
            <w:rStyle w:val="Hyperlink"/>
          </w:rPr>
          <w:t>Unpaid determinations</w:t>
        </w:r>
        <w:r w:rsidR="00480A74">
          <w:rPr>
            <w:webHidden/>
          </w:rPr>
          <w:tab/>
        </w:r>
        <w:r w:rsidR="00480A74">
          <w:rPr>
            <w:webHidden/>
          </w:rPr>
          <w:fldChar w:fldCharType="begin"/>
        </w:r>
        <w:r w:rsidR="00480A74">
          <w:rPr>
            <w:webHidden/>
          </w:rPr>
          <w:instrText xml:space="preserve"> PAGEREF _Toc27650469 \h </w:instrText>
        </w:r>
        <w:r w:rsidR="00480A74">
          <w:rPr>
            <w:webHidden/>
          </w:rPr>
        </w:r>
        <w:r w:rsidR="00480A74">
          <w:rPr>
            <w:webHidden/>
          </w:rPr>
          <w:fldChar w:fldCharType="separate"/>
        </w:r>
        <w:r>
          <w:rPr>
            <w:webHidden/>
          </w:rPr>
          <w:t>4</w:t>
        </w:r>
        <w:r w:rsidR="00480A74">
          <w:rPr>
            <w:webHidden/>
          </w:rPr>
          <w:fldChar w:fldCharType="end"/>
        </w:r>
      </w:hyperlink>
    </w:p>
    <w:p w14:paraId="3C912BA6" w14:textId="53137A31" w:rsidR="00480A74" w:rsidRDefault="004D0E4D">
      <w:pPr>
        <w:pStyle w:val="TOC1"/>
        <w:rPr>
          <w:rFonts w:asciiTheme="minorHAnsi" w:eastAsiaTheme="minorEastAsia" w:hAnsiTheme="minorHAnsi" w:cstheme="minorBidi"/>
          <w:b w:val="0"/>
          <w:color w:val="auto"/>
        </w:rPr>
      </w:pPr>
      <w:hyperlink w:anchor="_Toc27650470" w:history="1">
        <w:r w:rsidR="00480A74" w:rsidRPr="007627E1">
          <w:rPr>
            <w:rStyle w:val="Hyperlink"/>
          </w:rPr>
          <w:t>Coverage, beyond personal advice</w:t>
        </w:r>
        <w:r w:rsidR="00480A74">
          <w:rPr>
            <w:webHidden/>
          </w:rPr>
          <w:tab/>
        </w:r>
        <w:r w:rsidR="00480A74">
          <w:rPr>
            <w:webHidden/>
          </w:rPr>
          <w:fldChar w:fldCharType="begin"/>
        </w:r>
        <w:r w:rsidR="00480A74">
          <w:rPr>
            <w:webHidden/>
          </w:rPr>
          <w:instrText xml:space="preserve"> PAGEREF _Toc27650470 \h </w:instrText>
        </w:r>
        <w:r w:rsidR="00480A74">
          <w:rPr>
            <w:webHidden/>
          </w:rPr>
        </w:r>
        <w:r w:rsidR="00480A74">
          <w:rPr>
            <w:webHidden/>
          </w:rPr>
          <w:fldChar w:fldCharType="separate"/>
        </w:r>
        <w:r>
          <w:rPr>
            <w:webHidden/>
          </w:rPr>
          <w:t>6</w:t>
        </w:r>
        <w:r w:rsidR="00480A74">
          <w:rPr>
            <w:webHidden/>
          </w:rPr>
          <w:fldChar w:fldCharType="end"/>
        </w:r>
      </w:hyperlink>
    </w:p>
    <w:p w14:paraId="284457A6" w14:textId="77D7CBBC" w:rsidR="00480A74" w:rsidRDefault="004D0E4D">
      <w:pPr>
        <w:pStyle w:val="TOC2"/>
        <w:rPr>
          <w:rFonts w:asciiTheme="minorHAnsi" w:eastAsiaTheme="minorEastAsia" w:hAnsiTheme="minorHAnsi" w:cstheme="minorBidi"/>
          <w:color w:val="auto"/>
          <w:szCs w:val="22"/>
        </w:rPr>
      </w:pPr>
      <w:hyperlink w:anchor="_Toc27650471" w:history="1">
        <w:r w:rsidR="00480A74" w:rsidRPr="007627E1">
          <w:rPr>
            <w:rStyle w:val="Hyperlink"/>
          </w:rPr>
          <w:t>Issue</w:t>
        </w:r>
        <w:r w:rsidR="00480A74">
          <w:rPr>
            <w:webHidden/>
          </w:rPr>
          <w:tab/>
        </w:r>
        <w:r w:rsidR="00480A74">
          <w:rPr>
            <w:webHidden/>
          </w:rPr>
          <w:fldChar w:fldCharType="begin"/>
        </w:r>
        <w:r w:rsidR="00480A74">
          <w:rPr>
            <w:webHidden/>
          </w:rPr>
          <w:instrText xml:space="preserve"> PAGEREF _Toc27650471 \h </w:instrText>
        </w:r>
        <w:r w:rsidR="00480A74">
          <w:rPr>
            <w:webHidden/>
          </w:rPr>
        </w:r>
        <w:r w:rsidR="00480A74">
          <w:rPr>
            <w:webHidden/>
          </w:rPr>
          <w:fldChar w:fldCharType="separate"/>
        </w:r>
        <w:r>
          <w:rPr>
            <w:webHidden/>
          </w:rPr>
          <w:t>6</w:t>
        </w:r>
        <w:r w:rsidR="00480A74">
          <w:rPr>
            <w:webHidden/>
          </w:rPr>
          <w:fldChar w:fldCharType="end"/>
        </w:r>
      </w:hyperlink>
    </w:p>
    <w:p w14:paraId="60E334B3" w14:textId="5629DA88" w:rsidR="00480A74" w:rsidRDefault="004D0E4D">
      <w:pPr>
        <w:pStyle w:val="TOC2"/>
        <w:rPr>
          <w:rFonts w:asciiTheme="minorHAnsi" w:eastAsiaTheme="minorEastAsia" w:hAnsiTheme="minorHAnsi" w:cstheme="minorBidi"/>
          <w:color w:val="auto"/>
          <w:szCs w:val="22"/>
        </w:rPr>
      </w:pPr>
      <w:hyperlink w:anchor="_Toc27650472" w:history="1">
        <w:r w:rsidR="00480A74" w:rsidRPr="007627E1">
          <w:rPr>
            <w:rStyle w:val="Hyperlink"/>
          </w:rPr>
          <w:t>Considerations</w:t>
        </w:r>
        <w:r w:rsidR="00480A74">
          <w:rPr>
            <w:webHidden/>
          </w:rPr>
          <w:tab/>
        </w:r>
        <w:r w:rsidR="00480A74">
          <w:rPr>
            <w:webHidden/>
          </w:rPr>
          <w:fldChar w:fldCharType="begin"/>
        </w:r>
        <w:r w:rsidR="00480A74">
          <w:rPr>
            <w:webHidden/>
          </w:rPr>
          <w:instrText xml:space="preserve"> PAGEREF _Toc27650472 \h </w:instrText>
        </w:r>
        <w:r w:rsidR="00480A74">
          <w:rPr>
            <w:webHidden/>
          </w:rPr>
        </w:r>
        <w:r w:rsidR="00480A74">
          <w:rPr>
            <w:webHidden/>
          </w:rPr>
          <w:fldChar w:fldCharType="separate"/>
        </w:r>
        <w:r>
          <w:rPr>
            <w:webHidden/>
          </w:rPr>
          <w:t>6</w:t>
        </w:r>
        <w:r w:rsidR="00480A74">
          <w:rPr>
            <w:webHidden/>
          </w:rPr>
          <w:fldChar w:fldCharType="end"/>
        </w:r>
      </w:hyperlink>
    </w:p>
    <w:p w14:paraId="0769961D" w14:textId="21375D3B" w:rsidR="00480A74" w:rsidRDefault="004D0E4D">
      <w:pPr>
        <w:pStyle w:val="TOC2"/>
        <w:rPr>
          <w:rFonts w:asciiTheme="minorHAnsi" w:eastAsiaTheme="minorEastAsia" w:hAnsiTheme="minorHAnsi" w:cstheme="minorBidi"/>
          <w:color w:val="auto"/>
          <w:szCs w:val="22"/>
        </w:rPr>
      </w:pPr>
      <w:hyperlink w:anchor="_Toc27650473" w:history="1">
        <w:r w:rsidR="00480A74" w:rsidRPr="007627E1">
          <w:rPr>
            <w:rStyle w:val="Hyperlink"/>
          </w:rPr>
          <w:t>Discussion items</w:t>
        </w:r>
        <w:r w:rsidR="00480A74">
          <w:rPr>
            <w:webHidden/>
          </w:rPr>
          <w:tab/>
        </w:r>
        <w:r w:rsidR="00480A74">
          <w:rPr>
            <w:webHidden/>
          </w:rPr>
          <w:fldChar w:fldCharType="begin"/>
        </w:r>
        <w:r w:rsidR="00480A74">
          <w:rPr>
            <w:webHidden/>
          </w:rPr>
          <w:instrText xml:space="preserve"> PAGEREF _Toc27650473 \h </w:instrText>
        </w:r>
        <w:r w:rsidR="00480A74">
          <w:rPr>
            <w:webHidden/>
          </w:rPr>
        </w:r>
        <w:r w:rsidR="00480A74">
          <w:rPr>
            <w:webHidden/>
          </w:rPr>
          <w:fldChar w:fldCharType="separate"/>
        </w:r>
        <w:r>
          <w:rPr>
            <w:webHidden/>
          </w:rPr>
          <w:t>7</w:t>
        </w:r>
        <w:r w:rsidR="00480A74">
          <w:rPr>
            <w:webHidden/>
          </w:rPr>
          <w:fldChar w:fldCharType="end"/>
        </w:r>
      </w:hyperlink>
    </w:p>
    <w:p w14:paraId="78B09D44" w14:textId="29DCA127" w:rsidR="00480A74" w:rsidRDefault="004D0E4D">
      <w:pPr>
        <w:pStyle w:val="TOC3"/>
        <w:rPr>
          <w:rFonts w:asciiTheme="minorHAnsi" w:eastAsiaTheme="minorEastAsia" w:hAnsiTheme="minorHAnsi" w:cstheme="minorBidi"/>
          <w:color w:val="auto"/>
          <w:szCs w:val="22"/>
        </w:rPr>
      </w:pPr>
      <w:hyperlink w:anchor="_Toc27650474" w:history="1">
        <w:r w:rsidR="00480A74" w:rsidRPr="007627E1">
          <w:rPr>
            <w:rStyle w:val="Hyperlink"/>
          </w:rPr>
          <w:t>What is the appropriate coverage for the CSLR, beyond the provision of personal advice?</w:t>
        </w:r>
        <w:r w:rsidR="00480A74">
          <w:rPr>
            <w:webHidden/>
          </w:rPr>
          <w:tab/>
        </w:r>
        <w:r w:rsidR="00480A74">
          <w:rPr>
            <w:webHidden/>
          </w:rPr>
          <w:fldChar w:fldCharType="begin"/>
        </w:r>
        <w:r w:rsidR="00480A74">
          <w:rPr>
            <w:webHidden/>
          </w:rPr>
          <w:instrText xml:space="preserve"> PAGEREF _Toc27650474 \h </w:instrText>
        </w:r>
        <w:r w:rsidR="00480A74">
          <w:rPr>
            <w:webHidden/>
          </w:rPr>
        </w:r>
        <w:r w:rsidR="00480A74">
          <w:rPr>
            <w:webHidden/>
          </w:rPr>
          <w:fldChar w:fldCharType="separate"/>
        </w:r>
        <w:r>
          <w:rPr>
            <w:webHidden/>
          </w:rPr>
          <w:t>7</w:t>
        </w:r>
        <w:r w:rsidR="00480A74">
          <w:rPr>
            <w:webHidden/>
          </w:rPr>
          <w:fldChar w:fldCharType="end"/>
        </w:r>
      </w:hyperlink>
    </w:p>
    <w:p w14:paraId="2A8E2587" w14:textId="30B2F8D0" w:rsidR="00480A74" w:rsidRDefault="004D0E4D">
      <w:pPr>
        <w:pStyle w:val="TOC1"/>
        <w:rPr>
          <w:rFonts w:asciiTheme="minorHAnsi" w:eastAsiaTheme="minorEastAsia" w:hAnsiTheme="minorHAnsi" w:cstheme="minorBidi"/>
          <w:b w:val="0"/>
          <w:color w:val="auto"/>
        </w:rPr>
      </w:pPr>
      <w:hyperlink w:anchor="_Toc27650475" w:history="1">
        <w:r w:rsidR="00480A74" w:rsidRPr="007627E1">
          <w:rPr>
            <w:rStyle w:val="Hyperlink"/>
          </w:rPr>
          <w:t>Funding arrangements</w:t>
        </w:r>
        <w:r w:rsidR="00480A74">
          <w:rPr>
            <w:webHidden/>
          </w:rPr>
          <w:tab/>
        </w:r>
        <w:r w:rsidR="00480A74">
          <w:rPr>
            <w:webHidden/>
          </w:rPr>
          <w:fldChar w:fldCharType="begin"/>
        </w:r>
        <w:r w:rsidR="00480A74">
          <w:rPr>
            <w:webHidden/>
          </w:rPr>
          <w:instrText xml:space="preserve"> PAGEREF _Toc27650475 \h </w:instrText>
        </w:r>
        <w:r w:rsidR="00480A74">
          <w:rPr>
            <w:webHidden/>
          </w:rPr>
        </w:r>
        <w:r w:rsidR="00480A74">
          <w:rPr>
            <w:webHidden/>
          </w:rPr>
          <w:fldChar w:fldCharType="separate"/>
        </w:r>
        <w:r>
          <w:rPr>
            <w:webHidden/>
          </w:rPr>
          <w:t>10</w:t>
        </w:r>
        <w:r w:rsidR="00480A74">
          <w:rPr>
            <w:webHidden/>
          </w:rPr>
          <w:fldChar w:fldCharType="end"/>
        </w:r>
      </w:hyperlink>
    </w:p>
    <w:p w14:paraId="2A426E35" w14:textId="096F4F91" w:rsidR="00480A74" w:rsidRDefault="004D0E4D">
      <w:pPr>
        <w:pStyle w:val="TOC2"/>
        <w:rPr>
          <w:rFonts w:asciiTheme="minorHAnsi" w:eastAsiaTheme="minorEastAsia" w:hAnsiTheme="minorHAnsi" w:cstheme="minorBidi"/>
          <w:color w:val="auto"/>
          <w:szCs w:val="22"/>
        </w:rPr>
      </w:pPr>
      <w:hyperlink w:anchor="_Toc27650476" w:history="1">
        <w:r w:rsidR="00480A74" w:rsidRPr="007627E1">
          <w:rPr>
            <w:rStyle w:val="Hyperlink"/>
          </w:rPr>
          <w:t>Issue</w:t>
        </w:r>
        <w:r w:rsidR="00480A74">
          <w:rPr>
            <w:webHidden/>
          </w:rPr>
          <w:tab/>
        </w:r>
        <w:r w:rsidR="00480A74">
          <w:rPr>
            <w:webHidden/>
          </w:rPr>
          <w:fldChar w:fldCharType="begin"/>
        </w:r>
        <w:r w:rsidR="00480A74">
          <w:rPr>
            <w:webHidden/>
          </w:rPr>
          <w:instrText xml:space="preserve"> PAGEREF _Toc27650476 \h </w:instrText>
        </w:r>
        <w:r w:rsidR="00480A74">
          <w:rPr>
            <w:webHidden/>
          </w:rPr>
        </w:r>
        <w:r w:rsidR="00480A74">
          <w:rPr>
            <w:webHidden/>
          </w:rPr>
          <w:fldChar w:fldCharType="separate"/>
        </w:r>
        <w:r>
          <w:rPr>
            <w:webHidden/>
          </w:rPr>
          <w:t>10</w:t>
        </w:r>
        <w:r w:rsidR="00480A74">
          <w:rPr>
            <w:webHidden/>
          </w:rPr>
          <w:fldChar w:fldCharType="end"/>
        </w:r>
      </w:hyperlink>
    </w:p>
    <w:p w14:paraId="518AA9A4" w14:textId="62D2C396" w:rsidR="00480A74" w:rsidRDefault="004D0E4D">
      <w:pPr>
        <w:pStyle w:val="TOC2"/>
        <w:rPr>
          <w:rFonts w:asciiTheme="minorHAnsi" w:eastAsiaTheme="minorEastAsia" w:hAnsiTheme="minorHAnsi" w:cstheme="minorBidi"/>
          <w:color w:val="auto"/>
          <w:szCs w:val="22"/>
        </w:rPr>
      </w:pPr>
      <w:hyperlink w:anchor="_Toc27650477" w:history="1">
        <w:r w:rsidR="00480A74" w:rsidRPr="007627E1">
          <w:rPr>
            <w:rStyle w:val="Hyperlink"/>
          </w:rPr>
          <w:t>Considerations</w:t>
        </w:r>
        <w:r w:rsidR="00480A74">
          <w:rPr>
            <w:webHidden/>
          </w:rPr>
          <w:tab/>
        </w:r>
        <w:r w:rsidR="00480A74">
          <w:rPr>
            <w:webHidden/>
          </w:rPr>
          <w:fldChar w:fldCharType="begin"/>
        </w:r>
        <w:r w:rsidR="00480A74">
          <w:rPr>
            <w:webHidden/>
          </w:rPr>
          <w:instrText xml:space="preserve"> PAGEREF _Toc27650477 \h </w:instrText>
        </w:r>
        <w:r w:rsidR="00480A74">
          <w:rPr>
            <w:webHidden/>
          </w:rPr>
        </w:r>
        <w:r w:rsidR="00480A74">
          <w:rPr>
            <w:webHidden/>
          </w:rPr>
          <w:fldChar w:fldCharType="separate"/>
        </w:r>
        <w:r>
          <w:rPr>
            <w:webHidden/>
          </w:rPr>
          <w:t>10</w:t>
        </w:r>
        <w:r w:rsidR="00480A74">
          <w:rPr>
            <w:webHidden/>
          </w:rPr>
          <w:fldChar w:fldCharType="end"/>
        </w:r>
      </w:hyperlink>
    </w:p>
    <w:p w14:paraId="4F9ACFDE" w14:textId="0421F30A" w:rsidR="00480A74" w:rsidRDefault="004D0E4D">
      <w:pPr>
        <w:pStyle w:val="TOC2"/>
        <w:rPr>
          <w:rFonts w:asciiTheme="minorHAnsi" w:eastAsiaTheme="minorEastAsia" w:hAnsiTheme="minorHAnsi" w:cstheme="minorBidi"/>
          <w:color w:val="auto"/>
          <w:szCs w:val="22"/>
        </w:rPr>
      </w:pPr>
      <w:hyperlink w:anchor="_Toc27650478" w:history="1">
        <w:r w:rsidR="00480A74" w:rsidRPr="007627E1">
          <w:rPr>
            <w:rStyle w:val="Hyperlink"/>
          </w:rPr>
          <w:t>Discussion items</w:t>
        </w:r>
        <w:r w:rsidR="00480A74">
          <w:rPr>
            <w:webHidden/>
          </w:rPr>
          <w:tab/>
        </w:r>
        <w:r w:rsidR="00480A74">
          <w:rPr>
            <w:webHidden/>
          </w:rPr>
          <w:fldChar w:fldCharType="begin"/>
        </w:r>
        <w:r w:rsidR="00480A74">
          <w:rPr>
            <w:webHidden/>
          </w:rPr>
          <w:instrText xml:space="preserve"> PAGEREF _Toc27650478 \h </w:instrText>
        </w:r>
        <w:r w:rsidR="00480A74">
          <w:rPr>
            <w:webHidden/>
          </w:rPr>
        </w:r>
        <w:r w:rsidR="00480A74">
          <w:rPr>
            <w:webHidden/>
          </w:rPr>
          <w:fldChar w:fldCharType="separate"/>
        </w:r>
        <w:r>
          <w:rPr>
            <w:webHidden/>
          </w:rPr>
          <w:t>11</w:t>
        </w:r>
        <w:r w:rsidR="00480A74">
          <w:rPr>
            <w:webHidden/>
          </w:rPr>
          <w:fldChar w:fldCharType="end"/>
        </w:r>
      </w:hyperlink>
    </w:p>
    <w:p w14:paraId="012568F2" w14:textId="5C9918E9" w:rsidR="00480A74" w:rsidRDefault="004D0E4D">
      <w:pPr>
        <w:pStyle w:val="TOC3"/>
        <w:rPr>
          <w:rFonts w:asciiTheme="minorHAnsi" w:eastAsiaTheme="minorEastAsia" w:hAnsiTheme="minorHAnsi" w:cstheme="minorBidi"/>
          <w:color w:val="auto"/>
          <w:szCs w:val="22"/>
        </w:rPr>
      </w:pPr>
      <w:hyperlink w:anchor="_Toc27650479" w:history="1">
        <w:r w:rsidR="00480A74" w:rsidRPr="007627E1">
          <w:rPr>
            <w:rStyle w:val="Hyperlink"/>
          </w:rPr>
          <w:t>To what extent should the funding model be based on risk?</w:t>
        </w:r>
        <w:r w:rsidR="00480A74">
          <w:rPr>
            <w:webHidden/>
          </w:rPr>
          <w:tab/>
        </w:r>
        <w:r w:rsidR="00480A74">
          <w:rPr>
            <w:webHidden/>
          </w:rPr>
          <w:fldChar w:fldCharType="begin"/>
        </w:r>
        <w:r w:rsidR="00480A74">
          <w:rPr>
            <w:webHidden/>
          </w:rPr>
          <w:instrText xml:space="preserve"> PAGEREF _Toc27650479 \h </w:instrText>
        </w:r>
        <w:r w:rsidR="00480A74">
          <w:rPr>
            <w:webHidden/>
          </w:rPr>
        </w:r>
        <w:r w:rsidR="00480A74">
          <w:rPr>
            <w:webHidden/>
          </w:rPr>
          <w:fldChar w:fldCharType="separate"/>
        </w:r>
        <w:r>
          <w:rPr>
            <w:webHidden/>
          </w:rPr>
          <w:t>11</w:t>
        </w:r>
        <w:r w:rsidR="00480A74">
          <w:rPr>
            <w:webHidden/>
          </w:rPr>
          <w:fldChar w:fldCharType="end"/>
        </w:r>
      </w:hyperlink>
    </w:p>
    <w:p w14:paraId="1337B19B" w14:textId="33F11196" w:rsidR="00480A74" w:rsidRDefault="004D0E4D">
      <w:pPr>
        <w:pStyle w:val="TOC3"/>
        <w:rPr>
          <w:rFonts w:asciiTheme="minorHAnsi" w:eastAsiaTheme="minorEastAsia" w:hAnsiTheme="minorHAnsi" w:cstheme="minorBidi"/>
          <w:color w:val="auto"/>
          <w:szCs w:val="22"/>
        </w:rPr>
      </w:pPr>
      <w:hyperlink w:anchor="_Toc27650480" w:history="1">
        <w:r w:rsidR="00480A74" w:rsidRPr="007627E1">
          <w:rPr>
            <w:rStyle w:val="Hyperlink"/>
          </w:rPr>
          <w:t>To what extent should the funding model be based on a firm’s ability to pay?</w:t>
        </w:r>
        <w:r w:rsidR="00480A74">
          <w:rPr>
            <w:webHidden/>
          </w:rPr>
          <w:tab/>
        </w:r>
        <w:r w:rsidR="00480A74">
          <w:rPr>
            <w:webHidden/>
          </w:rPr>
          <w:fldChar w:fldCharType="begin"/>
        </w:r>
        <w:r w:rsidR="00480A74">
          <w:rPr>
            <w:webHidden/>
          </w:rPr>
          <w:instrText xml:space="preserve"> PAGEREF _Toc27650480 \h </w:instrText>
        </w:r>
        <w:r w:rsidR="00480A74">
          <w:rPr>
            <w:webHidden/>
          </w:rPr>
        </w:r>
        <w:r w:rsidR="00480A74">
          <w:rPr>
            <w:webHidden/>
          </w:rPr>
          <w:fldChar w:fldCharType="separate"/>
        </w:r>
        <w:r>
          <w:rPr>
            <w:webHidden/>
          </w:rPr>
          <w:t>12</w:t>
        </w:r>
        <w:r w:rsidR="00480A74">
          <w:rPr>
            <w:webHidden/>
          </w:rPr>
          <w:fldChar w:fldCharType="end"/>
        </w:r>
      </w:hyperlink>
    </w:p>
    <w:p w14:paraId="5AA548CC" w14:textId="072704B8" w:rsidR="00480A74" w:rsidRDefault="004D0E4D">
      <w:pPr>
        <w:pStyle w:val="TOC3"/>
        <w:rPr>
          <w:rFonts w:asciiTheme="minorHAnsi" w:eastAsiaTheme="minorEastAsia" w:hAnsiTheme="minorHAnsi" w:cstheme="minorBidi"/>
          <w:color w:val="auto"/>
          <w:szCs w:val="22"/>
        </w:rPr>
      </w:pPr>
      <w:hyperlink w:anchor="_Toc27650481" w:history="1">
        <w:r w:rsidR="00480A74" w:rsidRPr="007627E1">
          <w:rPr>
            <w:rStyle w:val="Hyperlink"/>
          </w:rPr>
          <w:t>How should the</w:t>
        </w:r>
        <w:bookmarkStart w:id="8" w:name="_GoBack"/>
        <w:bookmarkEnd w:id="8"/>
        <w:r w:rsidR="00480A74" w:rsidRPr="007627E1">
          <w:rPr>
            <w:rStyle w:val="Hyperlink"/>
          </w:rPr>
          <w:t xml:space="preserve"> funding model address unexpected costs?</w:t>
        </w:r>
        <w:r w:rsidR="00480A74">
          <w:rPr>
            <w:webHidden/>
          </w:rPr>
          <w:tab/>
        </w:r>
        <w:r w:rsidR="00480A74">
          <w:rPr>
            <w:webHidden/>
          </w:rPr>
          <w:fldChar w:fldCharType="begin"/>
        </w:r>
        <w:r w:rsidR="00480A74">
          <w:rPr>
            <w:webHidden/>
          </w:rPr>
          <w:instrText xml:space="preserve"> PAGEREF _Toc27650481 \h </w:instrText>
        </w:r>
        <w:r w:rsidR="00480A74">
          <w:rPr>
            <w:webHidden/>
          </w:rPr>
        </w:r>
        <w:r w:rsidR="00480A74">
          <w:rPr>
            <w:webHidden/>
          </w:rPr>
          <w:fldChar w:fldCharType="separate"/>
        </w:r>
        <w:r>
          <w:rPr>
            <w:webHidden/>
          </w:rPr>
          <w:t>13</w:t>
        </w:r>
        <w:r w:rsidR="00480A74">
          <w:rPr>
            <w:webHidden/>
          </w:rPr>
          <w:fldChar w:fldCharType="end"/>
        </w:r>
      </w:hyperlink>
    </w:p>
    <w:p w14:paraId="11E69603" w14:textId="0607ABE8" w:rsidR="00480A74" w:rsidRDefault="004D0E4D">
      <w:pPr>
        <w:pStyle w:val="TOC3"/>
        <w:rPr>
          <w:rFonts w:asciiTheme="minorHAnsi" w:eastAsiaTheme="minorEastAsia" w:hAnsiTheme="minorHAnsi" w:cstheme="minorBidi"/>
          <w:color w:val="auto"/>
          <w:szCs w:val="22"/>
        </w:rPr>
      </w:pPr>
      <w:hyperlink w:anchor="_Toc27650482" w:history="1">
        <w:r w:rsidR="00480A74" w:rsidRPr="007627E1">
          <w:rPr>
            <w:rStyle w:val="Hyperlink"/>
          </w:rPr>
          <w:t>How should the funding model promote sustainability and affordability?</w:t>
        </w:r>
        <w:r w:rsidR="00480A74">
          <w:rPr>
            <w:webHidden/>
          </w:rPr>
          <w:tab/>
        </w:r>
        <w:r w:rsidR="00480A74">
          <w:rPr>
            <w:webHidden/>
          </w:rPr>
          <w:fldChar w:fldCharType="begin"/>
        </w:r>
        <w:r w:rsidR="00480A74">
          <w:rPr>
            <w:webHidden/>
          </w:rPr>
          <w:instrText xml:space="preserve"> PAGEREF _Toc27650482 \h </w:instrText>
        </w:r>
        <w:r w:rsidR="00480A74">
          <w:rPr>
            <w:webHidden/>
          </w:rPr>
        </w:r>
        <w:r w:rsidR="00480A74">
          <w:rPr>
            <w:webHidden/>
          </w:rPr>
          <w:fldChar w:fldCharType="separate"/>
        </w:r>
        <w:r>
          <w:rPr>
            <w:webHidden/>
          </w:rPr>
          <w:t>14</w:t>
        </w:r>
        <w:r w:rsidR="00480A74">
          <w:rPr>
            <w:webHidden/>
          </w:rPr>
          <w:fldChar w:fldCharType="end"/>
        </w:r>
      </w:hyperlink>
    </w:p>
    <w:p w14:paraId="5615AF6E" w14:textId="0D543462" w:rsidR="00480A74" w:rsidRDefault="004D0E4D">
      <w:pPr>
        <w:pStyle w:val="TOC1"/>
        <w:rPr>
          <w:rFonts w:asciiTheme="minorHAnsi" w:eastAsiaTheme="minorEastAsia" w:hAnsiTheme="minorHAnsi" w:cstheme="minorBidi"/>
          <w:b w:val="0"/>
          <w:color w:val="auto"/>
        </w:rPr>
      </w:pPr>
      <w:hyperlink w:anchor="_Toc27650483" w:history="1">
        <w:r w:rsidR="00480A74" w:rsidRPr="007627E1">
          <w:rPr>
            <w:rStyle w:val="Hyperlink"/>
          </w:rPr>
          <w:t>Compensation to be paid</w:t>
        </w:r>
        <w:r w:rsidR="00480A74">
          <w:rPr>
            <w:webHidden/>
          </w:rPr>
          <w:tab/>
        </w:r>
        <w:r w:rsidR="00480A74">
          <w:rPr>
            <w:webHidden/>
          </w:rPr>
          <w:fldChar w:fldCharType="begin"/>
        </w:r>
        <w:r w:rsidR="00480A74">
          <w:rPr>
            <w:webHidden/>
          </w:rPr>
          <w:instrText xml:space="preserve"> PAGEREF _Toc27650483 \h </w:instrText>
        </w:r>
        <w:r w:rsidR="00480A74">
          <w:rPr>
            <w:webHidden/>
          </w:rPr>
        </w:r>
        <w:r w:rsidR="00480A74">
          <w:rPr>
            <w:webHidden/>
          </w:rPr>
          <w:fldChar w:fldCharType="separate"/>
        </w:r>
        <w:r>
          <w:rPr>
            <w:webHidden/>
          </w:rPr>
          <w:t>15</w:t>
        </w:r>
        <w:r w:rsidR="00480A74">
          <w:rPr>
            <w:webHidden/>
          </w:rPr>
          <w:fldChar w:fldCharType="end"/>
        </w:r>
      </w:hyperlink>
    </w:p>
    <w:p w14:paraId="18F7ED99" w14:textId="0CB4E25A" w:rsidR="00480A74" w:rsidRDefault="004D0E4D">
      <w:pPr>
        <w:pStyle w:val="TOC2"/>
        <w:rPr>
          <w:rFonts w:asciiTheme="minorHAnsi" w:eastAsiaTheme="minorEastAsia" w:hAnsiTheme="minorHAnsi" w:cstheme="minorBidi"/>
          <w:color w:val="auto"/>
          <w:szCs w:val="22"/>
        </w:rPr>
      </w:pPr>
      <w:hyperlink w:anchor="_Toc27650484" w:history="1">
        <w:r w:rsidR="00480A74" w:rsidRPr="007627E1">
          <w:rPr>
            <w:rStyle w:val="Hyperlink"/>
          </w:rPr>
          <w:t>Issue</w:t>
        </w:r>
        <w:r w:rsidR="00480A74">
          <w:rPr>
            <w:webHidden/>
          </w:rPr>
          <w:tab/>
        </w:r>
        <w:r w:rsidR="00480A74">
          <w:rPr>
            <w:webHidden/>
          </w:rPr>
          <w:fldChar w:fldCharType="begin"/>
        </w:r>
        <w:r w:rsidR="00480A74">
          <w:rPr>
            <w:webHidden/>
          </w:rPr>
          <w:instrText xml:space="preserve"> PAGEREF _Toc27650484 \h </w:instrText>
        </w:r>
        <w:r w:rsidR="00480A74">
          <w:rPr>
            <w:webHidden/>
          </w:rPr>
        </w:r>
        <w:r w:rsidR="00480A74">
          <w:rPr>
            <w:webHidden/>
          </w:rPr>
          <w:fldChar w:fldCharType="separate"/>
        </w:r>
        <w:r>
          <w:rPr>
            <w:webHidden/>
          </w:rPr>
          <w:t>15</w:t>
        </w:r>
        <w:r w:rsidR="00480A74">
          <w:rPr>
            <w:webHidden/>
          </w:rPr>
          <w:fldChar w:fldCharType="end"/>
        </w:r>
      </w:hyperlink>
    </w:p>
    <w:p w14:paraId="7A62C9DD" w14:textId="5C4B296E" w:rsidR="00480A74" w:rsidRDefault="004D0E4D">
      <w:pPr>
        <w:pStyle w:val="TOC2"/>
        <w:rPr>
          <w:rFonts w:asciiTheme="minorHAnsi" w:eastAsiaTheme="minorEastAsia" w:hAnsiTheme="minorHAnsi" w:cstheme="minorBidi"/>
          <w:color w:val="auto"/>
          <w:szCs w:val="22"/>
        </w:rPr>
      </w:pPr>
      <w:hyperlink w:anchor="_Toc27650485" w:history="1">
        <w:r w:rsidR="00480A74" w:rsidRPr="007627E1">
          <w:rPr>
            <w:rStyle w:val="Hyperlink"/>
          </w:rPr>
          <w:t>Considerations</w:t>
        </w:r>
        <w:r w:rsidR="00480A74">
          <w:rPr>
            <w:webHidden/>
          </w:rPr>
          <w:tab/>
        </w:r>
        <w:r w:rsidR="00480A74">
          <w:rPr>
            <w:webHidden/>
          </w:rPr>
          <w:fldChar w:fldCharType="begin"/>
        </w:r>
        <w:r w:rsidR="00480A74">
          <w:rPr>
            <w:webHidden/>
          </w:rPr>
          <w:instrText xml:space="preserve"> PAGEREF _Toc27650485 \h </w:instrText>
        </w:r>
        <w:r w:rsidR="00480A74">
          <w:rPr>
            <w:webHidden/>
          </w:rPr>
        </w:r>
        <w:r w:rsidR="00480A74">
          <w:rPr>
            <w:webHidden/>
          </w:rPr>
          <w:fldChar w:fldCharType="separate"/>
        </w:r>
        <w:r>
          <w:rPr>
            <w:webHidden/>
          </w:rPr>
          <w:t>15</w:t>
        </w:r>
        <w:r w:rsidR="00480A74">
          <w:rPr>
            <w:webHidden/>
          </w:rPr>
          <w:fldChar w:fldCharType="end"/>
        </w:r>
      </w:hyperlink>
    </w:p>
    <w:p w14:paraId="3AE727D5" w14:textId="0DB641AF" w:rsidR="00480A74" w:rsidRDefault="004D0E4D">
      <w:pPr>
        <w:pStyle w:val="TOC2"/>
        <w:rPr>
          <w:rFonts w:asciiTheme="minorHAnsi" w:eastAsiaTheme="minorEastAsia" w:hAnsiTheme="minorHAnsi" w:cstheme="minorBidi"/>
          <w:color w:val="auto"/>
          <w:szCs w:val="22"/>
        </w:rPr>
      </w:pPr>
      <w:hyperlink w:anchor="_Toc27650486" w:history="1">
        <w:r w:rsidR="00480A74" w:rsidRPr="007627E1">
          <w:rPr>
            <w:rStyle w:val="Hyperlink"/>
          </w:rPr>
          <w:t>Discussion items</w:t>
        </w:r>
        <w:r w:rsidR="00480A74">
          <w:rPr>
            <w:webHidden/>
          </w:rPr>
          <w:tab/>
        </w:r>
        <w:r w:rsidR="00480A74">
          <w:rPr>
            <w:webHidden/>
          </w:rPr>
          <w:fldChar w:fldCharType="begin"/>
        </w:r>
        <w:r w:rsidR="00480A74">
          <w:rPr>
            <w:webHidden/>
          </w:rPr>
          <w:instrText xml:space="preserve"> PAGEREF _Toc27650486 \h </w:instrText>
        </w:r>
        <w:r w:rsidR="00480A74">
          <w:rPr>
            <w:webHidden/>
          </w:rPr>
        </w:r>
        <w:r w:rsidR="00480A74">
          <w:rPr>
            <w:webHidden/>
          </w:rPr>
          <w:fldChar w:fldCharType="separate"/>
        </w:r>
        <w:r>
          <w:rPr>
            <w:webHidden/>
          </w:rPr>
          <w:t>15</w:t>
        </w:r>
        <w:r w:rsidR="00480A74">
          <w:rPr>
            <w:webHidden/>
          </w:rPr>
          <w:fldChar w:fldCharType="end"/>
        </w:r>
      </w:hyperlink>
    </w:p>
    <w:p w14:paraId="50EFFCA8" w14:textId="1B429940" w:rsidR="00480A74" w:rsidRDefault="004D0E4D">
      <w:pPr>
        <w:pStyle w:val="TOC3"/>
        <w:rPr>
          <w:rFonts w:asciiTheme="minorHAnsi" w:eastAsiaTheme="minorEastAsia" w:hAnsiTheme="minorHAnsi" w:cstheme="minorBidi"/>
          <w:color w:val="auto"/>
          <w:szCs w:val="22"/>
        </w:rPr>
      </w:pPr>
      <w:hyperlink w:anchor="_Toc27650487" w:history="1">
        <w:r w:rsidR="00480A74" w:rsidRPr="007627E1">
          <w:rPr>
            <w:rStyle w:val="Hyperlink"/>
          </w:rPr>
          <w:t>How should compensation limits be used by the CSLR to balance the interests of consumers and those funding the scheme?</w:t>
        </w:r>
        <w:r w:rsidR="00480A74">
          <w:rPr>
            <w:webHidden/>
          </w:rPr>
          <w:tab/>
        </w:r>
        <w:r w:rsidR="00480A74">
          <w:rPr>
            <w:webHidden/>
          </w:rPr>
          <w:fldChar w:fldCharType="begin"/>
        </w:r>
        <w:r w:rsidR="00480A74">
          <w:rPr>
            <w:webHidden/>
          </w:rPr>
          <w:instrText xml:space="preserve"> PAGEREF _Toc27650487 \h </w:instrText>
        </w:r>
        <w:r w:rsidR="00480A74">
          <w:rPr>
            <w:webHidden/>
          </w:rPr>
        </w:r>
        <w:r w:rsidR="00480A74">
          <w:rPr>
            <w:webHidden/>
          </w:rPr>
          <w:fldChar w:fldCharType="separate"/>
        </w:r>
        <w:r>
          <w:rPr>
            <w:webHidden/>
          </w:rPr>
          <w:t>15</w:t>
        </w:r>
        <w:r w:rsidR="00480A74">
          <w:rPr>
            <w:webHidden/>
          </w:rPr>
          <w:fldChar w:fldCharType="end"/>
        </w:r>
      </w:hyperlink>
    </w:p>
    <w:p w14:paraId="21BC908D" w14:textId="4C3646BA" w:rsidR="00480A74" w:rsidRDefault="004D0E4D">
      <w:pPr>
        <w:pStyle w:val="TOC3"/>
        <w:rPr>
          <w:rFonts w:asciiTheme="minorHAnsi" w:eastAsiaTheme="minorEastAsia" w:hAnsiTheme="minorHAnsi" w:cstheme="minorBidi"/>
          <w:color w:val="auto"/>
          <w:szCs w:val="22"/>
        </w:rPr>
      </w:pPr>
      <w:hyperlink w:anchor="_Toc27650488" w:history="1">
        <w:r w:rsidR="00480A74" w:rsidRPr="007627E1">
          <w:rPr>
            <w:rStyle w:val="Hyperlink"/>
          </w:rPr>
          <w:t>How should the CSLR manage claims associated with large unexpected failures?</w:t>
        </w:r>
        <w:r w:rsidR="00480A74">
          <w:rPr>
            <w:webHidden/>
          </w:rPr>
          <w:tab/>
        </w:r>
        <w:r w:rsidR="00480A74">
          <w:rPr>
            <w:webHidden/>
          </w:rPr>
          <w:fldChar w:fldCharType="begin"/>
        </w:r>
        <w:r w:rsidR="00480A74">
          <w:rPr>
            <w:webHidden/>
          </w:rPr>
          <w:instrText xml:space="preserve"> PAGEREF _Toc27650488 \h </w:instrText>
        </w:r>
        <w:r w:rsidR="00480A74">
          <w:rPr>
            <w:webHidden/>
          </w:rPr>
        </w:r>
        <w:r w:rsidR="00480A74">
          <w:rPr>
            <w:webHidden/>
          </w:rPr>
          <w:fldChar w:fldCharType="separate"/>
        </w:r>
        <w:r>
          <w:rPr>
            <w:webHidden/>
          </w:rPr>
          <w:t>16</w:t>
        </w:r>
        <w:r w:rsidR="00480A74">
          <w:rPr>
            <w:webHidden/>
          </w:rPr>
          <w:fldChar w:fldCharType="end"/>
        </w:r>
      </w:hyperlink>
    </w:p>
    <w:p w14:paraId="5A022AB1" w14:textId="46F10A3B" w:rsidR="00480A74" w:rsidRDefault="004D0E4D">
      <w:pPr>
        <w:pStyle w:val="TOC3"/>
        <w:rPr>
          <w:rFonts w:asciiTheme="minorHAnsi" w:eastAsiaTheme="minorEastAsia" w:hAnsiTheme="minorHAnsi" w:cstheme="minorBidi"/>
          <w:color w:val="auto"/>
          <w:szCs w:val="22"/>
        </w:rPr>
      </w:pPr>
      <w:hyperlink w:anchor="_Toc27650489" w:history="1">
        <w:r w:rsidR="00480A74" w:rsidRPr="007627E1">
          <w:rPr>
            <w:rStyle w:val="Hyperlink"/>
          </w:rPr>
          <w:t>How should compensation for legal and professional costs be limited?</w:t>
        </w:r>
        <w:r w:rsidR="00480A74">
          <w:rPr>
            <w:webHidden/>
          </w:rPr>
          <w:tab/>
        </w:r>
        <w:r w:rsidR="00480A74">
          <w:rPr>
            <w:webHidden/>
          </w:rPr>
          <w:fldChar w:fldCharType="begin"/>
        </w:r>
        <w:r w:rsidR="00480A74">
          <w:rPr>
            <w:webHidden/>
          </w:rPr>
          <w:instrText xml:space="preserve"> PAGEREF _Toc27650489 \h </w:instrText>
        </w:r>
        <w:r w:rsidR="00480A74">
          <w:rPr>
            <w:webHidden/>
          </w:rPr>
        </w:r>
        <w:r w:rsidR="00480A74">
          <w:rPr>
            <w:webHidden/>
          </w:rPr>
          <w:fldChar w:fldCharType="separate"/>
        </w:r>
        <w:r>
          <w:rPr>
            <w:webHidden/>
          </w:rPr>
          <w:t>17</w:t>
        </w:r>
        <w:r w:rsidR="00480A74">
          <w:rPr>
            <w:webHidden/>
          </w:rPr>
          <w:fldChar w:fldCharType="end"/>
        </w:r>
      </w:hyperlink>
    </w:p>
    <w:p w14:paraId="202CAE5B" w14:textId="3B051253" w:rsidR="00480A74" w:rsidRDefault="004D0E4D">
      <w:pPr>
        <w:pStyle w:val="TOC1"/>
        <w:rPr>
          <w:rFonts w:asciiTheme="minorHAnsi" w:eastAsiaTheme="minorEastAsia" w:hAnsiTheme="minorHAnsi" w:cstheme="minorBidi"/>
          <w:b w:val="0"/>
          <w:color w:val="auto"/>
        </w:rPr>
      </w:pPr>
      <w:hyperlink w:anchor="_Toc27650490" w:history="1">
        <w:r w:rsidR="00480A74" w:rsidRPr="007627E1">
          <w:rPr>
            <w:rStyle w:val="Hyperlink"/>
          </w:rPr>
          <w:t>Managing scheme evolution</w:t>
        </w:r>
        <w:r w:rsidR="00480A74">
          <w:rPr>
            <w:webHidden/>
          </w:rPr>
          <w:tab/>
        </w:r>
        <w:r w:rsidR="00480A74">
          <w:rPr>
            <w:webHidden/>
          </w:rPr>
          <w:fldChar w:fldCharType="begin"/>
        </w:r>
        <w:r w:rsidR="00480A74">
          <w:rPr>
            <w:webHidden/>
          </w:rPr>
          <w:instrText xml:space="preserve"> PAGEREF _Toc27650490 \h </w:instrText>
        </w:r>
        <w:r w:rsidR="00480A74">
          <w:rPr>
            <w:webHidden/>
          </w:rPr>
        </w:r>
        <w:r w:rsidR="00480A74">
          <w:rPr>
            <w:webHidden/>
          </w:rPr>
          <w:fldChar w:fldCharType="separate"/>
        </w:r>
        <w:r>
          <w:rPr>
            <w:webHidden/>
          </w:rPr>
          <w:t>18</w:t>
        </w:r>
        <w:r w:rsidR="00480A74">
          <w:rPr>
            <w:webHidden/>
          </w:rPr>
          <w:fldChar w:fldCharType="end"/>
        </w:r>
      </w:hyperlink>
    </w:p>
    <w:p w14:paraId="6D299BAB" w14:textId="4E2FEBAE" w:rsidR="00480A74" w:rsidRDefault="004D0E4D">
      <w:pPr>
        <w:pStyle w:val="TOC2"/>
        <w:rPr>
          <w:rFonts w:asciiTheme="minorHAnsi" w:eastAsiaTheme="minorEastAsia" w:hAnsiTheme="minorHAnsi" w:cstheme="minorBidi"/>
          <w:color w:val="auto"/>
          <w:szCs w:val="22"/>
        </w:rPr>
      </w:pPr>
      <w:hyperlink w:anchor="_Toc27650491" w:history="1">
        <w:r w:rsidR="00480A74" w:rsidRPr="007627E1">
          <w:rPr>
            <w:rStyle w:val="Hyperlink"/>
          </w:rPr>
          <w:t>Issue</w:t>
        </w:r>
        <w:r w:rsidR="00480A74">
          <w:rPr>
            <w:webHidden/>
          </w:rPr>
          <w:tab/>
        </w:r>
        <w:r w:rsidR="00480A74">
          <w:rPr>
            <w:webHidden/>
          </w:rPr>
          <w:fldChar w:fldCharType="begin"/>
        </w:r>
        <w:r w:rsidR="00480A74">
          <w:rPr>
            <w:webHidden/>
          </w:rPr>
          <w:instrText xml:space="preserve"> PAGEREF _Toc27650491 \h </w:instrText>
        </w:r>
        <w:r w:rsidR="00480A74">
          <w:rPr>
            <w:webHidden/>
          </w:rPr>
        </w:r>
        <w:r w:rsidR="00480A74">
          <w:rPr>
            <w:webHidden/>
          </w:rPr>
          <w:fldChar w:fldCharType="separate"/>
        </w:r>
        <w:r>
          <w:rPr>
            <w:webHidden/>
          </w:rPr>
          <w:t>18</w:t>
        </w:r>
        <w:r w:rsidR="00480A74">
          <w:rPr>
            <w:webHidden/>
          </w:rPr>
          <w:fldChar w:fldCharType="end"/>
        </w:r>
      </w:hyperlink>
    </w:p>
    <w:p w14:paraId="7045DB51" w14:textId="6E05BEEB" w:rsidR="00480A74" w:rsidRDefault="004D0E4D">
      <w:pPr>
        <w:pStyle w:val="TOC2"/>
        <w:rPr>
          <w:rFonts w:asciiTheme="minorHAnsi" w:eastAsiaTheme="minorEastAsia" w:hAnsiTheme="minorHAnsi" w:cstheme="minorBidi"/>
          <w:color w:val="auto"/>
          <w:szCs w:val="22"/>
        </w:rPr>
      </w:pPr>
      <w:hyperlink w:anchor="_Toc27650492" w:history="1">
        <w:r w:rsidR="00480A74" w:rsidRPr="007627E1">
          <w:rPr>
            <w:rStyle w:val="Hyperlink"/>
          </w:rPr>
          <w:t>Considerations</w:t>
        </w:r>
        <w:r w:rsidR="00480A74">
          <w:rPr>
            <w:webHidden/>
          </w:rPr>
          <w:tab/>
        </w:r>
        <w:r w:rsidR="00480A74">
          <w:rPr>
            <w:webHidden/>
          </w:rPr>
          <w:fldChar w:fldCharType="begin"/>
        </w:r>
        <w:r w:rsidR="00480A74">
          <w:rPr>
            <w:webHidden/>
          </w:rPr>
          <w:instrText xml:space="preserve"> PAGEREF _Toc27650492 \h </w:instrText>
        </w:r>
        <w:r w:rsidR="00480A74">
          <w:rPr>
            <w:webHidden/>
          </w:rPr>
        </w:r>
        <w:r w:rsidR="00480A74">
          <w:rPr>
            <w:webHidden/>
          </w:rPr>
          <w:fldChar w:fldCharType="separate"/>
        </w:r>
        <w:r>
          <w:rPr>
            <w:webHidden/>
          </w:rPr>
          <w:t>18</w:t>
        </w:r>
        <w:r w:rsidR="00480A74">
          <w:rPr>
            <w:webHidden/>
          </w:rPr>
          <w:fldChar w:fldCharType="end"/>
        </w:r>
      </w:hyperlink>
    </w:p>
    <w:p w14:paraId="42FB975B" w14:textId="44CA4552" w:rsidR="00480A74" w:rsidRDefault="004D0E4D">
      <w:pPr>
        <w:pStyle w:val="TOC2"/>
        <w:rPr>
          <w:rFonts w:asciiTheme="minorHAnsi" w:eastAsiaTheme="minorEastAsia" w:hAnsiTheme="minorHAnsi" w:cstheme="minorBidi"/>
          <w:color w:val="auto"/>
          <w:szCs w:val="22"/>
        </w:rPr>
      </w:pPr>
      <w:hyperlink w:anchor="_Toc27650493" w:history="1">
        <w:r w:rsidR="00480A74" w:rsidRPr="007627E1">
          <w:rPr>
            <w:rStyle w:val="Hyperlink"/>
          </w:rPr>
          <w:t>Discussion items</w:t>
        </w:r>
        <w:r w:rsidR="00480A74">
          <w:rPr>
            <w:webHidden/>
          </w:rPr>
          <w:tab/>
        </w:r>
        <w:r w:rsidR="00480A74">
          <w:rPr>
            <w:webHidden/>
          </w:rPr>
          <w:fldChar w:fldCharType="begin"/>
        </w:r>
        <w:r w:rsidR="00480A74">
          <w:rPr>
            <w:webHidden/>
          </w:rPr>
          <w:instrText xml:space="preserve"> PAGEREF _Toc27650493 \h </w:instrText>
        </w:r>
        <w:r w:rsidR="00480A74">
          <w:rPr>
            <w:webHidden/>
          </w:rPr>
        </w:r>
        <w:r w:rsidR="00480A74">
          <w:rPr>
            <w:webHidden/>
          </w:rPr>
          <w:fldChar w:fldCharType="separate"/>
        </w:r>
        <w:r>
          <w:rPr>
            <w:webHidden/>
          </w:rPr>
          <w:t>18</w:t>
        </w:r>
        <w:r w:rsidR="00480A74">
          <w:rPr>
            <w:webHidden/>
          </w:rPr>
          <w:fldChar w:fldCharType="end"/>
        </w:r>
      </w:hyperlink>
    </w:p>
    <w:p w14:paraId="48EA4B4F" w14:textId="7CC704D9" w:rsidR="00480A74" w:rsidRDefault="004D0E4D">
      <w:pPr>
        <w:pStyle w:val="TOC3"/>
        <w:rPr>
          <w:rFonts w:asciiTheme="minorHAnsi" w:eastAsiaTheme="minorEastAsia" w:hAnsiTheme="minorHAnsi" w:cstheme="minorBidi"/>
          <w:color w:val="auto"/>
          <w:szCs w:val="22"/>
        </w:rPr>
      </w:pPr>
      <w:hyperlink w:anchor="_Toc27650494" w:history="1">
        <w:r w:rsidR="00480A74" w:rsidRPr="007627E1">
          <w:rPr>
            <w:rStyle w:val="Hyperlink"/>
          </w:rPr>
          <w:t>To what extent should the operation of the CSLR be responsive to experience?</w:t>
        </w:r>
        <w:r w:rsidR="00480A74">
          <w:rPr>
            <w:webHidden/>
          </w:rPr>
          <w:tab/>
        </w:r>
        <w:r w:rsidR="00480A74">
          <w:rPr>
            <w:webHidden/>
          </w:rPr>
          <w:fldChar w:fldCharType="begin"/>
        </w:r>
        <w:r w:rsidR="00480A74">
          <w:rPr>
            <w:webHidden/>
          </w:rPr>
          <w:instrText xml:space="preserve"> PAGEREF _Toc27650494 \h </w:instrText>
        </w:r>
        <w:r w:rsidR="00480A74">
          <w:rPr>
            <w:webHidden/>
          </w:rPr>
        </w:r>
        <w:r w:rsidR="00480A74">
          <w:rPr>
            <w:webHidden/>
          </w:rPr>
          <w:fldChar w:fldCharType="separate"/>
        </w:r>
        <w:r>
          <w:rPr>
            <w:webHidden/>
          </w:rPr>
          <w:t>18</w:t>
        </w:r>
        <w:r w:rsidR="00480A74">
          <w:rPr>
            <w:webHidden/>
          </w:rPr>
          <w:fldChar w:fldCharType="end"/>
        </w:r>
      </w:hyperlink>
    </w:p>
    <w:p w14:paraId="5F57F9F4" w14:textId="0CEFCB42" w:rsidR="00480A74" w:rsidRDefault="004D0E4D">
      <w:pPr>
        <w:pStyle w:val="TOC1"/>
        <w:rPr>
          <w:rFonts w:asciiTheme="minorHAnsi" w:eastAsiaTheme="minorEastAsia" w:hAnsiTheme="minorHAnsi" w:cstheme="minorBidi"/>
          <w:b w:val="0"/>
          <w:color w:val="auto"/>
        </w:rPr>
      </w:pPr>
      <w:hyperlink w:anchor="_Toc27650495" w:history="1">
        <w:r w:rsidR="00480A74" w:rsidRPr="007627E1">
          <w:rPr>
            <w:rStyle w:val="Hyperlink"/>
          </w:rPr>
          <w:t>Appendix 1: Ramsay Review recommendations on the establishment of a CSLR</w:t>
        </w:r>
        <w:r w:rsidR="00480A74">
          <w:rPr>
            <w:webHidden/>
          </w:rPr>
          <w:tab/>
        </w:r>
        <w:r w:rsidR="00480A74">
          <w:rPr>
            <w:webHidden/>
          </w:rPr>
          <w:fldChar w:fldCharType="begin"/>
        </w:r>
        <w:r w:rsidR="00480A74">
          <w:rPr>
            <w:webHidden/>
          </w:rPr>
          <w:instrText xml:space="preserve"> PAGEREF _Toc27650495 \h </w:instrText>
        </w:r>
        <w:r w:rsidR="00480A74">
          <w:rPr>
            <w:webHidden/>
          </w:rPr>
        </w:r>
        <w:r w:rsidR="00480A74">
          <w:rPr>
            <w:webHidden/>
          </w:rPr>
          <w:fldChar w:fldCharType="separate"/>
        </w:r>
        <w:r>
          <w:rPr>
            <w:webHidden/>
          </w:rPr>
          <w:t>20</w:t>
        </w:r>
        <w:r w:rsidR="00480A74">
          <w:rPr>
            <w:webHidden/>
          </w:rPr>
          <w:fldChar w:fldCharType="end"/>
        </w:r>
      </w:hyperlink>
    </w:p>
    <w:p w14:paraId="4D1CE0D4" w14:textId="708666EE" w:rsidR="00480A74" w:rsidRDefault="004D0E4D">
      <w:pPr>
        <w:pStyle w:val="TOC1"/>
        <w:rPr>
          <w:rFonts w:asciiTheme="minorHAnsi" w:eastAsiaTheme="minorEastAsia" w:hAnsiTheme="minorHAnsi" w:cstheme="minorBidi"/>
          <w:b w:val="0"/>
          <w:color w:val="auto"/>
        </w:rPr>
      </w:pPr>
      <w:hyperlink w:anchor="_Toc27650496" w:history="1">
        <w:r w:rsidR="00480A74" w:rsidRPr="007627E1">
          <w:rPr>
            <w:rStyle w:val="Hyperlink"/>
          </w:rPr>
          <w:t>Appendix 2: Discussion questions</w:t>
        </w:r>
        <w:r w:rsidR="00480A74">
          <w:rPr>
            <w:webHidden/>
          </w:rPr>
          <w:tab/>
        </w:r>
        <w:r w:rsidR="00480A74">
          <w:rPr>
            <w:webHidden/>
          </w:rPr>
          <w:fldChar w:fldCharType="begin"/>
        </w:r>
        <w:r w:rsidR="00480A74">
          <w:rPr>
            <w:webHidden/>
          </w:rPr>
          <w:instrText xml:space="preserve"> PAGEREF _Toc27650496 \h </w:instrText>
        </w:r>
        <w:r w:rsidR="00480A74">
          <w:rPr>
            <w:webHidden/>
          </w:rPr>
        </w:r>
        <w:r w:rsidR="00480A74">
          <w:rPr>
            <w:webHidden/>
          </w:rPr>
          <w:fldChar w:fldCharType="separate"/>
        </w:r>
        <w:r>
          <w:rPr>
            <w:webHidden/>
          </w:rPr>
          <w:t>23</w:t>
        </w:r>
        <w:r w:rsidR="00480A74">
          <w:rPr>
            <w:webHidden/>
          </w:rPr>
          <w:fldChar w:fldCharType="end"/>
        </w:r>
      </w:hyperlink>
    </w:p>
    <w:p w14:paraId="318DDEA2" w14:textId="7FA6E243" w:rsidR="000E0B74" w:rsidRDefault="00257AEE" w:rsidP="00656356">
      <w:pPr>
        <w:pStyle w:val="SingleParagraph"/>
        <w:tabs>
          <w:tab w:val="right" w:leader="dot" w:pos="9072"/>
        </w:tabs>
        <w:ind w:right="-2"/>
        <w:sectPr w:rsidR="000E0B74" w:rsidSect="00475B7B">
          <w:headerReference w:type="even" r:id="rId27"/>
          <w:headerReference w:type="default" r:id="rId28"/>
          <w:footerReference w:type="even" r:id="rId29"/>
          <w:headerReference w:type="first" r:id="rId30"/>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3DAE0908" w14:textId="77777777" w:rsidR="002F44D1" w:rsidRDefault="002F44D1" w:rsidP="002F44D1">
      <w:pPr>
        <w:pStyle w:val="Heading1"/>
      </w:pPr>
      <w:bookmarkStart w:id="9" w:name="_Toc23337017"/>
      <w:bookmarkStart w:id="10" w:name="_Toc27149156"/>
      <w:bookmarkStart w:id="11" w:name="_Toc27353662"/>
      <w:bookmarkStart w:id="12" w:name="_Toc27381695"/>
      <w:bookmarkStart w:id="13" w:name="_Toc27400908"/>
      <w:bookmarkStart w:id="14" w:name="_Toc27414038"/>
      <w:bookmarkStart w:id="15" w:name="_Toc27415325"/>
      <w:bookmarkStart w:id="16" w:name="_Toc27469268"/>
      <w:bookmarkStart w:id="17" w:name="_Toc27471847"/>
      <w:bookmarkStart w:id="18" w:name="_Toc27474856"/>
      <w:bookmarkStart w:id="19" w:name="_Toc27478280"/>
      <w:bookmarkStart w:id="20" w:name="_Toc27478834"/>
      <w:bookmarkStart w:id="21" w:name="_Toc27490016"/>
      <w:bookmarkStart w:id="22" w:name="_Toc27491031"/>
      <w:bookmarkStart w:id="23" w:name="_Toc27492724"/>
      <w:bookmarkStart w:id="24" w:name="_Toc27646215"/>
      <w:bookmarkStart w:id="25" w:name="_Toc27646250"/>
      <w:bookmarkStart w:id="26" w:name="_Toc27650462"/>
      <w:bookmarkStart w:id="27" w:name="_Toc26967604"/>
      <w:bookmarkStart w:id="28" w:name="_Toc26975030"/>
      <w:bookmarkStart w:id="29" w:name="_Toc26979137"/>
      <w:bookmarkStart w:id="30" w:name="_Toc432067103"/>
      <w:r>
        <w:lastRenderedPageBreak/>
        <w:t>Submission Process</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589D441B" w14:textId="77777777" w:rsidR="002F44D1" w:rsidRDefault="002F44D1" w:rsidP="002F44D1">
      <w:pPr>
        <w:pStyle w:val="Heading3"/>
      </w:pPr>
      <w:bookmarkStart w:id="31" w:name="_Toc23337018"/>
      <w:bookmarkStart w:id="32" w:name="_Toc27149157"/>
      <w:bookmarkStart w:id="33" w:name="_Toc27353663"/>
      <w:bookmarkStart w:id="34" w:name="_Toc27381696"/>
      <w:bookmarkStart w:id="35" w:name="_Toc27400909"/>
      <w:bookmarkStart w:id="36" w:name="_Toc27414039"/>
      <w:bookmarkStart w:id="37" w:name="_Toc27415326"/>
      <w:bookmarkStart w:id="38" w:name="_Toc27469269"/>
      <w:bookmarkStart w:id="39" w:name="_Toc27471848"/>
      <w:bookmarkStart w:id="40" w:name="_Toc27474857"/>
      <w:bookmarkStart w:id="41" w:name="_Toc27478281"/>
      <w:bookmarkStart w:id="42" w:name="_Toc27478835"/>
      <w:bookmarkStart w:id="43" w:name="_Toc27490017"/>
      <w:bookmarkStart w:id="44" w:name="_Toc27491032"/>
      <w:bookmarkStart w:id="45" w:name="_Toc27492725"/>
      <w:bookmarkStart w:id="46" w:name="_Toc27646216"/>
      <w:bookmarkStart w:id="47" w:name="_Toc27646251"/>
      <w:bookmarkStart w:id="48" w:name="_Toc27650463"/>
      <w:r>
        <w:t>Request for feedback and comments</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244AB599" w14:textId="784283FA" w:rsidR="002F44D1" w:rsidRDefault="002F44D1" w:rsidP="002F44D1">
      <w:pPr>
        <w:pStyle w:val="Heading3noTOC"/>
      </w:pPr>
      <w:r>
        <w:t xml:space="preserve">Closing date for submissions: </w:t>
      </w:r>
      <w:sdt>
        <w:sdtPr>
          <w:rPr>
            <w:rStyle w:val="Heading3Char"/>
          </w:rPr>
          <w:id w:val="1454836312"/>
          <w:placeholder>
            <w:docPart w:val="D77E3B5496204D2AAC5E87FC1FFD6128"/>
          </w:placeholder>
          <w:date w:fullDate="2020-02-07T00:00:00Z">
            <w:dateFormat w:val="dd MMMM yyyy"/>
            <w:lid w:val="en-AU"/>
            <w:storeMappedDataAs w:val="dateTime"/>
            <w:calendar w:val="gregorian"/>
          </w:date>
        </w:sdtPr>
        <w:sdtEndPr>
          <w:rPr>
            <w:rStyle w:val="DefaultParagraphFont"/>
            <w:rFonts w:cs="Calibri"/>
          </w:rPr>
        </w:sdtEndPr>
        <w:sdtContent>
          <w:r>
            <w:rPr>
              <w:rStyle w:val="Heading3Char"/>
            </w:rPr>
            <w:t>07 February 2020</w:t>
          </w:r>
        </w:sdtContent>
      </w:sdt>
    </w:p>
    <w:tbl>
      <w:tblPr>
        <w:tblStyle w:val="TableGrid"/>
        <w:tblW w:w="0" w:type="auto"/>
        <w:tblLook w:val="04A0" w:firstRow="1" w:lastRow="0" w:firstColumn="1" w:lastColumn="0" w:noHBand="0" w:noVBand="1"/>
      </w:tblPr>
      <w:tblGrid>
        <w:gridCol w:w="1517"/>
        <w:gridCol w:w="7553"/>
      </w:tblGrid>
      <w:tr w:rsidR="002F44D1" w:rsidRPr="00B85F47" w14:paraId="0DAEC77A" w14:textId="77777777" w:rsidTr="0014073D">
        <w:tc>
          <w:tcPr>
            <w:tcW w:w="1526" w:type="dxa"/>
            <w:shd w:val="clear" w:color="auto" w:fill="auto"/>
          </w:tcPr>
          <w:p w14:paraId="612576BC" w14:textId="77777777" w:rsidR="002F44D1" w:rsidRPr="00B85F47" w:rsidRDefault="002F44D1" w:rsidP="0014073D">
            <w:pPr>
              <w:rPr>
                <w:sz w:val="22"/>
                <w:szCs w:val="22"/>
              </w:rPr>
            </w:pPr>
            <w:r w:rsidRPr="00B85F47">
              <w:rPr>
                <w:sz w:val="22"/>
                <w:szCs w:val="22"/>
              </w:rPr>
              <w:t>Email</w:t>
            </w:r>
          </w:p>
        </w:tc>
        <w:tc>
          <w:tcPr>
            <w:tcW w:w="7654" w:type="dxa"/>
            <w:shd w:val="clear" w:color="auto" w:fill="auto"/>
          </w:tcPr>
          <w:p w14:paraId="7549076D" w14:textId="77777777" w:rsidR="002F44D1" w:rsidRPr="006C6614" w:rsidRDefault="002F44D1" w:rsidP="0014073D">
            <w:pPr>
              <w:rPr>
                <w:sz w:val="22"/>
                <w:szCs w:val="22"/>
              </w:rPr>
            </w:pPr>
            <w:r w:rsidRPr="00410947">
              <w:rPr>
                <w:rFonts w:cs="Arial"/>
                <w:sz w:val="22"/>
                <w:szCs w:val="22"/>
              </w:rPr>
              <w:t>CSLR@treasury.gov.au</w:t>
            </w:r>
          </w:p>
        </w:tc>
      </w:tr>
      <w:tr w:rsidR="002F44D1" w:rsidRPr="00B85F47" w14:paraId="59B3BDE2" w14:textId="77777777" w:rsidTr="0014073D">
        <w:tc>
          <w:tcPr>
            <w:tcW w:w="1526" w:type="dxa"/>
            <w:shd w:val="clear" w:color="auto" w:fill="auto"/>
          </w:tcPr>
          <w:p w14:paraId="052755EF" w14:textId="77777777" w:rsidR="002F44D1" w:rsidRPr="009758BF" w:rsidRDefault="002F44D1" w:rsidP="0014073D">
            <w:pPr>
              <w:rPr>
                <w:sz w:val="22"/>
                <w:szCs w:val="22"/>
              </w:rPr>
            </w:pPr>
            <w:r w:rsidRPr="009758BF">
              <w:rPr>
                <w:sz w:val="22"/>
                <w:szCs w:val="22"/>
              </w:rPr>
              <w:t>Mail</w:t>
            </w:r>
          </w:p>
          <w:p w14:paraId="511877A8" w14:textId="77777777" w:rsidR="002F44D1" w:rsidRPr="009758BF" w:rsidRDefault="002F44D1" w:rsidP="0014073D">
            <w:pPr>
              <w:rPr>
                <w:sz w:val="22"/>
                <w:szCs w:val="22"/>
              </w:rPr>
            </w:pPr>
          </w:p>
          <w:p w14:paraId="32B34CF6" w14:textId="77777777" w:rsidR="002F44D1" w:rsidRPr="009758BF" w:rsidRDefault="002F44D1" w:rsidP="0014073D">
            <w:pPr>
              <w:rPr>
                <w:sz w:val="22"/>
                <w:szCs w:val="22"/>
              </w:rPr>
            </w:pPr>
          </w:p>
        </w:tc>
        <w:tc>
          <w:tcPr>
            <w:tcW w:w="7654" w:type="dxa"/>
            <w:shd w:val="clear" w:color="auto" w:fill="auto"/>
          </w:tcPr>
          <w:p w14:paraId="239C468C" w14:textId="77777777" w:rsidR="002F44D1" w:rsidRPr="009758BF" w:rsidRDefault="002F44D1" w:rsidP="0014073D">
            <w:pPr>
              <w:pStyle w:val="SingleParagraph"/>
              <w:rPr>
                <w:rFonts w:cs="Arial"/>
                <w:sz w:val="22"/>
                <w:szCs w:val="22"/>
              </w:rPr>
            </w:pPr>
            <w:r>
              <w:rPr>
                <w:rFonts w:cs="Arial"/>
                <w:sz w:val="22"/>
                <w:szCs w:val="22"/>
              </w:rPr>
              <w:t>Manager, Redress and Accountability Unit</w:t>
            </w:r>
          </w:p>
          <w:p w14:paraId="3D4B1FC8" w14:textId="77777777" w:rsidR="002F44D1" w:rsidRPr="009758BF" w:rsidRDefault="002F44D1" w:rsidP="0014073D">
            <w:pPr>
              <w:pStyle w:val="SingleParagraph"/>
              <w:rPr>
                <w:rFonts w:cs="Arial"/>
                <w:sz w:val="22"/>
                <w:szCs w:val="22"/>
              </w:rPr>
            </w:pPr>
            <w:r w:rsidRPr="009758BF">
              <w:rPr>
                <w:rFonts w:cs="Arial"/>
                <w:sz w:val="22"/>
                <w:szCs w:val="22"/>
              </w:rPr>
              <w:t>Financial Sector Reform Taskforce</w:t>
            </w:r>
          </w:p>
          <w:p w14:paraId="060F1AF8" w14:textId="77777777" w:rsidR="002F44D1" w:rsidRPr="009758BF" w:rsidRDefault="002F44D1" w:rsidP="0014073D">
            <w:pPr>
              <w:pStyle w:val="SingleParagraph"/>
              <w:rPr>
                <w:rFonts w:cs="Arial"/>
                <w:sz w:val="22"/>
                <w:szCs w:val="22"/>
              </w:rPr>
            </w:pPr>
            <w:r w:rsidRPr="009758BF">
              <w:rPr>
                <w:rFonts w:cs="Arial"/>
                <w:sz w:val="22"/>
                <w:szCs w:val="22"/>
              </w:rPr>
              <w:t>The Treasury</w:t>
            </w:r>
          </w:p>
          <w:p w14:paraId="0C8A515F" w14:textId="77777777" w:rsidR="002F44D1" w:rsidRPr="009758BF" w:rsidRDefault="002F44D1" w:rsidP="0014073D">
            <w:pPr>
              <w:pStyle w:val="SingleParagraph"/>
              <w:rPr>
                <w:rFonts w:cs="Arial"/>
                <w:sz w:val="22"/>
                <w:szCs w:val="22"/>
              </w:rPr>
            </w:pPr>
            <w:r w:rsidRPr="009758BF">
              <w:rPr>
                <w:rFonts w:cs="Arial"/>
                <w:sz w:val="22"/>
                <w:szCs w:val="22"/>
              </w:rPr>
              <w:t>Langton Crescent</w:t>
            </w:r>
          </w:p>
          <w:p w14:paraId="3160629C" w14:textId="77777777" w:rsidR="002F44D1" w:rsidRPr="009758BF" w:rsidRDefault="002F44D1" w:rsidP="0014073D">
            <w:pPr>
              <w:pStyle w:val="SingleParagraph"/>
              <w:rPr>
                <w:sz w:val="22"/>
                <w:szCs w:val="22"/>
              </w:rPr>
            </w:pPr>
            <w:r w:rsidRPr="009758BF">
              <w:rPr>
                <w:sz w:val="22"/>
                <w:szCs w:val="22"/>
              </w:rPr>
              <w:t>PARKES ACT 2600</w:t>
            </w:r>
          </w:p>
        </w:tc>
      </w:tr>
      <w:tr w:rsidR="002F44D1" w:rsidRPr="00B85F47" w14:paraId="7CA91CEB" w14:textId="77777777" w:rsidTr="0014073D">
        <w:tc>
          <w:tcPr>
            <w:tcW w:w="1526" w:type="dxa"/>
            <w:shd w:val="clear" w:color="auto" w:fill="auto"/>
          </w:tcPr>
          <w:p w14:paraId="5F885E51" w14:textId="77777777" w:rsidR="002F44D1" w:rsidRPr="00B85F47" w:rsidRDefault="002F44D1" w:rsidP="0014073D">
            <w:pPr>
              <w:rPr>
                <w:sz w:val="22"/>
                <w:szCs w:val="22"/>
              </w:rPr>
            </w:pPr>
            <w:r w:rsidRPr="00B85F47">
              <w:rPr>
                <w:sz w:val="22"/>
                <w:szCs w:val="22"/>
              </w:rPr>
              <w:t>Enquiries</w:t>
            </w:r>
          </w:p>
        </w:tc>
        <w:tc>
          <w:tcPr>
            <w:tcW w:w="7654" w:type="dxa"/>
            <w:shd w:val="clear" w:color="auto" w:fill="auto"/>
          </w:tcPr>
          <w:p w14:paraId="0D9733C1" w14:textId="77777777" w:rsidR="002F44D1" w:rsidRPr="009758BF" w:rsidRDefault="002F44D1" w:rsidP="0014073D">
            <w:pPr>
              <w:rPr>
                <w:sz w:val="22"/>
                <w:szCs w:val="22"/>
              </w:rPr>
            </w:pPr>
            <w:r w:rsidRPr="009758BF">
              <w:rPr>
                <w:rFonts w:cs="Arial"/>
                <w:sz w:val="22"/>
                <w:szCs w:val="22"/>
              </w:rPr>
              <w:t>Enquiries can be initially directed to</w:t>
            </w:r>
            <w:r>
              <w:rPr>
                <w:rFonts w:cs="Arial"/>
                <w:sz w:val="22"/>
                <w:szCs w:val="22"/>
              </w:rPr>
              <w:t xml:space="preserve"> Manager, Redress and Accountability Unit</w:t>
            </w:r>
          </w:p>
        </w:tc>
      </w:tr>
      <w:tr w:rsidR="002F44D1" w:rsidRPr="00B85F47" w14:paraId="24A46A57" w14:textId="77777777" w:rsidTr="0014073D">
        <w:tc>
          <w:tcPr>
            <w:tcW w:w="1526" w:type="dxa"/>
            <w:shd w:val="clear" w:color="auto" w:fill="auto"/>
          </w:tcPr>
          <w:p w14:paraId="7EC77135" w14:textId="77777777" w:rsidR="002F44D1" w:rsidRPr="00B85F47" w:rsidRDefault="002F44D1" w:rsidP="0014073D">
            <w:pPr>
              <w:rPr>
                <w:sz w:val="22"/>
                <w:szCs w:val="22"/>
              </w:rPr>
            </w:pPr>
            <w:r w:rsidRPr="00B85F47">
              <w:rPr>
                <w:sz w:val="22"/>
                <w:szCs w:val="22"/>
              </w:rPr>
              <w:t>Phone</w:t>
            </w:r>
          </w:p>
        </w:tc>
        <w:tc>
          <w:tcPr>
            <w:tcW w:w="7654" w:type="dxa"/>
            <w:shd w:val="clear" w:color="auto" w:fill="auto"/>
          </w:tcPr>
          <w:p w14:paraId="444EF89D" w14:textId="5CA85184" w:rsidR="002F44D1" w:rsidRPr="009758BF" w:rsidRDefault="009D47ED" w:rsidP="0014073D">
            <w:pPr>
              <w:rPr>
                <w:sz w:val="22"/>
                <w:szCs w:val="22"/>
              </w:rPr>
            </w:pPr>
            <w:r>
              <w:rPr>
                <w:rFonts w:cs="Arial"/>
                <w:sz w:val="22"/>
                <w:szCs w:val="22"/>
              </w:rPr>
              <w:t xml:space="preserve">Chris Lyon + 61 </w:t>
            </w:r>
            <w:r w:rsidR="002F44D1" w:rsidRPr="009758BF">
              <w:rPr>
                <w:rFonts w:cs="Arial"/>
                <w:sz w:val="22"/>
                <w:szCs w:val="22"/>
              </w:rPr>
              <w:t>2 6263</w:t>
            </w:r>
            <w:r w:rsidR="002F44D1">
              <w:rPr>
                <w:rFonts w:cs="Arial"/>
                <w:sz w:val="22"/>
                <w:szCs w:val="22"/>
              </w:rPr>
              <w:t xml:space="preserve"> 2111</w:t>
            </w:r>
          </w:p>
        </w:tc>
      </w:tr>
    </w:tbl>
    <w:p w14:paraId="52905423" w14:textId="77777777" w:rsidR="002F44D1" w:rsidRDefault="002F44D1" w:rsidP="002F44D1"/>
    <w:p w14:paraId="05F895F7" w14:textId="4032B311" w:rsidR="002F44D1" w:rsidRPr="009758BF" w:rsidRDefault="002F44D1" w:rsidP="002F44D1">
      <w:r w:rsidRPr="009758BF">
        <w:t xml:space="preserve">The </w:t>
      </w:r>
      <w:r w:rsidR="000D724D">
        <w:t>matters</w:t>
      </w:r>
      <w:r w:rsidRPr="009758BF">
        <w:t xml:space="preserve"> outlined in this paper are not yet law.</w:t>
      </w:r>
    </w:p>
    <w:p w14:paraId="64C0A024" w14:textId="4568A21A" w:rsidR="002F44D1" w:rsidRDefault="002F44D1" w:rsidP="002F44D1"/>
    <w:p w14:paraId="651CBD70" w14:textId="77777777" w:rsidR="002F44D1" w:rsidRDefault="002F44D1" w:rsidP="002F44D1">
      <w:pPr>
        <w:sectPr w:rsidR="002F44D1" w:rsidSect="00E1136B">
          <w:headerReference w:type="even" r:id="rId31"/>
          <w:headerReference w:type="default" r:id="rId32"/>
          <w:footerReference w:type="even" r:id="rId33"/>
          <w:footerReference w:type="default" r:id="rId34"/>
          <w:headerReference w:type="first" r:id="rId35"/>
          <w:footerReference w:type="first" r:id="rId36"/>
          <w:pgSz w:w="11906" w:h="16838" w:code="9"/>
          <w:pgMar w:top="1418" w:right="1418" w:bottom="1418" w:left="1418" w:header="709" w:footer="709" w:gutter="0"/>
          <w:pgNumType w:start="1"/>
          <w:cols w:space="708"/>
          <w:docGrid w:linePitch="360"/>
        </w:sectPr>
      </w:pPr>
    </w:p>
    <w:p w14:paraId="67401B26" w14:textId="19FB9A7B" w:rsidR="00120E46" w:rsidRDefault="00247CB4" w:rsidP="00E07CA0">
      <w:pPr>
        <w:pStyle w:val="Heading1"/>
      </w:pPr>
      <w:bookmarkStart w:id="49" w:name="_Toc27149158"/>
      <w:bookmarkStart w:id="50" w:name="_Toc27353664"/>
      <w:bookmarkStart w:id="51" w:name="_Toc27381697"/>
      <w:bookmarkStart w:id="52" w:name="_Toc27400910"/>
      <w:bookmarkStart w:id="53" w:name="_Toc27414040"/>
      <w:bookmarkStart w:id="54" w:name="_Toc27415327"/>
      <w:bookmarkStart w:id="55" w:name="_Toc27469270"/>
      <w:bookmarkStart w:id="56" w:name="_Toc27471849"/>
      <w:bookmarkStart w:id="57" w:name="_Toc27474858"/>
      <w:bookmarkStart w:id="58" w:name="_Toc27478282"/>
      <w:bookmarkStart w:id="59" w:name="_Toc27478836"/>
      <w:bookmarkStart w:id="60" w:name="_Toc27490018"/>
      <w:bookmarkStart w:id="61" w:name="_Toc27491033"/>
      <w:bookmarkStart w:id="62" w:name="_Toc27492726"/>
      <w:bookmarkStart w:id="63" w:name="_Toc27646217"/>
      <w:bookmarkStart w:id="64" w:name="_Toc27646252"/>
      <w:bookmarkStart w:id="65" w:name="_Toc27650464"/>
      <w:r>
        <w:lastRenderedPageBreak/>
        <w:t>Introduction</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3E04D5C3" w14:textId="60A91404" w:rsidR="00E06F8A" w:rsidRDefault="00AC6374" w:rsidP="0023663C">
      <w:r>
        <w:t xml:space="preserve">The Government </w:t>
      </w:r>
      <w:r w:rsidR="002F6C91">
        <w:t xml:space="preserve">is </w:t>
      </w:r>
      <w:r w:rsidR="006937FD" w:rsidRPr="006937FD">
        <w:t>commit</w:t>
      </w:r>
      <w:r w:rsidR="001F7FA3">
        <w:t>t</w:t>
      </w:r>
      <w:r w:rsidR="006937FD">
        <w:t>ed</w:t>
      </w:r>
      <w:r w:rsidR="006937FD" w:rsidRPr="006937FD">
        <w:t xml:space="preserve"> to ensuring </w:t>
      </w:r>
      <w:r w:rsidR="009D5F48">
        <w:t xml:space="preserve">the </w:t>
      </w:r>
      <w:r w:rsidR="006937FD" w:rsidRPr="006937FD">
        <w:t>financial system work</w:t>
      </w:r>
      <w:r w:rsidR="001F7FA3">
        <w:t>s</w:t>
      </w:r>
      <w:r w:rsidR="006937FD" w:rsidRPr="006937FD">
        <w:t xml:space="preserve"> for all Australians and is one they can trust</w:t>
      </w:r>
      <w:r w:rsidR="001F7FA3">
        <w:t xml:space="preserve">. </w:t>
      </w:r>
      <w:r w:rsidR="005422B9">
        <w:t>To achieve this</w:t>
      </w:r>
      <w:r w:rsidR="00D855DD">
        <w:t>,</w:t>
      </w:r>
      <w:r w:rsidR="005422B9">
        <w:t xml:space="preserve"> t</w:t>
      </w:r>
      <w:r w:rsidR="001F7FA3">
        <w:t xml:space="preserve">he Government has already moved to </w:t>
      </w:r>
      <w:r w:rsidR="002F6C91">
        <w:t>strengthen</w:t>
      </w:r>
      <w:r>
        <w:t xml:space="preserve"> Australia’s external dispute resolution (EDR) framework to ensure that it delivers effective outcomes for </w:t>
      </w:r>
      <w:r w:rsidR="001F7FA3">
        <w:t>consumers and small businesses</w:t>
      </w:r>
      <w:r>
        <w:t xml:space="preserve">. </w:t>
      </w:r>
    </w:p>
    <w:p w14:paraId="0E2B7D31" w14:textId="404C15FC" w:rsidR="00D5398B" w:rsidRDefault="00AC6374" w:rsidP="0023663C">
      <w:r>
        <w:t xml:space="preserve">The Government </w:t>
      </w:r>
      <w:r w:rsidR="001F7FA3">
        <w:t xml:space="preserve">will </w:t>
      </w:r>
      <w:r w:rsidR="008F5305">
        <w:t>establish</w:t>
      </w:r>
      <w:r w:rsidR="001F7FA3">
        <w:t xml:space="preserve"> a compensation scheme of last resort (CLSR) </w:t>
      </w:r>
      <w:r w:rsidR="002F6C91">
        <w:t>to ensure that</w:t>
      </w:r>
      <w:r>
        <w:t xml:space="preserve"> c</w:t>
      </w:r>
      <w:r w:rsidR="00D5398B" w:rsidRPr="006C6614">
        <w:t xml:space="preserve">onsumers and small businesses receive compensation </w:t>
      </w:r>
      <w:r w:rsidR="00472ED7">
        <w:t xml:space="preserve">where </w:t>
      </w:r>
      <w:r w:rsidR="00005CF7">
        <w:t xml:space="preserve">a </w:t>
      </w:r>
      <w:r w:rsidR="00472ED7">
        <w:t xml:space="preserve">financial service provider </w:t>
      </w:r>
      <w:r w:rsidR="00005CF7">
        <w:t xml:space="preserve">is </w:t>
      </w:r>
      <w:r w:rsidR="009D5F48">
        <w:t xml:space="preserve">found to have engaged in </w:t>
      </w:r>
      <w:r w:rsidR="00472ED7">
        <w:t>misconduct and the provider is unable to pay.</w:t>
      </w:r>
      <w:r w:rsidR="00ED2D99">
        <w:t xml:space="preserve"> </w:t>
      </w:r>
    </w:p>
    <w:p w14:paraId="3FD1C1FD" w14:textId="77833FB3" w:rsidR="001225B5" w:rsidRDefault="00B53BC8" w:rsidP="001225B5">
      <w:r>
        <w:t xml:space="preserve">On 21 December 2017, the Supplementary Final Report of the </w:t>
      </w:r>
      <w:r w:rsidRPr="009D5F48">
        <w:rPr>
          <w:i/>
        </w:rPr>
        <w:t>Review into dispute resolution and complaints framework</w:t>
      </w:r>
      <w:r>
        <w:t xml:space="preserve"> (Ramsay Review) </w:t>
      </w:r>
      <w:r w:rsidR="00861EFA">
        <w:t xml:space="preserve">provided detailed recommendations to the Government </w:t>
      </w:r>
      <w:r w:rsidR="00C747ED">
        <w:t>on the key design features of a</w:t>
      </w:r>
      <w:r w:rsidR="00861EFA">
        <w:t xml:space="preserve"> CSLR</w:t>
      </w:r>
      <w:r w:rsidR="00D5398B">
        <w:t xml:space="preserve">. </w:t>
      </w:r>
      <w:r w:rsidR="001225B5">
        <w:t xml:space="preserve">The Ramsay Review accepted that existing arrangements are not adequate to ensure that all consumers and small businesses are compensated for losses where an EDR scheme, tribunal or court </w:t>
      </w:r>
      <w:r w:rsidR="00900A80">
        <w:t xml:space="preserve">finds that there has been misconduct by a financial service provider and makes an </w:t>
      </w:r>
      <w:r w:rsidR="001225B5">
        <w:t xml:space="preserve">award in their favour. </w:t>
      </w:r>
    </w:p>
    <w:p w14:paraId="552359CD" w14:textId="13C17A50" w:rsidR="00751D96" w:rsidRDefault="00751D96" w:rsidP="00F47A93">
      <w:r>
        <w:t xml:space="preserve">The </w:t>
      </w:r>
      <w:r w:rsidR="00487651" w:rsidRPr="00487651">
        <w:t>Final Report</w:t>
      </w:r>
      <w:r w:rsidR="00487651">
        <w:t xml:space="preserve"> of the</w:t>
      </w:r>
      <w:r>
        <w:t xml:space="preserve"> </w:t>
      </w:r>
      <w:r w:rsidRPr="00487651">
        <w:rPr>
          <w:i/>
        </w:rPr>
        <w:t>Royal Commission into Misconduct in the Banking, Superannuation and Financial Services Industry</w:t>
      </w:r>
      <w:r>
        <w:t xml:space="preserve"> (Royal Commission) recommendation 7.1 stated that the Government should establish a CSLR consistent with the</w:t>
      </w:r>
      <w:r w:rsidRPr="007E2CB5">
        <w:t xml:space="preserve"> </w:t>
      </w:r>
      <w:r>
        <w:t>Ramsay Review</w:t>
      </w:r>
      <w:r w:rsidRPr="007E2CB5">
        <w:t>.</w:t>
      </w:r>
    </w:p>
    <w:p w14:paraId="2F6BD381" w14:textId="0E13EE94" w:rsidR="00751D96" w:rsidRDefault="00751D96" w:rsidP="00F47A93">
      <w:r>
        <w:t xml:space="preserve">In its response to the Royal Commission, the Government </w:t>
      </w:r>
      <w:r w:rsidR="001225B5">
        <w:t xml:space="preserve">committed to establishing </w:t>
      </w:r>
      <w:r w:rsidR="002E4502">
        <w:t xml:space="preserve">a forward looking CSLR </w:t>
      </w:r>
      <w:r w:rsidR="001225B5">
        <w:t>by December 2020</w:t>
      </w:r>
      <w:r w:rsidR="002E4502">
        <w:t xml:space="preserve">. </w:t>
      </w:r>
      <w:r w:rsidR="00D609C0">
        <w:t xml:space="preserve">The </w:t>
      </w:r>
      <w:r w:rsidR="001225B5">
        <w:t xml:space="preserve">CSLR </w:t>
      </w:r>
      <w:r w:rsidR="00D609C0">
        <w:t xml:space="preserve">will also compensate </w:t>
      </w:r>
      <w:r w:rsidR="001225B5">
        <w:t xml:space="preserve">consumers and small businesses that have </w:t>
      </w:r>
      <w:r w:rsidR="00D609C0">
        <w:t xml:space="preserve">an unpaid determination from </w:t>
      </w:r>
      <w:r w:rsidR="00D855DD">
        <w:t>Australian Financial Complaints Authority (</w:t>
      </w:r>
      <w:r w:rsidR="00D609C0">
        <w:t>AFCA</w:t>
      </w:r>
      <w:r w:rsidR="00D855DD">
        <w:t>)</w:t>
      </w:r>
      <w:r w:rsidR="00D609C0">
        <w:t xml:space="preserve"> (made under AFCA’s rules) after 1 November 2018. </w:t>
      </w:r>
    </w:p>
    <w:p w14:paraId="3742DCE9" w14:textId="4458937F" w:rsidR="00AC6374" w:rsidRDefault="002E4502" w:rsidP="002E4502">
      <w:r>
        <w:t>T</w:t>
      </w:r>
      <w:r w:rsidR="001225B5">
        <w:t>he CSLR will be industry-funded, operated by AFCA, extend beyond personal advice failures and have design features consistent with the recommendations of the Ramsay Review</w:t>
      </w:r>
      <w:r w:rsidR="00B53BC8">
        <w:t xml:space="preserve">. </w:t>
      </w:r>
    </w:p>
    <w:p w14:paraId="6020AF10" w14:textId="09AC4208" w:rsidR="00DD7517" w:rsidRDefault="0023663C" w:rsidP="00120E46">
      <w:r>
        <w:t xml:space="preserve">The purpose of this discussion paper </w:t>
      </w:r>
      <w:r w:rsidR="001570E3">
        <w:t xml:space="preserve">and consultation process </w:t>
      </w:r>
      <w:r>
        <w:t xml:space="preserve">is to </w:t>
      </w:r>
      <w:r w:rsidR="00B24F0B">
        <w:t xml:space="preserve">further explore and </w:t>
      </w:r>
      <w:r>
        <w:t xml:space="preserve">seek views on </w:t>
      </w:r>
      <w:r w:rsidR="00B24F0B">
        <w:t>four aspects of</w:t>
      </w:r>
      <w:r w:rsidR="00F47A93">
        <w:t xml:space="preserve"> the </w:t>
      </w:r>
      <w:r>
        <w:t>CSLR.</w:t>
      </w:r>
      <w:r w:rsidR="00B24F0B">
        <w:t xml:space="preserve"> These four aspects are:</w:t>
      </w:r>
    </w:p>
    <w:p w14:paraId="306DD7C4" w14:textId="5DD88C48" w:rsidR="00B24F0B" w:rsidRDefault="00AF529F" w:rsidP="00D77BB2">
      <w:pPr>
        <w:pStyle w:val="Bullet"/>
        <w:tabs>
          <w:tab w:val="clear" w:pos="1985"/>
          <w:tab w:val="num" w:pos="567"/>
        </w:tabs>
        <w:ind w:left="567"/>
      </w:pPr>
      <w:r>
        <w:t>c</w:t>
      </w:r>
      <w:r w:rsidR="00B24F0B">
        <w:t>overage</w:t>
      </w:r>
      <w:r>
        <w:t>,</w:t>
      </w:r>
      <w:r w:rsidR="00B24F0B">
        <w:t xml:space="preserve"> beyond personal advice</w:t>
      </w:r>
      <w:r w:rsidR="00D609C0">
        <w:t>;</w:t>
      </w:r>
    </w:p>
    <w:p w14:paraId="3ABEC400" w14:textId="1E267A82" w:rsidR="00B24F0B" w:rsidRDefault="00B24F0B" w:rsidP="00D77BB2">
      <w:pPr>
        <w:pStyle w:val="Bullet"/>
        <w:tabs>
          <w:tab w:val="clear" w:pos="1985"/>
          <w:tab w:val="num" w:pos="567"/>
        </w:tabs>
        <w:ind w:left="567"/>
      </w:pPr>
      <w:r>
        <w:t>funding arrangements</w:t>
      </w:r>
      <w:r w:rsidR="00D609C0">
        <w:t>;</w:t>
      </w:r>
    </w:p>
    <w:p w14:paraId="677DF6E6" w14:textId="1A63939A" w:rsidR="00AF529F" w:rsidRDefault="00AF529F" w:rsidP="00D77BB2">
      <w:pPr>
        <w:pStyle w:val="Bullet"/>
        <w:tabs>
          <w:tab w:val="clear" w:pos="1985"/>
          <w:tab w:val="num" w:pos="567"/>
        </w:tabs>
        <w:ind w:left="567"/>
      </w:pPr>
      <w:r>
        <w:t>compensation to be paid</w:t>
      </w:r>
      <w:r w:rsidR="00D609C0">
        <w:t>;</w:t>
      </w:r>
      <w:r w:rsidR="00AE0856">
        <w:t xml:space="preserve"> and</w:t>
      </w:r>
    </w:p>
    <w:p w14:paraId="2BDDAF00" w14:textId="509ABC4D" w:rsidR="00AF529F" w:rsidRDefault="009C31A7" w:rsidP="00D77BB2">
      <w:pPr>
        <w:pStyle w:val="Bullet"/>
        <w:tabs>
          <w:tab w:val="clear" w:pos="1985"/>
          <w:tab w:val="num" w:pos="567"/>
        </w:tabs>
        <w:ind w:left="567"/>
      </w:pPr>
      <w:r>
        <w:t>managing scheme evolution</w:t>
      </w:r>
      <w:r w:rsidR="00D609C0">
        <w:t>.</w:t>
      </w:r>
    </w:p>
    <w:p w14:paraId="17516DBA" w14:textId="74739AB4" w:rsidR="00AE67BC" w:rsidRDefault="001570E3" w:rsidP="00120E46">
      <w:r>
        <w:t xml:space="preserve">Matters outside of the scope of this consultation process </w:t>
      </w:r>
      <w:r w:rsidR="009C31A7">
        <w:t>include</w:t>
      </w:r>
      <w:r>
        <w:t xml:space="preserve"> the decision to establish a CSLR and alternatives</w:t>
      </w:r>
      <w:r w:rsidR="009C31A7">
        <w:t>,</w:t>
      </w:r>
      <w:r>
        <w:t xml:space="preserve"> including </w:t>
      </w:r>
      <w:r w:rsidR="00C0101D">
        <w:t xml:space="preserve">changes to professional indemnity insurance </w:t>
      </w:r>
      <w:r w:rsidR="00705CC2">
        <w:t xml:space="preserve">and </w:t>
      </w:r>
      <w:r w:rsidR="001B12F7">
        <w:t xml:space="preserve">the </w:t>
      </w:r>
      <w:r w:rsidR="00705CC2">
        <w:t xml:space="preserve">adequacy of financial resources </w:t>
      </w:r>
      <w:r w:rsidR="00C0101D">
        <w:t>obligations of Australian financial service</w:t>
      </w:r>
      <w:r w:rsidR="001B12F7">
        <w:t>s</w:t>
      </w:r>
      <w:r w:rsidR="00C0101D">
        <w:t xml:space="preserve"> licensees.</w:t>
      </w:r>
    </w:p>
    <w:p w14:paraId="0042508A" w14:textId="5792E59A" w:rsidR="009745A0" w:rsidRDefault="009745A0" w:rsidP="00120E46">
      <w:r>
        <w:t xml:space="preserve">Submissions in response to this discussion paper should be provided by close of business </w:t>
      </w:r>
      <w:r w:rsidR="00E42924">
        <w:t>7 </w:t>
      </w:r>
      <w:r>
        <w:t>February</w:t>
      </w:r>
      <w:r w:rsidR="00D855DD">
        <w:t> </w:t>
      </w:r>
      <w:r>
        <w:t>2020</w:t>
      </w:r>
      <w:r w:rsidR="00E42924">
        <w:t xml:space="preserve">. </w:t>
      </w:r>
    </w:p>
    <w:p w14:paraId="24B96706" w14:textId="16C5CC5B" w:rsidR="00120E46" w:rsidRDefault="00E07CA0" w:rsidP="00120E46">
      <w:r>
        <w:t>Consultation will be undertaken in mid-2020 on Exposure Draft legislation to establish the CSLR</w:t>
      </w:r>
      <w:r w:rsidR="00E42924">
        <w:t xml:space="preserve"> by December 2020</w:t>
      </w:r>
      <w:r w:rsidR="00EB3EB2">
        <w:t>.</w:t>
      </w:r>
    </w:p>
    <w:p w14:paraId="548B842C" w14:textId="501E8402" w:rsidR="00120E46" w:rsidRDefault="00120E46" w:rsidP="00120E46"/>
    <w:p w14:paraId="3DBB2DAC" w14:textId="77777777" w:rsidR="00120E46" w:rsidRDefault="00120E46" w:rsidP="00120E46"/>
    <w:p w14:paraId="06A35BD7" w14:textId="77777777" w:rsidR="00120E46" w:rsidRDefault="00120E46" w:rsidP="00120E46">
      <w:pPr>
        <w:sectPr w:rsidR="00120E46" w:rsidSect="004D0E4D">
          <w:pgSz w:w="11906" w:h="16838" w:code="9"/>
          <w:pgMar w:top="1418" w:right="1418" w:bottom="1418" w:left="1418" w:header="709" w:footer="709" w:gutter="0"/>
          <w:cols w:space="708"/>
          <w:docGrid w:linePitch="360"/>
        </w:sectPr>
      </w:pPr>
    </w:p>
    <w:p w14:paraId="215B30C6" w14:textId="1F577878" w:rsidR="005D455C" w:rsidRDefault="00AE67BC" w:rsidP="005D455C">
      <w:pPr>
        <w:pStyle w:val="Heading1"/>
      </w:pPr>
      <w:bookmarkStart w:id="66" w:name="_Toc27149159"/>
      <w:bookmarkStart w:id="67" w:name="_Toc27353665"/>
      <w:bookmarkStart w:id="68" w:name="_Toc27381698"/>
      <w:bookmarkStart w:id="69" w:name="_Toc27400911"/>
      <w:bookmarkStart w:id="70" w:name="_Toc27414041"/>
      <w:bookmarkStart w:id="71" w:name="_Toc27415328"/>
      <w:bookmarkStart w:id="72" w:name="_Toc27469271"/>
      <w:bookmarkStart w:id="73" w:name="_Toc27471850"/>
      <w:bookmarkStart w:id="74" w:name="_Toc27474859"/>
      <w:bookmarkStart w:id="75" w:name="_Toc27478283"/>
      <w:bookmarkStart w:id="76" w:name="_Toc27478837"/>
      <w:bookmarkStart w:id="77" w:name="_Toc27490019"/>
      <w:bookmarkStart w:id="78" w:name="_Toc27491034"/>
      <w:bookmarkStart w:id="79" w:name="_Toc27492727"/>
      <w:bookmarkStart w:id="80" w:name="_Toc27646218"/>
      <w:bookmarkStart w:id="81" w:name="_Toc27646253"/>
      <w:bookmarkStart w:id="82" w:name="_Toc27650465"/>
      <w:r>
        <w:lastRenderedPageBreak/>
        <w:t>Background</w:t>
      </w:r>
      <w:bookmarkEnd w:id="27"/>
      <w:bookmarkEnd w:id="28"/>
      <w:bookmarkEnd w:id="29"/>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79B5475E" w14:textId="523E3511" w:rsidR="00226431" w:rsidRPr="00226431" w:rsidRDefault="00787C48" w:rsidP="00226431">
      <w:r>
        <w:t xml:space="preserve">This section </w:t>
      </w:r>
      <w:r w:rsidR="009D0594">
        <w:t>briefly recaps</w:t>
      </w:r>
      <w:r w:rsidR="00226431" w:rsidDel="00787C48">
        <w:t xml:space="preserve"> the background </w:t>
      </w:r>
      <w:r w:rsidR="009D0594">
        <w:t>to</w:t>
      </w:r>
      <w:r w:rsidR="00246DC9">
        <w:t xml:space="preserve"> establishing a CSLR and outlines </w:t>
      </w:r>
      <w:r w:rsidR="00FE42E8">
        <w:t xml:space="preserve">the </w:t>
      </w:r>
      <w:r w:rsidR="00AE0856">
        <w:t xml:space="preserve">relevant aspects of </w:t>
      </w:r>
      <w:r w:rsidR="00AB4B24">
        <w:t>the Ramsay Review and the Government’s response to the Royal Commission</w:t>
      </w:r>
      <w:r w:rsidR="00AE0856">
        <w:t xml:space="preserve"> that will inform the discussion in the remainder of the paper</w:t>
      </w:r>
      <w:r w:rsidR="00AB4B24">
        <w:t xml:space="preserve">. </w:t>
      </w:r>
    </w:p>
    <w:p w14:paraId="76594507" w14:textId="4A8BE0C4" w:rsidR="005B7DB6" w:rsidRDefault="005B7DB6" w:rsidP="007F51F8">
      <w:pPr>
        <w:pStyle w:val="Heading3"/>
      </w:pPr>
      <w:bookmarkStart w:id="83" w:name="_Toc26967606"/>
      <w:bookmarkStart w:id="84" w:name="_Toc26975031"/>
      <w:bookmarkStart w:id="85" w:name="_Toc26979138"/>
      <w:bookmarkStart w:id="86" w:name="_Toc27149160"/>
      <w:bookmarkStart w:id="87" w:name="_Toc27353666"/>
      <w:bookmarkStart w:id="88" w:name="_Toc27381699"/>
      <w:bookmarkStart w:id="89" w:name="_Toc27400912"/>
      <w:bookmarkStart w:id="90" w:name="_Toc27414042"/>
      <w:bookmarkStart w:id="91" w:name="_Toc27415329"/>
      <w:bookmarkStart w:id="92" w:name="_Toc27469272"/>
      <w:bookmarkStart w:id="93" w:name="_Toc27471851"/>
      <w:bookmarkStart w:id="94" w:name="_Toc27474860"/>
      <w:bookmarkStart w:id="95" w:name="_Toc27478284"/>
      <w:bookmarkStart w:id="96" w:name="_Toc27478838"/>
      <w:bookmarkStart w:id="97" w:name="_Toc27490020"/>
      <w:bookmarkStart w:id="98" w:name="_Toc27491035"/>
      <w:bookmarkStart w:id="99" w:name="_Toc27492728"/>
      <w:bookmarkStart w:id="100" w:name="_Toc27646219"/>
      <w:bookmarkStart w:id="101" w:name="_Toc27646254"/>
      <w:bookmarkStart w:id="102" w:name="_Toc27650466"/>
      <w:r>
        <w:t>Ramsay Review</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0DED4220" w14:textId="4A07A96D" w:rsidR="00215DC4" w:rsidRDefault="00215DC4" w:rsidP="007F51F8">
      <w:pPr>
        <w:pStyle w:val="Heading4"/>
      </w:pPr>
      <w:bookmarkStart w:id="103" w:name="_Toc26967607"/>
      <w:bookmarkStart w:id="104" w:name="_Toc26975032"/>
      <w:bookmarkStart w:id="105" w:name="_Toc26979139"/>
      <w:r>
        <w:t>Overview</w:t>
      </w:r>
      <w:bookmarkEnd w:id="103"/>
      <w:bookmarkEnd w:id="104"/>
      <w:bookmarkEnd w:id="105"/>
      <w:r>
        <w:t xml:space="preserve"> </w:t>
      </w:r>
    </w:p>
    <w:p w14:paraId="2ED24A88" w14:textId="41F44701" w:rsidR="0063164C" w:rsidRDefault="006709C8" w:rsidP="005B7DB6">
      <w:r>
        <w:t>In line with Terms of Reference amended on 2 February 2019, t</w:t>
      </w:r>
      <w:r w:rsidR="00F47A93">
        <w:t>he Ramsay Review</w:t>
      </w:r>
      <w:r w:rsidR="005B7DB6">
        <w:t xml:space="preserve"> made recommendations on the </w:t>
      </w:r>
      <w:r w:rsidR="0063164C">
        <w:t xml:space="preserve">establishment, </w:t>
      </w:r>
      <w:r w:rsidR="005B7DB6">
        <w:t xml:space="preserve">merits and </w:t>
      </w:r>
      <w:r w:rsidR="0063164C">
        <w:t xml:space="preserve">potential </w:t>
      </w:r>
      <w:r w:rsidR="005B7DB6">
        <w:t xml:space="preserve">design of a </w:t>
      </w:r>
      <w:r w:rsidR="007F51F8">
        <w:t>CSLR</w:t>
      </w:r>
      <w:r w:rsidR="005B7DB6">
        <w:t xml:space="preserve">. </w:t>
      </w:r>
      <w:r w:rsidR="0063164C">
        <w:t xml:space="preserve">The </w:t>
      </w:r>
      <w:r w:rsidR="00005CF7">
        <w:t>Ramsay</w:t>
      </w:r>
      <w:r w:rsidR="0063164C">
        <w:t xml:space="preserve"> Review Supplementary Final Report was finalised on 6 September 2017 and presented to the Government.</w:t>
      </w:r>
    </w:p>
    <w:p w14:paraId="71B5BAE3" w14:textId="7641D679" w:rsidR="00215DC4" w:rsidRDefault="00215DC4" w:rsidP="007F51F8">
      <w:pPr>
        <w:pStyle w:val="Heading4"/>
      </w:pPr>
      <w:bookmarkStart w:id="106" w:name="_Toc26967608"/>
      <w:bookmarkStart w:id="107" w:name="_Toc26975033"/>
      <w:bookmarkStart w:id="108" w:name="_Toc26979140"/>
      <w:r>
        <w:t>Key principles</w:t>
      </w:r>
      <w:bookmarkEnd w:id="106"/>
      <w:bookmarkEnd w:id="107"/>
      <w:bookmarkEnd w:id="108"/>
      <w:r>
        <w:t xml:space="preserve"> </w:t>
      </w:r>
    </w:p>
    <w:p w14:paraId="3321CC34" w14:textId="682E27C5" w:rsidR="00215DC4" w:rsidRDefault="00215DC4" w:rsidP="005B7DB6">
      <w:r>
        <w:t>The key principles guiding the Ramsay Review</w:t>
      </w:r>
      <w:r w:rsidR="008F5305">
        <w:t>, underpinning the review’s recommendations for</w:t>
      </w:r>
      <w:r>
        <w:t xml:space="preserve"> the design of the CSLR</w:t>
      </w:r>
      <w:r w:rsidR="00684042">
        <w:t>,</w:t>
      </w:r>
      <w:r>
        <w:t xml:space="preserve"> are: </w:t>
      </w:r>
    </w:p>
    <w:p w14:paraId="798AEAFD" w14:textId="7C575DCE" w:rsidR="00215DC4" w:rsidRDefault="00215DC4" w:rsidP="00705829">
      <w:pPr>
        <w:pStyle w:val="Bullet"/>
        <w:tabs>
          <w:tab w:val="clear" w:pos="1985"/>
          <w:tab w:val="num" w:pos="567"/>
        </w:tabs>
        <w:ind w:left="567"/>
      </w:pPr>
      <w:r w:rsidRPr="007A3B1B">
        <w:rPr>
          <w:b/>
        </w:rPr>
        <w:t>Efficiency:</w:t>
      </w:r>
      <w:r w:rsidR="00684042">
        <w:t xml:space="preserve"> A</w:t>
      </w:r>
      <w:r>
        <w:t>ny framework should provide outcomes in an efficient manner. This requires ensuring the framework possesses adequate coverage, powers, remedies, resources (that is, funding and skilled staff) to enable issues to be resolved quickly and with a minimum of resources.</w:t>
      </w:r>
    </w:p>
    <w:p w14:paraId="66C4FBF5" w14:textId="67FBB7F4" w:rsidR="00215DC4" w:rsidRPr="00F316CD" w:rsidRDefault="007A3B1B" w:rsidP="00705829">
      <w:pPr>
        <w:pStyle w:val="Bullet"/>
        <w:tabs>
          <w:tab w:val="clear" w:pos="1985"/>
          <w:tab w:val="num" w:pos="567"/>
        </w:tabs>
        <w:ind w:left="567"/>
        <w:rPr>
          <w:b/>
        </w:rPr>
      </w:pPr>
      <w:r>
        <w:rPr>
          <w:b/>
        </w:rPr>
        <w:t xml:space="preserve">Equity: </w:t>
      </w:r>
      <w:r w:rsidRPr="007A3B1B">
        <w:t>Individuals should be treated fairly and be able to easily access any framework.</w:t>
      </w:r>
      <w:r>
        <w:rPr>
          <w:b/>
        </w:rPr>
        <w:t xml:space="preserve"> </w:t>
      </w:r>
    </w:p>
    <w:p w14:paraId="2C7F7D1E" w14:textId="18990396" w:rsidR="00215DC4" w:rsidRPr="007A3B1B" w:rsidRDefault="007A3B1B" w:rsidP="00705829">
      <w:pPr>
        <w:pStyle w:val="Bullet"/>
        <w:tabs>
          <w:tab w:val="clear" w:pos="1985"/>
          <w:tab w:val="num" w:pos="567"/>
        </w:tabs>
        <w:ind w:left="567"/>
        <w:rPr>
          <w:b/>
        </w:rPr>
      </w:pPr>
      <w:r>
        <w:rPr>
          <w:b/>
        </w:rPr>
        <w:t xml:space="preserve">Complexity: </w:t>
      </w:r>
      <w:r>
        <w:t xml:space="preserve">Any framework should have minimal complexity. It must be easy to navigate and use, with a focus on informality. </w:t>
      </w:r>
    </w:p>
    <w:p w14:paraId="1B94CF28" w14:textId="7461078C" w:rsidR="00215DC4" w:rsidRPr="007A3B1B" w:rsidRDefault="00215DC4" w:rsidP="00705829">
      <w:pPr>
        <w:pStyle w:val="Bullet"/>
        <w:tabs>
          <w:tab w:val="clear" w:pos="1985"/>
          <w:tab w:val="num" w:pos="567"/>
        </w:tabs>
        <w:ind w:left="567"/>
        <w:rPr>
          <w:b/>
        </w:rPr>
      </w:pPr>
      <w:r w:rsidRPr="007A3B1B">
        <w:rPr>
          <w:b/>
        </w:rPr>
        <w:t>Transparency</w:t>
      </w:r>
      <w:r w:rsidR="007A3B1B">
        <w:rPr>
          <w:b/>
        </w:rPr>
        <w:t xml:space="preserve">: </w:t>
      </w:r>
      <w:r w:rsidR="007A3B1B">
        <w:t xml:space="preserve">Any framework should be transparent and open. Users should have access to appropriately tailored information, including about what outcomes they can reasonably expect from the process. </w:t>
      </w:r>
      <w:r w:rsidRPr="007A3B1B">
        <w:rPr>
          <w:b/>
        </w:rPr>
        <w:t xml:space="preserve"> </w:t>
      </w:r>
    </w:p>
    <w:p w14:paraId="33A7D1E7" w14:textId="02855A98" w:rsidR="00215DC4" w:rsidRPr="007A3B1B" w:rsidRDefault="00215DC4" w:rsidP="00705829">
      <w:pPr>
        <w:pStyle w:val="Bullet"/>
        <w:tabs>
          <w:tab w:val="clear" w:pos="1985"/>
          <w:tab w:val="num" w:pos="567"/>
        </w:tabs>
        <w:ind w:left="567"/>
        <w:rPr>
          <w:b/>
        </w:rPr>
      </w:pPr>
      <w:r w:rsidRPr="007A3B1B">
        <w:rPr>
          <w:b/>
        </w:rPr>
        <w:t>Accountability</w:t>
      </w:r>
      <w:r w:rsidR="007A3B1B">
        <w:rPr>
          <w:b/>
        </w:rPr>
        <w:t xml:space="preserve">: </w:t>
      </w:r>
      <w:r w:rsidR="007A3B1B" w:rsidRPr="007A3B1B">
        <w:t>Relevant information should be made publicly available</w:t>
      </w:r>
      <w:r w:rsidR="007A3B1B" w:rsidRPr="00F83000">
        <w:t xml:space="preserve">. </w:t>
      </w:r>
      <w:r w:rsidRPr="00F83000">
        <w:t xml:space="preserve"> </w:t>
      </w:r>
      <w:r w:rsidR="00F83000" w:rsidRPr="00F83000">
        <w:t>There should also be scope for periodic independent reviews and responses to these reviews.</w:t>
      </w:r>
      <w:r w:rsidR="00F83000">
        <w:rPr>
          <w:b/>
        </w:rPr>
        <w:t xml:space="preserve"> </w:t>
      </w:r>
    </w:p>
    <w:p w14:paraId="0F3AE341" w14:textId="6BBD900B" w:rsidR="00215DC4" w:rsidRPr="007A3B1B" w:rsidRDefault="00215DC4" w:rsidP="00705829">
      <w:pPr>
        <w:pStyle w:val="Bullet"/>
        <w:tabs>
          <w:tab w:val="clear" w:pos="1985"/>
          <w:tab w:val="num" w:pos="567"/>
        </w:tabs>
        <w:ind w:left="567"/>
        <w:rPr>
          <w:b/>
        </w:rPr>
      </w:pPr>
      <w:r w:rsidRPr="007A3B1B">
        <w:rPr>
          <w:b/>
        </w:rPr>
        <w:t>Comparability of outcomes</w:t>
      </w:r>
      <w:r w:rsidR="00F83000">
        <w:rPr>
          <w:b/>
        </w:rPr>
        <w:t xml:space="preserve">: </w:t>
      </w:r>
      <w:r w:rsidR="00F83000" w:rsidRPr="00F83000">
        <w:t>Any framework should ensure that individuals receive comparable outcomes, both procedurally and substantively.</w:t>
      </w:r>
      <w:r w:rsidR="00F83000">
        <w:rPr>
          <w:b/>
        </w:rPr>
        <w:t xml:space="preserve"> </w:t>
      </w:r>
      <w:r w:rsidRPr="007A3B1B">
        <w:rPr>
          <w:b/>
        </w:rPr>
        <w:t xml:space="preserve"> </w:t>
      </w:r>
    </w:p>
    <w:p w14:paraId="16E28CAD" w14:textId="28981FBE" w:rsidR="007F51F8" w:rsidRPr="007F51F8" w:rsidRDefault="00215DC4" w:rsidP="00705829">
      <w:pPr>
        <w:pStyle w:val="Bullet"/>
        <w:tabs>
          <w:tab w:val="clear" w:pos="1985"/>
          <w:tab w:val="num" w:pos="567"/>
        </w:tabs>
        <w:ind w:left="567"/>
        <w:rPr>
          <w:b/>
        </w:rPr>
      </w:pPr>
      <w:r w:rsidRPr="007A3B1B">
        <w:rPr>
          <w:b/>
        </w:rPr>
        <w:t>Regulatory costs</w:t>
      </w:r>
      <w:r w:rsidR="00F83000">
        <w:rPr>
          <w:b/>
        </w:rPr>
        <w:t xml:space="preserve">: </w:t>
      </w:r>
      <w:r w:rsidR="00F83000" w:rsidRPr="00F83000">
        <w:t>The regulatory settings should, as appropriate, utilise market forces and avoid creating moral hazards. The framework should impose the minimum amount of regulatory costs necessary to ensure effective user outcomes. These costs should, where appropriate, be borne by those who create the requirement for regulation, with incentives for costs to be minimised.</w:t>
      </w:r>
      <w:r w:rsidR="00F83000">
        <w:rPr>
          <w:b/>
        </w:rPr>
        <w:t xml:space="preserve"> </w:t>
      </w:r>
      <w:r w:rsidRPr="007A3B1B">
        <w:rPr>
          <w:b/>
        </w:rPr>
        <w:t xml:space="preserve"> </w:t>
      </w:r>
    </w:p>
    <w:p w14:paraId="295DF838" w14:textId="2BBA604E" w:rsidR="00F316CD" w:rsidRDefault="005F647C" w:rsidP="007F51F8">
      <w:pPr>
        <w:pStyle w:val="Heading4"/>
      </w:pPr>
      <w:bookmarkStart w:id="109" w:name="_Toc26975034"/>
      <w:bookmarkStart w:id="110" w:name="_Toc26979141"/>
      <w:r>
        <w:t>Key r</w:t>
      </w:r>
      <w:r w:rsidR="008711B9">
        <w:t>ecommendations</w:t>
      </w:r>
      <w:bookmarkEnd w:id="109"/>
      <w:bookmarkEnd w:id="110"/>
    </w:p>
    <w:p w14:paraId="424AFB84" w14:textId="035FC90B" w:rsidR="00CB392C" w:rsidRDefault="0063164C" w:rsidP="00760BA0">
      <w:r>
        <w:t>T</w:t>
      </w:r>
      <w:r w:rsidR="00093513">
        <w:t>he Ramsay Review made three</w:t>
      </w:r>
      <w:r w:rsidR="0051215E">
        <w:t xml:space="preserve"> </w:t>
      </w:r>
      <w:r w:rsidR="00093513">
        <w:t>recommendations</w:t>
      </w:r>
      <w:r w:rsidR="00331DC4">
        <w:t xml:space="preserve"> on the establishment of a CSLR</w:t>
      </w:r>
      <w:r w:rsidR="008C261D">
        <w:t>, which can be found at A</w:t>
      </w:r>
      <w:r w:rsidR="00512F19">
        <w:t>ppendix</w:t>
      </w:r>
      <w:r w:rsidR="000754B2">
        <w:t xml:space="preserve"> 1</w:t>
      </w:r>
      <w:r w:rsidR="008C261D">
        <w:t xml:space="preserve">. </w:t>
      </w:r>
      <w:r w:rsidR="004250F3">
        <w:t>Relevant recommendations relating to this consultation process and the design of a CSLR are</w:t>
      </w:r>
      <w:r w:rsidR="00CB392C">
        <w:t xml:space="preserve"> the following: </w:t>
      </w:r>
    </w:p>
    <w:p w14:paraId="38295558" w14:textId="57DB6C2A" w:rsidR="00CB392C" w:rsidRDefault="00983DEF" w:rsidP="00D87845">
      <w:pPr>
        <w:pStyle w:val="ListParagraph"/>
        <w:numPr>
          <w:ilvl w:val="0"/>
          <w:numId w:val="32"/>
        </w:numPr>
        <w:spacing w:before="120" w:after="120"/>
        <w:ind w:left="567" w:hanging="283"/>
      </w:pPr>
      <w:r>
        <w:t xml:space="preserve">A CSLR should be funded by financial firms engaged in the types of financial services covered by a CSLR (initially, specified types of financial advice). </w:t>
      </w:r>
    </w:p>
    <w:p w14:paraId="70D2D562" w14:textId="77777777" w:rsidR="001F4C8A" w:rsidRDefault="00983DEF" w:rsidP="00D87845">
      <w:pPr>
        <w:pStyle w:val="ListParagraph"/>
        <w:numPr>
          <w:ilvl w:val="0"/>
          <w:numId w:val="32"/>
        </w:numPr>
        <w:spacing w:before="120" w:after="120"/>
        <w:ind w:left="567" w:hanging="283"/>
      </w:pPr>
      <w:r>
        <w:t xml:space="preserve">A CSLR should be ex-ante funded; that is, financial firms should be required to contribute to a CSLR from its outset. This ensures </w:t>
      </w:r>
      <w:r w:rsidR="001F4C8A">
        <w:t>that those financial firms whose actions give rise to uncompensated losses are required to contribute to a CSLR.</w:t>
      </w:r>
    </w:p>
    <w:p w14:paraId="23C214B6" w14:textId="6D173C89" w:rsidR="001F4C8A" w:rsidRDefault="001F4C8A" w:rsidP="00D87845">
      <w:pPr>
        <w:pStyle w:val="ListParagraph"/>
        <w:numPr>
          <w:ilvl w:val="0"/>
          <w:numId w:val="32"/>
        </w:numPr>
        <w:spacing w:before="120" w:after="120"/>
        <w:ind w:left="567" w:hanging="283"/>
      </w:pPr>
      <w:r>
        <w:lastRenderedPageBreak/>
        <w:t xml:space="preserve">The Government should work with industry to develop an appropriate mechanism, such as a levy, to fund a CSLR. </w:t>
      </w:r>
    </w:p>
    <w:p w14:paraId="6A9E3E06" w14:textId="77777777" w:rsidR="001F4C8A" w:rsidRDefault="001F4C8A" w:rsidP="00D87845">
      <w:pPr>
        <w:pStyle w:val="ListParagraph"/>
        <w:numPr>
          <w:ilvl w:val="0"/>
          <w:numId w:val="32"/>
        </w:numPr>
        <w:spacing w:before="120" w:after="120"/>
        <w:ind w:left="567" w:hanging="283"/>
      </w:pPr>
      <w:r>
        <w:t xml:space="preserve">Comprehensive modelling should be undertaken to estimate the likely costs associated with a CSLR and the funding mechanism should reflect the outcome of this modelling exercise. </w:t>
      </w:r>
    </w:p>
    <w:p w14:paraId="2511DB69" w14:textId="76E561E5" w:rsidR="001F4C8A" w:rsidRDefault="001F4C8A" w:rsidP="00D87845">
      <w:pPr>
        <w:pStyle w:val="ListParagraph"/>
        <w:numPr>
          <w:ilvl w:val="0"/>
          <w:numId w:val="32"/>
        </w:numPr>
        <w:spacing w:before="120" w:after="120"/>
        <w:ind w:left="567" w:hanging="283"/>
      </w:pPr>
      <w:r>
        <w:t>The funding mechanism should be designed to minimise the vol</w:t>
      </w:r>
      <w:r w:rsidR="009E32EC">
        <w:t>atility in funding requirements;</w:t>
      </w:r>
      <w:r>
        <w:t xml:space="preserve"> that is, it should be designed to minimise the need for a CSLR to raise additional ad-hoc funding to meet its obligations. </w:t>
      </w:r>
    </w:p>
    <w:p w14:paraId="45FBF94D" w14:textId="074F50BE" w:rsidR="001F4C8A" w:rsidRDefault="001F4C8A" w:rsidP="00D87845">
      <w:pPr>
        <w:pStyle w:val="ListParagraph"/>
        <w:numPr>
          <w:ilvl w:val="0"/>
          <w:numId w:val="32"/>
        </w:numPr>
        <w:spacing w:before="120" w:after="120"/>
        <w:ind w:left="567" w:hanging="283"/>
      </w:pPr>
      <w:r>
        <w:t xml:space="preserve">The funding mechanism should be designed in a manner that does not result in a substantial lessening of competition amongst financial firms, while ensuring that all firms providing the types of financial services covered by a CSLR make an appropriate level of contribution to a CSLR. </w:t>
      </w:r>
    </w:p>
    <w:p w14:paraId="69EA6758" w14:textId="0D858FFD" w:rsidR="001F4C8A" w:rsidRDefault="001F4C8A" w:rsidP="00D87845">
      <w:pPr>
        <w:pStyle w:val="ListParagraph"/>
        <w:numPr>
          <w:ilvl w:val="0"/>
          <w:numId w:val="32"/>
        </w:numPr>
        <w:spacing w:before="120" w:after="120"/>
        <w:ind w:left="567" w:hanging="283"/>
      </w:pPr>
      <w:r>
        <w:t xml:space="preserve">A CSLR should be provided with sufficient funding to allow it to raise community awareness about its existence. </w:t>
      </w:r>
    </w:p>
    <w:p w14:paraId="24A03DA5" w14:textId="400598F2" w:rsidR="00760BA0" w:rsidRDefault="00CB392C" w:rsidP="00D87845">
      <w:pPr>
        <w:pStyle w:val="ListParagraph"/>
        <w:numPr>
          <w:ilvl w:val="0"/>
          <w:numId w:val="32"/>
        </w:numPr>
        <w:spacing w:before="120" w:after="120"/>
        <w:ind w:left="567" w:hanging="283"/>
      </w:pPr>
      <w:r>
        <w:t>A compensation cap, aligned to AFCA’s, should apply. The CSLR should set limits on the level and types of legal costs that are recoverable.</w:t>
      </w:r>
    </w:p>
    <w:p w14:paraId="5B8BBEA5" w14:textId="37C12952" w:rsidR="00F316CD" w:rsidRPr="009A7428" w:rsidRDefault="00F316CD" w:rsidP="00786794">
      <w:pPr>
        <w:pStyle w:val="Heading3"/>
      </w:pPr>
      <w:bookmarkStart w:id="111" w:name="_Toc26975035"/>
      <w:bookmarkStart w:id="112" w:name="_Toc26979142"/>
      <w:bookmarkStart w:id="113" w:name="_Toc27149161"/>
      <w:bookmarkStart w:id="114" w:name="_Toc27353667"/>
      <w:bookmarkStart w:id="115" w:name="_Toc27381700"/>
      <w:bookmarkStart w:id="116" w:name="_Toc27400913"/>
      <w:bookmarkStart w:id="117" w:name="_Toc27414043"/>
      <w:bookmarkStart w:id="118" w:name="_Toc27415330"/>
      <w:bookmarkStart w:id="119" w:name="_Toc27469273"/>
      <w:bookmarkStart w:id="120" w:name="_Toc27471852"/>
      <w:bookmarkStart w:id="121" w:name="_Toc27474861"/>
      <w:bookmarkStart w:id="122" w:name="_Toc27478285"/>
      <w:bookmarkStart w:id="123" w:name="_Toc27478839"/>
      <w:bookmarkStart w:id="124" w:name="_Toc27490021"/>
      <w:bookmarkStart w:id="125" w:name="_Toc27491036"/>
      <w:bookmarkStart w:id="126" w:name="_Toc27492729"/>
      <w:bookmarkStart w:id="127" w:name="_Toc27646220"/>
      <w:bookmarkStart w:id="128" w:name="_Toc27646255"/>
      <w:bookmarkStart w:id="129" w:name="_Toc27650467"/>
      <w:r w:rsidRPr="009A7428">
        <w:t>Royal Commission</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3F9820E9" w14:textId="73B49E36" w:rsidR="009827A9" w:rsidRPr="009A7428" w:rsidRDefault="004B2880" w:rsidP="009827A9">
      <w:r w:rsidRPr="009A7428">
        <w:t xml:space="preserve">The </w:t>
      </w:r>
      <w:r w:rsidR="004250F3">
        <w:t xml:space="preserve">Final Report of the </w:t>
      </w:r>
      <w:r w:rsidRPr="009A7428">
        <w:t xml:space="preserve">Royal Commission agreed with the recommendations of the Ramsay Review, including those made about </w:t>
      </w:r>
      <w:r w:rsidR="004250F3">
        <w:t xml:space="preserve">the </w:t>
      </w:r>
      <w:r w:rsidRPr="009A7428">
        <w:t>design of a CSLR</w:t>
      </w:r>
      <w:r w:rsidR="004250F3">
        <w:t>,</w:t>
      </w:r>
      <w:r w:rsidRPr="009A7428">
        <w:t xml:space="preserve"> and stated that the approach proposed by the </w:t>
      </w:r>
      <w:r w:rsidR="004250F3">
        <w:t xml:space="preserve">review </w:t>
      </w:r>
      <w:r w:rsidRPr="009A7428">
        <w:t xml:space="preserve">panel should be followed. </w:t>
      </w:r>
    </w:p>
    <w:p w14:paraId="1CA66290" w14:textId="3AD42832" w:rsidR="00F316CD" w:rsidRPr="009A7428" w:rsidRDefault="00F316CD" w:rsidP="00786794">
      <w:pPr>
        <w:pStyle w:val="Heading3"/>
      </w:pPr>
      <w:bookmarkStart w:id="130" w:name="_Toc26975036"/>
      <w:bookmarkStart w:id="131" w:name="_Toc26979143"/>
      <w:bookmarkStart w:id="132" w:name="_Toc27149162"/>
      <w:bookmarkStart w:id="133" w:name="_Toc27353668"/>
      <w:bookmarkStart w:id="134" w:name="_Toc27381701"/>
      <w:bookmarkStart w:id="135" w:name="_Toc27400914"/>
      <w:bookmarkStart w:id="136" w:name="_Toc27414044"/>
      <w:bookmarkStart w:id="137" w:name="_Toc27415331"/>
      <w:bookmarkStart w:id="138" w:name="_Toc27469274"/>
      <w:bookmarkStart w:id="139" w:name="_Toc27471853"/>
      <w:bookmarkStart w:id="140" w:name="_Toc27474862"/>
      <w:bookmarkStart w:id="141" w:name="_Toc27478286"/>
      <w:bookmarkStart w:id="142" w:name="_Toc27478840"/>
      <w:bookmarkStart w:id="143" w:name="_Toc27490022"/>
      <w:bookmarkStart w:id="144" w:name="_Toc27491037"/>
      <w:bookmarkStart w:id="145" w:name="_Toc27492730"/>
      <w:bookmarkStart w:id="146" w:name="_Toc27646221"/>
      <w:bookmarkStart w:id="147" w:name="_Toc27646256"/>
      <w:bookmarkStart w:id="148" w:name="_Toc27650468"/>
      <w:r w:rsidRPr="009A7428">
        <w:t>Government Response</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7AF9B20B" w14:textId="3CC5AB83" w:rsidR="009B6F50" w:rsidRDefault="0083511F" w:rsidP="00F316CD">
      <w:r w:rsidRPr="009A7428">
        <w:t xml:space="preserve">In its response to the Royal Commission, the Government committed to improving consumer and small business access to redress, including by implementing a CSLR. </w:t>
      </w:r>
    </w:p>
    <w:p w14:paraId="361FF74B" w14:textId="6D5EDD2E" w:rsidR="00F316CD" w:rsidRPr="009A7428" w:rsidRDefault="0083511F" w:rsidP="00F316CD">
      <w:r w:rsidRPr="009A7428">
        <w:t>Specifically, t</w:t>
      </w:r>
      <w:r w:rsidR="00F316CD" w:rsidRPr="009A7428">
        <w:t>he Government’s response to the Royal Commission</w:t>
      </w:r>
      <w:r w:rsidR="00DD77CB">
        <w:t xml:space="preserve">, </w:t>
      </w:r>
      <w:r w:rsidR="00F316CD" w:rsidRPr="009A7428">
        <w:t xml:space="preserve">and </w:t>
      </w:r>
      <w:r w:rsidR="00FD4886">
        <w:t xml:space="preserve">Government’s </w:t>
      </w:r>
      <w:r w:rsidR="00F316CD" w:rsidRPr="009A7428">
        <w:t>Implementation Roadmap committed to:</w:t>
      </w:r>
    </w:p>
    <w:p w14:paraId="035ECEF1" w14:textId="713DAC6B" w:rsidR="00F316CD" w:rsidRPr="009A7428" w:rsidRDefault="00F316CD" w:rsidP="00D87845">
      <w:pPr>
        <w:pStyle w:val="Bullet"/>
        <w:tabs>
          <w:tab w:val="clear" w:pos="1985"/>
          <w:tab w:val="num" w:pos="567"/>
        </w:tabs>
        <w:ind w:left="567"/>
      </w:pPr>
      <w:r w:rsidRPr="009A7428">
        <w:t xml:space="preserve">Establishment of an industry-funded </w:t>
      </w:r>
      <w:r w:rsidR="00331DC4">
        <w:t>forward looking</w:t>
      </w:r>
      <w:r w:rsidRPr="009A7428">
        <w:t xml:space="preserve"> CSLR for consumer and small business complaints to be operated by the Australian Financial Complaints Authority (AFCA);</w:t>
      </w:r>
    </w:p>
    <w:p w14:paraId="6735AD18" w14:textId="37812B0B" w:rsidR="00F316CD" w:rsidRPr="009A7428" w:rsidRDefault="00F316CD" w:rsidP="00D87845">
      <w:pPr>
        <w:pStyle w:val="Bullet"/>
        <w:tabs>
          <w:tab w:val="clear" w:pos="1985"/>
          <w:tab w:val="num" w:pos="567"/>
        </w:tabs>
        <w:ind w:left="567"/>
      </w:pPr>
      <w:r w:rsidRPr="009A7428">
        <w:t>Extending the scheme beyond personal advice failure; and</w:t>
      </w:r>
    </w:p>
    <w:p w14:paraId="113E5EBE" w14:textId="72CF0977" w:rsidR="00F316CD" w:rsidRPr="009A7428" w:rsidRDefault="00F316CD" w:rsidP="00D87845">
      <w:pPr>
        <w:pStyle w:val="Bullet"/>
        <w:tabs>
          <w:tab w:val="clear" w:pos="1985"/>
          <w:tab w:val="num" w:pos="567"/>
        </w:tabs>
        <w:ind w:left="567"/>
      </w:pPr>
      <w:r w:rsidRPr="009A7428">
        <w:t>Establishing the scheme by no later than December 2020</w:t>
      </w:r>
      <w:r w:rsidR="00331DC4">
        <w:t>,</w:t>
      </w:r>
      <w:r w:rsidRPr="009A7428">
        <w:t xml:space="preserve"> but covering unpaid determinations </w:t>
      </w:r>
      <w:r w:rsidR="00FD4886">
        <w:t xml:space="preserve">made under AFCA’s Rules </w:t>
      </w:r>
      <w:r w:rsidRPr="009A7428">
        <w:t xml:space="preserve">from 1 November 2018. </w:t>
      </w:r>
    </w:p>
    <w:p w14:paraId="7538EE48" w14:textId="33F58B08" w:rsidR="005A1CE6" w:rsidRDefault="00766A45" w:rsidP="005A1CE6">
      <w:pPr>
        <w:pStyle w:val="Heading3"/>
      </w:pPr>
      <w:bookmarkStart w:id="149" w:name="_Toc27149163"/>
      <w:bookmarkStart w:id="150" w:name="_Toc27353669"/>
      <w:bookmarkStart w:id="151" w:name="_Toc27381702"/>
      <w:bookmarkStart w:id="152" w:name="_Toc27400915"/>
      <w:bookmarkStart w:id="153" w:name="_Toc27414045"/>
      <w:bookmarkStart w:id="154" w:name="_Toc27415332"/>
      <w:bookmarkStart w:id="155" w:name="_Toc27469275"/>
      <w:bookmarkStart w:id="156" w:name="_Toc27471854"/>
      <w:bookmarkStart w:id="157" w:name="_Toc27474863"/>
      <w:bookmarkStart w:id="158" w:name="_Toc27478287"/>
      <w:bookmarkStart w:id="159" w:name="_Toc27478841"/>
      <w:bookmarkStart w:id="160" w:name="_Toc27490023"/>
      <w:bookmarkStart w:id="161" w:name="_Toc27491038"/>
      <w:bookmarkStart w:id="162" w:name="_Toc27492731"/>
      <w:bookmarkStart w:id="163" w:name="_Toc27646222"/>
      <w:bookmarkStart w:id="164" w:name="_Toc27646257"/>
      <w:bookmarkStart w:id="165" w:name="_Toc27650469"/>
      <w:bookmarkStart w:id="166" w:name="_Toc26975037"/>
      <w:bookmarkStart w:id="167" w:name="_Toc26979144"/>
      <w:r>
        <w:t>Unpaid determinations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5ED18C02" w14:textId="5354BEC3" w:rsidR="004E1E72" w:rsidRDefault="00C951C7" w:rsidP="00D87845">
      <w:r>
        <w:t>The</w:t>
      </w:r>
      <w:r w:rsidR="00D62CAE">
        <w:t xml:space="preserve"> </w:t>
      </w:r>
      <w:r w:rsidR="00005CF7">
        <w:t>Ramsay</w:t>
      </w:r>
      <w:r w:rsidR="00D62CAE">
        <w:t xml:space="preserve"> Review</w:t>
      </w:r>
      <w:r>
        <w:t xml:space="preserve"> found</w:t>
      </w:r>
      <w:r w:rsidR="00D62CAE">
        <w:t xml:space="preserve"> the activity contributing the largest share of</w:t>
      </w:r>
      <w:r w:rsidR="00532472" w:rsidRPr="00D00990">
        <w:t xml:space="preserve"> unpaid determinations </w:t>
      </w:r>
      <w:r>
        <w:t>was</w:t>
      </w:r>
      <w:r w:rsidR="00D62CAE">
        <w:t xml:space="preserve"> financial advice.</w:t>
      </w:r>
      <w:r w:rsidR="008C7597">
        <w:rPr>
          <w:rStyle w:val="FootnoteReference"/>
        </w:rPr>
        <w:footnoteReference w:id="2"/>
      </w:r>
      <w:r w:rsidR="00D62CAE">
        <w:t xml:space="preserve"> </w:t>
      </w:r>
      <w:r w:rsidRPr="00CF1608">
        <w:t>Recent data provided by AFCA also indicated the highest contributor to unpaid determinations was financial advice</w:t>
      </w:r>
      <w:r w:rsidR="004E1E72" w:rsidRPr="00CF1608">
        <w:t xml:space="preserve"> (based on value of determinations),</w:t>
      </w:r>
      <w:r w:rsidRPr="00CF1608">
        <w:t xml:space="preserve"> with </w:t>
      </w:r>
      <w:r w:rsidR="005A4FCF" w:rsidRPr="00CF1608">
        <w:t xml:space="preserve">a significant </w:t>
      </w:r>
      <w:r w:rsidRPr="00CF1608">
        <w:t xml:space="preserve">portion arising from investments (such as managed investment schemes) and </w:t>
      </w:r>
      <w:r w:rsidR="005A4FCF" w:rsidRPr="00CF1608">
        <w:t xml:space="preserve">a </w:t>
      </w:r>
      <w:r w:rsidR="004E1E72" w:rsidRPr="00CF1608">
        <w:t>lower</w:t>
      </w:r>
      <w:r w:rsidR="005A4FCF" w:rsidRPr="00CF1608">
        <w:t xml:space="preserve"> portion arising from the provision of </w:t>
      </w:r>
      <w:r w:rsidRPr="00CF1608">
        <w:t>credit.</w:t>
      </w:r>
    </w:p>
    <w:p w14:paraId="1D8695F0" w14:textId="283D2797" w:rsidR="00BE22B0" w:rsidRDefault="00AE613B" w:rsidP="00270AC7">
      <w:pPr>
        <w:spacing w:after="200" w:line="276" w:lineRule="auto"/>
      </w:pPr>
      <w:r>
        <w:t xml:space="preserve">The Ramsay Review </w:t>
      </w:r>
      <w:r w:rsidR="002510E5">
        <w:t>referenced modelling done by Grant Thornton and the Financial Services Council</w:t>
      </w:r>
      <w:r w:rsidR="00144EF4">
        <w:t xml:space="preserve"> (FSC)</w:t>
      </w:r>
      <w:r w:rsidR="002510E5">
        <w:t xml:space="preserve"> which attempted to forecast the cost of establishing a CSLR. The modelling conducted by Grant Thornton </w:t>
      </w:r>
      <w:r w:rsidR="00C951C7">
        <w:t>estimated</w:t>
      </w:r>
      <w:r w:rsidR="002510E5">
        <w:t xml:space="preserve"> modest costs with levies decreasing after the initial establishment of the scheme. The modelling provided by the </w:t>
      </w:r>
      <w:r w:rsidR="00C951C7">
        <w:t>FSC</w:t>
      </w:r>
      <w:r w:rsidR="002510E5">
        <w:t xml:space="preserve"> predicted much higher costs based on different event scenarios. These included, normal operating events, a major loss such as a recession or large firm </w:t>
      </w:r>
      <w:r w:rsidR="002510E5">
        <w:lastRenderedPageBreak/>
        <w:t>failure and a catastrophe reflecting a major industry failure. Contrary to the modelling conducted by Grant Thornton, the FSC predicted the costs of the CSLR would increase over 20 years.</w:t>
      </w:r>
      <w:r w:rsidR="008C7597">
        <w:rPr>
          <w:rStyle w:val="FootnoteReference"/>
        </w:rPr>
        <w:footnoteReference w:id="3"/>
      </w:r>
    </w:p>
    <w:p w14:paraId="2663984D" w14:textId="6BD753FD" w:rsidR="00EC2F18" w:rsidRDefault="00BE22B0" w:rsidP="00270AC7">
      <w:pPr>
        <w:spacing w:after="200" w:line="276" w:lineRule="auto"/>
      </w:pPr>
      <w:r>
        <w:t>As highlighted by the FSC, i</w:t>
      </w:r>
      <w:r w:rsidR="00D41143">
        <w:t xml:space="preserve">t is </w:t>
      </w:r>
      <w:r w:rsidR="005A1CE6">
        <w:t xml:space="preserve">acknowledged </w:t>
      </w:r>
      <w:r w:rsidR="001E789A">
        <w:t xml:space="preserve">that </w:t>
      </w:r>
      <w:r w:rsidR="008C7597">
        <w:t xml:space="preserve">in the future the CSLR could be impacted by </w:t>
      </w:r>
      <w:r w:rsidR="005A1CE6">
        <w:t>large losses</w:t>
      </w:r>
      <w:r w:rsidR="008C7597">
        <w:t xml:space="preserve"> and thus the CSLR needs to be design</w:t>
      </w:r>
      <w:r w:rsidR="000D0559">
        <w:t>ed</w:t>
      </w:r>
      <w:r w:rsidR="008C7597">
        <w:t xml:space="preserve"> to manage such losses</w:t>
      </w:r>
      <w:r w:rsidR="005A1CE6">
        <w:t>.</w:t>
      </w:r>
    </w:p>
    <w:p w14:paraId="5E6AEDC9" w14:textId="740779FA" w:rsidR="00532472" w:rsidRDefault="00532472" w:rsidP="00532472">
      <w:pPr>
        <w:spacing w:after="200" w:line="276" w:lineRule="auto"/>
      </w:pPr>
      <w:r>
        <w:t>The Ramsay Review</w:t>
      </w:r>
      <w:r w:rsidR="00BE22B0">
        <w:t xml:space="preserve"> also</w:t>
      </w:r>
      <w:r w:rsidR="009E32EC">
        <w:t xml:space="preserve"> found that the past practic</w:t>
      </w:r>
      <w:r>
        <w:t>es of AFCA’s predecessor schemes</w:t>
      </w:r>
      <w:r w:rsidR="00D32BA5">
        <w:t>, the Financial Ombudsman Scheme</w:t>
      </w:r>
      <w:r>
        <w:t xml:space="preserve"> (FOS</w:t>
      </w:r>
      <w:r w:rsidR="00D32BA5">
        <w:t>)</w:t>
      </w:r>
      <w:r>
        <w:t xml:space="preserve"> and </w:t>
      </w:r>
      <w:r w:rsidR="00D32BA5">
        <w:t>the Credit and Investment</w:t>
      </w:r>
      <w:r w:rsidR="001D1074">
        <w:t>s</w:t>
      </w:r>
      <w:r w:rsidR="00D32BA5">
        <w:t xml:space="preserve"> Ombudsman</w:t>
      </w:r>
      <w:r>
        <w:t xml:space="preserve"> </w:t>
      </w:r>
      <w:r w:rsidR="00D32BA5">
        <w:t>(</w:t>
      </w:r>
      <w:r>
        <w:t>CIO)</w:t>
      </w:r>
      <w:r w:rsidR="001D1074">
        <w:t>,</w:t>
      </w:r>
      <w:r>
        <w:t xml:space="preserve"> would have meant that a number of determinations would not have been made where the firm was insolvent at the time. This is a result of the predecessor schemes terms of reference which did not address any disputes relating to firms that were insolvent.</w:t>
      </w:r>
      <w:r w:rsidR="00EF1679">
        <w:rPr>
          <w:rStyle w:val="FootnoteReference"/>
        </w:rPr>
        <w:footnoteReference w:id="4"/>
      </w:r>
      <w:r>
        <w:t xml:space="preserve"> As a result, the level of unpaid determinations in the future may be higher than the level experienced in past and current schemes.</w:t>
      </w:r>
    </w:p>
    <w:p w14:paraId="5FA61ED3" w14:textId="75273107" w:rsidR="005A1CE6" w:rsidRDefault="001D1074" w:rsidP="005A1CE6">
      <w:pPr>
        <w:spacing w:after="200" w:line="276" w:lineRule="auto"/>
      </w:pPr>
      <w:r>
        <w:t xml:space="preserve">The </w:t>
      </w:r>
      <w:r w:rsidR="00005CF7">
        <w:t>Ramsay</w:t>
      </w:r>
      <w:r>
        <w:t xml:space="preserve"> Review recommended that</w:t>
      </w:r>
      <w:r w:rsidR="00747382">
        <w:t xml:space="preserve"> eligible court and tribunal decisions </w:t>
      </w:r>
      <w:r>
        <w:t>should</w:t>
      </w:r>
      <w:r w:rsidR="00747382">
        <w:t xml:space="preserve"> be captured under the CSLR.</w:t>
      </w:r>
      <w:r w:rsidR="00EF1679">
        <w:rPr>
          <w:rStyle w:val="FootnoteReference"/>
        </w:rPr>
        <w:footnoteReference w:id="5"/>
      </w:r>
      <w:r w:rsidR="00747382">
        <w:t xml:space="preserve"> There is </w:t>
      </w:r>
      <w:r w:rsidR="007C780E">
        <w:t>currently no collated</w:t>
      </w:r>
      <w:r w:rsidR="00747382">
        <w:t xml:space="preserve"> data </w:t>
      </w:r>
      <w:r w:rsidR="004F6E7E">
        <w:t>on</w:t>
      </w:r>
      <w:r w:rsidR="00747382">
        <w:t xml:space="preserve"> the number and amounts of court and </w:t>
      </w:r>
      <w:r w:rsidR="004F6E7E">
        <w:t xml:space="preserve">tribunal determinations that remain </w:t>
      </w:r>
      <w:r w:rsidR="00747382">
        <w:t xml:space="preserve">unpaid. This inhibits the ability to </w:t>
      </w:r>
      <w:r w:rsidR="004F6E7E">
        <w:t>estimate</w:t>
      </w:r>
      <w:r w:rsidR="00747382">
        <w:t xml:space="preserve"> the </w:t>
      </w:r>
      <w:r w:rsidR="004F6E7E">
        <w:t xml:space="preserve">number and </w:t>
      </w:r>
      <w:r w:rsidR="00747382">
        <w:t xml:space="preserve">quantum of unpaid </w:t>
      </w:r>
      <w:r w:rsidR="004F6E7E">
        <w:t xml:space="preserve">court and tribunal </w:t>
      </w:r>
      <w:r w:rsidR="00747382">
        <w:t xml:space="preserve">determinations that could impact the CSLR. </w:t>
      </w:r>
    </w:p>
    <w:bookmarkEnd w:id="30"/>
    <w:bookmarkEnd w:id="166"/>
    <w:bookmarkEnd w:id="167"/>
    <w:p w14:paraId="6F6B8507" w14:textId="77777777" w:rsidR="005D455C" w:rsidRDefault="005D455C" w:rsidP="005D455C"/>
    <w:p w14:paraId="6F956492" w14:textId="77777777" w:rsidR="004F6E7E" w:rsidRPr="005D455C" w:rsidRDefault="004F6E7E" w:rsidP="005D455C">
      <w:pPr>
        <w:sectPr w:rsidR="004F6E7E" w:rsidRPr="005D455C" w:rsidSect="00283608">
          <w:pgSz w:w="11906" w:h="16838" w:code="9"/>
          <w:pgMar w:top="1418" w:right="1418" w:bottom="1418" w:left="1418" w:header="709" w:footer="709" w:gutter="0"/>
          <w:cols w:space="708"/>
          <w:docGrid w:linePitch="360"/>
        </w:sectPr>
      </w:pPr>
    </w:p>
    <w:p w14:paraId="7077BB58" w14:textId="1984C6FC" w:rsidR="00524777" w:rsidRPr="00E20C3F" w:rsidRDefault="002B4B38" w:rsidP="00354FBB">
      <w:pPr>
        <w:pStyle w:val="Heading1"/>
      </w:pPr>
      <w:bookmarkStart w:id="168" w:name="_Toc27149164"/>
      <w:bookmarkStart w:id="169" w:name="_Toc27353670"/>
      <w:bookmarkStart w:id="170" w:name="_Toc27381703"/>
      <w:bookmarkStart w:id="171" w:name="_Toc27400916"/>
      <w:bookmarkStart w:id="172" w:name="_Toc27414046"/>
      <w:bookmarkStart w:id="173" w:name="_Toc27415333"/>
      <w:bookmarkStart w:id="174" w:name="_Toc27469276"/>
      <w:bookmarkStart w:id="175" w:name="_Toc27471855"/>
      <w:bookmarkStart w:id="176" w:name="_Toc27474864"/>
      <w:bookmarkStart w:id="177" w:name="_Toc27478288"/>
      <w:bookmarkStart w:id="178" w:name="_Toc27478842"/>
      <w:bookmarkStart w:id="179" w:name="_Toc27490024"/>
      <w:bookmarkStart w:id="180" w:name="_Toc27491039"/>
      <w:bookmarkStart w:id="181" w:name="_Toc27492732"/>
      <w:bookmarkStart w:id="182" w:name="_Toc27646223"/>
      <w:bookmarkStart w:id="183" w:name="_Toc27646258"/>
      <w:bookmarkStart w:id="184" w:name="_Toc27650470"/>
      <w:bookmarkStart w:id="185" w:name="_Toc26967612"/>
      <w:bookmarkStart w:id="186" w:name="_Toc26975042"/>
      <w:bookmarkStart w:id="187" w:name="_Toc26979149"/>
      <w:r>
        <w:lastRenderedPageBreak/>
        <w:t>Coverage, beyond personal advice</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35A340AE" w14:textId="489A2C63" w:rsidR="00E46BB9" w:rsidRDefault="007169F5" w:rsidP="00ED3EB1">
      <w:pPr>
        <w:pStyle w:val="Heading2"/>
      </w:pPr>
      <w:bookmarkStart w:id="188" w:name="_Toc27149165"/>
      <w:bookmarkStart w:id="189" w:name="_Toc27353671"/>
      <w:bookmarkStart w:id="190" w:name="_Toc27381704"/>
      <w:bookmarkStart w:id="191" w:name="_Toc27400917"/>
      <w:bookmarkStart w:id="192" w:name="_Toc27414047"/>
      <w:bookmarkStart w:id="193" w:name="_Toc27415334"/>
      <w:bookmarkStart w:id="194" w:name="_Toc27469277"/>
      <w:bookmarkStart w:id="195" w:name="_Toc27471856"/>
      <w:bookmarkStart w:id="196" w:name="_Toc27474865"/>
      <w:bookmarkStart w:id="197" w:name="_Toc27478289"/>
      <w:bookmarkStart w:id="198" w:name="_Toc27478843"/>
      <w:bookmarkStart w:id="199" w:name="_Toc27490025"/>
      <w:bookmarkStart w:id="200" w:name="_Toc27491040"/>
      <w:bookmarkStart w:id="201" w:name="_Toc27492733"/>
      <w:bookmarkStart w:id="202" w:name="_Toc27646224"/>
      <w:bookmarkStart w:id="203" w:name="_Toc27646259"/>
      <w:bookmarkStart w:id="204" w:name="_Toc27650471"/>
      <w:r>
        <w:t>Issue</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793DD227" w14:textId="22314B3C" w:rsidR="0091429D" w:rsidRDefault="00ED3EB1" w:rsidP="00ED3EB1">
      <w:r>
        <w:t xml:space="preserve">The </w:t>
      </w:r>
      <w:r w:rsidR="003F1149">
        <w:t>Government has committed to establishing a CSLR that provides coverage in circumstances that goes beyond the provision of personal advice</w:t>
      </w:r>
      <w:r w:rsidR="009452A3">
        <w:t>. That is, that goes beyond the recommendation of the Rams</w:t>
      </w:r>
      <w:r w:rsidR="000D0559">
        <w:t>a</w:t>
      </w:r>
      <w:r w:rsidR="009452A3">
        <w:t xml:space="preserve">y </w:t>
      </w:r>
      <w:r>
        <w:t xml:space="preserve">Review that the CSLR </w:t>
      </w:r>
      <w:r w:rsidR="000D0559">
        <w:t xml:space="preserve">initially </w:t>
      </w:r>
      <w:r>
        <w:t xml:space="preserve">cover </w:t>
      </w:r>
      <w:r w:rsidR="003F1149">
        <w:t>financial advice failures where a financial adviser has provided personal and/or general advice on relevant financial products to a consumer or small business.</w:t>
      </w:r>
      <w:r w:rsidR="0091429D">
        <w:t xml:space="preserve"> This section seeks views on the appropriate coverage of the CSLR.</w:t>
      </w:r>
    </w:p>
    <w:p w14:paraId="4F9E6193" w14:textId="77777777" w:rsidR="00777F49" w:rsidRPr="00AF541A" w:rsidRDefault="00777F49" w:rsidP="00777F49">
      <w:pPr>
        <w:pStyle w:val="Heading2"/>
      </w:pPr>
      <w:bookmarkStart w:id="205" w:name="_Toc27353672"/>
      <w:bookmarkStart w:id="206" w:name="_Toc27381705"/>
      <w:bookmarkStart w:id="207" w:name="_Toc27400918"/>
      <w:bookmarkStart w:id="208" w:name="_Toc27414048"/>
      <w:bookmarkStart w:id="209" w:name="_Toc27415335"/>
      <w:bookmarkStart w:id="210" w:name="_Toc27469278"/>
      <w:bookmarkStart w:id="211" w:name="_Toc27471857"/>
      <w:bookmarkStart w:id="212" w:name="_Toc27474866"/>
      <w:bookmarkStart w:id="213" w:name="_Toc27478290"/>
      <w:bookmarkStart w:id="214" w:name="_Toc27478844"/>
      <w:bookmarkStart w:id="215" w:name="_Toc27490026"/>
      <w:bookmarkStart w:id="216" w:name="_Toc27491041"/>
      <w:bookmarkStart w:id="217" w:name="_Toc27492734"/>
      <w:bookmarkStart w:id="218" w:name="_Toc27646225"/>
      <w:bookmarkStart w:id="219" w:name="_Toc27646260"/>
      <w:bookmarkStart w:id="220" w:name="_Toc27650472"/>
      <w:r w:rsidRPr="00AF541A">
        <w:t>Considerations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0C1E9226" w14:textId="176D6B0F" w:rsidR="00777F49" w:rsidRDefault="00CE6A22" w:rsidP="00777F49">
      <w:r>
        <w:t xml:space="preserve">Determining the </w:t>
      </w:r>
      <w:r w:rsidR="00777F49">
        <w:t xml:space="preserve">appropriate </w:t>
      </w:r>
      <w:r>
        <w:t>coverage of</w:t>
      </w:r>
      <w:r w:rsidR="00777F49">
        <w:t xml:space="preserve"> the CSLR will need to balance a number of considerations</w:t>
      </w:r>
      <w:r w:rsidR="00331DC4">
        <w:t>, including</w:t>
      </w:r>
      <w:r w:rsidR="00777F49">
        <w:t>:</w:t>
      </w:r>
    </w:p>
    <w:p w14:paraId="1797D621" w14:textId="108C63A3" w:rsidR="00777F49" w:rsidRPr="002A7CCC" w:rsidRDefault="00777F49" w:rsidP="00C321A0">
      <w:pPr>
        <w:pStyle w:val="Bullet"/>
        <w:tabs>
          <w:tab w:val="clear" w:pos="1985"/>
          <w:tab w:val="num" w:pos="567"/>
        </w:tabs>
        <w:ind w:left="567"/>
      </w:pPr>
      <w:r w:rsidRPr="00B52AD5">
        <w:rPr>
          <w:b/>
        </w:rPr>
        <w:t xml:space="preserve">Evidence of </w:t>
      </w:r>
      <w:r w:rsidR="005A112E">
        <w:rPr>
          <w:b/>
        </w:rPr>
        <w:t>uncompensated losses</w:t>
      </w:r>
      <w:r w:rsidRPr="00B52AD5">
        <w:rPr>
          <w:b/>
        </w:rPr>
        <w:t>:</w:t>
      </w:r>
      <w:r w:rsidRPr="002A7CCC">
        <w:t xml:space="preserve"> </w:t>
      </w:r>
      <w:r w:rsidR="004F3021">
        <w:t>a</w:t>
      </w:r>
      <w:r w:rsidR="0026278E">
        <w:t xml:space="preserve"> history of unpaid determinations in a particular market segment is evidence </w:t>
      </w:r>
      <w:r w:rsidR="003F1D19">
        <w:t>the CSLR should cover that segment.</w:t>
      </w:r>
    </w:p>
    <w:p w14:paraId="1664542C" w14:textId="142D4A8B" w:rsidR="005A112E" w:rsidRPr="002A7CCC" w:rsidRDefault="005A112E" w:rsidP="00C321A0">
      <w:pPr>
        <w:pStyle w:val="Bullet"/>
        <w:tabs>
          <w:tab w:val="clear" w:pos="1985"/>
          <w:tab w:val="num" w:pos="567"/>
        </w:tabs>
        <w:ind w:left="567"/>
      </w:pPr>
      <w:r w:rsidRPr="00B52AD5">
        <w:rPr>
          <w:b/>
        </w:rPr>
        <w:t xml:space="preserve">Impact of </w:t>
      </w:r>
      <w:r w:rsidR="00CE6A22">
        <w:rPr>
          <w:b/>
        </w:rPr>
        <w:t xml:space="preserve">existing </w:t>
      </w:r>
      <w:r w:rsidRPr="00B52AD5">
        <w:rPr>
          <w:b/>
        </w:rPr>
        <w:t>regulation:</w:t>
      </w:r>
      <w:r w:rsidRPr="002A7CCC">
        <w:t xml:space="preserve"> </w:t>
      </w:r>
      <w:r w:rsidR="004F3021">
        <w:t>CSLR coverage should take account of the impact of existing regulation on the likelihood that claims will be unpaid.</w:t>
      </w:r>
    </w:p>
    <w:p w14:paraId="05BA197F" w14:textId="17C95AC6" w:rsidR="005A112E" w:rsidRDefault="005F15ED" w:rsidP="00C321A0">
      <w:pPr>
        <w:pStyle w:val="Bullet"/>
        <w:tabs>
          <w:tab w:val="clear" w:pos="1985"/>
          <w:tab w:val="num" w:pos="567"/>
        </w:tabs>
        <w:ind w:left="567"/>
      </w:pPr>
      <w:r>
        <w:rPr>
          <w:b/>
        </w:rPr>
        <w:t>M</w:t>
      </w:r>
      <w:r w:rsidR="005A112E" w:rsidRPr="00B52AD5">
        <w:rPr>
          <w:b/>
        </w:rPr>
        <w:t>arket</w:t>
      </w:r>
      <w:r w:rsidR="006B3831">
        <w:rPr>
          <w:b/>
        </w:rPr>
        <w:t xml:space="preserve"> distortion</w:t>
      </w:r>
      <w:r w:rsidR="005A112E" w:rsidRPr="00B52AD5">
        <w:rPr>
          <w:b/>
        </w:rPr>
        <w:t>:</w:t>
      </w:r>
      <w:r w:rsidR="005A112E" w:rsidRPr="002A7CCC">
        <w:t xml:space="preserve"> </w:t>
      </w:r>
      <w:r w:rsidR="004F3021">
        <w:t xml:space="preserve">CSLR coverage should </w:t>
      </w:r>
      <w:r>
        <w:t xml:space="preserve">avoid market distortion to the extent feasible. </w:t>
      </w:r>
    </w:p>
    <w:p w14:paraId="3D2E15A9" w14:textId="7EEC95F9" w:rsidR="002A7CCC" w:rsidRDefault="004B7D63" w:rsidP="00C321A0">
      <w:pPr>
        <w:pStyle w:val="Bullet"/>
        <w:tabs>
          <w:tab w:val="clear" w:pos="1985"/>
          <w:tab w:val="num" w:pos="567"/>
        </w:tabs>
        <w:ind w:left="567"/>
      </w:pPr>
      <w:r>
        <w:rPr>
          <w:b/>
        </w:rPr>
        <w:t>Clarity for consumers:</w:t>
      </w:r>
      <w:r w:rsidRPr="00B52AD5">
        <w:t xml:space="preserve"> </w:t>
      </w:r>
      <w:r w:rsidR="005F15ED">
        <w:t>CSLR coverage should provide clarity for consumers.</w:t>
      </w:r>
      <w:r w:rsidR="002A7CCC">
        <w:t xml:space="preserve"> </w:t>
      </w:r>
    </w:p>
    <w:tbl>
      <w:tblPr>
        <w:tblW w:w="5000" w:type="pct"/>
        <w:shd w:val="clear" w:color="auto" w:fill="E3E7F0"/>
        <w:tblLook w:val="01E0" w:firstRow="1" w:lastRow="1" w:firstColumn="1" w:lastColumn="1" w:noHBand="0" w:noVBand="0"/>
      </w:tblPr>
      <w:tblGrid>
        <w:gridCol w:w="9070"/>
      </w:tblGrid>
      <w:tr w:rsidR="00010921" w14:paraId="6D1938C9" w14:textId="77777777" w:rsidTr="0025039B">
        <w:tc>
          <w:tcPr>
            <w:tcW w:w="5000" w:type="pct"/>
            <w:shd w:val="clear" w:color="auto" w:fill="E3E7F0"/>
          </w:tcPr>
          <w:p w14:paraId="2B3469E5" w14:textId="1FDA3D55" w:rsidR="00010921" w:rsidRPr="000553FE" w:rsidRDefault="00010921" w:rsidP="0025039B">
            <w:pPr>
              <w:pStyle w:val="BoxHeading"/>
              <w:rPr>
                <w:b w:val="0"/>
              </w:rPr>
            </w:pPr>
            <w:r>
              <w:lastRenderedPageBreak/>
              <w:t>UK experience</w:t>
            </w:r>
          </w:p>
          <w:p w14:paraId="22B51076" w14:textId="77777777" w:rsidR="00010921" w:rsidRDefault="00010921" w:rsidP="00010921">
            <w:pPr>
              <w:pStyle w:val="Bullet"/>
              <w:keepLines/>
              <w:numPr>
                <w:ilvl w:val="0"/>
                <w:numId w:val="0"/>
              </w:numPr>
            </w:pPr>
            <w:r>
              <w:t xml:space="preserve">As a point of comparison, the Financial Services Compensation Scheme (FSCS) is the United Kingdom’s statutory compensation scheme of last resort for customers of financial services firms. It is an independent body established under the </w:t>
            </w:r>
            <w:r>
              <w:rPr>
                <w:i/>
              </w:rPr>
              <w:t>Financial Services and Markets Act</w:t>
            </w:r>
            <w:r w:rsidRPr="00512BEE">
              <w:rPr>
                <w:i/>
              </w:rPr>
              <w:t xml:space="preserve"> 2000 </w:t>
            </w:r>
            <w:r>
              <w:t xml:space="preserve">(UK). Individuals and small business are eligible to make claims to the FSCS. The FSCS will pay compensation when it is satisfied that a firm is unable, or likely to be unable, to pay claims against it and therefore deemed to be ‘in default’. </w:t>
            </w:r>
          </w:p>
          <w:p w14:paraId="17453A10" w14:textId="77777777" w:rsidR="00010921" w:rsidRPr="00A430F1" w:rsidRDefault="00010921" w:rsidP="00010921">
            <w:pPr>
              <w:rPr>
                <w:rFonts w:cs="Arial"/>
                <w:iCs/>
                <w:color w:val="002C47"/>
                <w:kern w:val="32"/>
                <w:sz w:val="36"/>
                <w:szCs w:val="28"/>
              </w:rPr>
            </w:pPr>
            <w:r w:rsidRPr="009309B8">
              <w:t xml:space="preserve">The </w:t>
            </w:r>
            <w:r>
              <w:t xml:space="preserve">UK </w:t>
            </w:r>
            <w:r w:rsidRPr="009309B8">
              <w:t xml:space="preserve">FSCS covers claims </w:t>
            </w:r>
            <w:r>
              <w:t>for</w:t>
            </w:r>
            <w:r w:rsidRPr="009309B8">
              <w:t xml:space="preserve"> the following </w:t>
            </w:r>
            <w:r>
              <w:t>activities</w:t>
            </w:r>
            <w:r w:rsidRPr="009309B8">
              <w:t xml:space="preserve">: </w:t>
            </w:r>
          </w:p>
          <w:p w14:paraId="55D13E52" w14:textId="77777777" w:rsidR="00010921" w:rsidRPr="009309B8" w:rsidRDefault="00010921" w:rsidP="00C321A0">
            <w:pPr>
              <w:pStyle w:val="Bullet"/>
              <w:tabs>
                <w:tab w:val="clear" w:pos="1985"/>
                <w:tab w:val="num" w:pos="601"/>
              </w:tabs>
              <w:ind w:left="601"/>
            </w:pPr>
            <w:r w:rsidRPr="009309B8">
              <w:t xml:space="preserve">Deposits – banks, building societies and credit unions  </w:t>
            </w:r>
          </w:p>
          <w:p w14:paraId="5750A6B4" w14:textId="19C5647C" w:rsidR="00010921" w:rsidRPr="009309B8" w:rsidRDefault="00010921" w:rsidP="00C321A0">
            <w:pPr>
              <w:pStyle w:val="Bullet"/>
              <w:tabs>
                <w:tab w:val="clear" w:pos="1985"/>
                <w:tab w:val="num" w:pos="601"/>
              </w:tabs>
              <w:ind w:left="601"/>
            </w:pPr>
            <w:r w:rsidRPr="009309B8">
              <w:t>Investments –</w:t>
            </w:r>
            <w:r w:rsidR="009E32EC">
              <w:t xml:space="preserve"> </w:t>
            </w:r>
            <w:r w:rsidRPr="009309B8">
              <w:t>financial advisers and investment firms</w:t>
            </w:r>
          </w:p>
          <w:p w14:paraId="4C183C34" w14:textId="18691D1F" w:rsidR="00010921" w:rsidRPr="009309B8" w:rsidRDefault="00010921" w:rsidP="00C321A0">
            <w:pPr>
              <w:pStyle w:val="Bullet"/>
              <w:tabs>
                <w:tab w:val="clear" w:pos="1985"/>
                <w:tab w:val="num" w:pos="601"/>
              </w:tabs>
              <w:ind w:left="601"/>
            </w:pPr>
            <w:r w:rsidRPr="009309B8">
              <w:t>Insurance mediation –</w:t>
            </w:r>
            <w:r w:rsidR="009E32EC">
              <w:t xml:space="preserve"> </w:t>
            </w:r>
            <w:r w:rsidRPr="009309B8">
              <w:t>general insurance intermediaries (</w:t>
            </w:r>
            <w:r>
              <w:t xml:space="preserve">for example, </w:t>
            </w:r>
            <w:r w:rsidRPr="009309B8">
              <w:t>brokers, car dealerships)</w:t>
            </w:r>
          </w:p>
          <w:p w14:paraId="58CA778C" w14:textId="77777777" w:rsidR="00010921" w:rsidRPr="009309B8" w:rsidRDefault="00010921" w:rsidP="00C321A0">
            <w:pPr>
              <w:pStyle w:val="Bullet"/>
              <w:tabs>
                <w:tab w:val="clear" w:pos="1985"/>
                <w:tab w:val="num" w:pos="601"/>
              </w:tabs>
              <w:ind w:left="601"/>
            </w:pPr>
            <w:r w:rsidRPr="009309B8">
              <w:t>General insurance – non-compulsory (home, motor) and compulsory (CTP)</w:t>
            </w:r>
          </w:p>
          <w:p w14:paraId="6A591BD6" w14:textId="77777777" w:rsidR="00010921" w:rsidRPr="009309B8" w:rsidRDefault="00010921" w:rsidP="00C321A0">
            <w:pPr>
              <w:pStyle w:val="Bullet"/>
              <w:tabs>
                <w:tab w:val="clear" w:pos="1985"/>
                <w:tab w:val="num" w:pos="601"/>
              </w:tabs>
              <w:ind w:left="601"/>
            </w:pPr>
            <w:r w:rsidRPr="009309B8">
              <w:t xml:space="preserve">Life insurance and pensions </w:t>
            </w:r>
          </w:p>
          <w:p w14:paraId="778DC2BF" w14:textId="6657F63A" w:rsidR="00010921" w:rsidRDefault="00010921" w:rsidP="00C321A0">
            <w:pPr>
              <w:pStyle w:val="Bullet"/>
              <w:tabs>
                <w:tab w:val="clear" w:pos="1985"/>
                <w:tab w:val="num" w:pos="601"/>
              </w:tabs>
              <w:ind w:left="601"/>
            </w:pPr>
            <w:r w:rsidRPr="009309B8">
              <w:t>Home finance – covers claims agai</w:t>
            </w:r>
            <w:r>
              <w:t>nst authorised mortgage firms</w:t>
            </w:r>
          </w:p>
          <w:p w14:paraId="147509B5" w14:textId="6B6A4699" w:rsidR="00010921" w:rsidRDefault="00010921" w:rsidP="00C321A0">
            <w:pPr>
              <w:pStyle w:val="Bullet"/>
              <w:tabs>
                <w:tab w:val="clear" w:pos="1985"/>
                <w:tab w:val="num" w:pos="601"/>
              </w:tabs>
              <w:ind w:left="601"/>
            </w:pPr>
            <w:r w:rsidRPr="009309B8">
              <w:t>Debt management – covers claims against a special</w:t>
            </w:r>
            <w:r>
              <w:t>ised debt management firm</w:t>
            </w:r>
          </w:p>
          <w:p w14:paraId="14CF3B0E" w14:textId="582005C7" w:rsidR="00010921" w:rsidRPr="008950C5" w:rsidRDefault="00010921" w:rsidP="00010921">
            <w:r>
              <w:t>The UK FSCS differs significantly in scope to the proposed CSLR</w:t>
            </w:r>
            <w:r w:rsidR="009E32EC">
              <w:t>,</w:t>
            </w:r>
            <w:r>
              <w:t xml:space="preserve"> as the UK scheme encompasses all compensation schemes that pay eligible claims for both insolvency as well as misconduct. For example, the UK FSCS compensates for the same risks addressed by Australia’s Financial Claims Scheme (FCS). The FCS provides </w:t>
            </w:r>
            <w:r w:rsidR="000D0559">
              <w:t>compensation for</w:t>
            </w:r>
            <w:r>
              <w:t xml:space="preserve"> retail clients of authorised deposit-taking institutions (ADIs) and policy holders of general insurance companies </w:t>
            </w:r>
            <w:r w:rsidR="001B12F7">
              <w:t xml:space="preserve">(which are regulated by Australian Prudential Regulation Authority (APRA)) </w:t>
            </w:r>
            <w:r>
              <w:t>from certain losses due to the failure of these institutions.</w:t>
            </w:r>
            <w:r w:rsidR="005C60EE">
              <w:br/>
            </w:r>
          </w:p>
        </w:tc>
      </w:tr>
    </w:tbl>
    <w:p w14:paraId="08CF591D" w14:textId="6A61EC78" w:rsidR="00C525DA" w:rsidRDefault="00C525DA" w:rsidP="00C525DA">
      <w:pPr>
        <w:pStyle w:val="Heading2"/>
      </w:pPr>
      <w:bookmarkStart w:id="221" w:name="_Toc27353674"/>
      <w:bookmarkStart w:id="222" w:name="_Toc27381707"/>
      <w:bookmarkStart w:id="223" w:name="_Toc27400920"/>
      <w:bookmarkStart w:id="224" w:name="_Toc27414050"/>
      <w:bookmarkStart w:id="225" w:name="_Toc27415337"/>
      <w:bookmarkStart w:id="226" w:name="_Toc27469280"/>
      <w:bookmarkStart w:id="227" w:name="_Toc27471859"/>
      <w:bookmarkStart w:id="228" w:name="_Toc27474868"/>
      <w:bookmarkStart w:id="229" w:name="_Toc27478292"/>
      <w:bookmarkStart w:id="230" w:name="_Toc27478846"/>
      <w:bookmarkStart w:id="231" w:name="_Toc27490027"/>
      <w:bookmarkStart w:id="232" w:name="_Toc27491042"/>
      <w:bookmarkStart w:id="233" w:name="_Toc27492735"/>
      <w:bookmarkStart w:id="234" w:name="_Toc27646226"/>
      <w:bookmarkStart w:id="235" w:name="_Toc27646261"/>
      <w:bookmarkStart w:id="236" w:name="_Toc27650473"/>
      <w:r>
        <w:t>Discussion items</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49B9A2E4" w14:textId="69819B95" w:rsidR="00F72187" w:rsidRDefault="00572F9C" w:rsidP="003161A7">
      <w:pPr>
        <w:pStyle w:val="Heading3"/>
      </w:pPr>
      <w:bookmarkStart w:id="237" w:name="_Toc27400921"/>
      <w:bookmarkStart w:id="238" w:name="_Toc27414051"/>
      <w:bookmarkStart w:id="239" w:name="_Toc27415338"/>
      <w:bookmarkStart w:id="240" w:name="_Toc27469281"/>
      <w:bookmarkStart w:id="241" w:name="_Toc27471860"/>
      <w:bookmarkStart w:id="242" w:name="_Toc27474869"/>
      <w:bookmarkStart w:id="243" w:name="_Toc27478293"/>
      <w:bookmarkStart w:id="244" w:name="_Toc27478847"/>
      <w:bookmarkStart w:id="245" w:name="_Toc27490028"/>
      <w:bookmarkStart w:id="246" w:name="_Toc27491043"/>
      <w:bookmarkStart w:id="247" w:name="_Toc27492736"/>
      <w:bookmarkStart w:id="248" w:name="_Toc27646227"/>
      <w:bookmarkStart w:id="249" w:name="_Toc27646262"/>
      <w:bookmarkStart w:id="250" w:name="_Toc27650474"/>
      <w:r>
        <w:t>What is the appropriate coverage for the CSLR, beyond the provision of personal advice?</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31DCA458" w14:textId="7B257A84" w:rsidR="002525F8" w:rsidRDefault="002525F8" w:rsidP="009D72D7">
      <w:pPr>
        <w:pStyle w:val="Heading5"/>
      </w:pPr>
      <w:r>
        <w:t xml:space="preserve">Ramsay Review </w:t>
      </w:r>
    </w:p>
    <w:p w14:paraId="1E877DFA" w14:textId="52701B85" w:rsidR="00846E73" w:rsidRDefault="00846E73" w:rsidP="00846E73">
      <w:r>
        <w:t xml:space="preserve">The </w:t>
      </w:r>
      <w:r w:rsidR="0092269B">
        <w:t>Ramsa</w:t>
      </w:r>
      <w:r>
        <w:t>y Review considered that coverage by the CSLR should be based on the financial services provided by a financial firm rather than the type of financial firm providing the service.</w:t>
      </w:r>
      <w:r>
        <w:rPr>
          <w:rStyle w:val="FootnoteReference"/>
        </w:rPr>
        <w:footnoteReference w:id="6"/>
      </w:r>
    </w:p>
    <w:p w14:paraId="34E6B796" w14:textId="5E769874" w:rsidR="00F72187" w:rsidRDefault="00846E73" w:rsidP="00E432D5">
      <w:r>
        <w:t>In terms of coverage, t</w:t>
      </w:r>
      <w:r w:rsidR="00D123CE">
        <w:t xml:space="preserve">he </w:t>
      </w:r>
      <w:r w:rsidR="0092269B">
        <w:t>Ramsa</w:t>
      </w:r>
      <w:r w:rsidR="00D123CE">
        <w:t>y Review recommended that the CSLR initially be restricted to financial advice failures where a financial adviser (that is, a ‘relevant provider’) has provided personal and/or general advice on ‘relevant financial products’ to a consumer or small business</w:t>
      </w:r>
      <w:r w:rsidR="00A2703A">
        <w:t>.</w:t>
      </w:r>
      <w:r w:rsidR="0024744F">
        <w:rPr>
          <w:rStyle w:val="FootnoteReference"/>
        </w:rPr>
        <w:footnoteReference w:id="7"/>
      </w:r>
      <w:r w:rsidR="0024744F">
        <w:t xml:space="preserve"> </w:t>
      </w:r>
      <w:r w:rsidR="00E36C1F">
        <w:t>T</w:t>
      </w:r>
      <w:r w:rsidR="00A2703A">
        <w:t xml:space="preserve">he </w:t>
      </w:r>
      <w:r w:rsidR="0092269B">
        <w:t>Ramsa</w:t>
      </w:r>
      <w:r w:rsidR="00A2703A">
        <w:t xml:space="preserve">y Review also recommended that the CSLR be scalable </w:t>
      </w:r>
      <w:r w:rsidR="00944E2C">
        <w:t>so that it could be expanded to cover other financial and credit services should evidence of significant uncompensated losses emerge.</w:t>
      </w:r>
      <w:r w:rsidR="00944E2C">
        <w:rPr>
          <w:rStyle w:val="FootnoteReference"/>
        </w:rPr>
        <w:footnoteReference w:id="8"/>
      </w:r>
      <w:r w:rsidR="00B0076B">
        <w:t xml:space="preserve"> For the purposes of this paper, the </w:t>
      </w:r>
      <w:r w:rsidR="00005CF7">
        <w:t>Ramsay</w:t>
      </w:r>
      <w:r w:rsidR="00B0076B">
        <w:t xml:space="preserve"> Review recommendation is considered to be a ‘narrow-coverage approach’.</w:t>
      </w:r>
    </w:p>
    <w:p w14:paraId="266C0EFC" w14:textId="1FAE5DBD" w:rsidR="009D72D7" w:rsidRDefault="009D72D7" w:rsidP="0099434A">
      <w:pPr>
        <w:pStyle w:val="Heading5"/>
      </w:pPr>
      <w:r>
        <w:lastRenderedPageBreak/>
        <w:t>Experience</w:t>
      </w:r>
    </w:p>
    <w:p w14:paraId="578C337F" w14:textId="66FC0A83" w:rsidR="002525F8" w:rsidRDefault="00CF1608" w:rsidP="009D72D7">
      <w:r>
        <w:t>As noted earlier, the highest contributor to the historical value of unpaid determinations has been those associated with financial advice. Although lower than the portion attributable to financial advice, a significant portion of historic</w:t>
      </w:r>
      <w:r w:rsidR="009D72D7">
        <w:t>al</w:t>
      </w:r>
      <w:r>
        <w:t xml:space="preserve"> unpaid determinations has arisen from investments and a lower portion from the provision of credit.  </w:t>
      </w:r>
    </w:p>
    <w:p w14:paraId="599A0712" w14:textId="1F593D6B" w:rsidR="00D35598" w:rsidRDefault="00C237A6" w:rsidP="00D35598">
      <w:r>
        <w:t>O</w:t>
      </w:r>
      <w:r w:rsidR="006D0BBE">
        <w:t>ver recent years</w:t>
      </w:r>
      <w:r w:rsidR="009E32EC">
        <w:t>,</w:t>
      </w:r>
      <w:r w:rsidR="006D0BBE">
        <w:t xml:space="preserve"> t</w:t>
      </w:r>
      <w:r w:rsidR="003F0445">
        <w:t xml:space="preserve">here is no evidence of unpaid determinations </w:t>
      </w:r>
      <w:r w:rsidR="007A606D">
        <w:t xml:space="preserve">in Australia </w:t>
      </w:r>
      <w:r w:rsidR="003F0445">
        <w:t xml:space="preserve">relating to the provision of </w:t>
      </w:r>
      <w:r w:rsidR="006D0BBE">
        <w:t>prudentially regulated banking</w:t>
      </w:r>
      <w:r w:rsidR="003F0445">
        <w:t>, insurance and superannuation</w:t>
      </w:r>
      <w:r w:rsidR="006D0BBE">
        <w:t xml:space="preserve"> services to consumers and small businesses.</w:t>
      </w:r>
      <w:r w:rsidR="001F7FD1">
        <w:t xml:space="preserve"> </w:t>
      </w:r>
      <w:r w:rsidR="00D35598">
        <w:t>There is, however, evidence of prudential</w:t>
      </w:r>
      <w:r w:rsidR="00373B81">
        <w:t xml:space="preserve">ly regulated firms failing in Australia, such as the </w:t>
      </w:r>
      <w:r w:rsidR="00D35598">
        <w:t xml:space="preserve">collapses </w:t>
      </w:r>
      <w:r w:rsidR="00373B81">
        <w:t xml:space="preserve">of </w:t>
      </w:r>
      <w:r w:rsidR="00D35598">
        <w:t>HIH Insurance Group in 2001</w:t>
      </w:r>
      <w:r w:rsidR="00373B81">
        <w:t>, and g</w:t>
      </w:r>
      <w:r w:rsidR="00D35598">
        <w:t xml:space="preserve">lobally, </w:t>
      </w:r>
      <w:r w:rsidR="00373B81">
        <w:t xml:space="preserve">such as the failure of </w:t>
      </w:r>
      <w:r w:rsidR="00D35598">
        <w:t>HBOS plc in the UK</w:t>
      </w:r>
      <w:r w:rsidR="00373B81">
        <w:t>.</w:t>
      </w:r>
    </w:p>
    <w:p w14:paraId="676E5741" w14:textId="041A23D5" w:rsidR="00827328" w:rsidRDefault="00974AD6" w:rsidP="00942BEB">
      <w:pPr>
        <w:pStyle w:val="Heading5"/>
      </w:pPr>
      <w:r>
        <w:t>Existing</w:t>
      </w:r>
      <w:r w:rsidR="00827328">
        <w:t xml:space="preserve"> compensation schemes </w:t>
      </w:r>
    </w:p>
    <w:p w14:paraId="050E1D14" w14:textId="27BF0D4F" w:rsidR="00D35598" w:rsidRDefault="00D35598" w:rsidP="00D35598">
      <w:r>
        <w:t>In Australia:</w:t>
      </w:r>
    </w:p>
    <w:p w14:paraId="097E2C16" w14:textId="162514C0" w:rsidR="00D35598" w:rsidRDefault="00D35598" w:rsidP="00C321A0">
      <w:pPr>
        <w:pStyle w:val="Bullet"/>
        <w:tabs>
          <w:tab w:val="clear" w:pos="1985"/>
          <w:tab w:val="num" w:pos="567"/>
        </w:tabs>
        <w:ind w:left="567"/>
      </w:pPr>
      <w:r>
        <w:t xml:space="preserve">the </w:t>
      </w:r>
      <w:r w:rsidR="003A10E4">
        <w:t>FCS</w:t>
      </w:r>
      <w:r>
        <w:t xml:space="preserve"> operates to provide consumers with compensation in the event that a bank or insurer fails; </w:t>
      </w:r>
    </w:p>
    <w:p w14:paraId="68247A6D" w14:textId="6CDF04E4" w:rsidR="00747460" w:rsidRDefault="00747460" w:rsidP="00C321A0">
      <w:pPr>
        <w:pStyle w:val="Bullet"/>
        <w:tabs>
          <w:tab w:val="clear" w:pos="1985"/>
          <w:tab w:val="num" w:pos="567"/>
        </w:tabs>
        <w:ind w:left="567"/>
      </w:pPr>
      <w:r>
        <w:t xml:space="preserve">the National Guarantee Fund (NGF) operates to provide consumers with compensation for certain losses incurred by investors who trade in shares on the ASX; and </w:t>
      </w:r>
    </w:p>
    <w:p w14:paraId="486DF4B9" w14:textId="77777777" w:rsidR="00D35598" w:rsidRDefault="00D35598" w:rsidP="00C321A0">
      <w:pPr>
        <w:pStyle w:val="Bullet"/>
        <w:tabs>
          <w:tab w:val="clear" w:pos="1985"/>
          <w:tab w:val="num" w:pos="567"/>
        </w:tabs>
        <w:ind w:left="567"/>
      </w:pPr>
      <w:r>
        <w:t xml:space="preserve">Part 23 of the </w:t>
      </w:r>
      <w:r w:rsidRPr="00404269">
        <w:rPr>
          <w:i/>
        </w:rPr>
        <w:t xml:space="preserve">Superannuation Industry </w:t>
      </w:r>
      <w:r>
        <w:rPr>
          <w:i/>
        </w:rPr>
        <w:t>(</w:t>
      </w:r>
      <w:r w:rsidRPr="00404269">
        <w:rPr>
          <w:i/>
        </w:rPr>
        <w:t>Supervision</w:t>
      </w:r>
      <w:r>
        <w:rPr>
          <w:i/>
        </w:rPr>
        <w:t>)</w:t>
      </w:r>
      <w:r w:rsidRPr="00404269">
        <w:rPr>
          <w:i/>
        </w:rPr>
        <w:t xml:space="preserve"> Act</w:t>
      </w:r>
      <w:r>
        <w:t xml:space="preserve"> </w:t>
      </w:r>
      <w:r w:rsidRPr="00331241">
        <w:rPr>
          <w:i/>
        </w:rPr>
        <w:t>1993</w:t>
      </w:r>
      <w:r>
        <w:t xml:space="preserve"> (Cth) (SIS Act) allows for financial assistance to be granted in the event that the fund has suffered an eligible loss as a result of fraud or theft. </w:t>
      </w:r>
    </w:p>
    <w:p w14:paraId="48DB5FB8" w14:textId="5098BB1B" w:rsidR="00D35598" w:rsidRDefault="00373B81" w:rsidP="00D35598">
      <w:r>
        <w:t>T</w:t>
      </w:r>
      <w:r w:rsidR="00D35598">
        <w:t>he type of compensation covered under these schemes differs from that of the CSLR. For example, in the event that a large insurer were to fail, policyholders would be compensated under the FCS for the value of their policy, but consumers who had been missold an insurance product would not be eligible for compensation under the FCS for the insurer’s misconduct</w:t>
      </w:r>
      <w:r w:rsidR="00C237A6">
        <w:t>.</w:t>
      </w:r>
      <w:r w:rsidR="002525F8">
        <w:t xml:space="preserve"> </w:t>
      </w:r>
    </w:p>
    <w:p w14:paraId="3F57F611" w14:textId="396E22AD" w:rsidR="002525F8" w:rsidRDefault="002525F8" w:rsidP="002525F8">
      <w:r>
        <w:t>It is unlikely that there will be many circumstances where the CSLR interacts with these schemes. If a determination were to relate to claims covered by the</w:t>
      </w:r>
      <w:r w:rsidR="001C2ECB">
        <w:t>se</w:t>
      </w:r>
      <w:r>
        <w:t xml:space="preserve"> schemes, the CSLR would not pay </w:t>
      </w:r>
      <w:r w:rsidR="000962DA">
        <w:t xml:space="preserve">any </w:t>
      </w:r>
      <w:r>
        <w:t>awarded amounts that are covered by the jurisdiction of these schemes. That is, the CSLR would exclude this part of the determination</w:t>
      </w:r>
      <w:r w:rsidR="00F2461C">
        <w:t xml:space="preserve"> and only </w:t>
      </w:r>
      <w:r>
        <w:t xml:space="preserve">pay the </w:t>
      </w:r>
      <w:r w:rsidR="00D310E8">
        <w:t>residual</w:t>
      </w:r>
      <w:r>
        <w:t xml:space="preserve"> part of the determination that is solely within AFCA’s jurisdiction. The CSLR will need to develop rules and guidance on the process that will be followed in the cases where jurisdictions may overlap. </w:t>
      </w:r>
    </w:p>
    <w:p w14:paraId="0E4ED87A" w14:textId="70EF02AE" w:rsidR="002525F8" w:rsidRDefault="00BC7234" w:rsidP="0099434A">
      <w:pPr>
        <w:pStyle w:val="Heading5"/>
      </w:pPr>
      <w:r>
        <w:t>Potential approaches to coverage</w:t>
      </w:r>
      <w:r w:rsidR="009D5286">
        <w:t xml:space="preserve"> </w:t>
      </w:r>
    </w:p>
    <w:p w14:paraId="5F03E1DE" w14:textId="2799CFF6" w:rsidR="00DD1381" w:rsidRDefault="00C237A6" w:rsidP="0092269B">
      <w:r>
        <w:t>A</w:t>
      </w:r>
      <w:r w:rsidR="00B0076B">
        <w:t xml:space="preserve"> ‘mid-coverage </w:t>
      </w:r>
      <w:r w:rsidR="00E07F49">
        <w:t>approach</w:t>
      </w:r>
      <w:r w:rsidR="00B0076B">
        <w:t>’</w:t>
      </w:r>
      <w:r w:rsidR="00E07F49">
        <w:t xml:space="preserve"> to CSLR coverage </w:t>
      </w:r>
      <w:r w:rsidR="00B02EF6">
        <w:t xml:space="preserve">could be to include </w:t>
      </w:r>
      <w:r w:rsidR="00585CAE">
        <w:t xml:space="preserve">financial services that are not solely provided by prudentially regulated financial firms, such as </w:t>
      </w:r>
      <w:r w:rsidR="00E07F49">
        <w:t>distribution services</w:t>
      </w:r>
      <w:r w:rsidR="001A4860">
        <w:t xml:space="preserve"> (</w:t>
      </w:r>
      <w:r w:rsidR="00E07F49">
        <w:t xml:space="preserve">including </w:t>
      </w:r>
      <w:r w:rsidR="001A4860">
        <w:t>the provision of financial advice and brokerage services)</w:t>
      </w:r>
      <w:r w:rsidR="00BD1AD9">
        <w:t>,</w:t>
      </w:r>
      <w:r w:rsidR="00E07F49">
        <w:t xml:space="preserve"> investment </w:t>
      </w:r>
      <w:r w:rsidR="001A4860" w:rsidRPr="001A4860">
        <w:t xml:space="preserve">services </w:t>
      </w:r>
      <w:r w:rsidR="001A4860">
        <w:t xml:space="preserve">(including services </w:t>
      </w:r>
      <w:r w:rsidR="001A4860" w:rsidRPr="001A4860">
        <w:t>relating to investment in securities, managed investment schemes</w:t>
      </w:r>
      <w:r w:rsidR="000B7272">
        <w:t xml:space="preserve"> and </w:t>
      </w:r>
      <w:r w:rsidR="001A4860" w:rsidRPr="001A4860">
        <w:t>derivatives</w:t>
      </w:r>
      <w:r w:rsidR="001A4860">
        <w:t>)</w:t>
      </w:r>
      <w:r w:rsidR="00B02EF6">
        <w:t xml:space="preserve"> </w:t>
      </w:r>
      <w:r w:rsidR="00505E48">
        <w:t xml:space="preserve">or credit </w:t>
      </w:r>
      <w:r w:rsidR="00B02EF6">
        <w:t>provided to consumers and small businesses</w:t>
      </w:r>
      <w:r w:rsidR="001A4860">
        <w:t>.</w:t>
      </w:r>
      <w:r w:rsidR="0088082B">
        <w:t xml:space="preserve"> </w:t>
      </w:r>
      <w:r w:rsidR="0082397E">
        <w:t xml:space="preserve">This approach would mean that all firms engaged in the provision of these services, regardless of whether the firm itself was prudentially regulated or not, would be captured by the CSLR in respect of </w:t>
      </w:r>
      <w:r w:rsidR="00585CAE">
        <w:t xml:space="preserve">eligible services. </w:t>
      </w:r>
      <w:r w:rsidR="00005CF7">
        <w:t xml:space="preserve">For example, an </w:t>
      </w:r>
      <w:r w:rsidR="00F02460">
        <w:t xml:space="preserve">ADI </w:t>
      </w:r>
      <w:r w:rsidR="00005CF7">
        <w:t xml:space="preserve">would </w:t>
      </w:r>
      <w:r w:rsidR="00F02460">
        <w:t xml:space="preserve">be included in </w:t>
      </w:r>
      <w:r w:rsidR="007065CB">
        <w:t xml:space="preserve">the </w:t>
      </w:r>
      <w:r w:rsidR="00F02460">
        <w:t>CSLR’s scope to the extent that it engaged in non</w:t>
      </w:r>
      <w:r w:rsidR="009E32EC">
        <w:noBreakHyphen/>
      </w:r>
      <w:r w:rsidR="00F02460">
        <w:t xml:space="preserve">prudentially regulated activities </w:t>
      </w:r>
      <w:r w:rsidR="007065CB">
        <w:t xml:space="preserve">covered by the scheme </w:t>
      </w:r>
      <w:r w:rsidR="00F02460">
        <w:t xml:space="preserve">(such as the provision of credit). </w:t>
      </w:r>
      <w:r w:rsidR="007065CB">
        <w:t>In contrast</w:t>
      </w:r>
      <w:r w:rsidR="00F02460">
        <w:t>, determinations in relation to an ADI</w:t>
      </w:r>
      <w:r w:rsidR="007065CB">
        <w:t>’</w:t>
      </w:r>
      <w:r w:rsidR="00F02460">
        <w:t xml:space="preserve">s deposit-taking activities (which are prudentially regulated) would not fall within CSLR’s scope.  </w:t>
      </w:r>
    </w:p>
    <w:p w14:paraId="3034B734" w14:textId="0FBAEBF4" w:rsidR="005A0A6E" w:rsidRDefault="00B62712" w:rsidP="00E432D5">
      <w:r>
        <w:t>Th</w:t>
      </w:r>
      <w:r w:rsidR="00B0076B">
        <w:t>e mid-coverage approach</w:t>
      </w:r>
      <w:r>
        <w:t xml:space="preserve"> acknowledges that there is evidence of unpaid compensation in the provision of </w:t>
      </w:r>
      <w:r w:rsidR="000A0909">
        <w:t>covered</w:t>
      </w:r>
      <w:r>
        <w:t xml:space="preserve"> services and </w:t>
      </w:r>
      <w:r w:rsidR="00E80BF8">
        <w:t>also acknowledges that</w:t>
      </w:r>
      <w:r>
        <w:t xml:space="preserve"> </w:t>
      </w:r>
      <w:r w:rsidR="00505E48">
        <w:t xml:space="preserve">services provided by </w:t>
      </w:r>
      <w:r>
        <w:t xml:space="preserve">prudentially </w:t>
      </w:r>
      <w:r w:rsidR="00E80BF8">
        <w:t xml:space="preserve">regulated </w:t>
      </w:r>
      <w:r w:rsidR="00505E48">
        <w:t>entities</w:t>
      </w:r>
      <w:r w:rsidR="00E80BF8">
        <w:t xml:space="preserve"> are at low risk of leaving a consumer or small business with </w:t>
      </w:r>
      <w:r w:rsidR="00F47E4A">
        <w:t xml:space="preserve">unpaid </w:t>
      </w:r>
      <w:r w:rsidR="00E80BF8">
        <w:t>determination</w:t>
      </w:r>
      <w:r w:rsidR="000A0909">
        <w:t>s</w:t>
      </w:r>
      <w:r w:rsidR="00E80BF8">
        <w:t>.</w:t>
      </w:r>
      <w:r w:rsidR="00093229" w:rsidRPr="00093229">
        <w:t xml:space="preserve"> </w:t>
      </w:r>
      <w:r w:rsidR="00093229">
        <w:t xml:space="preserve">A potential criticism of </w:t>
      </w:r>
      <w:r w:rsidR="007C556F">
        <w:t>th</w:t>
      </w:r>
      <w:r w:rsidR="000A0909">
        <w:t>e mid-coverage</w:t>
      </w:r>
      <w:r w:rsidR="007C556F">
        <w:t xml:space="preserve"> approach </w:t>
      </w:r>
      <w:r w:rsidR="00093229">
        <w:t>is that consumers may be unclear as to whether the services they are receiving are covered by the CSLR or not.</w:t>
      </w:r>
    </w:p>
    <w:p w14:paraId="71DDC5AC" w14:textId="26A9D01D" w:rsidR="00715051" w:rsidDel="00823E05" w:rsidRDefault="00C237A6" w:rsidP="00E432D5">
      <w:r>
        <w:lastRenderedPageBreak/>
        <w:t>A ‘broad-coverage approach’</w:t>
      </w:r>
      <w:r w:rsidR="00715051">
        <w:t xml:space="preserve"> </w:t>
      </w:r>
      <w:r>
        <w:t xml:space="preserve">would be </w:t>
      </w:r>
      <w:r w:rsidR="00715051">
        <w:t xml:space="preserve">for CSLR coverage to apply to all activities </w:t>
      </w:r>
      <w:r>
        <w:t>that</w:t>
      </w:r>
      <w:r w:rsidR="00715051">
        <w:t xml:space="preserve"> require a financial firm to hold AFCA membership. </w:t>
      </w:r>
      <w:r w:rsidR="00B035B6">
        <w:t>This broad based approach is similar to the broad based approach used by the UK FSCS.</w:t>
      </w:r>
      <w:r w:rsidR="008F14E7">
        <w:t xml:space="preserve"> </w:t>
      </w:r>
    </w:p>
    <w:p w14:paraId="6CCA1EB0" w14:textId="16785188" w:rsidR="00BC4E9D" w:rsidRDefault="007D2770" w:rsidP="005A0A6E">
      <w:r>
        <w:t>A benefit of th</w:t>
      </w:r>
      <w:r w:rsidR="0024457A">
        <w:t>e broad-coverage</w:t>
      </w:r>
      <w:r>
        <w:t xml:space="preserve"> approach is that there would be greater </w:t>
      </w:r>
      <w:r w:rsidR="00715051">
        <w:t xml:space="preserve">protection and </w:t>
      </w:r>
      <w:r>
        <w:t>clarity for consumers</w:t>
      </w:r>
      <w:r w:rsidR="00715051">
        <w:t xml:space="preserve"> </w:t>
      </w:r>
      <w:r w:rsidR="00B035B6">
        <w:t xml:space="preserve">who would be covered under the CSLR </w:t>
      </w:r>
      <w:r w:rsidR="00715051">
        <w:t xml:space="preserve">in respect of </w:t>
      </w:r>
      <w:r w:rsidR="00093229">
        <w:t>all activities requiring a financial firm to hold AFCA membership</w:t>
      </w:r>
      <w:r w:rsidR="008F14E7">
        <w:t>, including for prudentially regulated activities</w:t>
      </w:r>
      <w:r w:rsidR="00093229">
        <w:t xml:space="preserve">. </w:t>
      </w:r>
      <w:r w:rsidR="00C91F08">
        <w:t>An additional benefit of a broader membership base is enhanced sustainability</w:t>
      </w:r>
      <w:r w:rsidR="00B035B6">
        <w:t>,</w:t>
      </w:r>
      <w:r w:rsidR="00C91F08">
        <w:t xml:space="preserve"> as large and unexpected claims cost</w:t>
      </w:r>
      <w:r w:rsidR="00B035B6">
        <w:t>s</w:t>
      </w:r>
      <w:r w:rsidR="00C91F08">
        <w:t xml:space="preserve"> can be met by a wider range of members. </w:t>
      </w:r>
      <w:r w:rsidR="00715051">
        <w:t>Criticisms of th</w:t>
      </w:r>
      <w:r w:rsidR="00A95F39">
        <w:t xml:space="preserve">e broad-coverage </w:t>
      </w:r>
      <w:r w:rsidR="00715051">
        <w:t xml:space="preserve">approach could include that it requires prudentially regulated financial firms to contribute to the CSLR when the risk of a determination relating to these services being unpaid is </w:t>
      </w:r>
      <w:r w:rsidR="00A95F39">
        <w:t>low</w:t>
      </w:r>
      <w:r w:rsidR="00715051">
        <w:t>.</w:t>
      </w:r>
    </w:p>
    <w:p w14:paraId="1A8ECA94" w14:textId="24AA60EF" w:rsidR="009D5286" w:rsidRDefault="009D5286" w:rsidP="0099434A">
      <w:pPr>
        <w:pStyle w:val="Heading5"/>
      </w:pPr>
      <w:r>
        <w:t xml:space="preserve">Exclusions from </w:t>
      </w:r>
      <w:r w:rsidR="0084092E">
        <w:t>coverage</w:t>
      </w:r>
      <w:r>
        <w:t xml:space="preserve"> </w:t>
      </w:r>
    </w:p>
    <w:p w14:paraId="5F78BC7A" w14:textId="6D53100C" w:rsidR="00CA0BDE" w:rsidRDefault="00A95F39" w:rsidP="005A0A6E">
      <w:r w:rsidRPr="00822029">
        <w:t>Irrespective of the approach to coverage, v</w:t>
      </w:r>
      <w:r w:rsidR="00D44C16" w:rsidRPr="00822029">
        <w:t xml:space="preserve">oluntary members of AFCA would be excluded </w:t>
      </w:r>
      <w:r w:rsidR="002053CF">
        <w:t xml:space="preserve">from the CSLR </w:t>
      </w:r>
      <w:r w:rsidR="00D44C16" w:rsidRPr="00822029">
        <w:t xml:space="preserve">so as to not </w:t>
      </w:r>
      <w:r w:rsidR="00F2076A">
        <w:t xml:space="preserve">discourage </w:t>
      </w:r>
      <w:r w:rsidR="0084092E">
        <w:t>them</w:t>
      </w:r>
      <w:r w:rsidR="00F2076A">
        <w:t xml:space="preserve"> from becoming </w:t>
      </w:r>
      <w:r w:rsidR="0084092E">
        <w:t>AFCA</w:t>
      </w:r>
      <w:r w:rsidR="00F2076A">
        <w:t xml:space="preserve"> member</w:t>
      </w:r>
      <w:r w:rsidR="0084092E">
        <w:t>s</w:t>
      </w:r>
      <w:r w:rsidR="00F2076A">
        <w:t xml:space="preserve">, even though they are not currently </w:t>
      </w:r>
      <w:r w:rsidR="00D44C16" w:rsidRPr="00822029">
        <w:t xml:space="preserve">compelled to </w:t>
      </w:r>
      <w:r w:rsidR="00F2076A">
        <w:t>do so</w:t>
      </w:r>
      <w:r w:rsidR="00D44C16" w:rsidRPr="00822029">
        <w:t>.</w:t>
      </w:r>
      <w:r w:rsidR="00CA0BDE" w:rsidRPr="00822029">
        <w:t xml:space="preserve"> The</w:t>
      </w:r>
      <w:r w:rsidR="00822029" w:rsidRPr="00822029">
        <w:t xml:space="preserve"> Australian financial service licensing</w:t>
      </w:r>
      <w:r w:rsidR="00CA0BDE" w:rsidRPr="00822029">
        <w:t xml:space="preserve"> </w:t>
      </w:r>
      <w:r w:rsidR="00822029" w:rsidRPr="00822029">
        <w:t>(</w:t>
      </w:r>
      <w:r w:rsidR="00CA0BDE" w:rsidRPr="00822029">
        <w:t>AFSL</w:t>
      </w:r>
      <w:r w:rsidR="00822029" w:rsidRPr="00822029">
        <w:t>)</w:t>
      </w:r>
      <w:r w:rsidR="00CA0BDE" w:rsidRPr="00822029">
        <w:t xml:space="preserve"> and</w:t>
      </w:r>
      <w:r w:rsidR="00822029" w:rsidRPr="00822029">
        <w:t xml:space="preserve"> Australian credit licensing (</w:t>
      </w:r>
      <w:r w:rsidR="00CA0BDE" w:rsidRPr="00822029">
        <w:t>ACL</w:t>
      </w:r>
      <w:r w:rsidR="00822029" w:rsidRPr="00822029">
        <w:t>)</w:t>
      </w:r>
      <w:r w:rsidR="00CA0BDE" w:rsidRPr="00822029">
        <w:t xml:space="preserve"> regimes impose upon licensees an obligation to have arrangements for providing compensation to consumers where certain losses occur.</w:t>
      </w:r>
      <w:r w:rsidR="00CA0BDE">
        <w:t xml:space="preserve"> This obligation creates for consumers a reasonable expectation that, when dealing with AFSL or ACL holders, they will receive that compensation. In contrast, where an unlicensed firm has voluntarily joined AFCA, there does not exist the same grounds for consumers to expect compensation for their losses. For example, small business lenders and debt management firms </w:t>
      </w:r>
      <w:r w:rsidR="000A6F10">
        <w:t xml:space="preserve">are not obliged to possess AFCA membership so would be considered voluntary AFCA members. </w:t>
      </w:r>
      <w:r w:rsidR="00CA0BDE">
        <w:t>In addition, d</w:t>
      </w:r>
      <w:r w:rsidR="00CA0BDE" w:rsidRPr="001E5233">
        <w:t xml:space="preserve">ue to the cost associated with CSLR membership, </w:t>
      </w:r>
      <w:r w:rsidR="00CA0BDE">
        <w:t xml:space="preserve">requiring </w:t>
      </w:r>
      <w:r w:rsidR="00CA0BDE" w:rsidRPr="001E5233">
        <w:t xml:space="preserve">voluntary members to contribute to the CSLR </w:t>
      </w:r>
      <w:r w:rsidR="00CA0BDE">
        <w:t>may result in some voluntary members</w:t>
      </w:r>
      <w:r w:rsidR="00CA0BDE" w:rsidRPr="001E5233">
        <w:t xml:space="preserve"> </w:t>
      </w:r>
      <w:r w:rsidR="00960D0C">
        <w:t xml:space="preserve">of AFCA </w:t>
      </w:r>
      <w:r w:rsidR="00CA0BDE" w:rsidRPr="001E5233">
        <w:t>ceas</w:t>
      </w:r>
      <w:r w:rsidR="00CA0BDE">
        <w:t>ing</w:t>
      </w:r>
      <w:r w:rsidR="00CA0BDE" w:rsidRPr="001E5233">
        <w:t xml:space="preserve"> their membership</w:t>
      </w:r>
      <w:r w:rsidR="00960D0C">
        <w:t>,</w:t>
      </w:r>
      <w:r w:rsidR="00CA0BDE">
        <w:t xml:space="preserve"> thus acting as a deterrent to others obtaining </w:t>
      </w:r>
      <w:r w:rsidR="00CA0BDE" w:rsidRPr="001E5233">
        <w:t>AFCA</w:t>
      </w:r>
      <w:r w:rsidR="00CA0BDE">
        <w:t xml:space="preserve"> membership</w:t>
      </w:r>
      <w:r w:rsidR="00CA0BDE" w:rsidRPr="001E5233">
        <w:t>. This would result in fewer consumers having access to</w:t>
      </w:r>
      <w:r w:rsidR="00CA0BDE" w:rsidRPr="001E5233" w:rsidDel="005418D6">
        <w:t xml:space="preserve"> </w:t>
      </w:r>
      <w:r w:rsidR="00CA0BDE">
        <w:t xml:space="preserve">a credible and </w:t>
      </w:r>
      <w:r w:rsidR="00CA0BDE" w:rsidRPr="001E5233">
        <w:t xml:space="preserve">free </w:t>
      </w:r>
      <w:r w:rsidR="00960D0C">
        <w:t>EDR</w:t>
      </w:r>
      <w:r w:rsidR="00CA0BDE">
        <w:t xml:space="preserve"> service</w:t>
      </w:r>
      <w:r w:rsidR="00CA0BDE" w:rsidRPr="001E5233">
        <w:t>.</w:t>
      </w:r>
    </w:p>
    <w:p w14:paraId="30A9744F" w14:textId="13DAFE41" w:rsidR="00785CF9" w:rsidRPr="000258DD" w:rsidRDefault="00A106F5" w:rsidP="00785CF9">
      <w:r>
        <w:t>In</w:t>
      </w:r>
      <w:r w:rsidRPr="000258DD">
        <w:t xml:space="preserve"> order to establish the scheme by December 2020, at commencement the CSLR </w:t>
      </w:r>
      <w:r w:rsidR="00125C78">
        <w:t xml:space="preserve">would </w:t>
      </w:r>
      <w:r>
        <w:t>only pay compensation in relation to unpaid determinations made under AFCA’s Rules</w:t>
      </w:r>
      <w:r w:rsidRPr="000258DD">
        <w:t xml:space="preserve">. </w:t>
      </w:r>
      <w:r w:rsidR="00785CF9">
        <w:t xml:space="preserve">Consideration of the inclusion of compensation awarded by courts and tribunal decisions on a </w:t>
      </w:r>
      <w:r w:rsidR="00C73E60">
        <w:t xml:space="preserve">forward-looking </w:t>
      </w:r>
      <w:r w:rsidR="00785CF9">
        <w:t xml:space="preserve">basis </w:t>
      </w:r>
      <w:r w:rsidR="0099434A">
        <w:t>would</w:t>
      </w:r>
      <w:r w:rsidR="00785CF9">
        <w:t xml:space="preserve"> be made three years</w:t>
      </w:r>
      <w:r w:rsidR="00785CF9" w:rsidRPr="000258DD">
        <w:t xml:space="preserve"> </w:t>
      </w:r>
      <w:r w:rsidR="0099434A">
        <w:t>after</w:t>
      </w:r>
      <w:r w:rsidR="00785CF9">
        <w:t xml:space="preserve"> </w:t>
      </w:r>
      <w:r w:rsidR="00A86DAD">
        <w:t xml:space="preserve">CSLR </w:t>
      </w:r>
      <w:r w:rsidR="00785CF9">
        <w:t>establishment</w:t>
      </w:r>
      <w:r w:rsidR="00785CF9" w:rsidRPr="000258DD">
        <w:t xml:space="preserve">, </w:t>
      </w:r>
      <w:r w:rsidR="00785CF9">
        <w:t xml:space="preserve">in the context of a </w:t>
      </w:r>
      <w:r w:rsidR="00785CF9" w:rsidRPr="000258DD">
        <w:t>post</w:t>
      </w:r>
      <w:r w:rsidR="00785CF9">
        <w:t>-</w:t>
      </w:r>
      <w:r w:rsidR="00785CF9" w:rsidRPr="000258DD">
        <w:t>implementation review.</w:t>
      </w:r>
      <w:r w:rsidR="00785CF9">
        <w:t xml:space="preserve"> </w:t>
      </w:r>
    </w:p>
    <w:p w14:paraId="4C4FE393" w14:textId="74474AE3" w:rsidR="00785CF9" w:rsidRDefault="00E95B95" w:rsidP="00A106F5">
      <w:r>
        <w:t>T</w:t>
      </w:r>
      <w:r w:rsidR="00785CF9">
        <w:t xml:space="preserve">he proposed delay in including court and tribunal decisions within </w:t>
      </w:r>
      <w:r w:rsidR="00A86DAD">
        <w:t xml:space="preserve">the </w:t>
      </w:r>
      <w:r w:rsidR="00785CF9">
        <w:t>CSLR’s scope is to en</w:t>
      </w:r>
      <w:r w:rsidR="00C73E60">
        <w:t>able</w:t>
      </w:r>
      <w:r w:rsidR="00785CF9">
        <w:t xml:space="preserve"> the Government to quantify the potential exposure on the CSLR by </w:t>
      </w:r>
      <w:r w:rsidR="00605EDE">
        <w:t>putting in place processes to obtain and analyse court and tribunal data</w:t>
      </w:r>
      <w:r w:rsidR="00785CF9">
        <w:t xml:space="preserve">. </w:t>
      </w:r>
    </w:p>
    <w:p w14:paraId="4B9E577A" w14:textId="77777777" w:rsidR="00752771" w:rsidRDefault="00752771" w:rsidP="00752771">
      <w:pPr>
        <w:pStyle w:val="Heading4"/>
      </w:pPr>
      <w:bookmarkStart w:id="251" w:name="_Toc27149168"/>
      <w:bookmarkStart w:id="252" w:name="_Toc27353675"/>
      <w:bookmarkStart w:id="253" w:name="_Toc27381708"/>
      <w:r>
        <w:t>Questions</w:t>
      </w:r>
      <w:bookmarkEnd w:id="251"/>
      <w:bookmarkEnd w:id="252"/>
      <w:bookmarkEnd w:id="253"/>
      <w:r>
        <w:t xml:space="preserve"> </w:t>
      </w:r>
    </w:p>
    <w:p w14:paraId="1EFC7754" w14:textId="4B6B0FBF" w:rsidR="0026112E" w:rsidRDefault="007A13DC" w:rsidP="00FD3FE7">
      <w:pPr>
        <w:pStyle w:val="Bullet"/>
        <w:numPr>
          <w:ilvl w:val="0"/>
          <w:numId w:val="40"/>
        </w:numPr>
        <w:tabs>
          <w:tab w:val="clear" w:pos="1985"/>
          <w:tab w:val="num" w:pos="426"/>
        </w:tabs>
        <w:ind w:left="426" w:hanging="284"/>
      </w:pPr>
      <w:r w:rsidRPr="007A13DC">
        <w:t>What is the appropriate coverage for the CSLR, beyond the provision of personal advice?</w:t>
      </w:r>
    </w:p>
    <w:p w14:paraId="51FBE355" w14:textId="51928565" w:rsidR="00E82B42" w:rsidRDefault="0026112E">
      <w:pPr>
        <w:pStyle w:val="Bullet"/>
        <w:numPr>
          <w:ilvl w:val="0"/>
          <w:numId w:val="40"/>
        </w:numPr>
        <w:tabs>
          <w:tab w:val="clear" w:pos="1985"/>
          <w:tab w:val="num" w:pos="426"/>
        </w:tabs>
        <w:ind w:left="426" w:hanging="284"/>
      </w:pPr>
      <w:r w:rsidRPr="0026112E">
        <w:t>Would there be any unintended consequences from initially excluding court and tribunal decisions or from excluding voluntary members of AFCA</w:t>
      </w:r>
      <w:r w:rsidR="00956548">
        <w:t xml:space="preserve"> from the CSLR</w:t>
      </w:r>
      <w:r w:rsidRPr="0026112E">
        <w:t>?</w:t>
      </w:r>
    </w:p>
    <w:p w14:paraId="3D4DEA45" w14:textId="77777777" w:rsidR="00191850" w:rsidRDefault="00191850" w:rsidP="00191850"/>
    <w:p w14:paraId="71FA5EC3" w14:textId="77777777" w:rsidR="00793509" w:rsidRPr="00E82B42" w:rsidRDefault="00793509" w:rsidP="00793509">
      <w:pPr>
        <w:pStyle w:val="Bullet"/>
        <w:numPr>
          <w:ilvl w:val="0"/>
          <w:numId w:val="0"/>
        </w:numPr>
      </w:pPr>
    </w:p>
    <w:p w14:paraId="5280F2EC" w14:textId="77777777" w:rsidR="00191850" w:rsidRPr="00923E78" w:rsidRDefault="00191850" w:rsidP="00923E78">
      <w:pPr>
        <w:sectPr w:rsidR="00191850" w:rsidRPr="00923E78" w:rsidSect="00CB3A37">
          <w:pgSz w:w="11906" w:h="16838" w:code="9"/>
          <w:pgMar w:top="1418" w:right="1418" w:bottom="1418" w:left="1418" w:header="709" w:footer="709" w:gutter="0"/>
          <w:cols w:space="708"/>
          <w:docGrid w:linePitch="360"/>
        </w:sectPr>
      </w:pPr>
      <w:bookmarkStart w:id="254" w:name="_Toc27149169"/>
    </w:p>
    <w:p w14:paraId="792B14EF" w14:textId="2E23813D" w:rsidR="000E0B74" w:rsidRDefault="00F83586" w:rsidP="00354FBB">
      <w:pPr>
        <w:pStyle w:val="Heading1"/>
      </w:pPr>
      <w:bookmarkStart w:id="255" w:name="_Toc27353676"/>
      <w:bookmarkStart w:id="256" w:name="_Toc27381709"/>
      <w:bookmarkStart w:id="257" w:name="_Toc27400922"/>
      <w:bookmarkStart w:id="258" w:name="_Toc27414052"/>
      <w:bookmarkStart w:id="259" w:name="_Toc27415339"/>
      <w:bookmarkStart w:id="260" w:name="_Toc27469282"/>
      <w:bookmarkStart w:id="261" w:name="_Toc27471861"/>
      <w:bookmarkStart w:id="262" w:name="_Toc27474870"/>
      <w:bookmarkStart w:id="263" w:name="_Toc27478294"/>
      <w:bookmarkStart w:id="264" w:name="_Toc27478848"/>
      <w:bookmarkStart w:id="265" w:name="_Toc27490029"/>
      <w:bookmarkStart w:id="266" w:name="_Toc27491044"/>
      <w:bookmarkStart w:id="267" w:name="_Toc27492737"/>
      <w:bookmarkStart w:id="268" w:name="_Toc27646228"/>
      <w:bookmarkStart w:id="269" w:name="_Toc27646263"/>
      <w:bookmarkStart w:id="270" w:name="_Toc27650475"/>
      <w:r>
        <w:lastRenderedPageBreak/>
        <w:t>F</w:t>
      </w:r>
      <w:r w:rsidR="00B64CA3">
        <w:t>unding</w:t>
      </w:r>
      <w:r w:rsidR="001920A8">
        <w:t xml:space="preserve"> arrangements</w:t>
      </w:r>
      <w:bookmarkEnd w:id="185"/>
      <w:bookmarkEnd w:id="186"/>
      <w:bookmarkEnd w:id="187"/>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3BB67EED" w14:textId="5BE73961" w:rsidR="00582A51" w:rsidRPr="00582A51" w:rsidRDefault="00582A51" w:rsidP="007068A6">
      <w:pPr>
        <w:pStyle w:val="Heading2"/>
      </w:pPr>
      <w:bookmarkStart w:id="271" w:name="_Toc27149170"/>
      <w:bookmarkStart w:id="272" w:name="_Toc27353677"/>
      <w:bookmarkStart w:id="273" w:name="_Toc27381710"/>
      <w:bookmarkStart w:id="274" w:name="_Toc27400923"/>
      <w:bookmarkStart w:id="275" w:name="_Toc27414053"/>
      <w:bookmarkStart w:id="276" w:name="_Toc27415340"/>
      <w:bookmarkStart w:id="277" w:name="_Toc27469283"/>
      <w:bookmarkStart w:id="278" w:name="_Toc27471862"/>
      <w:bookmarkStart w:id="279" w:name="_Toc27474871"/>
      <w:bookmarkStart w:id="280" w:name="_Toc27478295"/>
      <w:bookmarkStart w:id="281" w:name="_Toc27478849"/>
      <w:bookmarkStart w:id="282" w:name="_Toc27490030"/>
      <w:bookmarkStart w:id="283" w:name="_Toc27491045"/>
      <w:bookmarkStart w:id="284" w:name="_Toc27492738"/>
      <w:bookmarkStart w:id="285" w:name="_Toc27646229"/>
      <w:bookmarkStart w:id="286" w:name="_Toc27646264"/>
      <w:bookmarkStart w:id="287" w:name="_Toc27650476"/>
      <w:r>
        <w:t>Issue</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24C19792" w14:textId="2C6975D9" w:rsidR="00582A51" w:rsidRDefault="0029439E" w:rsidP="00DA540B">
      <w:pPr>
        <w:pStyle w:val="Bullet"/>
        <w:numPr>
          <w:ilvl w:val="0"/>
          <w:numId w:val="0"/>
        </w:numPr>
      </w:pPr>
      <w:r>
        <w:t>The CSLR is intended to supplement existing arrangements for compensation that are provided for in the regulatory framework, that is, the requirement for firms to have arrangements for compensating consumers for breach</w:t>
      </w:r>
      <w:r w:rsidR="003A10E4">
        <w:t>es</w:t>
      </w:r>
      <w:r>
        <w:t xml:space="preserve"> of relevant obligations. The Government has announced that t</w:t>
      </w:r>
      <w:r w:rsidR="004950D2">
        <w:t xml:space="preserve">he CSLR will be industry funded. </w:t>
      </w:r>
    </w:p>
    <w:p w14:paraId="59C6DF7E" w14:textId="7A0EC8C4" w:rsidR="0070572E" w:rsidRDefault="00AA3A76" w:rsidP="007068A6">
      <w:r>
        <w:t xml:space="preserve">The funding model </w:t>
      </w:r>
      <w:r w:rsidR="0070572E">
        <w:t>needs to be designed to provide funds to the CSLR on an ongoing basis to cover administrative costs</w:t>
      </w:r>
      <w:r w:rsidR="001E2660">
        <w:t xml:space="preserve"> and </w:t>
      </w:r>
      <w:r w:rsidR="0070572E">
        <w:t>claims costs</w:t>
      </w:r>
      <w:r w:rsidR="00BC4F4E">
        <w:t>, including</w:t>
      </w:r>
      <w:r w:rsidR="001E2660">
        <w:t xml:space="preserve"> </w:t>
      </w:r>
      <w:r w:rsidR="00F90401">
        <w:t>the costs that are associated with AFCA making the original determination</w:t>
      </w:r>
      <w:r w:rsidR="008F50CB">
        <w:t xml:space="preserve"> </w:t>
      </w:r>
      <w:r w:rsidR="00490EE2">
        <w:t>which</w:t>
      </w:r>
      <w:r w:rsidR="008F50CB">
        <w:t xml:space="preserve"> would otherwise not be recouped</w:t>
      </w:r>
      <w:r w:rsidR="00CB243A">
        <w:t>.</w:t>
      </w:r>
      <w:r w:rsidR="00F90401">
        <w:t xml:space="preserve"> </w:t>
      </w:r>
    </w:p>
    <w:p w14:paraId="532698C4" w14:textId="55CB5A60" w:rsidR="00582A51" w:rsidRDefault="00CF2FBC" w:rsidP="007068A6">
      <w:pPr>
        <w:pStyle w:val="Heading2"/>
      </w:pPr>
      <w:bookmarkStart w:id="288" w:name="_Toc27149171"/>
      <w:bookmarkStart w:id="289" w:name="_Toc27353678"/>
      <w:bookmarkStart w:id="290" w:name="_Toc27381711"/>
      <w:bookmarkStart w:id="291" w:name="_Toc27400924"/>
      <w:bookmarkStart w:id="292" w:name="_Toc27414054"/>
      <w:bookmarkStart w:id="293" w:name="_Toc27415341"/>
      <w:bookmarkStart w:id="294" w:name="_Toc27469284"/>
      <w:bookmarkStart w:id="295" w:name="_Toc27471863"/>
      <w:bookmarkStart w:id="296" w:name="_Toc27474872"/>
      <w:bookmarkStart w:id="297" w:name="_Toc27478296"/>
      <w:bookmarkStart w:id="298" w:name="_Toc27478850"/>
      <w:bookmarkStart w:id="299" w:name="_Toc27490031"/>
      <w:bookmarkStart w:id="300" w:name="_Toc27491046"/>
      <w:bookmarkStart w:id="301" w:name="_Toc27492739"/>
      <w:bookmarkStart w:id="302" w:name="_Toc27646230"/>
      <w:bookmarkStart w:id="303" w:name="_Toc27646265"/>
      <w:bookmarkStart w:id="304" w:name="_Toc27650477"/>
      <w:r>
        <w:t>Considerations</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249F4F77" w14:textId="5BFCDC09" w:rsidR="00F91CF9" w:rsidRDefault="00E36D08" w:rsidP="00DA540B">
      <w:pPr>
        <w:pStyle w:val="Bullet"/>
        <w:numPr>
          <w:ilvl w:val="0"/>
          <w:numId w:val="0"/>
        </w:numPr>
      </w:pPr>
      <w:r>
        <w:t xml:space="preserve">An appropriate funding model for </w:t>
      </w:r>
      <w:r w:rsidR="00F91CF9">
        <w:t>the CSLR</w:t>
      </w:r>
      <w:r w:rsidR="00654D43">
        <w:t xml:space="preserve"> </w:t>
      </w:r>
      <w:r w:rsidR="00E47501">
        <w:t>will need to</w:t>
      </w:r>
      <w:r w:rsidR="007A2526">
        <w:t xml:space="preserve"> balance</w:t>
      </w:r>
      <w:r>
        <w:t xml:space="preserve"> a number of considerations, </w:t>
      </w:r>
      <w:r w:rsidR="0074166A">
        <w:t>including</w:t>
      </w:r>
      <w:r w:rsidR="00F91CF9">
        <w:t>:</w:t>
      </w:r>
    </w:p>
    <w:p w14:paraId="74A76221" w14:textId="13F39EF3" w:rsidR="00E45214" w:rsidRDefault="00F91CF9" w:rsidP="00C10899">
      <w:pPr>
        <w:pStyle w:val="Bullet"/>
        <w:tabs>
          <w:tab w:val="clear" w:pos="1985"/>
          <w:tab w:val="num" w:pos="567"/>
        </w:tabs>
        <w:ind w:left="567"/>
      </w:pPr>
      <w:r w:rsidRPr="00F91CF9">
        <w:rPr>
          <w:b/>
        </w:rPr>
        <w:t>Resilience</w:t>
      </w:r>
      <w:r>
        <w:t xml:space="preserve">: the </w:t>
      </w:r>
      <w:r w:rsidR="00E36D08">
        <w:t xml:space="preserve">funding model for the </w:t>
      </w:r>
      <w:r w:rsidR="009E7BB7">
        <w:t>CSLR</w:t>
      </w:r>
      <w:r>
        <w:t xml:space="preserve"> must be </w:t>
      </w:r>
      <w:r w:rsidR="00E36D08">
        <w:t xml:space="preserve">able </w:t>
      </w:r>
      <w:r w:rsidR="00136A38">
        <w:t xml:space="preserve">to </w:t>
      </w:r>
      <w:r>
        <w:t xml:space="preserve">withstand a range of circumstances </w:t>
      </w:r>
      <w:r w:rsidR="00E36D08">
        <w:t>including failures of multiple or potentially large entities</w:t>
      </w:r>
      <w:r>
        <w:t>.</w:t>
      </w:r>
      <w:r w:rsidR="00981053">
        <w:t xml:space="preserve"> </w:t>
      </w:r>
    </w:p>
    <w:p w14:paraId="042591EB" w14:textId="5F4ED4F7" w:rsidR="00C43F5F" w:rsidRPr="00C43F5F" w:rsidRDefault="00C43F5F" w:rsidP="00C10899">
      <w:pPr>
        <w:pStyle w:val="Bullet"/>
        <w:tabs>
          <w:tab w:val="clear" w:pos="1985"/>
          <w:tab w:val="num" w:pos="567"/>
        </w:tabs>
        <w:ind w:left="567"/>
        <w:rPr>
          <w:b/>
        </w:rPr>
      </w:pPr>
      <w:r>
        <w:rPr>
          <w:b/>
        </w:rPr>
        <w:t>Sustainability:</w:t>
      </w:r>
      <w:r w:rsidRPr="00C43F5F">
        <w:t xml:space="preserve"> the </w:t>
      </w:r>
      <w:r w:rsidR="0063753A">
        <w:t>CSLR should be sustainable in the long</w:t>
      </w:r>
      <w:r w:rsidR="009E32EC">
        <w:t xml:space="preserve"> </w:t>
      </w:r>
      <w:r w:rsidR="0063753A">
        <w:t xml:space="preserve">term, without the need for frequent government intervention. </w:t>
      </w:r>
    </w:p>
    <w:p w14:paraId="6A6FF0B8" w14:textId="1E389000" w:rsidR="009A4456" w:rsidRPr="008C7597" w:rsidRDefault="00F91CF9" w:rsidP="00C10899">
      <w:pPr>
        <w:pStyle w:val="Bullet"/>
        <w:tabs>
          <w:tab w:val="clear" w:pos="1985"/>
          <w:tab w:val="num" w:pos="567"/>
        </w:tabs>
        <w:ind w:left="567"/>
      </w:pPr>
      <w:r w:rsidRPr="008C7597">
        <w:rPr>
          <w:b/>
        </w:rPr>
        <w:t>Affordability</w:t>
      </w:r>
      <w:r w:rsidRPr="008C7597">
        <w:t xml:space="preserve">: </w:t>
      </w:r>
      <w:r w:rsidR="009A4456" w:rsidRPr="008C7597">
        <w:t xml:space="preserve">the levy imposed by the CSLR </w:t>
      </w:r>
      <w:r w:rsidR="009A4456" w:rsidRPr="008C7597" w:rsidDel="00A46E00">
        <w:t xml:space="preserve">on </w:t>
      </w:r>
      <w:r w:rsidR="00A46E00" w:rsidRPr="008C7597">
        <w:t>entities</w:t>
      </w:r>
      <w:r w:rsidR="009A4456" w:rsidRPr="008C7597">
        <w:t xml:space="preserve"> should not represent </w:t>
      </w:r>
      <w:r w:rsidR="00A46E00" w:rsidRPr="008C7597">
        <w:t>an undue cost burden</w:t>
      </w:r>
      <w:r w:rsidR="004D4A6C" w:rsidRPr="008C7597">
        <w:t xml:space="preserve"> or adversely affect competition or consumers’ access to financial products</w:t>
      </w:r>
      <w:r w:rsidR="00A46E00" w:rsidRPr="008C7597">
        <w:t xml:space="preserve">. </w:t>
      </w:r>
    </w:p>
    <w:p w14:paraId="14CE127B" w14:textId="7B736E0D" w:rsidR="00AD6445" w:rsidRDefault="00E36D08" w:rsidP="00C10899">
      <w:pPr>
        <w:pStyle w:val="Bullet"/>
        <w:tabs>
          <w:tab w:val="clear" w:pos="1985"/>
          <w:tab w:val="num" w:pos="567"/>
        </w:tabs>
        <w:ind w:left="567"/>
      </w:pPr>
      <w:r>
        <w:rPr>
          <w:b/>
        </w:rPr>
        <w:t>V</w:t>
      </w:r>
      <w:r w:rsidR="00F91CF9" w:rsidRPr="00F91CF9">
        <w:rPr>
          <w:b/>
        </w:rPr>
        <w:t>olatility</w:t>
      </w:r>
      <w:r w:rsidR="00F91CF9">
        <w:t xml:space="preserve">: </w:t>
      </w:r>
      <w:r w:rsidR="004D4A6C">
        <w:t>entities</w:t>
      </w:r>
      <w:r w:rsidR="001D0DA5">
        <w:t xml:space="preserve"> </w:t>
      </w:r>
      <w:r w:rsidR="007933CC">
        <w:t>should be</w:t>
      </w:r>
      <w:r w:rsidR="008A24AC">
        <w:t xml:space="preserve"> able to</w:t>
      </w:r>
      <w:r w:rsidR="001D0DA5" w:rsidDel="004D4A6C">
        <w:t xml:space="preserve"> </w:t>
      </w:r>
      <w:r w:rsidR="007933CC">
        <w:t>anticipate</w:t>
      </w:r>
      <w:r w:rsidR="001D0DA5">
        <w:t xml:space="preserve"> </w:t>
      </w:r>
      <w:r w:rsidR="008A24AC">
        <w:t xml:space="preserve">their costs with respect </w:t>
      </w:r>
      <w:r w:rsidR="00925B27">
        <w:t>to</w:t>
      </w:r>
      <w:r w:rsidR="008A24AC">
        <w:t xml:space="preserve"> the scheme</w:t>
      </w:r>
      <w:r w:rsidR="007933CC">
        <w:t xml:space="preserve"> year to year. </w:t>
      </w:r>
    </w:p>
    <w:p w14:paraId="4A38832B" w14:textId="0DF4F5F3" w:rsidR="0043137B" w:rsidRDefault="0043137B" w:rsidP="00C10899">
      <w:pPr>
        <w:pStyle w:val="Bullet"/>
        <w:tabs>
          <w:tab w:val="clear" w:pos="1985"/>
          <w:tab w:val="num" w:pos="567"/>
        </w:tabs>
        <w:ind w:left="567"/>
      </w:pPr>
      <w:r>
        <w:rPr>
          <w:b/>
        </w:rPr>
        <w:t>Proportional:</w:t>
      </w:r>
      <w:r>
        <w:t xml:space="preserve"> the scale of funding required for the CSLR must reflect the costs of risks posed to the scheme. </w:t>
      </w:r>
    </w:p>
    <w:tbl>
      <w:tblPr>
        <w:tblW w:w="5000" w:type="pct"/>
        <w:shd w:val="clear" w:color="auto" w:fill="E3E7F0"/>
        <w:tblLook w:val="01E0" w:firstRow="1" w:lastRow="1" w:firstColumn="1" w:lastColumn="1" w:noHBand="0" w:noVBand="0"/>
      </w:tblPr>
      <w:tblGrid>
        <w:gridCol w:w="9070"/>
      </w:tblGrid>
      <w:tr w:rsidR="00EA013E" w14:paraId="081E99CA" w14:textId="77777777" w:rsidTr="000207A8">
        <w:tc>
          <w:tcPr>
            <w:tcW w:w="5000" w:type="pct"/>
            <w:shd w:val="clear" w:color="auto" w:fill="E3E7F0"/>
          </w:tcPr>
          <w:p w14:paraId="76ADE5BD" w14:textId="449E9916" w:rsidR="00EA013E" w:rsidRPr="000553FE" w:rsidRDefault="00EA013E" w:rsidP="000207A8">
            <w:pPr>
              <w:pStyle w:val="BoxHeading"/>
              <w:rPr>
                <w:b w:val="0"/>
              </w:rPr>
            </w:pPr>
            <w:bookmarkStart w:id="305" w:name="_Toc27469285"/>
            <w:bookmarkStart w:id="306" w:name="_Toc27353679"/>
            <w:bookmarkStart w:id="307" w:name="_Toc27381712"/>
            <w:bookmarkStart w:id="308" w:name="_Toc27400925"/>
            <w:bookmarkStart w:id="309" w:name="_Toc27414055"/>
            <w:bookmarkStart w:id="310" w:name="_Toc27415342"/>
            <w:r>
              <w:lastRenderedPageBreak/>
              <w:t>UK experience</w:t>
            </w:r>
          </w:p>
          <w:p w14:paraId="29603D91" w14:textId="77E9F8E6" w:rsidR="00EA013E" w:rsidRDefault="00EA013E" w:rsidP="00EA013E">
            <w:pPr>
              <w:pStyle w:val="Bullet"/>
              <w:keepLines/>
              <w:numPr>
                <w:ilvl w:val="0"/>
                <w:numId w:val="0"/>
              </w:numPr>
            </w:pPr>
            <w:r>
              <w:t xml:space="preserve">The industry levies under the FSCS are designed to be sector dependent. </w:t>
            </w:r>
            <w:r w:rsidRPr="008C253D">
              <w:t>Every firm authorised by the UK regulators is obliged to pay an annual levy and if required a supplementary levy, which goes towards the FSCS’ running costs and the compensation payments made.</w:t>
            </w:r>
            <w:r>
              <w:t xml:space="preserve"> The levies: </w:t>
            </w:r>
          </w:p>
          <w:p w14:paraId="6C26BF76" w14:textId="77777777" w:rsidR="00EA013E" w:rsidRDefault="00EA013E" w:rsidP="00C10899">
            <w:pPr>
              <w:pStyle w:val="Bullet"/>
              <w:keepLines/>
              <w:numPr>
                <w:ilvl w:val="0"/>
                <w:numId w:val="30"/>
              </w:numPr>
              <w:ind w:left="601" w:hanging="241"/>
            </w:pPr>
            <w:r>
              <w:rPr>
                <w:i/>
              </w:rPr>
              <w:t>Take</w:t>
            </w:r>
            <w:r w:rsidRPr="009B6F50">
              <w:rPr>
                <w:i/>
              </w:rPr>
              <w:t xml:space="preserve"> into account a firm’</w:t>
            </w:r>
            <w:r>
              <w:rPr>
                <w:i/>
              </w:rPr>
              <w:t>s size and ability to pay</w:t>
            </w:r>
            <w:r>
              <w:t xml:space="preserve">: </w:t>
            </w:r>
            <w:r w:rsidRPr="009B6F50">
              <w:t>Each firm contributes proportionately, with larger firms paying more than small</w:t>
            </w:r>
            <w:r>
              <w:t>er</w:t>
            </w:r>
            <w:r w:rsidRPr="009B6F50">
              <w:t xml:space="preserve"> ones. </w:t>
            </w:r>
            <w:r>
              <w:t xml:space="preserve">The Prudential Regulatory Authority (PRA) and the Financial Conduct Authority (FCA) set industry sector limits in each year based on an assessment of the sector’s ability to pay. </w:t>
            </w:r>
          </w:p>
          <w:p w14:paraId="08538B95" w14:textId="625FCD22" w:rsidR="00EA013E" w:rsidRPr="008950C5" w:rsidRDefault="00EA013E" w:rsidP="000207A8">
            <w:pPr>
              <w:pStyle w:val="Bullet"/>
              <w:keepLines/>
              <w:numPr>
                <w:ilvl w:val="0"/>
                <w:numId w:val="30"/>
              </w:numPr>
              <w:ind w:left="601" w:hanging="241"/>
            </w:pPr>
            <w:r>
              <w:rPr>
                <w:i/>
              </w:rPr>
              <w:t xml:space="preserve">Rely on cross-subsidisation between industry sectors: </w:t>
            </w:r>
            <w:r w:rsidRPr="0066761B">
              <w:t xml:space="preserve">If </w:t>
            </w:r>
            <w:r>
              <w:t>a firm fails within a particular sector and payment from that sector’s pool is exhausted</w:t>
            </w:r>
            <w:r w:rsidRPr="00D028C9">
              <w:t xml:space="preserve">, the excess is levied more widely on the other industry sectors </w:t>
            </w:r>
            <w:r>
              <w:t>from</w:t>
            </w:r>
            <w:r w:rsidRPr="00D028C9">
              <w:t xml:space="preserve"> what is known as “the retail pool”. All industry sectors benefit from and contribute to the retail pool (with the exception of deposit acceptors and insurance providers, which only contribute to the retail pool).</w:t>
            </w:r>
            <w:r w:rsidR="00C10899">
              <w:br/>
            </w:r>
          </w:p>
        </w:tc>
      </w:tr>
    </w:tbl>
    <w:p w14:paraId="015A9D83" w14:textId="7712EF63" w:rsidR="00FA4D6A" w:rsidRDefault="00FA4D6A" w:rsidP="00666526">
      <w:pPr>
        <w:pStyle w:val="Heading2"/>
      </w:pPr>
      <w:bookmarkStart w:id="311" w:name="_Toc27149173"/>
      <w:bookmarkStart w:id="312" w:name="_Toc27353680"/>
      <w:bookmarkStart w:id="313" w:name="_Toc27381713"/>
      <w:bookmarkStart w:id="314" w:name="_Toc27400926"/>
      <w:bookmarkStart w:id="315" w:name="_Toc27414056"/>
      <w:bookmarkStart w:id="316" w:name="_Toc27415343"/>
      <w:bookmarkStart w:id="317" w:name="_Toc27469286"/>
      <w:bookmarkStart w:id="318" w:name="_Toc27471864"/>
      <w:bookmarkStart w:id="319" w:name="_Toc27474873"/>
      <w:bookmarkStart w:id="320" w:name="_Toc27478297"/>
      <w:bookmarkStart w:id="321" w:name="_Toc27478851"/>
      <w:bookmarkStart w:id="322" w:name="_Toc27490032"/>
      <w:bookmarkStart w:id="323" w:name="_Toc27491047"/>
      <w:bookmarkStart w:id="324" w:name="_Toc27492740"/>
      <w:bookmarkStart w:id="325" w:name="_Toc27646231"/>
      <w:bookmarkStart w:id="326" w:name="_Toc27646266"/>
      <w:bookmarkStart w:id="327" w:name="_Toc27650478"/>
      <w:bookmarkEnd w:id="305"/>
      <w:bookmarkEnd w:id="306"/>
      <w:bookmarkEnd w:id="307"/>
      <w:bookmarkEnd w:id="308"/>
      <w:bookmarkEnd w:id="309"/>
      <w:bookmarkEnd w:id="310"/>
      <w:r>
        <w:t>Discussion items</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618EB852" w14:textId="53B0E67C" w:rsidR="00C97D20" w:rsidRDefault="00C1439B" w:rsidP="00C97D20">
      <w:pPr>
        <w:pStyle w:val="Heading3"/>
      </w:pPr>
      <w:bookmarkStart w:id="328" w:name="_Toc27353681"/>
      <w:bookmarkStart w:id="329" w:name="_Toc27381714"/>
      <w:bookmarkStart w:id="330" w:name="_Toc27400927"/>
      <w:bookmarkStart w:id="331" w:name="_Toc27414057"/>
      <w:bookmarkStart w:id="332" w:name="_Toc27415344"/>
      <w:bookmarkStart w:id="333" w:name="_Toc27469287"/>
      <w:bookmarkStart w:id="334" w:name="_Toc27471865"/>
      <w:bookmarkStart w:id="335" w:name="_Toc27474874"/>
      <w:bookmarkStart w:id="336" w:name="_Toc27478298"/>
      <w:bookmarkStart w:id="337" w:name="_Toc27478852"/>
      <w:bookmarkStart w:id="338" w:name="_Toc27490033"/>
      <w:bookmarkStart w:id="339" w:name="_Toc27491048"/>
      <w:bookmarkStart w:id="340" w:name="_Toc27492741"/>
      <w:bookmarkStart w:id="341" w:name="_Toc27646232"/>
      <w:bookmarkStart w:id="342" w:name="_Toc27646267"/>
      <w:bookmarkStart w:id="343" w:name="_Toc27650479"/>
      <w:bookmarkStart w:id="344" w:name="_Toc26975044"/>
      <w:bookmarkStart w:id="345" w:name="_Toc26979151"/>
      <w:bookmarkStart w:id="346" w:name="_Toc27149174"/>
      <w:r>
        <w:t xml:space="preserve">To what extent should the </w:t>
      </w:r>
      <w:r w:rsidR="00567849">
        <w:t xml:space="preserve">funding model </w:t>
      </w:r>
      <w:r>
        <w:t>be based on risk?</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0B21A698" w14:textId="1CC84BF5" w:rsidR="008B13CD" w:rsidRDefault="008B13CD" w:rsidP="00C1439B">
      <w:r>
        <w:t>The CSLR is intended to address the risk that EDR, court or tribunal determinations awarded in favour of consumers and small businesses are unpaid.</w:t>
      </w:r>
    </w:p>
    <w:p w14:paraId="10961557" w14:textId="24390383" w:rsidR="00C215C6" w:rsidRDefault="00BC40F1" w:rsidP="00C1439B">
      <w:r>
        <w:t xml:space="preserve">As noted by the </w:t>
      </w:r>
      <w:r w:rsidR="00005CF7">
        <w:t>Ramsay</w:t>
      </w:r>
      <w:r>
        <w:t xml:space="preserve"> Review, a risk based </w:t>
      </w:r>
      <w:r w:rsidR="00CC10E0">
        <w:t xml:space="preserve">funding model </w:t>
      </w:r>
      <w:r>
        <w:t xml:space="preserve">has the potential to </w:t>
      </w:r>
      <w:r w:rsidR="00EA0467">
        <w:t>benefit</w:t>
      </w:r>
      <w:r w:rsidR="00CC10E0">
        <w:t xml:space="preserve"> the CSLR </w:t>
      </w:r>
      <w:r>
        <w:t xml:space="preserve">because </w:t>
      </w:r>
      <w:r w:rsidR="00CC10E0">
        <w:t xml:space="preserve">it would provide an incentive for those contributing to the CSLR to maintain an appropriate risk profile and ensure those undertaking higher risk </w:t>
      </w:r>
      <w:r w:rsidR="008B13CD">
        <w:t>services</w:t>
      </w:r>
      <w:r w:rsidR="00CC10E0">
        <w:t xml:space="preserve"> </w:t>
      </w:r>
      <w:r w:rsidR="00C215C6">
        <w:t>provided proportionately more funds.</w:t>
      </w:r>
      <w:r w:rsidR="00C215C6">
        <w:rPr>
          <w:rStyle w:val="FootnoteReference"/>
        </w:rPr>
        <w:footnoteReference w:id="9"/>
      </w:r>
    </w:p>
    <w:p w14:paraId="5080E880" w14:textId="4EADF0BD" w:rsidR="00C1439B" w:rsidRPr="00C1439B" w:rsidRDefault="00CC10E0" w:rsidP="00C1439B">
      <w:r>
        <w:t>However, a</w:t>
      </w:r>
      <w:r w:rsidR="00C215C6">
        <w:t>pplying a</w:t>
      </w:r>
      <w:r>
        <w:t xml:space="preserve"> risk based approach </w:t>
      </w:r>
      <w:r w:rsidR="00C215C6">
        <w:t xml:space="preserve">at </w:t>
      </w:r>
      <w:r w:rsidR="004F0E76">
        <w:t>a</w:t>
      </w:r>
      <w:r w:rsidR="00E2471E">
        <w:t>n individual</w:t>
      </w:r>
      <w:r w:rsidR="004F0E76">
        <w:t xml:space="preserve"> </w:t>
      </w:r>
      <w:r w:rsidR="00C215C6">
        <w:t xml:space="preserve">financial </w:t>
      </w:r>
      <w:r w:rsidR="004F0E76">
        <w:t>firm</w:t>
      </w:r>
      <w:r w:rsidR="00C215C6">
        <w:t xml:space="preserve"> </w:t>
      </w:r>
      <w:r w:rsidR="004F0E76">
        <w:t>level would be complex and involve significant regulatory cost for the firm and the CSLR.</w:t>
      </w:r>
      <w:r w:rsidR="009E7BB7">
        <w:rPr>
          <w:rStyle w:val="FootnoteReference"/>
        </w:rPr>
        <w:footnoteReference w:id="10"/>
      </w:r>
      <w:r w:rsidR="00E23C60">
        <w:t xml:space="preserve"> </w:t>
      </w:r>
      <w:r w:rsidR="003D2F47">
        <w:t xml:space="preserve">For example, </w:t>
      </w:r>
      <w:r w:rsidR="00907621">
        <w:t>t</w:t>
      </w:r>
      <w:r w:rsidR="00D945D5">
        <w:t xml:space="preserve">here </w:t>
      </w:r>
      <w:r w:rsidR="003D2F47">
        <w:t>is</w:t>
      </w:r>
      <w:r w:rsidR="00D945D5">
        <w:t xml:space="preserve"> uncertainty in </w:t>
      </w:r>
      <w:r w:rsidR="00E23C60">
        <w:t>accurately determin</w:t>
      </w:r>
      <w:r w:rsidR="003D2F47">
        <w:t>ing</w:t>
      </w:r>
      <w:r w:rsidR="00E23C60">
        <w:t xml:space="preserve"> the risk of smaller financial firms</w:t>
      </w:r>
      <w:r w:rsidR="00907621">
        <w:t xml:space="preserve"> being unable to pay determinations</w:t>
      </w:r>
      <w:r w:rsidR="00E23C60">
        <w:t xml:space="preserve">. </w:t>
      </w:r>
      <w:r w:rsidR="00DE7F0E">
        <w:t>A</w:t>
      </w:r>
      <w:r w:rsidR="00AB3158">
        <w:t>lso,</w:t>
      </w:r>
      <w:r w:rsidR="00DE7F0E">
        <w:t xml:space="preserve"> </w:t>
      </w:r>
      <w:r w:rsidR="00AB3158">
        <w:t xml:space="preserve">a </w:t>
      </w:r>
      <w:r w:rsidR="00DE7F0E">
        <w:t>risk based approach will likely show a correlation between risk and financial firm size</w:t>
      </w:r>
      <w:r w:rsidR="00E23C60">
        <w:t>.</w:t>
      </w:r>
    </w:p>
    <w:p w14:paraId="1A5A4706" w14:textId="4D5176C3" w:rsidR="009E7BB7" w:rsidRDefault="002A7D71" w:rsidP="00C97D20">
      <w:r w:rsidRPr="002A7D71">
        <w:t xml:space="preserve">The complexity and regulatory cost may be reduced if </w:t>
      </w:r>
      <w:r w:rsidR="004734DF" w:rsidRPr="002A7D71">
        <w:t>the funding model reflect</w:t>
      </w:r>
      <w:r w:rsidRPr="002A7D71">
        <w:t>ed</w:t>
      </w:r>
      <w:r w:rsidR="004734DF" w:rsidRPr="002A7D71">
        <w:t xml:space="preserve"> </w:t>
      </w:r>
      <w:r w:rsidR="009E7BB7" w:rsidRPr="002A7D71">
        <w:t>risk at a</w:t>
      </w:r>
      <w:r w:rsidR="008774A9" w:rsidRPr="002A7D71">
        <w:t xml:space="preserve"> financial service </w:t>
      </w:r>
      <w:r w:rsidR="00E2471E">
        <w:t xml:space="preserve">class </w:t>
      </w:r>
      <w:r w:rsidR="009E7BB7" w:rsidRPr="002A7D71">
        <w:t>level</w:t>
      </w:r>
      <w:r w:rsidRPr="002A7D71">
        <w:t xml:space="preserve"> rather that at the financial firm level. T</w:t>
      </w:r>
      <w:r w:rsidR="004734DF" w:rsidRPr="002A7D71">
        <w:t>hat is,</w:t>
      </w:r>
      <w:r w:rsidR="008774A9" w:rsidRPr="002A7D71">
        <w:t xml:space="preserve"> all financial firms authorised to provide </w:t>
      </w:r>
      <w:r w:rsidR="00C40285">
        <w:t>a relatively</w:t>
      </w:r>
      <w:r w:rsidR="004734DF" w:rsidRPr="002A7D71">
        <w:t xml:space="preserve"> higher risk financial service (for example, </w:t>
      </w:r>
      <w:r w:rsidR="00E2471E">
        <w:t xml:space="preserve">a class of all financial firms providing </w:t>
      </w:r>
      <w:r w:rsidR="00EB11F2">
        <w:t xml:space="preserve">personal </w:t>
      </w:r>
      <w:r w:rsidR="008774A9" w:rsidRPr="002A7D71">
        <w:t>financial advice</w:t>
      </w:r>
      <w:r w:rsidR="008B13CD" w:rsidRPr="002A7D71">
        <w:t xml:space="preserve">) would be ascribed the same higher risk weight in the funding model. </w:t>
      </w:r>
      <w:r w:rsidRPr="002A7D71">
        <w:t xml:space="preserve">In contrast, all </w:t>
      </w:r>
      <w:r w:rsidR="008B13CD" w:rsidRPr="002A7D71">
        <w:t xml:space="preserve">financial firms authorised to provide </w:t>
      </w:r>
      <w:r w:rsidR="00C40285">
        <w:t xml:space="preserve">a relatively </w:t>
      </w:r>
      <w:r w:rsidR="008B13CD" w:rsidRPr="002A7D71">
        <w:t xml:space="preserve">lower risk financial services </w:t>
      </w:r>
      <w:r w:rsidRPr="002A7D71">
        <w:t xml:space="preserve">(for example, </w:t>
      </w:r>
      <w:r w:rsidR="00E2471E">
        <w:t xml:space="preserve">a class of all financial firms providing </w:t>
      </w:r>
      <w:r w:rsidRPr="002A7D71">
        <w:t>deposit taking</w:t>
      </w:r>
      <w:r w:rsidR="00E2471E">
        <w:t xml:space="preserve"> services</w:t>
      </w:r>
      <w:r w:rsidRPr="002A7D71">
        <w:t xml:space="preserve">) </w:t>
      </w:r>
      <w:r w:rsidR="004734DF" w:rsidRPr="002A7D71">
        <w:t>c</w:t>
      </w:r>
      <w:r w:rsidR="008774A9" w:rsidRPr="002A7D71">
        <w:t xml:space="preserve">ould </w:t>
      </w:r>
      <w:r w:rsidR="004734DF" w:rsidRPr="002A7D71">
        <w:t xml:space="preserve">be ascribed </w:t>
      </w:r>
      <w:r w:rsidRPr="002A7D71">
        <w:t>a lower risk weight in the funding model</w:t>
      </w:r>
      <w:r w:rsidR="004734DF" w:rsidRPr="002A7D71">
        <w:t>.</w:t>
      </w:r>
      <w:r w:rsidR="009E7BB7">
        <w:t xml:space="preserve"> </w:t>
      </w:r>
    </w:p>
    <w:p w14:paraId="551EBCBB" w14:textId="3A487941" w:rsidR="006657EF" w:rsidRDefault="0042028F" w:rsidP="00C97D20">
      <w:r>
        <w:t xml:space="preserve">A risk based approach may be particularly appropriate for </w:t>
      </w:r>
      <w:r w:rsidR="00FD178E">
        <w:t xml:space="preserve">CSLR </w:t>
      </w:r>
      <w:r>
        <w:t>claims costs</w:t>
      </w:r>
      <w:r w:rsidR="00FD178E">
        <w:t xml:space="preserve"> because those costs would be reflective of changing risk. In contrast</w:t>
      </w:r>
      <w:r w:rsidR="005D2D60">
        <w:t>,</w:t>
      </w:r>
      <w:r w:rsidR="00FD178E">
        <w:t xml:space="preserve"> CSLR administrative costs would generally not reflect </w:t>
      </w:r>
      <w:r w:rsidR="006657EF">
        <w:t>changing risk. It may therefore be appropriate for the funding model to apply administrative costs evenly across financial firms contributing to the CSLR.</w:t>
      </w:r>
    </w:p>
    <w:p w14:paraId="4C6D6800" w14:textId="5C74D0DE" w:rsidR="00AA7341" w:rsidRDefault="00AA7341" w:rsidP="00C97D20">
      <w:r>
        <w:t xml:space="preserve">A risk based funding model </w:t>
      </w:r>
      <w:r w:rsidR="00A1270B">
        <w:t>would be expected to result in a higher levy being imposed on financial firms authorised to undertake higher risk financial services. It is possible that the levy imposed could be unaffordable</w:t>
      </w:r>
      <w:r w:rsidR="007F6957">
        <w:t xml:space="preserve"> for some smaller financial firms</w:t>
      </w:r>
      <w:r w:rsidR="00A1270B">
        <w:t xml:space="preserve">, </w:t>
      </w:r>
      <w:r w:rsidR="00504720">
        <w:t xml:space="preserve">given the likely correlation between risk and </w:t>
      </w:r>
      <w:r w:rsidR="00504720">
        <w:lastRenderedPageBreak/>
        <w:t xml:space="preserve">financial firm size, </w:t>
      </w:r>
      <w:r w:rsidR="00E53452">
        <w:t xml:space="preserve">leading to </w:t>
      </w:r>
      <w:r w:rsidR="00A1270B">
        <w:t>increas</w:t>
      </w:r>
      <w:r w:rsidR="00E53452">
        <w:t>ed</w:t>
      </w:r>
      <w:r w:rsidR="00A1270B">
        <w:t xml:space="preserve"> costs for consumers </w:t>
      </w:r>
      <w:r w:rsidR="00E53452">
        <w:t xml:space="preserve">and </w:t>
      </w:r>
      <w:r w:rsidR="00504720">
        <w:t xml:space="preserve">potentially </w:t>
      </w:r>
      <w:r w:rsidR="00E53452">
        <w:t xml:space="preserve">reduced competition for </w:t>
      </w:r>
      <w:r w:rsidR="00A1270B">
        <w:t>those financial services</w:t>
      </w:r>
      <w:r w:rsidR="00E53452">
        <w:t>.</w:t>
      </w:r>
      <w:r w:rsidR="000B409E">
        <w:t xml:space="preserve"> </w:t>
      </w:r>
    </w:p>
    <w:p w14:paraId="43C9F596" w14:textId="2CFCB4A5" w:rsidR="007F6957" w:rsidRDefault="007F6957" w:rsidP="00C97D20">
      <w:r>
        <w:t>The data requirements to implement a risk based funding model could range from basic data about the proportion of unpaid claims relating to a particular financial service class through to details about each firm</w:t>
      </w:r>
      <w:r w:rsidR="00504720">
        <w:t>’</w:t>
      </w:r>
      <w:r>
        <w:t xml:space="preserve">s </w:t>
      </w:r>
      <w:r w:rsidR="00756996">
        <w:t>likely risk of being unable to pay a determination</w:t>
      </w:r>
      <w:r w:rsidR="007F19FC">
        <w:t>.</w:t>
      </w:r>
      <w:r w:rsidR="007A7E28">
        <w:t xml:space="preserve"> </w:t>
      </w:r>
      <w:r w:rsidR="00214FBA">
        <w:t xml:space="preserve">Data collection, especially at a firm level, </w:t>
      </w:r>
      <w:r w:rsidR="007A7E28">
        <w:t xml:space="preserve">would </w:t>
      </w:r>
      <w:r w:rsidR="00214FBA">
        <w:t xml:space="preserve">likely be a </w:t>
      </w:r>
      <w:r w:rsidR="007A7E28">
        <w:t xml:space="preserve">significant </w:t>
      </w:r>
      <w:r w:rsidR="00214FBA">
        <w:t xml:space="preserve">and intrusive </w:t>
      </w:r>
      <w:r w:rsidR="007A7E28">
        <w:t>data collection exercise</w:t>
      </w:r>
      <w:r w:rsidR="00A15501">
        <w:t xml:space="preserve">. The costs of executing this data collection and modelling may outweigh the benefits of establishing a </w:t>
      </w:r>
      <w:r w:rsidR="00214FBA">
        <w:t xml:space="preserve">firm level </w:t>
      </w:r>
      <w:r w:rsidR="00A15501">
        <w:t>risk based funding model. Additionally, a</w:t>
      </w:r>
      <w:r w:rsidR="007A7E28">
        <w:t>ny data collected would generally reflect historical uncompensated losses and w</w:t>
      </w:r>
      <w:r w:rsidR="00214FBA">
        <w:t xml:space="preserve">ould </w:t>
      </w:r>
      <w:r w:rsidR="007A7E28">
        <w:t xml:space="preserve">have limited </w:t>
      </w:r>
      <w:r w:rsidR="00214FBA">
        <w:t>value</w:t>
      </w:r>
      <w:r w:rsidR="007A7E28">
        <w:t xml:space="preserve"> in predicting large loss events</w:t>
      </w:r>
      <w:r w:rsidR="00A15501">
        <w:t xml:space="preserve"> that may occur in the future</w:t>
      </w:r>
      <w:r w:rsidR="007A7E28">
        <w:t>.</w:t>
      </w:r>
    </w:p>
    <w:p w14:paraId="221A2941" w14:textId="77777777" w:rsidR="00300C71" w:rsidRPr="00CB3A37" w:rsidRDefault="00300C71" w:rsidP="00300C71">
      <w:pPr>
        <w:pStyle w:val="Heading4"/>
      </w:pPr>
      <w:r>
        <w:t>Questions</w:t>
      </w:r>
    </w:p>
    <w:p w14:paraId="60AD575C" w14:textId="77777777" w:rsidR="00300C71" w:rsidRDefault="00300C71" w:rsidP="00FD3FE7">
      <w:pPr>
        <w:pStyle w:val="Bullet"/>
        <w:numPr>
          <w:ilvl w:val="0"/>
          <w:numId w:val="40"/>
        </w:numPr>
        <w:tabs>
          <w:tab w:val="clear" w:pos="1985"/>
          <w:tab w:val="num" w:pos="426"/>
        </w:tabs>
        <w:ind w:left="426" w:hanging="284"/>
      </w:pPr>
      <w:r>
        <w:t>To what extent should the funding model be based on risk?</w:t>
      </w:r>
    </w:p>
    <w:p w14:paraId="74FD5FD3" w14:textId="77777777" w:rsidR="00300C71" w:rsidRDefault="00300C71" w:rsidP="00FD3FE7">
      <w:pPr>
        <w:pStyle w:val="Bullet"/>
        <w:numPr>
          <w:ilvl w:val="0"/>
          <w:numId w:val="40"/>
        </w:numPr>
        <w:tabs>
          <w:tab w:val="clear" w:pos="1985"/>
          <w:tab w:val="num" w:pos="426"/>
        </w:tabs>
        <w:ind w:left="426" w:hanging="284"/>
      </w:pPr>
      <w:r>
        <w:t>How should risk be assessed?</w:t>
      </w:r>
    </w:p>
    <w:p w14:paraId="6F999A1F" w14:textId="6FAFCE9C" w:rsidR="00300C71" w:rsidRDefault="00300C71" w:rsidP="00FD3FE7">
      <w:pPr>
        <w:pStyle w:val="Bullet"/>
        <w:numPr>
          <w:ilvl w:val="0"/>
          <w:numId w:val="40"/>
        </w:numPr>
        <w:tabs>
          <w:tab w:val="clear" w:pos="1985"/>
          <w:tab w:val="num" w:pos="426"/>
        </w:tabs>
        <w:ind w:left="426" w:hanging="284"/>
      </w:pPr>
      <w:r>
        <w:t>Should the funding model assess risks at the individual financial firm level or at the financial service class level?</w:t>
      </w:r>
    </w:p>
    <w:p w14:paraId="46961AE3" w14:textId="12A0CF3D" w:rsidR="00B917C0" w:rsidRDefault="00B917C0" w:rsidP="00FD3FE7">
      <w:pPr>
        <w:pStyle w:val="Bullet"/>
        <w:numPr>
          <w:ilvl w:val="0"/>
          <w:numId w:val="40"/>
        </w:numPr>
        <w:tabs>
          <w:tab w:val="clear" w:pos="1985"/>
          <w:tab w:val="num" w:pos="426"/>
        </w:tabs>
        <w:ind w:left="426" w:hanging="284"/>
      </w:pPr>
      <w:r>
        <w:t>Should a risk based funding model apply to all CSLR costs?</w:t>
      </w:r>
    </w:p>
    <w:p w14:paraId="2C90EF7A" w14:textId="63670FF1" w:rsidR="00567849" w:rsidRDefault="00333881" w:rsidP="00B31ED3">
      <w:pPr>
        <w:pStyle w:val="Heading3"/>
      </w:pPr>
      <w:bookmarkStart w:id="347" w:name="_Toc27353682"/>
      <w:bookmarkStart w:id="348" w:name="_Toc27381715"/>
      <w:bookmarkStart w:id="349" w:name="_Toc27400928"/>
      <w:bookmarkStart w:id="350" w:name="_Toc27414058"/>
      <w:bookmarkStart w:id="351" w:name="_Toc27415345"/>
      <w:bookmarkStart w:id="352" w:name="_Toc27469288"/>
      <w:bookmarkStart w:id="353" w:name="_Toc27471866"/>
      <w:bookmarkStart w:id="354" w:name="_Toc27474875"/>
      <w:bookmarkStart w:id="355" w:name="_Toc27478299"/>
      <w:bookmarkStart w:id="356" w:name="_Toc27478853"/>
      <w:bookmarkStart w:id="357" w:name="_Toc27490034"/>
      <w:bookmarkStart w:id="358" w:name="_Toc27491049"/>
      <w:bookmarkStart w:id="359" w:name="_Toc27492742"/>
      <w:bookmarkStart w:id="360" w:name="_Toc27646233"/>
      <w:bookmarkStart w:id="361" w:name="_Toc27646268"/>
      <w:bookmarkStart w:id="362" w:name="_Toc27650480"/>
      <w:r>
        <w:t>To what extent s</w:t>
      </w:r>
      <w:r w:rsidR="0066761B">
        <w:t>hould</w:t>
      </w:r>
      <w:r w:rsidR="00567849">
        <w:t xml:space="preserve"> the funding model </w:t>
      </w:r>
      <w:r w:rsidR="00F37E86">
        <w:t>be based on</w:t>
      </w:r>
      <w:r w:rsidR="00567849">
        <w:t xml:space="preserve"> a firm’s ability to pay?</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0B0A3D89" w14:textId="04FC05E6" w:rsidR="0078636B" w:rsidRDefault="0078636B" w:rsidP="00435400">
      <w:pPr>
        <w:pStyle w:val="AlphaParagraph"/>
        <w:numPr>
          <w:ilvl w:val="0"/>
          <w:numId w:val="0"/>
        </w:numPr>
      </w:pPr>
      <w:bookmarkStart w:id="363" w:name="_Toc26975045"/>
      <w:r>
        <w:t xml:space="preserve">The </w:t>
      </w:r>
      <w:r w:rsidR="00005CF7">
        <w:t>Ramsay</w:t>
      </w:r>
      <w:r>
        <w:t xml:space="preserve"> Review recommended that the funding model be designed so that it does not result in a substantial lessening of competition amongst financial firms, while ensuring that all firms providing the type of services covered by the CSLR make an appropriate level of contribution.</w:t>
      </w:r>
      <w:r w:rsidR="007D2AB7">
        <w:rPr>
          <w:rStyle w:val="FootnoteReference"/>
        </w:rPr>
        <w:footnoteReference w:id="11"/>
      </w:r>
    </w:p>
    <w:p w14:paraId="39DD104B" w14:textId="36EA94CC" w:rsidR="00833DF2" w:rsidRDefault="00D01336" w:rsidP="00435400">
      <w:pPr>
        <w:pStyle w:val="AlphaParagraph"/>
        <w:numPr>
          <w:ilvl w:val="0"/>
          <w:numId w:val="0"/>
        </w:numPr>
      </w:pPr>
      <w:r w:rsidRPr="00253883">
        <w:t xml:space="preserve">The CSLR </w:t>
      </w:r>
      <w:r w:rsidR="003970DF">
        <w:t xml:space="preserve">funding model could be </w:t>
      </w:r>
      <w:r w:rsidRPr="00253883">
        <w:t xml:space="preserve">designed to impose the costs of the scheme </w:t>
      </w:r>
      <w:r w:rsidR="0071304B" w:rsidRPr="00253883">
        <w:t xml:space="preserve">equally across </w:t>
      </w:r>
      <w:r w:rsidR="0071304B">
        <w:t xml:space="preserve">all financial firms required to participate in the scheme. </w:t>
      </w:r>
      <w:r w:rsidR="00833DF2">
        <w:t xml:space="preserve">The benefit of this approach is that it </w:t>
      </w:r>
      <w:r w:rsidR="0071304B">
        <w:t xml:space="preserve">would be </w:t>
      </w:r>
      <w:r w:rsidR="00833DF2">
        <w:t xml:space="preserve">a simple </w:t>
      </w:r>
      <w:r w:rsidR="0071304B">
        <w:t>funding model and could be relatively resilient</w:t>
      </w:r>
      <w:r w:rsidR="00833DF2">
        <w:t>. The relative resilience of this approach would be higher if the coverage of the CSLR was broader.</w:t>
      </w:r>
    </w:p>
    <w:p w14:paraId="1CA0CE49" w14:textId="77777777" w:rsidR="000A6114" w:rsidRDefault="00C82210" w:rsidP="00435400">
      <w:pPr>
        <w:pStyle w:val="AlphaParagraph"/>
        <w:numPr>
          <w:ilvl w:val="0"/>
          <w:numId w:val="0"/>
        </w:numPr>
      </w:pPr>
      <w:r>
        <w:t xml:space="preserve">A levy imposed equally across all financial firms could be </w:t>
      </w:r>
      <w:r w:rsidRPr="00C82210">
        <w:t>unaffordable</w:t>
      </w:r>
      <w:r>
        <w:t xml:space="preserve"> for some </w:t>
      </w:r>
      <w:r w:rsidR="000A6114">
        <w:t xml:space="preserve">smaller </w:t>
      </w:r>
      <w:r>
        <w:t>firms</w:t>
      </w:r>
      <w:r w:rsidR="000A6114">
        <w:t xml:space="preserve"> and lead to reduced </w:t>
      </w:r>
      <w:r w:rsidRPr="00C82210">
        <w:t xml:space="preserve">competition </w:t>
      </w:r>
      <w:r w:rsidR="000A6114">
        <w:t>in the market containing those firms.</w:t>
      </w:r>
    </w:p>
    <w:p w14:paraId="605B2EE6" w14:textId="51D03B42" w:rsidR="00833DF2" w:rsidRDefault="008F3945" w:rsidP="00435400">
      <w:pPr>
        <w:pStyle w:val="AlphaParagraph"/>
        <w:numPr>
          <w:ilvl w:val="0"/>
          <w:numId w:val="0"/>
        </w:numPr>
      </w:pPr>
      <w:r>
        <w:t>An alternative approach could be for the CSLR funding model to impose the costs of the scheme proportionately to a financial firms’ ability to pay</w:t>
      </w:r>
      <w:r w:rsidR="003D12CC">
        <w:t>, similar to the approach in the UK</w:t>
      </w:r>
      <w:r>
        <w:t xml:space="preserve">. That is, </w:t>
      </w:r>
      <w:r w:rsidR="009E6AFD">
        <w:t xml:space="preserve">financial firms with a proportionately </w:t>
      </w:r>
      <w:r w:rsidR="003D12CC">
        <w:t xml:space="preserve">smaller </w:t>
      </w:r>
      <w:r w:rsidR="009E6AFD">
        <w:t>share of the market for a covered financial service would pay a proportionately smal</w:t>
      </w:r>
      <w:r w:rsidR="00AA2052">
        <w:t>ler levy to the CSLR. In contras</w:t>
      </w:r>
      <w:r w:rsidR="009E6AFD">
        <w:t>t, financial firms with a larger proportion of the market for a covered financial service would pay a proportionately larger levy to the CSLR.</w:t>
      </w:r>
    </w:p>
    <w:p w14:paraId="411BD6DA" w14:textId="75DEC161" w:rsidR="00215256" w:rsidRDefault="00276EF6" w:rsidP="00435400">
      <w:pPr>
        <w:pStyle w:val="AlphaParagraph"/>
        <w:numPr>
          <w:ilvl w:val="0"/>
          <w:numId w:val="0"/>
        </w:numPr>
      </w:pPr>
      <w:r>
        <w:t xml:space="preserve">The proportionate approach would </w:t>
      </w:r>
      <w:r w:rsidR="00D67B91">
        <w:t xml:space="preserve">increase the likelihood that CSLR was affordable for all financial firms required to participate. However, it </w:t>
      </w:r>
      <w:r w:rsidR="00215256">
        <w:t>would also be likely to</w:t>
      </w:r>
      <w:r w:rsidR="00D67B91">
        <w:t xml:space="preserve"> reduce the extent to which </w:t>
      </w:r>
      <w:r w:rsidR="00215256">
        <w:t>the cost of the CSLR is borne by those financial firms most likely to be the source of risk.</w:t>
      </w:r>
    </w:p>
    <w:p w14:paraId="6196F3A6" w14:textId="45888D09" w:rsidR="00215256" w:rsidRDefault="00215256" w:rsidP="00435400">
      <w:pPr>
        <w:pStyle w:val="AlphaParagraph"/>
        <w:numPr>
          <w:ilvl w:val="0"/>
          <w:numId w:val="0"/>
        </w:numPr>
      </w:pPr>
      <w:r w:rsidRPr="008B50F0">
        <w:t>A proportionate approach could be implemented at either a</w:t>
      </w:r>
      <w:r w:rsidR="00E2471E" w:rsidRPr="008B50F0">
        <w:t>n individual</w:t>
      </w:r>
      <w:r w:rsidRPr="008B50F0">
        <w:t xml:space="preserve"> financial firm or financial service class level. </w:t>
      </w:r>
      <w:r w:rsidR="007F6957" w:rsidRPr="008B50F0">
        <w:t xml:space="preserve">The complexity and regulatory cost would likely be less at a financial service class level. </w:t>
      </w:r>
    </w:p>
    <w:p w14:paraId="7696900B" w14:textId="3B3DA008" w:rsidR="00267982" w:rsidRDefault="00CA495D" w:rsidP="00435400">
      <w:pPr>
        <w:pStyle w:val="AlphaParagraph"/>
        <w:numPr>
          <w:ilvl w:val="0"/>
          <w:numId w:val="0"/>
        </w:numPr>
      </w:pPr>
      <w:r>
        <w:t xml:space="preserve">The data requirements to implement a funding model based on ability to pay would include having a common </w:t>
      </w:r>
      <w:r w:rsidR="00BB1E2F">
        <w:t xml:space="preserve">benchmark for firm size, for example, the annual gross revenue a financial firm gained from providing financial services covered by the CSLR. While it is expected that </w:t>
      </w:r>
      <w:r w:rsidR="008B50F0">
        <w:t>many</w:t>
      </w:r>
      <w:r w:rsidR="00BB1E2F">
        <w:t xml:space="preserve"> financial firms would be able to calculate this figure, the data is </w:t>
      </w:r>
      <w:r w:rsidR="00267982">
        <w:t xml:space="preserve">not </w:t>
      </w:r>
      <w:r w:rsidR="00BB1E2F">
        <w:t xml:space="preserve">yet </w:t>
      </w:r>
      <w:r w:rsidR="00267982">
        <w:t>available in aggregate form</w:t>
      </w:r>
      <w:r w:rsidR="00300CA6">
        <w:t xml:space="preserve"> and there would be a regulatory cost to both financial firms and the CSLR to obtain it.</w:t>
      </w:r>
      <w:r w:rsidR="008B50F0">
        <w:t xml:space="preserve"> Furthermore, annual gross revenue </w:t>
      </w:r>
      <w:r w:rsidR="008B50F0">
        <w:lastRenderedPageBreak/>
        <w:t xml:space="preserve">may not be </w:t>
      </w:r>
      <w:r w:rsidR="0001755F">
        <w:t xml:space="preserve">a </w:t>
      </w:r>
      <w:r w:rsidR="008B50F0">
        <w:t xml:space="preserve">suitable metric </w:t>
      </w:r>
      <w:r w:rsidR="0001755F">
        <w:t xml:space="preserve">to assess ability to pay for </w:t>
      </w:r>
      <w:r w:rsidR="00300C71">
        <w:t>some financial service classes, adding to the complexity of the model.</w:t>
      </w:r>
    </w:p>
    <w:p w14:paraId="784F6267" w14:textId="3438365E" w:rsidR="00E921FB" w:rsidRPr="00CB3A37" w:rsidRDefault="00E921FB" w:rsidP="00B917C0">
      <w:pPr>
        <w:pStyle w:val="Heading4"/>
      </w:pPr>
      <w:bookmarkStart w:id="364" w:name="_Toc27149178"/>
      <w:bookmarkEnd w:id="363"/>
      <w:r>
        <w:t>Questions</w:t>
      </w:r>
      <w:bookmarkEnd w:id="364"/>
    </w:p>
    <w:p w14:paraId="31CBD1AC" w14:textId="4845547C" w:rsidR="00DD73E8" w:rsidRDefault="00FB1142" w:rsidP="00FD3FE7">
      <w:pPr>
        <w:pStyle w:val="Bullet"/>
        <w:numPr>
          <w:ilvl w:val="0"/>
          <w:numId w:val="40"/>
        </w:numPr>
        <w:tabs>
          <w:tab w:val="clear" w:pos="1985"/>
          <w:tab w:val="num" w:pos="426"/>
        </w:tabs>
        <w:ind w:left="426" w:hanging="284"/>
      </w:pPr>
      <w:r>
        <w:t>To what exten</w:t>
      </w:r>
      <w:r w:rsidR="00E2701F">
        <w:t>t</w:t>
      </w:r>
      <w:r>
        <w:t xml:space="preserve"> should </w:t>
      </w:r>
      <w:r w:rsidR="00DD73E8">
        <w:t>the funding model be based on a firm’s ability to pay?</w:t>
      </w:r>
    </w:p>
    <w:p w14:paraId="239E1C7D" w14:textId="05B80718" w:rsidR="00D57547" w:rsidRDefault="00B917C0" w:rsidP="00FD3FE7">
      <w:pPr>
        <w:pStyle w:val="Bullet"/>
        <w:numPr>
          <w:ilvl w:val="0"/>
          <w:numId w:val="40"/>
        </w:numPr>
        <w:tabs>
          <w:tab w:val="clear" w:pos="1985"/>
          <w:tab w:val="num" w:pos="426"/>
        </w:tabs>
        <w:ind w:left="426" w:hanging="284"/>
      </w:pPr>
      <w:r>
        <w:t xml:space="preserve">How should ability to pay be assessed? </w:t>
      </w:r>
    </w:p>
    <w:p w14:paraId="16C6EC92" w14:textId="0A4834FE" w:rsidR="00676E73" w:rsidRDefault="00DD73E8" w:rsidP="00FD3FE7">
      <w:pPr>
        <w:pStyle w:val="Bullet"/>
        <w:numPr>
          <w:ilvl w:val="0"/>
          <w:numId w:val="40"/>
        </w:numPr>
        <w:tabs>
          <w:tab w:val="clear" w:pos="1985"/>
          <w:tab w:val="num" w:pos="426"/>
        </w:tabs>
        <w:ind w:left="426" w:hanging="284"/>
      </w:pPr>
      <w:r>
        <w:t xml:space="preserve">What are suitable </w:t>
      </w:r>
      <w:r w:rsidR="007565BD">
        <w:t xml:space="preserve">universally available </w:t>
      </w:r>
      <w:r>
        <w:t>metrics to assess a firm’s ability to pay?</w:t>
      </w:r>
      <w:r w:rsidR="007565BD">
        <w:t xml:space="preserve"> </w:t>
      </w:r>
    </w:p>
    <w:p w14:paraId="266ECA3A" w14:textId="17455FFB" w:rsidR="009E1C1E" w:rsidRDefault="0083241E" w:rsidP="00634FA2">
      <w:pPr>
        <w:pStyle w:val="Heading3"/>
      </w:pPr>
      <w:bookmarkStart w:id="365" w:name="_Toc27353683"/>
      <w:bookmarkStart w:id="366" w:name="_Toc27381716"/>
      <w:bookmarkStart w:id="367" w:name="_Toc27400929"/>
      <w:bookmarkStart w:id="368" w:name="_Toc27414059"/>
      <w:bookmarkStart w:id="369" w:name="_Toc27415346"/>
      <w:bookmarkStart w:id="370" w:name="_Toc27469289"/>
      <w:bookmarkStart w:id="371" w:name="_Toc27474876"/>
      <w:bookmarkStart w:id="372" w:name="_Toc27478300"/>
      <w:bookmarkStart w:id="373" w:name="_Toc27478854"/>
      <w:bookmarkStart w:id="374" w:name="_Toc27490035"/>
      <w:bookmarkStart w:id="375" w:name="_Toc27491050"/>
      <w:bookmarkStart w:id="376" w:name="_Toc27492743"/>
      <w:bookmarkStart w:id="377" w:name="_Toc27646234"/>
      <w:bookmarkStart w:id="378" w:name="_Toc27646269"/>
      <w:bookmarkStart w:id="379" w:name="_Toc27650481"/>
      <w:bookmarkStart w:id="380" w:name="_Toc27471867"/>
      <w:r>
        <w:t>How should the fund</w:t>
      </w:r>
      <w:r w:rsidR="00333881">
        <w:t>ing model address</w:t>
      </w:r>
      <w:r>
        <w:t xml:space="preserve"> unexpected costs</w:t>
      </w:r>
      <w:r w:rsidR="00676E73">
        <w:t>?</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bookmarkEnd w:id="380"/>
    <w:p w14:paraId="1CE01D1D" w14:textId="38C5871F" w:rsidR="00634FA2" w:rsidRDefault="00634FA2" w:rsidP="00634FA2">
      <w:r>
        <w:t xml:space="preserve">The </w:t>
      </w:r>
      <w:r w:rsidR="00005CF7">
        <w:t>Ramsay</w:t>
      </w:r>
      <w:r>
        <w:t xml:space="preserve"> Review </w:t>
      </w:r>
      <w:r w:rsidR="009509AD">
        <w:t xml:space="preserve">noted that there could be circumstances where the number and amount of claims made on a CSLR exceed its planned funding level. In this circumstance, the </w:t>
      </w:r>
      <w:r w:rsidR="00005CF7">
        <w:t>Ramsay</w:t>
      </w:r>
      <w:r w:rsidR="009509AD">
        <w:t xml:space="preserve"> Review suggested that the </w:t>
      </w:r>
      <w:r w:rsidR="001179A4">
        <w:t>CSLR could address the issue by:</w:t>
      </w:r>
    </w:p>
    <w:p w14:paraId="01FBCFBA" w14:textId="018403E9" w:rsidR="001179A4" w:rsidRDefault="00593759" w:rsidP="00C850F2">
      <w:pPr>
        <w:pStyle w:val="Bullet"/>
        <w:tabs>
          <w:tab w:val="clear" w:pos="1985"/>
          <w:tab w:val="num" w:pos="567"/>
        </w:tabs>
        <w:ind w:left="567"/>
      </w:pPr>
      <w:r>
        <w:t>c</w:t>
      </w:r>
      <w:r w:rsidR="001179A4">
        <w:t>ollecting additional levies once the CSLR has become aware of unexpected increase in cost</w:t>
      </w:r>
      <w:r w:rsidR="00F6468B">
        <w:t>;</w:t>
      </w:r>
    </w:p>
    <w:p w14:paraId="6FE052E5" w14:textId="5C63821A" w:rsidR="001179A4" w:rsidRDefault="00593759" w:rsidP="00C850F2">
      <w:pPr>
        <w:pStyle w:val="Bullet"/>
        <w:tabs>
          <w:tab w:val="clear" w:pos="1985"/>
          <w:tab w:val="num" w:pos="567"/>
        </w:tabs>
        <w:ind w:left="567"/>
      </w:pPr>
      <w:r>
        <w:t>i</w:t>
      </w:r>
      <w:r w:rsidR="001179A4">
        <w:t>nclud</w:t>
      </w:r>
      <w:r>
        <w:t>ing</w:t>
      </w:r>
      <w:r w:rsidR="001179A4">
        <w:t xml:space="preserve"> a buffer in levies as a means of protecting against future unexpected events</w:t>
      </w:r>
      <w:r w:rsidR="00F6468B">
        <w:t>;</w:t>
      </w:r>
      <w:r>
        <w:t xml:space="preserve"> and</w:t>
      </w:r>
    </w:p>
    <w:p w14:paraId="18219110" w14:textId="76E576FA" w:rsidR="00593759" w:rsidRDefault="001179A4" w:rsidP="00C850F2">
      <w:pPr>
        <w:pStyle w:val="Bullet"/>
        <w:tabs>
          <w:tab w:val="clear" w:pos="1985"/>
          <w:tab w:val="num" w:pos="567"/>
        </w:tabs>
        <w:ind w:left="567"/>
      </w:pPr>
      <w:r>
        <w:t xml:space="preserve">borrowing </w:t>
      </w:r>
      <w:r w:rsidR="00593759">
        <w:t>so that compensation is paid in a timely way while recouping the unexpected cost over time through higher levies to repay any borrowings.</w:t>
      </w:r>
      <w:r w:rsidR="00593759">
        <w:rPr>
          <w:rStyle w:val="FootnoteReference"/>
        </w:rPr>
        <w:footnoteReference w:id="12"/>
      </w:r>
    </w:p>
    <w:p w14:paraId="274B2727" w14:textId="28D16716" w:rsidR="00896DEF" w:rsidRDefault="003F3076" w:rsidP="00634FA2">
      <w:r>
        <w:t>Collecting additional levies after the CSLR has become aware of the unexpected increase in cost h</w:t>
      </w:r>
      <w:r w:rsidR="00F2489C">
        <w:t>a</w:t>
      </w:r>
      <w:r>
        <w:t xml:space="preserve">s the advantage that </w:t>
      </w:r>
      <w:r w:rsidR="00F2489C">
        <w:t xml:space="preserve">participating financial firms retain control of those funds until they are required. A disadvantage of such additional levies is that they introduce volatility to </w:t>
      </w:r>
      <w:r w:rsidR="00D02D2B">
        <w:t xml:space="preserve">the </w:t>
      </w:r>
      <w:r w:rsidR="00F2489C">
        <w:t>scheme which some financial firms may not be able to easily manage. For example, if there is a large unexpected increase in costs</w:t>
      </w:r>
      <w:r w:rsidR="00741AD0">
        <w:t>,</w:t>
      </w:r>
      <w:r w:rsidR="00F2489C">
        <w:t xml:space="preserve"> the levy financial firm</w:t>
      </w:r>
      <w:r w:rsidR="00896DEF">
        <w:t>s</w:t>
      </w:r>
      <w:r w:rsidR="00F2489C">
        <w:t xml:space="preserve"> may be required to pay could </w:t>
      </w:r>
      <w:r w:rsidR="00896DEF">
        <w:t>increase sharply and become potentially be unaffordable for some smaller financial firms.</w:t>
      </w:r>
      <w:r w:rsidR="00014FC8">
        <w:t xml:space="preserve"> Another disadvantage is that consumers and small businesses may be required to wait an additional period to be compensated because of the need for the CSLR to </w:t>
      </w:r>
      <w:r w:rsidR="00E643E7">
        <w:t>maintain solvency and thus only make compensation payments once funds are available.</w:t>
      </w:r>
    </w:p>
    <w:p w14:paraId="4D50881B" w14:textId="2F525C5F" w:rsidR="005A5281" w:rsidRDefault="005A5281" w:rsidP="005009AC">
      <w:r>
        <w:t xml:space="preserve">Including a buffer in an annual levy as a means of protecting against future unexpected events would involve the CSLR accumulating additional funds to establish a capital </w:t>
      </w:r>
      <w:r w:rsidR="005009AC">
        <w:t>base</w:t>
      </w:r>
      <w:r>
        <w:t xml:space="preserve"> for the scheme. The</w:t>
      </w:r>
      <w:r w:rsidR="005009AC">
        <w:t xml:space="preserve"> capital base would build over time until, for example, it met a target capital requirement, and would then only be </w:t>
      </w:r>
      <w:r>
        <w:t xml:space="preserve">used in circumstances in which the annual levy </w:t>
      </w:r>
      <w:r w:rsidR="005009AC">
        <w:t xml:space="preserve">is unable to </w:t>
      </w:r>
      <w:r>
        <w:t xml:space="preserve">cover the </w:t>
      </w:r>
      <w:r w:rsidR="005009AC">
        <w:t xml:space="preserve">annual </w:t>
      </w:r>
      <w:r>
        <w:t xml:space="preserve">schemes costs. </w:t>
      </w:r>
      <w:r w:rsidR="005009AC">
        <w:t>T</w:t>
      </w:r>
      <w:r>
        <w:t xml:space="preserve">he aim of a capital base </w:t>
      </w:r>
      <w:r w:rsidR="00CB7873">
        <w:t>would be</w:t>
      </w:r>
      <w:r>
        <w:t xml:space="preserve"> </w:t>
      </w:r>
      <w:r w:rsidRPr="006518A0">
        <w:t xml:space="preserve">to ensure the </w:t>
      </w:r>
      <w:r w:rsidR="005009AC">
        <w:t xml:space="preserve">CSLR has </w:t>
      </w:r>
      <w:r w:rsidRPr="006518A0">
        <w:t xml:space="preserve">sufficient </w:t>
      </w:r>
      <w:r w:rsidR="005009AC">
        <w:t xml:space="preserve">funds </w:t>
      </w:r>
      <w:r w:rsidRPr="006518A0">
        <w:t>to meet unexpected variations in claims costs in any year and to cover any components of operational risk.</w:t>
      </w:r>
      <w:r>
        <w:t xml:space="preserve"> The CSLR can establish its capital base over a period of years or as a once off establishment cost upon inception of the scheme.</w:t>
      </w:r>
      <w:r w:rsidR="0082248E">
        <w:t xml:space="preserve"> </w:t>
      </w:r>
      <w:r w:rsidR="00365F7D">
        <w:t>I</w:t>
      </w:r>
      <w:r w:rsidR="0021528C">
        <w:t>f the CSLR adopts a capitalisation model, it is not envisaged the capital base would be sufficient to accommodate events that result in large uncompensated losses. I</w:t>
      </w:r>
      <w:r w:rsidR="00365F7D">
        <w:t>nstead, i</w:t>
      </w:r>
      <w:r w:rsidR="0021528C">
        <w:t xml:space="preserve">n these circumstances, the scheme </w:t>
      </w:r>
      <w:r w:rsidR="00365F7D">
        <w:t xml:space="preserve">would </w:t>
      </w:r>
      <w:r w:rsidR="0082248E">
        <w:t>raise additional levies.</w:t>
      </w:r>
      <w:r w:rsidR="0021528C">
        <w:t xml:space="preserve"> </w:t>
      </w:r>
      <w:r w:rsidR="00CB4A59">
        <w:t>T</w:t>
      </w:r>
      <w:r w:rsidR="0021528C">
        <w:t xml:space="preserve">he </w:t>
      </w:r>
      <w:r w:rsidR="00CB4A59">
        <w:t xml:space="preserve">average annual </w:t>
      </w:r>
      <w:r w:rsidR="0021528C">
        <w:t xml:space="preserve">level of unpaid determinations has </w:t>
      </w:r>
      <w:r w:rsidR="00CB4A59">
        <w:t xml:space="preserve">historically </w:t>
      </w:r>
      <w:r w:rsidR="0021528C">
        <w:t>been lower than $5 million. As such</w:t>
      </w:r>
      <w:r w:rsidR="00CB4A59">
        <w:t>,</w:t>
      </w:r>
      <w:r w:rsidR="0021528C">
        <w:t xml:space="preserve"> the scheme could </w:t>
      </w:r>
      <w:r w:rsidR="00CB4A59">
        <w:t xml:space="preserve">reasonably </w:t>
      </w:r>
      <w:r w:rsidR="0021528C">
        <w:t xml:space="preserve">adopt a </w:t>
      </w:r>
      <w:r w:rsidR="00CB4A59">
        <w:t xml:space="preserve">minimum </w:t>
      </w:r>
      <w:r w:rsidR="0021528C">
        <w:t xml:space="preserve">capital </w:t>
      </w:r>
      <w:r w:rsidR="00CB4A59">
        <w:t xml:space="preserve">level </w:t>
      </w:r>
      <w:r w:rsidR="0021528C">
        <w:t xml:space="preserve">of $10 million. </w:t>
      </w:r>
    </w:p>
    <w:p w14:paraId="7F825A18" w14:textId="046C811A" w:rsidR="00C25FD9" w:rsidRDefault="00C25FD9" w:rsidP="00667CAD">
      <w:r>
        <w:t xml:space="preserve">The advantage of establishing a capital base is that it would reduce the volatility of levies payable by financial firms </w:t>
      </w:r>
      <w:r w:rsidR="00667CAD">
        <w:t xml:space="preserve">providing financial services covered by </w:t>
      </w:r>
      <w:r>
        <w:t xml:space="preserve">the CSLR as there is a funding base that can be accessed if a variation in expected costs occur. This </w:t>
      </w:r>
      <w:r w:rsidR="00667CAD">
        <w:t xml:space="preserve">would </w:t>
      </w:r>
      <w:r>
        <w:t xml:space="preserve">smooth the levies imposed upon participating </w:t>
      </w:r>
      <w:r w:rsidR="00667CAD">
        <w:t xml:space="preserve">financial </w:t>
      </w:r>
      <w:r>
        <w:t xml:space="preserve">firms as the scheme will be able to draw from the capital base as opposed to raising additional funding from those firms. Additionally, the ability for the CSLR to access a pool of capital </w:t>
      </w:r>
      <w:r w:rsidR="00667CAD">
        <w:t xml:space="preserve">enables it to pay compensation in a timely </w:t>
      </w:r>
      <w:r w:rsidR="00741AD0">
        <w:t xml:space="preserve">manner </w:t>
      </w:r>
      <w:r w:rsidR="00667CAD">
        <w:t>rather than waiting for funds to be raised through additional levies.</w:t>
      </w:r>
    </w:p>
    <w:p w14:paraId="687ABB7E" w14:textId="79671AC7" w:rsidR="00C25FD9" w:rsidRDefault="00C25FD9" w:rsidP="00667CAD">
      <w:r>
        <w:lastRenderedPageBreak/>
        <w:t xml:space="preserve">The disadvantage of establishing a capital base is the funds provided by participating </w:t>
      </w:r>
      <w:r w:rsidR="00667CAD">
        <w:t xml:space="preserve">financial </w:t>
      </w:r>
      <w:r>
        <w:t xml:space="preserve">firms will be tied up in a capital fund that may not be used. This creates an opportunity cost that </w:t>
      </w:r>
      <w:r w:rsidR="001B3297">
        <w:t xml:space="preserve">contributing financial </w:t>
      </w:r>
      <w:r>
        <w:t>firms w</w:t>
      </w:r>
      <w:r w:rsidR="001B3297">
        <w:t>ould</w:t>
      </w:r>
      <w:r>
        <w:t xml:space="preserve"> need to bear. </w:t>
      </w:r>
    </w:p>
    <w:p w14:paraId="78D0EE84" w14:textId="334A421E" w:rsidR="00562CAB" w:rsidRDefault="00562CAB" w:rsidP="00562CAB">
      <w:pPr>
        <w:pStyle w:val="Heading4"/>
      </w:pPr>
      <w:r>
        <w:t>Questions</w:t>
      </w:r>
    </w:p>
    <w:p w14:paraId="42D738AA" w14:textId="10CCADA2" w:rsidR="00562CAB" w:rsidRDefault="00562CAB" w:rsidP="00FD3FE7">
      <w:pPr>
        <w:pStyle w:val="Bullet"/>
        <w:numPr>
          <w:ilvl w:val="0"/>
          <w:numId w:val="40"/>
        </w:numPr>
        <w:tabs>
          <w:tab w:val="clear" w:pos="1985"/>
          <w:tab w:val="num" w:pos="426"/>
        </w:tabs>
        <w:ind w:left="426" w:hanging="284"/>
      </w:pPr>
      <w:r>
        <w:t>How should the funding model address unexpected costs?</w:t>
      </w:r>
    </w:p>
    <w:p w14:paraId="5E383E25" w14:textId="538682F9" w:rsidR="00497435" w:rsidRDefault="00497435" w:rsidP="00FD3FE7">
      <w:pPr>
        <w:pStyle w:val="Bullet"/>
        <w:numPr>
          <w:ilvl w:val="0"/>
          <w:numId w:val="40"/>
        </w:numPr>
        <w:tabs>
          <w:tab w:val="clear" w:pos="1985"/>
          <w:tab w:val="num" w:pos="426"/>
        </w:tabs>
        <w:ind w:left="426" w:hanging="284"/>
      </w:pPr>
      <w:r>
        <w:t xml:space="preserve">Is it better to </w:t>
      </w:r>
      <w:r w:rsidR="00562CAB">
        <w:t>avoid levy volatility or funds being tied up in a capital base</w:t>
      </w:r>
      <w:r>
        <w:t xml:space="preserve"> that may not be often used?</w:t>
      </w:r>
    </w:p>
    <w:p w14:paraId="6A5B5ED3" w14:textId="224E538D" w:rsidR="00497435" w:rsidRDefault="00497435" w:rsidP="00FD3FE7">
      <w:pPr>
        <w:pStyle w:val="Bullet"/>
        <w:numPr>
          <w:ilvl w:val="0"/>
          <w:numId w:val="40"/>
        </w:numPr>
        <w:tabs>
          <w:tab w:val="clear" w:pos="1985"/>
          <w:tab w:val="num" w:pos="426"/>
        </w:tabs>
        <w:ind w:left="426" w:hanging="284"/>
      </w:pPr>
      <w:r>
        <w:t>If a CSLR capital base is to be established, what is a suitable minimum capital requirement?</w:t>
      </w:r>
    </w:p>
    <w:p w14:paraId="31E7FA5A" w14:textId="35B90226" w:rsidR="00497435" w:rsidRDefault="00497435" w:rsidP="00FD3FE7">
      <w:pPr>
        <w:pStyle w:val="Bullet"/>
        <w:numPr>
          <w:ilvl w:val="0"/>
          <w:numId w:val="40"/>
        </w:numPr>
        <w:tabs>
          <w:tab w:val="clear" w:pos="1985"/>
          <w:tab w:val="num" w:pos="426"/>
        </w:tabs>
        <w:ind w:left="426" w:hanging="284"/>
      </w:pPr>
      <w:r>
        <w:t xml:space="preserve">If levies are to </w:t>
      </w:r>
      <w:r w:rsidR="00CF5806">
        <w:t xml:space="preserve">be </w:t>
      </w:r>
      <w:r>
        <w:t>collected after the CSLR becomes aware of unexpected additional costs, how will financial firms manage this?</w:t>
      </w:r>
    </w:p>
    <w:p w14:paraId="770A84E0" w14:textId="417D6BBE" w:rsidR="00F37E86" w:rsidRDefault="00F37E86" w:rsidP="00F37E86">
      <w:pPr>
        <w:pStyle w:val="Heading3"/>
      </w:pPr>
      <w:bookmarkStart w:id="381" w:name="_Toc27353684"/>
      <w:bookmarkStart w:id="382" w:name="_Toc27381717"/>
      <w:bookmarkStart w:id="383" w:name="_Toc27400930"/>
      <w:bookmarkStart w:id="384" w:name="_Toc27414060"/>
      <w:bookmarkStart w:id="385" w:name="_Toc27415347"/>
      <w:bookmarkStart w:id="386" w:name="_Toc27469290"/>
      <w:bookmarkStart w:id="387" w:name="_Toc27471868"/>
      <w:bookmarkStart w:id="388" w:name="_Toc27474877"/>
      <w:bookmarkStart w:id="389" w:name="_Toc27478301"/>
      <w:bookmarkStart w:id="390" w:name="_Toc27478855"/>
      <w:bookmarkStart w:id="391" w:name="_Toc27490036"/>
      <w:bookmarkStart w:id="392" w:name="_Toc27491051"/>
      <w:bookmarkStart w:id="393" w:name="_Toc27492744"/>
      <w:bookmarkStart w:id="394" w:name="_Toc27646235"/>
      <w:bookmarkStart w:id="395" w:name="_Toc27646270"/>
      <w:bookmarkStart w:id="396" w:name="_Toc27650482"/>
      <w:r>
        <w:t xml:space="preserve">How should the funding model </w:t>
      </w:r>
      <w:r w:rsidR="005E3C19">
        <w:t>promote</w:t>
      </w:r>
      <w:r>
        <w:t xml:space="preserve"> </w:t>
      </w:r>
      <w:r w:rsidR="009F0244">
        <w:t>sustainability</w:t>
      </w:r>
      <w:r>
        <w:t xml:space="preserve"> and affordability?</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2BD3CA6E" w14:textId="275D3110" w:rsidR="00353879" w:rsidRDefault="009C0025" w:rsidP="00497435">
      <w:r>
        <w:t xml:space="preserve">The </w:t>
      </w:r>
      <w:r w:rsidR="009F0244">
        <w:t>sustainability</w:t>
      </w:r>
      <w:r>
        <w:t xml:space="preserve"> of the CSLR will be maximised if its ability to levy financial firms providing financial services covered by the scheme is unconstrained. However, this risks the CSLR imposing unaffordable levies on participating financial firms. </w:t>
      </w:r>
    </w:p>
    <w:p w14:paraId="6F6F16DC" w14:textId="14A9D279" w:rsidR="00013029" w:rsidRDefault="00353879" w:rsidP="00497435">
      <w:r>
        <w:t xml:space="preserve">One way </w:t>
      </w:r>
      <w:r w:rsidR="009C0025">
        <w:t xml:space="preserve">the funding model </w:t>
      </w:r>
      <w:r>
        <w:t xml:space="preserve">could </w:t>
      </w:r>
      <w:r w:rsidR="005E3C19">
        <w:t>promote</w:t>
      </w:r>
      <w:r>
        <w:t xml:space="preserve"> </w:t>
      </w:r>
      <w:r w:rsidR="008430CE">
        <w:t>sustainability</w:t>
      </w:r>
      <w:r>
        <w:t xml:space="preserve"> and affordability is to impose a maximum cap on the levies that can be </w:t>
      </w:r>
      <w:r w:rsidR="0044389A">
        <w:t>raised from</w:t>
      </w:r>
      <w:r>
        <w:t xml:space="preserve"> any participating financial firm</w:t>
      </w:r>
      <w:r w:rsidR="005E3C19">
        <w:t xml:space="preserve"> each year and thus effectively impose a maximum amount the CSLR could raise in levies each year</w:t>
      </w:r>
      <w:r>
        <w:t xml:space="preserve">. </w:t>
      </w:r>
      <w:r w:rsidR="00013029">
        <w:t xml:space="preserve"> </w:t>
      </w:r>
    </w:p>
    <w:p w14:paraId="77B1055A" w14:textId="786B941A" w:rsidR="006251A1" w:rsidRDefault="00F40B24" w:rsidP="00497435">
      <w:r>
        <w:t>The maximum cap could be set at such a level that it is not routinely reach</w:t>
      </w:r>
      <w:r w:rsidR="00E52B98">
        <w:t>ed</w:t>
      </w:r>
      <w:r>
        <w:t xml:space="preserve"> but instead operates as a ‘back stop’ protection for financial firms in the event of </w:t>
      </w:r>
      <w:r w:rsidR="00500CBD">
        <w:t xml:space="preserve">an infrequent scenario where there are </w:t>
      </w:r>
      <w:r>
        <w:t xml:space="preserve">multiple large unexpected failures. </w:t>
      </w:r>
      <w:r w:rsidR="00353879">
        <w:t>For example, a cap could be expressed as a maximum proportion of annual gross revenue for covered services that can be levied by the CSLR. The advantage of this approach is that it would provide certainty for financial firms as to their maximum exposure to the CSLR. The disadvantage of this approach is that</w:t>
      </w:r>
      <w:r w:rsidR="00A81972">
        <w:t>, in the case of large claims,</w:t>
      </w:r>
      <w:r w:rsidR="00353879">
        <w:t xml:space="preserve"> it </w:t>
      </w:r>
      <w:r w:rsidR="00A81972">
        <w:t>could</w:t>
      </w:r>
      <w:r w:rsidR="00A81972" w:rsidRPr="00A81972">
        <w:t xml:space="preserve"> </w:t>
      </w:r>
      <w:r w:rsidR="00A81972">
        <w:t>require</w:t>
      </w:r>
      <w:r w:rsidR="00353879">
        <w:t xml:space="preserve"> the compensation to be provided to consumers and small businesses to be reduced</w:t>
      </w:r>
      <w:r w:rsidR="006251A1">
        <w:t xml:space="preserve">. </w:t>
      </w:r>
    </w:p>
    <w:p w14:paraId="4A82DF4B" w14:textId="7E593300" w:rsidR="00CF1E52" w:rsidRPr="00CF1E52" w:rsidRDefault="006251A1" w:rsidP="00497435">
      <w:r>
        <w:t xml:space="preserve">In addition, imposing a maximum cap on the levies that can be </w:t>
      </w:r>
      <w:r w:rsidR="0044389A">
        <w:t>raised from</w:t>
      </w:r>
      <w:r>
        <w:t xml:space="preserve"> any participating financial firm </w:t>
      </w:r>
      <w:r w:rsidR="00A52D33">
        <w:t xml:space="preserve">each year </w:t>
      </w:r>
      <w:r>
        <w:t>would introduce a level of complexity for the CSLR. For example, if the funding model has a risk based component, it is possible for financial firms providing higher risk financial services to reach the cap sooner than other participating financial firms. To meet compensation claims</w:t>
      </w:r>
      <w:r w:rsidR="0044389A">
        <w:t>, and to avoid the fund going into deficit,</w:t>
      </w:r>
      <w:r>
        <w:t xml:space="preserve"> the CSLR may be require</w:t>
      </w:r>
      <w:r w:rsidR="004D40A7">
        <w:t>d</w:t>
      </w:r>
      <w:r>
        <w:t xml:space="preserve"> to spread the residual cost relating to higher risk activities to participating financial firms that do not provide those services. </w:t>
      </w:r>
    </w:p>
    <w:p w14:paraId="158BAFA5" w14:textId="49D0F65B" w:rsidR="0085054D" w:rsidRDefault="0085054D" w:rsidP="0085054D">
      <w:pPr>
        <w:pStyle w:val="Heading4"/>
      </w:pPr>
      <w:r>
        <w:t>Questions</w:t>
      </w:r>
    </w:p>
    <w:p w14:paraId="25A8FDBD" w14:textId="1AC037A7" w:rsidR="006F3963" w:rsidRDefault="006F3963" w:rsidP="00FD3FE7">
      <w:pPr>
        <w:pStyle w:val="Bullet"/>
        <w:numPr>
          <w:ilvl w:val="0"/>
          <w:numId w:val="40"/>
        </w:numPr>
        <w:tabs>
          <w:tab w:val="clear" w:pos="1985"/>
          <w:tab w:val="num" w:pos="426"/>
        </w:tabs>
        <w:ind w:left="426" w:hanging="284"/>
      </w:pPr>
      <w:r>
        <w:t xml:space="preserve">Should </w:t>
      </w:r>
      <w:r w:rsidR="001B3297">
        <w:t>a maximum cap apply to the annual levies that ca</w:t>
      </w:r>
      <w:r w:rsidR="008F5D00">
        <w:t>n</w:t>
      </w:r>
      <w:r w:rsidR="001B3297">
        <w:t xml:space="preserve"> be imposed on</w:t>
      </w:r>
      <w:r>
        <w:t xml:space="preserve"> participating financial firms?</w:t>
      </w:r>
    </w:p>
    <w:p w14:paraId="47F8DADD" w14:textId="74E85D71" w:rsidR="006F3963" w:rsidRDefault="006F3963" w:rsidP="00FD3FE7">
      <w:pPr>
        <w:pStyle w:val="Bullet"/>
        <w:numPr>
          <w:ilvl w:val="0"/>
          <w:numId w:val="40"/>
        </w:numPr>
        <w:tabs>
          <w:tab w:val="clear" w:pos="1985"/>
          <w:tab w:val="num" w:pos="426"/>
        </w:tabs>
        <w:ind w:left="426" w:hanging="284"/>
      </w:pPr>
      <w:r>
        <w:t xml:space="preserve">If </w:t>
      </w:r>
      <w:r w:rsidR="000303D8">
        <w:t>a maximum cap is imposed</w:t>
      </w:r>
      <w:r>
        <w:t xml:space="preserve">, what is an appropriate metric for this </w:t>
      </w:r>
      <w:r w:rsidR="000303D8">
        <w:t>cap (for example, gross revenue from covered financial services)</w:t>
      </w:r>
      <w:r>
        <w:t>?</w:t>
      </w:r>
    </w:p>
    <w:p w14:paraId="4AF76252" w14:textId="7AAD60FD" w:rsidR="006F3963" w:rsidRDefault="006F3963" w:rsidP="00FD3FE7">
      <w:pPr>
        <w:pStyle w:val="Bullet"/>
        <w:numPr>
          <w:ilvl w:val="0"/>
          <w:numId w:val="40"/>
        </w:numPr>
        <w:tabs>
          <w:tab w:val="clear" w:pos="1985"/>
          <w:tab w:val="num" w:pos="426"/>
        </w:tabs>
        <w:ind w:left="426" w:hanging="284"/>
      </w:pPr>
      <w:r>
        <w:t xml:space="preserve">If </w:t>
      </w:r>
      <w:r w:rsidR="000303D8">
        <w:t>a maximum cap is imposed</w:t>
      </w:r>
      <w:r>
        <w:t xml:space="preserve">, what </w:t>
      </w:r>
      <w:r w:rsidR="000303D8">
        <w:t>should the maximum cap be</w:t>
      </w:r>
      <w:r>
        <w:t>?</w:t>
      </w:r>
    </w:p>
    <w:p w14:paraId="7D265B7E" w14:textId="0329F702" w:rsidR="00C81053" w:rsidRDefault="00C81053" w:rsidP="00FD3FE7">
      <w:pPr>
        <w:pStyle w:val="Bullet"/>
        <w:numPr>
          <w:ilvl w:val="0"/>
          <w:numId w:val="40"/>
        </w:numPr>
        <w:tabs>
          <w:tab w:val="clear" w:pos="1985"/>
          <w:tab w:val="num" w:pos="426"/>
        </w:tabs>
        <w:ind w:left="426" w:hanging="284"/>
      </w:pPr>
      <w:r>
        <w:t>If a maximum cap is imposed,</w:t>
      </w:r>
      <w:r w:rsidR="00F0494A">
        <w:t xml:space="preserve"> </w:t>
      </w:r>
      <w:r w:rsidR="007F2439">
        <w:t>what</w:t>
      </w:r>
      <w:r w:rsidR="00F0494A">
        <w:t xml:space="preserve"> mechanism</w:t>
      </w:r>
      <w:r w:rsidR="0025039B">
        <w:t xml:space="preserve">s </w:t>
      </w:r>
      <w:r w:rsidR="007F2439">
        <w:t xml:space="preserve">should the </w:t>
      </w:r>
      <w:r w:rsidR="004D40A7">
        <w:t xml:space="preserve">CSLR </w:t>
      </w:r>
      <w:r w:rsidR="007F2439">
        <w:t xml:space="preserve">have </w:t>
      </w:r>
      <w:r w:rsidR="004D40A7">
        <w:t xml:space="preserve">to avoid going into deficit </w:t>
      </w:r>
      <w:r w:rsidR="00F0494A">
        <w:t xml:space="preserve">(for example, </w:t>
      </w:r>
      <w:r w:rsidR="0025039B">
        <w:t xml:space="preserve">an ability to </w:t>
      </w:r>
      <w:r w:rsidR="004D40A7">
        <w:t xml:space="preserve">raise further levies from financial firms that are yet to reach the maximum cap </w:t>
      </w:r>
      <w:r w:rsidR="007F2439">
        <w:t>and/</w:t>
      </w:r>
      <w:r w:rsidR="004D40A7">
        <w:t xml:space="preserve">or to further </w:t>
      </w:r>
      <w:r w:rsidR="0025039B">
        <w:t>limit co</w:t>
      </w:r>
      <w:r w:rsidR="004D40A7">
        <w:t>m</w:t>
      </w:r>
      <w:r w:rsidR="0025039B">
        <w:t>pensation</w:t>
      </w:r>
      <w:r w:rsidR="004D40A7">
        <w:t xml:space="preserve"> so that expenditure is kept under the effective annual maximum</w:t>
      </w:r>
      <w:r w:rsidR="007F2439">
        <w:t xml:space="preserve"> for the scheme</w:t>
      </w:r>
      <w:r w:rsidR="0025039B">
        <w:t>)</w:t>
      </w:r>
      <w:r w:rsidR="007F2439">
        <w:t>?</w:t>
      </w:r>
    </w:p>
    <w:p w14:paraId="2759CBF7" w14:textId="5E3BDAE9" w:rsidR="00F3741C" w:rsidRDefault="00F3741C" w:rsidP="0085054D"/>
    <w:p w14:paraId="24594687" w14:textId="77777777" w:rsidR="0085054D" w:rsidRDefault="0085054D" w:rsidP="0085054D">
      <w:pPr>
        <w:sectPr w:rsidR="0085054D" w:rsidSect="00CB3A37">
          <w:pgSz w:w="11906" w:h="16838" w:code="9"/>
          <w:pgMar w:top="1418" w:right="1418" w:bottom="1418" w:left="1418" w:header="709" w:footer="709" w:gutter="0"/>
          <w:cols w:space="708"/>
          <w:docGrid w:linePitch="360"/>
        </w:sectPr>
      </w:pPr>
    </w:p>
    <w:p w14:paraId="45ED2077" w14:textId="64BDE307" w:rsidR="003D665C" w:rsidRDefault="00B64CA3" w:rsidP="006639F8">
      <w:pPr>
        <w:pStyle w:val="Heading1"/>
      </w:pPr>
      <w:bookmarkStart w:id="397" w:name="_Toc27353685"/>
      <w:bookmarkStart w:id="398" w:name="_Toc26979154"/>
      <w:bookmarkStart w:id="399" w:name="_Toc27149179"/>
      <w:bookmarkStart w:id="400" w:name="_Toc27381718"/>
      <w:bookmarkStart w:id="401" w:name="_Toc27400931"/>
      <w:bookmarkStart w:id="402" w:name="_Toc27414061"/>
      <w:bookmarkStart w:id="403" w:name="_Toc27415348"/>
      <w:bookmarkStart w:id="404" w:name="_Toc27469291"/>
      <w:bookmarkStart w:id="405" w:name="_Toc27471869"/>
      <w:bookmarkStart w:id="406" w:name="_Toc27474878"/>
      <w:bookmarkStart w:id="407" w:name="_Toc27478302"/>
      <w:bookmarkStart w:id="408" w:name="_Toc27478856"/>
      <w:bookmarkStart w:id="409" w:name="_Toc27490037"/>
      <w:bookmarkStart w:id="410" w:name="_Toc27491052"/>
      <w:bookmarkStart w:id="411" w:name="_Toc27492745"/>
      <w:bookmarkStart w:id="412" w:name="_Toc27646236"/>
      <w:bookmarkStart w:id="413" w:name="_Toc27646271"/>
      <w:bookmarkStart w:id="414" w:name="_Toc27650483"/>
      <w:r>
        <w:lastRenderedPageBreak/>
        <w:t>Compensation to be paid</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04820AB7" w14:textId="091D7A2A" w:rsidR="0046653E" w:rsidRDefault="0046653E" w:rsidP="006639F8">
      <w:pPr>
        <w:pStyle w:val="Heading2"/>
      </w:pPr>
      <w:bookmarkStart w:id="415" w:name="_Toc27149180"/>
      <w:bookmarkStart w:id="416" w:name="_Toc27353686"/>
      <w:bookmarkStart w:id="417" w:name="_Toc27381719"/>
      <w:bookmarkStart w:id="418" w:name="_Toc27400932"/>
      <w:bookmarkStart w:id="419" w:name="_Toc27414062"/>
      <w:bookmarkStart w:id="420" w:name="_Toc27415349"/>
      <w:bookmarkStart w:id="421" w:name="_Toc27469292"/>
      <w:bookmarkStart w:id="422" w:name="_Toc27471870"/>
      <w:bookmarkStart w:id="423" w:name="_Toc27474879"/>
      <w:bookmarkStart w:id="424" w:name="_Toc27478303"/>
      <w:bookmarkStart w:id="425" w:name="_Toc27478857"/>
      <w:bookmarkStart w:id="426" w:name="_Toc27490038"/>
      <w:bookmarkStart w:id="427" w:name="_Toc27491053"/>
      <w:bookmarkStart w:id="428" w:name="_Toc27492746"/>
      <w:bookmarkStart w:id="429" w:name="_Toc27646237"/>
      <w:bookmarkStart w:id="430" w:name="_Toc27646272"/>
      <w:bookmarkStart w:id="431" w:name="_Toc27650484"/>
      <w:r>
        <w:t>Issue</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0A1787B2" w14:textId="3744A208" w:rsidR="002F4BA5" w:rsidRDefault="00171FDD">
      <w:r>
        <w:t>The amount</w:t>
      </w:r>
      <w:r w:rsidR="003A6698">
        <w:t>, timing and type</w:t>
      </w:r>
      <w:r>
        <w:t xml:space="preserve"> of compensation the CSLR can pay </w:t>
      </w:r>
      <w:r w:rsidR="00AD3339">
        <w:t>for</w:t>
      </w:r>
      <w:r>
        <w:t xml:space="preserve"> </w:t>
      </w:r>
      <w:r w:rsidR="00A1171A">
        <w:t>losses suffered by consumers and small businesses</w:t>
      </w:r>
      <w:r>
        <w:t xml:space="preserve"> </w:t>
      </w:r>
      <w:r w:rsidR="003A6698">
        <w:t xml:space="preserve">are </w:t>
      </w:r>
      <w:r>
        <w:t>important</w:t>
      </w:r>
      <w:r w:rsidR="00A1171A">
        <w:t xml:space="preserve"> design</w:t>
      </w:r>
      <w:r>
        <w:t xml:space="preserve"> parameter</w:t>
      </w:r>
      <w:r w:rsidR="005D2D60">
        <w:t>s</w:t>
      </w:r>
      <w:r>
        <w:t xml:space="preserve"> </w:t>
      </w:r>
      <w:r w:rsidR="003A6698">
        <w:t>for</w:t>
      </w:r>
      <w:r>
        <w:t xml:space="preserve"> the scheme. </w:t>
      </w:r>
      <w:r w:rsidR="003A6698">
        <w:t>For example, if the</w:t>
      </w:r>
      <w:r>
        <w:t xml:space="preserve"> </w:t>
      </w:r>
      <w:r w:rsidR="003A6698">
        <w:t xml:space="preserve">amount of compensation that may be claimed is </w:t>
      </w:r>
      <w:r w:rsidR="00A1171A">
        <w:t xml:space="preserve">too high, it may </w:t>
      </w:r>
      <w:r w:rsidR="003A6698">
        <w:t>risk</w:t>
      </w:r>
      <w:r w:rsidR="00A1171A">
        <w:t xml:space="preserve"> the financial sustainability of the scheme</w:t>
      </w:r>
      <w:r w:rsidR="00013029">
        <w:t xml:space="preserve"> or impose undue costs on industry that impacts the viability of firms</w:t>
      </w:r>
      <w:r w:rsidR="00A1171A">
        <w:t>.</w:t>
      </w:r>
      <w:r>
        <w:t xml:space="preserve"> </w:t>
      </w:r>
      <w:r w:rsidR="00CC3FE1">
        <w:t xml:space="preserve">Alternatively, if the </w:t>
      </w:r>
      <w:r w:rsidR="003A6698">
        <w:t xml:space="preserve">amount is </w:t>
      </w:r>
      <w:r w:rsidR="00CC3FE1">
        <w:t xml:space="preserve">too low, </w:t>
      </w:r>
      <w:r w:rsidR="00DF0081">
        <w:t xml:space="preserve">it would unfairly disadvantage </w:t>
      </w:r>
      <w:r w:rsidR="00081E2A">
        <w:t>consumer</w:t>
      </w:r>
      <w:r w:rsidR="00EA4A4D">
        <w:t>s</w:t>
      </w:r>
      <w:r w:rsidR="00CC3FE1">
        <w:t>.</w:t>
      </w:r>
      <w:r>
        <w:t xml:space="preserve"> </w:t>
      </w:r>
    </w:p>
    <w:p w14:paraId="59F784BE" w14:textId="3ECE7D7F" w:rsidR="0046653E" w:rsidRDefault="00CF2FBC" w:rsidP="006639F8">
      <w:pPr>
        <w:pStyle w:val="Heading2"/>
      </w:pPr>
      <w:bookmarkStart w:id="432" w:name="_Toc27149181"/>
      <w:bookmarkStart w:id="433" w:name="_Toc27353687"/>
      <w:bookmarkStart w:id="434" w:name="_Toc27381720"/>
      <w:bookmarkStart w:id="435" w:name="_Toc27400933"/>
      <w:bookmarkStart w:id="436" w:name="_Toc27414063"/>
      <w:bookmarkStart w:id="437" w:name="_Toc27415350"/>
      <w:bookmarkStart w:id="438" w:name="_Toc27469293"/>
      <w:bookmarkStart w:id="439" w:name="_Toc27471871"/>
      <w:bookmarkStart w:id="440" w:name="_Toc27474880"/>
      <w:bookmarkStart w:id="441" w:name="_Toc27478304"/>
      <w:bookmarkStart w:id="442" w:name="_Toc27478858"/>
      <w:bookmarkStart w:id="443" w:name="_Toc27490039"/>
      <w:bookmarkStart w:id="444" w:name="_Toc27491054"/>
      <w:bookmarkStart w:id="445" w:name="_Toc27492747"/>
      <w:bookmarkStart w:id="446" w:name="_Toc27646238"/>
      <w:bookmarkStart w:id="447" w:name="_Toc27646273"/>
      <w:bookmarkStart w:id="448" w:name="_Toc27650485"/>
      <w:r>
        <w:t>Considerations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630D0C1E" w14:textId="53BD9C9C" w:rsidR="001B13BA" w:rsidRDefault="002B18EC" w:rsidP="00A86E34">
      <w:r>
        <w:t xml:space="preserve">Appropriate compensation </w:t>
      </w:r>
      <w:r w:rsidR="00604620">
        <w:t xml:space="preserve">amounts, timing and types </w:t>
      </w:r>
      <w:r>
        <w:t xml:space="preserve">for the CSLR need to balance the interests of </w:t>
      </w:r>
      <w:r w:rsidR="00604620">
        <w:t xml:space="preserve">the consumers and small businesses </w:t>
      </w:r>
      <w:r>
        <w:t xml:space="preserve">that </w:t>
      </w:r>
      <w:r w:rsidR="00A54234">
        <w:t xml:space="preserve">have </w:t>
      </w:r>
      <w:r>
        <w:t xml:space="preserve">suffered loss with </w:t>
      </w:r>
      <w:r w:rsidR="00A54234">
        <w:t xml:space="preserve">the interests of </w:t>
      </w:r>
      <w:r>
        <w:t>th</w:t>
      </w:r>
      <w:r w:rsidR="00A54234">
        <w:t xml:space="preserve">e financial firms </w:t>
      </w:r>
      <w:r>
        <w:t xml:space="preserve">required to fund the </w:t>
      </w:r>
      <w:r w:rsidR="00BE2ACA">
        <w:t>scheme.</w:t>
      </w:r>
      <w:r>
        <w:t xml:space="preserve"> This </w:t>
      </w:r>
      <w:r w:rsidR="00BE2ACA">
        <w:t xml:space="preserve">requires the balancing of the </w:t>
      </w:r>
      <w:r w:rsidR="00E22B34">
        <w:t>following considerations:</w:t>
      </w:r>
      <w:r>
        <w:t xml:space="preserve"> </w:t>
      </w:r>
    </w:p>
    <w:p w14:paraId="72ADA6B9" w14:textId="617AB03C" w:rsidR="00C65341" w:rsidRPr="006639F8" w:rsidRDefault="001D5AED" w:rsidP="00C850F2">
      <w:pPr>
        <w:pStyle w:val="Bullet"/>
        <w:tabs>
          <w:tab w:val="clear" w:pos="1985"/>
          <w:tab w:val="left" w:pos="567"/>
        </w:tabs>
        <w:ind w:left="567"/>
        <w:rPr>
          <w:b/>
        </w:rPr>
      </w:pPr>
      <w:r>
        <w:rPr>
          <w:b/>
        </w:rPr>
        <w:t>Resilience</w:t>
      </w:r>
      <w:r w:rsidR="001B13BA" w:rsidRPr="006639F8">
        <w:rPr>
          <w:b/>
        </w:rPr>
        <w:t xml:space="preserve">: </w:t>
      </w:r>
      <w:r w:rsidRPr="006639F8">
        <w:t xml:space="preserve">compensation </w:t>
      </w:r>
      <w:r w:rsidR="008B245C">
        <w:t xml:space="preserve">limits for </w:t>
      </w:r>
      <w:r w:rsidRPr="006639F8">
        <w:t>the CSLR</w:t>
      </w:r>
      <w:r>
        <w:rPr>
          <w:b/>
        </w:rPr>
        <w:t xml:space="preserve"> </w:t>
      </w:r>
      <w:r>
        <w:t xml:space="preserve">should </w:t>
      </w:r>
      <w:r w:rsidR="00AE430D">
        <w:t xml:space="preserve">enable it to withstand a range of </w:t>
      </w:r>
      <w:r w:rsidR="009B0CC9">
        <w:t xml:space="preserve">events, including those that result in large losses.  </w:t>
      </w:r>
    </w:p>
    <w:p w14:paraId="7059D9C8" w14:textId="60359E8B" w:rsidR="001D5AED" w:rsidRPr="006639F8" w:rsidRDefault="001D5AED" w:rsidP="00C850F2">
      <w:pPr>
        <w:pStyle w:val="Bullet"/>
        <w:tabs>
          <w:tab w:val="clear" w:pos="1985"/>
          <w:tab w:val="left" w:pos="567"/>
        </w:tabs>
        <w:ind w:left="567"/>
        <w:rPr>
          <w:b/>
        </w:rPr>
      </w:pPr>
      <w:r>
        <w:rPr>
          <w:b/>
        </w:rPr>
        <w:t xml:space="preserve">Sustainability: </w:t>
      </w:r>
      <w:r w:rsidRPr="006639F8">
        <w:t xml:space="preserve">compensation </w:t>
      </w:r>
      <w:r w:rsidR="008B245C">
        <w:t>limits</w:t>
      </w:r>
      <w:r w:rsidRPr="006639F8">
        <w:t xml:space="preserve"> should promote the CSLR’s </w:t>
      </w:r>
      <w:r>
        <w:t>sustainability</w:t>
      </w:r>
      <w:r w:rsidR="00AE430D">
        <w:t>.</w:t>
      </w:r>
      <w:r>
        <w:rPr>
          <w:b/>
        </w:rPr>
        <w:t xml:space="preserve"> </w:t>
      </w:r>
    </w:p>
    <w:p w14:paraId="4019BEF4" w14:textId="304698B9" w:rsidR="00867952" w:rsidRPr="006639F8" w:rsidRDefault="00867952" w:rsidP="00C850F2">
      <w:pPr>
        <w:pStyle w:val="Bullet"/>
        <w:tabs>
          <w:tab w:val="clear" w:pos="1985"/>
          <w:tab w:val="left" w:pos="567"/>
        </w:tabs>
        <w:ind w:left="567"/>
        <w:rPr>
          <w:b/>
        </w:rPr>
      </w:pPr>
      <w:r>
        <w:rPr>
          <w:b/>
        </w:rPr>
        <w:t xml:space="preserve">Fairness: </w:t>
      </w:r>
      <w:r>
        <w:t xml:space="preserve">compensation limits should be fair to consumers to </w:t>
      </w:r>
      <w:r w:rsidR="00662EA3">
        <w:t>enhance</w:t>
      </w:r>
      <w:r>
        <w:t xml:space="preserve"> confidence in the regulatory system. </w:t>
      </w:r>
    </w:p>
    <w:tbl>
      <w:tblPr>
        <w:tblW w:w="5000" w:type="pct"/>
        <w:shd w:val="clear" w:color="auto" w:fill="E3E7F0"/>
        <w:tblLook w:val="01E0" w:firstRow="1" w:lastRow="1" w:firstColumn="1" w:lastColumn="1" w:noHBand="0" w:noVBand="0"/>
      </w:tblPr>
      <w:tblGrid>
        <w:gridCol w:w="9070"/>
      </w:tblGrid>
      <w:tr w:rsidR="00343687" w14:paraId="61CC982E" w14:textId="77777777" w:rsidTr="0011096F">
        <w:tc>
          <w:tcPr>
            <w:tcW w:w="5000" w:type="pct"/>
            <w:shd w:val="clear" w:color="auto" w:fill="E3E7F0"/>
          </w:tcPr>
          <w:p w14:paraId="49A1D446" w14:textId="157A0F8E" w:rsidR="00343687" w:rsidRPr="000553FE" w:rsidRDefault="00343687" w:rsidP="0011096F">
            <w:pPr>
              <w:pStyle w:val="BoxHeading"/>
              <w:rPr>
                <w:b w:val="0"/>
              </w:rPr>
            </w:pPr>
            <w:bookmarkStart w:id="449" w:name="_Toc27400934"/>
            <w:bookmarkStart w:id="450" w:name="_Toc27414064"/>
            <w:bookmarkStart w:id="451" w:name="_Toc27415351"/>
            <w:bookmarkStart w:id="452" w:name="_Toc27469294"/>
            <w:bookmarkStart w:id="453" w:name="_Toc27471872"/>
            <w:r>
              <w:t>UK experience</w:t>
            </w:r>
          </w:p>
          <w:p w14:paraId="60596D8D" w14:textId="795E10D6" w:rsidR="00343687" w:rsidRPr="008950C5" w:rsidRDefault="00343687" w:rsidP="004E3E12">
            <w:r>
              <w:t xml:space="preserve">The UK FSCS applies a range of compensation limits that depend on the type of business the responsible financial firm engages in. The compensation limits imposed by the FSCS are lower than the amount awarded by UK ombudsman services. The FSCS compensation limits have evolved since the scheme’s establishment, but this has not been in line with that of the UK ombudsman service. </w:t>
            </w:r>
            <w:r w:rsidR="00543A52">
              <w:br/>
            </w:r>
          </w:p>
        </w:tc>
      </w:tr>
    </w:tbl>
    <w:p w14:paraId="60CF3303" w14:textId="642231FF" w:rsidR="0028669E" w:rsidRDefault="009D651F" w:rsidP="006639F8">
      <w:pPr>
        <w:pStyle w:val="Heading2"/>
      </w:pPr>
      <w:bookmarkStart w:id="454" w:name="_Toc27415352"/>
      <w:bookmarkStart w:id="455" w:name="_Toc27469295"/>
      <w:bookmarkStart w:id="456" w:name="_Toc27471873"/>
      <w:bookmarkStart w:id="457" w:name="_Toc27474881"/>
      <w:bookmarkStart w:id="458" w:name="_Toc27478305"/>
      <w:bookmarkStart w:id="459" w:name="_Toc27478859"/>
      <w:bookmarkStart w:id="460" w:name="_Toc27490040"/>
      <w:bookmarkStart w:id="461" w:name="_Toc27491055"/>
      <w:bookmarkStart w:id="462" w:name="_Toc27492748"/>
      <w:bookmarkStart w:id="463" w:name="_Toc27149182"/>
      <w:bookmarkStart w:id="464" w:name="_Toc27353688"/>
      <w:bookmarkStart w:id="465" w:name="_Toc27381721"/>
      <w:bookmarkStart w:id="466" w:name="_Toc27400935"/>
      <w:bookmarkStart w:id="467" w:name="_Toc27414065"/>
      <w:bookmarkStart w:id="468" w:name="_Toc27646239"/>
      <w:bookmarkStart w:id="469" w:name="_Toc27646274"/>
      <w:bookmarkStart w:id="470" w:name="_Toc27650486"/>
      <w:bookmarkEnd w:id="449"/>
      <w:bookmarkEnd w:id="450"/>
      <w:bookmarkEnd w:id="451"/>
      <w:bookmarkEnd w:id="452"/>
      <w:bookmarkEnd w:id="453"/>
      <w:r>
        <w:t>Discussion items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399F9F3E" w14:textId="370B21C3" w:rsidR="00C65341" w:rsidRDefault="00C65341">
      <w:pPr>
        <w:pStyle w:val="Heading3"/>
      </w:pPr>
      <w:bookmarkStart w:id="471" w:name="_Toc27400936"/>
      <w:bookmarkStart w:id="472" w:name="_Toc27414066"/>
      <w:bookmarkStart w:id="473" w:name="_Toc27415353"/>
      <w:bookmarkStart w:id="474" w:name="_Toc27469296"/>
      <w:bookmarkStart w:id="475" w:name="_Toc27471874"/>
      <w:bookmarkStart w:id="476" w:name="_Toc27474882"/>
      <w:bookmarkStart w:id="477" w:name="_Toc27478306"/>
      <w:bookmarkStart w:id="478" w:name="_Toc27478860"/>
      <w:bookmarkStart w:id="479" w:name="_Toc27490041"/>
      <w:bookmarkStart w:id="480" w:name="_Toc27491056"/>
      <w:bookmarkStart w:id="481" w:name="_Toc27492749"/>
      <w:bookmarkStart w:id="482" w:name="_Toc27646240"/>
      <w:bookmarkStart w:id="483" w:name="_Toc27646275"/>
      <w:bookmarkStart w:id="484" w:name="_Toc27650487"/>
      <w:bookmarkStart w:id="485" w:name="_Toc27149183"/>
      <w:bookmarkStart w:id="486" w:name="_Toc27353689"/>
      <w:bookmarkStart w:id="487" w:name="_Toc27381722"/>
      <w:r>
        <w:t xml:space="preserve">How should </w:t>
      </w:r>
      <w:r w:rsidR="00961E9B">
        <w:t xml:space="preserve">compensation limits be used by the </w:t>
      </w:r>
      <w:r>
        <w:t xml:space="preserve">CSLR </w:t>
      </w:r>
      <w:r w:rsidR="00961E9B">
        <w:t xml:space="preserve">to </w:t>
      </w:r>
      <w:r w:rsidR="00E22B34">
        <w:t xml:space="preserve">balance the interests of </w:t>
      </w:r>
      <w:r w:rsidR="00961E9B">
        <w:t>consumers and those funding the scheme</w:t>
      </w:r>
      <w:r w:rsidR="00E22B34">
        <w:t>?</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4BA22060" w14:textId="7A58AFBF" w:rsidR="00E22B34" w:rsidRDefault="009E00BA" w:rsidP="006639F8">
      <w:r>
        <w:t>T</w:t>
      </w:r>
      <w:r w:rsidR="00C81316">
        <w:t xml:space="preserve">he CSLR is intended to provide compensation </w:t>
      </w:r>
      <w:r w:rsidR="0085554A">
        <w:t xml:space="preserve">for </w:t>
      </w:r>
      <w:r>
        <w:t>the loss experienced by a consumer or small business</w:t>
      </w:r>
      <w:r w:rsidR="0085554A">
        <w:t xml:space="preserve"> for financial firm misconduct</w:t>
      </w:r>
      <w:r>
        <w:t>,</w:t>
      </w:r>
      <w:r w:rsidR="00C81316">
        <w:t xml:space="preserve"> while ensuring the scheme remains </w:t>
      </w:r>
      <w:r w:rsidR="00081E2A">
        <w:t xml:space="preserve">affordable for those funding </w:t>
      </w:r>
      <w:r w:rsidR="0085554A">
        <w:t>it</w:t>
      </w:r>
      <w:r w:rsidR="00C81316">
        <w:t xml:space="preserve">. </w:t>
      </w:r>
    </w:p>
    <w:p w14:paraId="253D0CE8" w14:textId="375B2EB2" w:rsidR="000D7722" w:rsidRDefault="0086659F" w:rsidP="006639F8">
      <w:r>
        <w:t xml:space="preserve">The Ramsay Review </w:t>
      </w:r>
      <w:r w:rsidR="00290626">
        <w:t>recommended</w:t>
      </w:r>
      <w:r w:rsidR="00E57B4E">
        <w:t xml:space="preserve"> setting compensation limits as a way to reduce regulatory costs and ensure the sustainability of the CSLR. The </w:t>
      </w:r>
      <w:r w:rsidR="00005CF7">
        <w:t>Ramsay</w:t>
      </w:r>
      <w:r w:rsidR="002E2329">
        <w:t xml:space="preserve"> Review also recommended</w:t>
      </w:r>
      <w:r w:rsidR="00E57B4E">
        <w:t xml:space="preserve"> aligning the compensation limits of the CSLR with those </w:t>
      </w:r>
      <w:r>
        <w:t>imposed by AFCA</w:t>
      </w:r>
      <w:r w:rsidR="002E2329">
        <w:t>.</w:t>
      </w:r>
      <w:r w:rsidR="002E2329">
        <w:rPr>
          <w:rStyle w:val="FootnoteReference"/>
        </w:rPr>
        <w:footnoteReference w:id="13"/>
      </w:r>
      <w:r w:rsidR="002E2329">
        <w:t xml:space="preserve"> </w:t>
      </w:r>
      <w:r w:rsidR="00141FCA">
        <w:t>An</w:t>
      </w:r>
      <w:r w:rsidR="005C34F4">
        <w:t xml:space="preserve"> advantage of aligning the CSLR and AFCA’s compensation limits is it </w:t>
      </w:r>
      <w:r w:rsidR="00141FCA">
        <w:t xml:space="preserve">would </w:t>
      </w:r>
      <w:r w:rsidR="00E57B4E">
        <w:t>ensure</w:t>
      </w:r>
      <w:r w:rsidR="00A9259E">
        <w:t xml:space="preserve"> the</w:t>
      </w:r>
      <w:r w:rsidR="00E57B4E">
        <w:t xml:space="preserve"> comparability of outcomes</w:t>
      </w:r>
      <w:r w:rsidR="00141FCA">
        <w:t xml:space="preserve"> for consumers and </w:t>
      </w:r>
      <w:r w:rsidR="00141FCA">
        <w:lastRenderedPageBreak/>
        <w:t xml:space="preserve">small businesses between an </w:t>
      </w:r>
      <w:r>
        <w:t>EDR framework</w:t>
      </w:r>
      <w:r w:rsidR="00D35894">
        <w:t xml:space="preserve">, </w:t>
      </w:r>
      <w:r>
        <w:t xml:space="preserve">a court or </w:t>
      </w:r>
      <w:r w:rsidR="00141FCA">
        <w:t xml:space="preserve">a </w:t>
      </w:r>
      <w:r>
        <w:t>tribunal</w:t>
      </w:r>
      <w:r w:rsidR="00141FCA">
        <w:t xml:space="preserve">. Consumers </w:t>
      </w:r>
      <w:r w:rsidR="004E0AAF">
        <w:t>would</w:t>
      </w:r>
      <w:r w:rsidR="00141FCA">
        <w:t xml:space="preserve"> not be incentivised to pursue court and tribunal awards </w:t>
      </w:r>
      <w:r w:rsidR="004E0AAF">
        <w:t>so as to pursue a larger claim against the CSLR.</w:t>
      </w:r>
    </w:p>
    <w:p w14:paraId="4D4DC854" w14:textId="6C2935C5" w:rsidR="0084453D" w:rsidRDefault="009942D7" w:rsidP="006639F8">
      <w:r>
        <w:t xml:space="preserve">An alternative </w:t>
      </w:r>
      <w:r w:rsidR="00A9259E">
        <w:t>to the Ramsay Review approach</w:t>
      </w:r>
      <w:r>
        <w:t xml:space="preserve"> is for </w:t>
      </w:r>
      <w:r w:rsidR="00A9259E">
        <w:t xml:space="preserve">the CSLR </w:t>
      </w:r>
      <w:r>
        <w:t xml:space="preserve">to </w:t>
      </w:r>
      <w:r w:rsidR="00A9259E">
        <w:t>set compensation limit</w:t>
      </w:r>
      <w:r w:rsidR="00594CD9">
        <w:t>s</w:t>
      </w:r>
      <w:r w:rsidR="00A9259E">
        <w:t xml:space="preserve"> below that of AFCA</w:t>
      </w:r>
      <w:r w:rsidR="00684E89">
        <w:t xml:space="preserve"> claim limit</w:t>
      </w:r>
      <w:r w:rsidR="00A9259E">
        <w:t>s</w:t>
      </w:r>
      <w:r w:rsidR="00F4376F">
        <w:t>,</w:t>
      </w:r>
      <w:r w:rsidR="00F4376F" w:rsidRPr="00F4376F">
        <w:t xml:space="preserve"> </w:t>
      </w:r>
      <w:r w:rsidR="00F4376F">
        <w:t>either as a percentage of the amount awarded or as a maximum dollar value</w:t>
      </w:r>
      <w:r w:rsidR="00A9259E">
        <w:t>.</w:t>
      </w:r>
      <w:r w:rsidR="00F81CDF">
        <w:t xml:space="preserve"> </w:t>
      </w:r>
      <w:r w:rsidR="008F0C81">
        <w:t xml:space="preserve">This is analogous to the approach adopted by the FSCS in the UK, in that the compensation amounts awarded through the scheme are lower than </w:t>
      </w:r>
      <w:r w:rsidR="00A81972">
        <w:t xml:space="preserve">those of </w:t>
      </w:r>
      <w:r w:rsidR="008F0C81">
        <w:t xml:space="preserve">their financial ombudsman. </w:t>
      </w:r>
    </w:p>
    <w:p w14:paraId="265F3A1A" w14:textId="401B2354" w:rsidR="0040449F" w:rsidRDefault="00E409AC">
      <w:r>
        <w:t xml:space="preserve">Establishing CSLR </w:t>
      </w:r>
      <w:r w:rsidR="0084453D" w:rsidRPr="00D86E51">
        <w:t>compensation limits equal to or lower than AFCA</w:t>
      </w:r>
      <w:r>
        <w:t xml:space="preserve">’s </w:t>
      </w:r>
      <w:r w:rsidR="00684E89">
        <w:t>claim</w:t>
      </w:r>
      <w:r>
        <w:t xml:space="preserve"> limits </w:t>
      </w:r>
      <w:r w:rsidR="00684E89">
        <w:t>would</w:t>
      </w:r>
      <w:r w:rsidR="0084453D" w:rsidRPr="00D86E51">
        <w:t xml:space="preserve"> </w:t>
      </w:r>
      <w:r>
        <w:t xml:space="preserve">assist in </w:t>
      </w:r>
      <w:r w:rsidR="0084453D" w:rsidRPr="00D86E51">
        <w:t>ensur</w:t>
      </w:r>
      <w:r>
        <w:t>ing</w:t>
      </w:r>
      <w:r w:rsidR="0084453D" w:rsidRPr="00D86E51">
        <w:t xml:space="preserve"> the scheme remains </w:t>
      </w:r>
      <w:r>
        <w:t>sustainable in the face of a large number and</w:t>
      </w:r>
      <w:r w:rsidR="00A81972">
        <w:t xml:space="preserve"> </w:t>
      </w:r>
      <w:r>
        <w:t>wide variety of claims</w:t>
      </w:r>
      <w:r w:rsidR="00AE0B4E">
        <w:t xml:space="preserve"> and thus </w:t>
      </w:r>
      <w:r w:rsidR="0084453D" w:rsidRPr="00D86E51">
        <w:t xml:space="preserve">affordable for those </w:t>
      </w:r>
      <w:r>
        <w:t xml:space="preserve">financial </w:t>
      </w:r>
      <w:r w:rsidR="0084453D" w:rsidRPr="00D86E51">
        <w:t xml:space="preserve">firms required to fund the </w:t>
      </w:r>
      <w:r>
        <w:t>scheme</w:t>
      </w:r>
      <w:r w:rsidR="0084453D" w:rsidRPr="00D86E51">
        <w:t>.</w:t>
      </w:r>
    </w:p>
    <w:p w14:paraId="2B64A711" w14:textId="6C271DFC" w:rsidR="00E50908" w:rsidRPr="00E50908" w:rsidRDefault="00F4376F">
      <w:bookmarkStart w:id="488" w:name="_Toc27400937"/>
      <w:bookmarkStart w:id="489" w:name="_Toc27414067"/>
      <w:bookmarkEnd w:id="485"/>
      <w:bookmarkEnd w:id="486"/>
      <w:bookmarkEnd w:id="487"/>
      <w:r>
        <w:t>However, an excessively low CSLR compensation limit could undermine the intent of the scheme to build trust in the financial system if the compensation amounts are considered to be manifestly inadequate in a large proportion of cases.</w:t>
      </w:r>
      <w:bookmarkEnd w:id="488"/>
      <w:bookmarkEnd w:id="489"/>
    </w:p>
    <w:p w14:paraId="3A954217" w14:textId="3AB580D5" w:rsidR="00BC15D0" w:rsidRDefault="00D51146" w:rsidP="006639F8">
      <w:pPr>
        <w:pStyle w:val="Heading4"/>
      </w:pPr>
      <w:r>
        <w:t>Questions</w:t>
      </w:r>
    </w:p>
    <w:p w14:paraId="5FBE6D05" w14:textId="4B8F7B73" w:rsidR="00BC15D0" w:rsidRDefault="00850D6F" w:rsidP="00FD3FE7">
      <w:pPr>
        <w:pStyle w:val="Bullet"/>
        <w:numPr>
          <w:ilvl w:val="0"/>
          <w:numId w:val="40"/>
        </w:numPr>
        <w:tabs>
          <w:tab w:val="clear" w:pos="1985"/>
          <w:tab w:val="num" w:pos="426"/>
        </w:tabs>
        <w:ind w:left="426" w:hanging="284"/>
      </w:pPr>
      <w:r w:rsidRPr="00850D6F">
        <w:t>How should compensation limits be used by the CSLR to balance the interests of consumers and those funding the scheme?</w:t>
      </w:r>
    </w:p>
    <w:p w14:paraId="33102183" w14:textId="07EA9169" w:rsidR="00BC15D0" w:rsidRDefault="00D51146" w:rsidP="00FD3FE7">
      <w:pPr>
        <w:pStyle w:val="Bullet"/>
        <w:numPr>
          <w:ilvl w:val="0"/>
          <w:numId w:val="40"/>
        </w:numPr>
        <w:tabs>
          <w:tab w:val="clear" w:pos="1985"/>
          <w:tab w:val="num" w:pos="426"/>
        </w:tabs>
        <w:ind w:left="426" w:hanging="284"/>
      </w:pPr>
      <w:r>
        <w:t xml:space="preserve">If </w:t>
      </w:r>
      <w:r w:rsidR="00AF072C">
        <w:t xml:space="preserve">the CSLR </w:t>
      </w:r>
      <w:r w:rsidR="00BC15D0">
        <w:t>compensation limit</w:t>
      </w:r>
      <w:r w:rsidR="00AF072C">
        <w:t>s</w:t>
      </w:r>
      <w:r w:rsidR="00BC15D0">
        <w:t xml:space="preserve"> </w:t>
      </w:r>
      <w:r w:rsidR="00AF072C">
        <w:t>are</w:t>
      </w:r>
      <w:r w:rsidR="00BC15D0">
        <w:t xml:space="preserve"> </w:t>
      </w:r>
      <w:r w:rsidR="00AF072C">
        <w:t>to be lower than AFCA’s claim limits, what limit would be appropriate?</w:t>
      </w:r>
    </w:p>
    <w:p w14:paraId="33A9CD5A" w14:textId="402A96AB" w:rsidR="00D51146" w:rsidRDefault="009E5646" w:rsidP="006639F8">
      <w:pPr>
        <w:pStyle w:val="Heading3"/>
      </w:pPr>
      <w:bookmarkStart w:id="490" w:name="_Toc27400938"/>
      <w:bookmarkStart w:id="491" w:name="_Toc27414068"/>
      <w:bookmarkStart w:id="492" w:name="_Toc27415354"/>
      <w:bookmarkStart w:id="493" w:name="_Toc27469297"/>
      <w:bookmarkStart w:id="494" w:name="_Toc27471875"/>
      <w:bookmarkStart w:id="495" w:name="_Toc27474883"/>
      <w:bookmarkStart w:id="496" w:name="_Toc27478307"/>
      <w:bookmarkStart w:id="497" w:name="_Toc27478861"/>
      <w:bookmarkStart w:id="498" w:name="_Toc27490042"/>
      <w:bookmarkStart w:id="499" w:name="_Toc27491057"/>
      <w:bookmarkStart w:id="500" w:name="_Toc27492750"/>
      <w:bookmarkStart w:id="501" w:name="_Toc27646241"/>
      <w:bookmarkStart w:id="502" w:name="_Toc27646276"/>
      <w:bookmarkStart w:id="503" w:name="_Toc27650488"/>
      <w:r>
        <w:t xml:space="preserve">How should </w:t>
      </w:r>
      <w:bookmarkEnd w:id="490"/>
      <w:r w:rsidR="0093661D">
        <w:t xml:space="preserve">the CSLR manage </w:t>
      </w:r>
      <w:r w:rsidR="006105B7">
        <w:t>claims</w:t>
      </w:r>
      <w:r w:rsidR="0093661D">
        <w:t xml:space="preserve"> associated with large </w:t>
      </w:r>
      <w:r w:rsidR="006105B7">
        <w:t xml:space="preserve">unexpected </w:t>
      </w:r>
      <w:r w:rsidR="0093661D">
        <w:t>failure</w:t>
      </w:r>
      <w:r w:rsidR="006105B7">
        <w:t>s</w:t>
      </w:r>
      <w:r w:rsidR="0093661D">
        <w:t>?</w:t>
      </w:r>
      <w:bookmarkEnd w:id="491"/>
      <w:bookmarkEnd w:id="492"/>
      <w:bookmarkEnd w:id="493"/>
      <w:bookmarkEnd w:id="494"/>
      <w:bookmarkEnd w:id="495"/>
      <w:bookmarkEnd w:id="496"/>
      <w:bookmarkEnd w:id="497"/>
      <w:bookmarkEnd w:id="498"/>
      <w:bookmarkEnd w:id="499"/>
      <w:bookmarkEnd w:id="500"/>
      <w:bookmarkEnd w:id="501"/>
      <w:bookmarkEnd w:id="502"/>
      <w:bookmarkEnd w:id="503"/>
    </w:p>
    <w:p w14:paraId="7CC53FFE" w14:textId="038617E6" w:rsidR="00D51146" w:rsidRDefault="00E5309F" w:rsidP="00D51146">
      <w:pPr>
        <w:pStyle w:val="Bullet"/>
        <w:numPr>
          <w:ilvl w:val="0"/>
          <w:numId w:val="0"/>
        </w:numPr>
      </w:pPr>
      <w:r>
        <w:t>T</w:t>
      </w:r>
      <w:r w:rsidR="00060F71">
        <w:t xml:space="preserve">he CSLR is intended to be </w:t>
      </w:r>
      <w:r>
        <w:t>a sustainable and resilient scheme that is able to</w:t>
      </w:r>
      <w:r w:rsidR="00060F71">
        <w:t xml:space="preserve"> </w:t>
      </w:r>
      <w:r w:rsidR="001751EC">
        <w:t xml:space="preserve">provide compensation to consumers across a range of events. This includes </w:t>
      </w:r>
      <w:r w:rsidR="002C070B">
        <w:t xml:space="preserve">unexpected </w:t>
      </w:r>
      <w:r w:rsidR="001751EC">
        <w:t xml:space="preserve">circumstances in which the number and amount of claims eligible for compensation through CSLR </w:t>
      </w:r>
      <w:r w:rsidR="002C070B">
        <w:t xml:space="preserve">in a given year </w:t>
      </w:r>
      <w:r w:rsidR="001751EC">
        <w:t>exceed</w:t>
      </w:r>
      <w:r w:rsidR="0093661D">
        <w:t>s</w:t>
      </w:r>
      <w:r w:rsidR="001751EC">
        <w:t xml:space="preserve"> the scheme</w:t>
      </w:r>
      <w:r w:rsidR="002C070B">
        <w:t>’</w:t>
      </w:r>
      <w:r w:rsidR="001751EC">
        <w:t xml:space="preserve">s </w:t>
      </w:r>
      <w:r w:rsidR="002C070B">
        <w:t xml:space="preserve">planned </w:t>
      </w:r>
      <w:r w:rsidR="001751EC">
        <w:t>funding level</w:t>
      </w:r>
      <w:r w:rsidR="002C070B">
        <w:t xml:space="preserve"> for that year</w:t>
      </w:r>
      <w:r w:rsidR="001751EC">
        <w:t xml:space="preserve">. </w:t>
      </w:r>
    </w:p>
    <w:p w14:paraId="49B68A4A" w14:textId="77777777" w:rsidR="00574D17" w:rsidRDefault="001751EC" w:rsidP="006639F8">
      <w:pPr>
        <w:pStyle w:val="Bullet"/>
        <w:numPr>
          <w:ilvl w:val="0"/>
          <w:numId w:val="0"/>
        </w:numPr>
      </w:pPr>
      <w:r>
        <w:t xml:space="preserve">The Ramsay Review suggested </w:t>
      </w:r>
      <w:r w:rsidR="005849F1">
        <w:t xml:space="preserve">the CSLR </w:t>
      </w:r>
      <w:r w:rsidR="00E735BA">
        <w:t>could have the</w:t>
      </w:r>
      <w:r w:rsidR="005849F1">
        <w:t xml:space="preserve"> ability to spread compensation payments</w:t>
      </w:r>
      <w:r>
        <w:t xml:space="preserve"> </w:t>
      </w:r>
      <w:r w:rsidR="005849F1">
        <w:t xml:space="preserve">over a period of time </w:t>
      </w:r>
      <w:r w:rsidR="00E735BA">
        <w:t xml:space="preserve">to </w:t>
      </w:r>
      <w:r w:rsidR="005849F1">
        <w:t xml:space="preserve">manage </w:t>
      </w:r>
      <w:r w:rsidR="0093661D">
        <w:t>losses associated with a large failure</w:t>
      </w:r>
      <w:r w:rsidR="005849F1">
        <w:t>.</w:t>
      </w:r>
      <w:r w:rsidR="000E3057">
        <w:rPr>
          <w:rStyle w:val="FootnoteReference"/>
        </w:rPr>
        <w:footnoteReference w:id="14"/>
      </w:r>
      <w:r w:rsidR="005849F1">
        <w:t xml:space="preserve"> This mechanism allows the CSLR to pay determinations in instalments, </w:t>
      </w:r>
      <w:r w:rsidR="000E3057">
        <w:t>so</w:t>
      </w:r>
      <w:r w:rsidR="005849F1">
        <w:t xml:space="preserve"> that the total amount awarded is accumulated </w:t>
      </w:r>
      <w:r w:rsidR="000E3057">
        <w:t xml:space="preserve">by the consumer or small business </w:t>
      </w:r>
      <w:r w:rsidR="005849F1">
        <w:t xml:space="preserve">over a period of years. The advantage of spreading compensation payments </w:t>
      </w:r>
      <w:r w:rsidR="00E735BA">
        <w:t>over time</w:t>
      </w:r>
      <w:r w:rsidR="005849F1">
        <w:t xml:space="preserve"> is </w:t>
      </w:r>
      <w:r w:rsidR="000E3057">
        <w:t xml:space="preserve">that </w:t>
      </w:r>
      <w:r w:rsidR="005849F1">
        <w:t xml:space="preserve">it increases the sustainability of the </w:t>
      </w:r>
      <w:r w:rsidR="00A57F73">
        <w:t>CSLR</w:t>
      </w:r>
      <w:r w:rsidR="005849F1">
        <w:t xml:space="preserve"> </w:t>
      </w:r>
      <w:r w:rsidR="00A57F73">
        <w:t xml:space="preserve">by allowing greater control over the rate at which scheme funds are depleted and by providing an opportunity for additional funds to be levied in an ordered way to meet claims. </w:t>
      </w:r>
      <w:r w:rsidR="005849F1">
        <w:t xml:space="preserve">Additionally, </w:t>
      </w:r>
      <w:r w:rsidR="00121C60">
        <w:t xml:space="preserve">this approach </w:t>
      </w:r>
      <w:r w:rsidR="00A57F73">
        <w:t>would assist</w:t>
      </w:r>
      <w:r w:rsidR="00121C60">
        <w:t xml:space="preserve"> to reduce</w:t>
      </w:r>
      <w:r w:rsidR="005849F1">
        <w:t xml:space="preserve"> the volatility of levies imposed upon </w:t>
      </w:r>
      <w:r w:rsidR="00A57F73">
        <w:t xml:space="preserve">financial </w:t>
      </w:r>
      <w:r w:rsidR="00A318D6">
        <w:t xml:space="preserve">firms </w:t>
      </w:r>
      <w:r w:rsidR="0093661D">
        <w:t>required to fund the losses</w:t>
      </w:r>
      <w:r w:rsidR="00A57F73">
        <w:t xml:space="preserve"> </w:t>
      </w:r>
      <w:r w:rsidR="00121C60">
        <w:t>because</w:t>
      </w:r>
      <w:r w:rsidR="005849F1">
        <w:t xml:space="preserve"> the cost </w:t>
      </w:r>
      <w:r w:rsidR="0093661D">
        <w:t>to th</w:t>
      </w:r>
      <w:r w:rsidR="00A57F73">
        <w:t>os</w:t>
      </w:r>
      <w:r w:rsidR="0093661D">
        <w:t>e firms can be</w:t>
      </w:r>
      <w:r w:rsidR="005849F1">
        <w:t xml:space="preserve"> spread o</w:t>
      </w:r>
      <w:r w:rsidR="00A318D6">
        <w:t xml:space="preserve">ver time as opposed to </w:t>
      </w:r>
      <w:r w:rsidR="00574D17">
        <w:t xml:space="preserve">be imposed </w:t>
      </w:r>
      <w:r w:rsidR="00A039CF">
        <w:t>at a single point in time</w:t>
      </w:r>
      <w:r w:rsidR="005849F1">
        <w:t xml:space="preserve">. </w:t>
      </w:r>
    </w:p>
    <w:p w14:paraId="68E23E5E" w14:textId="20F5942B" w:rsidR="00EC5CA8" w:rsidRDefault="00121C60" w:rsidP="006639F8">
      <w:pPr>
        <w:pStyle w:val="Bullet"/>
        <w:numPr>
          <w:ilvl w:val="0"/>
          <w:numId w:val="0"/>
        </w:numPr>
      </w:pPr>
      <w:r>
        <w:t>Although</w:t>
      </w:r>
      <w:r w:rsidR="00EC5CA8">
        <w:t xml:space="preserve"> </w:t>
      </w:r>
      <w:r w:rsidR="00574D17">
        <w:t xml:space="preserve">spreading compensation payments over a period of time </w:t>
      </w:r>
      <w:r>
        <w:t>increases the CSLR’s sustainability and reduces the volatility of levies for industry,</w:t>
      </w:r>
      <w:r w:rsidR="0093661D">
        <w:t xml:space="preserve"> it </w:t>
      </w:r>
      <w:r w:rsidR="00D0535F">
        <w:t>would result in consumers</w:t>
      </w:r>
      <w:r w:rsidR="00F118E8">
        <w:t xml:space="preserve"> </w:t>
      </w:r>
      <w:r w:rsidR="00A318D6">
        <w:t>experienc</w:t>
      </w:r>
      <w:r w:rsidR="00DE673C">
        <w:t>ing</w:t>
      </w:r>
      <w:r w:rsidR="00A318D6">
        <w:t xml:space="preserve"> </w:t>
      </w:r>
      <w:r>
        <w:t xml:space="preserve">a delay </w:t>
      </w:r>
      <w:r w:rsidR="00A318D6">
        <w:t xml:space="preserve">in </w:t>
      </w:r>
      <w:r w:rsidR="005849F1">
        <w:t xml:space="preserve">receiving </w:t>
      </w:r>
      <w:r w:rsidR="00574D17">
        <w:t xml:space="preserve">the full amount of </w:t>
      </w:r>
      <w:r w:rsidR="005849F1">
        <w:t xml:space="preserve">their </w:t>
      </w:r>
      <w:r w:rsidR="00574D17">
        <w:t>awarded</w:t>
      </w:r>
      <w:r w:rsidR="005849F1">
        <w:t xml:space="preserve"> compensation </w:t>
      </w:r>
      <w:r w:rsidR="00A318D6">
        <w:t>amounts</w:t>
      </w:r>
      <w:r w:rsidR="005849F1">
        <w:t xml:space="preserve">. </w:t>
      </w:r>
      <w:r w:rsidR="00574D17">
        <w:t xml:space="preserve">Where the delay in receiving the full award would lead to hardship for specific consumers (for example, it would result in the consumer having to default on mortgage repayments), the CSLR could have a discretion to pay </w:t>
      </w:r>
      <w:r w:rsidR="00E958BD">
        <w:t xml:space="preserve">compensation </w:t>
      </w:r>
      <w:r w:rsidR="000248AF">
        <w:t xml:space="preserve">to </w:t>
      </w:r>
      <w:r w:rsidR="00E958BD">
        <w:t xml:space="preserve">that consumer in a single or smaller number of instalments. It is noted that the alternative to delayed payment could be no payment if the CSLR’s funds </w:t>
      </w:r>
      <w:r w:rsidR="009E00BA">
        <w:t>were</w:t>
      </w:r>
      <w:r w:rsidR="00A039CF">
        <w:t xml:space="preserve"> depleted</w:t>
      </w:r>
      <w:r w:rsidR="009E00BA">
        <w:t xml:space="preserve"> because of a </w:t>
      </w:r>
      <w:r w:rsidR="00E958BD">
        <w:t xml:space="preserve">large unexpected </w:t>
      </w:r>
      <w:r w:rsidR="009E00BA">
        <w:t>loss event</w:t>
      </w:r>
      <w:r w:rsidR="00A039CF">
        <w:t>.</w:t>
      </w:r>
    </w:p>
    <w:p w14:paraId="2AFA73D8" w14:textId="6763CA0A" w:rsidR="00B36B3E" w:rsidRDefault="00A318D6" w:rsidP="006639F8">
      <w:pPr>
        <w:pStyle w:val="Bullet"/>
        <w:numPr>
          <w:ilvl w:val="0"/>
          <w:numId w:val="0"/>
        </w:numPr>
      </w:pPr>
      <w:r>
        <w:t>Another mechanism</w:t>
      </w:r>
      <w:r w:rsidR="00530E21">
        <w:t xml:space="preserve"> that c</w:t>
      </w:r>
      <w:r w:rsidR="00BA2134">
        <w:t xml:space="preserve">ould </w:t>
      </w:r>
      <w:r w:rsidR="00530E21">
        <w:t xml:space="preserve">be used to manage </w:t>
      </w:r>
      <w:r w:rsidR="002C6EED">
        <w:t xml:space="preserve">large amounts and volumes of </w:t>
      </w:r>
      <w:r w:rsidR="00BA2134">
        <w:t xml:space="preserve">unexpected </w:t>
      </w:r>
      <w:r w:rsidR="002C6EED">
        <w:t xml:space="preserve">uncompensated losses is to </w:t>
      </w:r>
      <w:r w:rsidR="00530E21">
        <w:t>impose</w:t>
      </w:r>
      <w:r>
        <w:t xml:space="preserve"> a</w:t>
      </w:r>
      <w:r w:rsidR="00602605">
        <w:t>n additional</w:t>
      </w:r>
      <w:r>
        <w:t xml:space="preserve"> compensation limit </w:t>
      </w:r>
      <w:r w:rsidR="00602605">
        <w:t>for</w:t>
      </w:r>
      <w:r>
        <w:t xml:space="preserve"> eligible claims associated with the </w:t>
      </w:r>
      <w:r w:rsidR="00807061">
        <w:t xml:space="preserve">specific </w:t>
      </w:r>
      <w:r w:rsidR="00F118E8">
        <w:t>loss event</w:t>
      </w:r>
      <w:r>
        <w:t>.</w:t>
      </w:r>
      <w:r w:rsidR="00EC5CA8">
        <w:t xml:space="preserve"> This differs from the compensation limits discussed above as </w:t>
      </w:r>
      <w:r w:rsidR="00F118E8">
        <w:t xml:space="preserve">it </w:t>
      </w:r>
      <w:r w:rsidR="00EC5CA8">
        <w:t xml:space="preserve">would only </w:t>
      </w:r>
      <w:r w:rsidR="00F118E8">
        <w:t xml:space="preserve">apply </w:t>
      </w:r>
      <w:r w:rsidR="00D0535F">
        <w:t xml:space="preserve">in the case of </w:t>
      </w:r>
      <w:r w:rsidR="00EC5CA8">
        <w:t>large loss</w:t>
      </w:r>
      <w:r w:rsidR="009A31B8">
        <w:t xml:space="preserve"> event</w:t>
      </w:r>
      <w:r w:rsidR="00D0535F">
        <w:t>s</w:t>
      </w:r>
      <w:r w:rsidR="00EC5CA8">
        <w:t xml:space="preserve">. </w:t>
      </w:r>
      <w:r w:rsidR="002343B4">
        <w:t xml:space="preserve">The advantage of this approach is </w:t>
      </w:r>
      <w:r w:rsidR="00C4726D">
        <w:t xml:space="preserve">that </w:t>
      </w:r>
      <w:r w:rsidR="002343B4">
        <w:t xml:space="preserve">it </w:t>
      </w:r>
      <w:r w:rsidR="00C4726D">
        <w:t xml:space="preserve">would </w:t>
      </w:r>
      <w:r w:rsidR="002343B4">
        <w:t xml:space="preserve">increase the </w:t>
      </w:r>
      <w:r w:rsidR="00C4726D">
        <w:t xml:space="preserve">CSLR’s </w:t>
      </w:r>
      <w:r w:rsidR="002343B4">
        <w:t xml:space="preserve">ability to provide compensation for a wider range of </w:t>
      </w:r>
      <w:r w:rsidR="00BD2B95">
        <w:t xml:space="preserve">consumers with uncompensated </w:t>
      </w:r>
      <w:r w:rsidR="00BD2B95">
        <w:lastRenderedPageBreak/>
        <w:t>losses</w:t>
      </w:r>
      <w:r w:rsidR="00C4726D">
        <w:t xml:space="preserve"> </w:t>
      </w:r>
      <w:r w:rsidR="002343B4">
        <w:t xml:space="preserve">because the compensation limit can be set such that the schemes funding </w:t>
      </w:r>
      <w:r w:rsidR="00C4726D">
        <w:t xml:space="preserve">would </w:t>
      </w:r>
      <w:r w:rsidR="002343B4">
        <w:t xml:space="preserve">not </w:t>
      </w:r>
      <w:r w:rsidR="00C4726D">
        <w:t xml:space="preserve">be </w:t>
      </w:r>
      <w:r w:rsidR="002343B4">
        <w:t>exhausted</w:t>
      </w:r>
      <w:r w:rsidR="00B36B3E">
        <w:t xml:space="preserve"> after a single loss event</w:t>
      </w:r>
      <w:r w:rsidR="00530E21">
        <w:t xml:space="preserve">. </w:t>
      </w:r>
      <w:r w:rsidR="00C4726D">
        <w:t xml:space="preserve">For example, compensation related to the specific loss event could be capped at $50 million, with </w:t>
      </w:r>
      <w:r w:rsidR="0056666D">
        <w:t>the result that claimants impacted by that loss event may receive less than the amount awarded if the aggregate value of claims exceeded $50 million.</w:t>
      </w:r>
      <w:r w:rsidR="00C4726D">
        <w:t xml:space="preserve"> </w:t>
      </w:r>
      <w:r w:rsidR="00530E21">
        <w:t xml:space="preserve">This would increase </w:t>
      </w:r>
      <w:r w:rsidR="0056666D">
        <w:t xml:space="preserve">resilience of the CSLR by increasing </w:t>
      </w:r>
      <w:r w:rsidR="00530E21">
        <w:t xml:space="preserve">the likelihood that </w:t>
      </w:r>
      <w:r w:rsidR="0056666D">
        <w:t>its</w:t>
      </w:r>
      <w:r w:rsidR="00530E21">
        <w:t xml:space="preserve"> funding pool remain</w:t>
      </w:r>
      <w:r w:rsidR="0056666D">
        <w:t>ed</w:t>
      </w:r>
      <w:r w:rsidR="00530E21">
        <w:t xml:space="preserve"> available to </w:t>
      </w:r>
      <w:r w:rsidR="002343B4">
        <w:t xml:space="preserve">respond to </w:t>
      </w:r>
      <w:r w:rsidR="009E00BA">
        <w:t>subsequent</w:t>
      </w:r>
      <w:r w:rsidR="00BD2B95">
        <w:t xml:space="preserve"> events</w:t>
      </w:r>
      <w:r w:rsidR="00A039CF">
        <w:t xml:space="preserve">. </w:t>
      </w:r>
      <w:r w:rsidR="0056666D">
        <w:t xml:space="preserve">It is acknowledged that this approach would </w:t>
      </w:r>
      <w:r w:rsidR="00D0535F">
        <w:t>impact</w:t>
      </w:r>
      <w:r w:rsidR="00A039CF">
        <w:t xml:space="preserve"> consumers by providing a lower level of compensation than originally awarded. </w:t>
      </w:r>
    </w:p>
    <w:p w14:paraId="74B5FF97" w14:textId="22151BF2" w:rsidR="00060F71" w:rsidRPr="009A149E" w:rsidRDefault="00060F71" w:rsidP="006639F8">
      <w:pPr>
        <w:pStyle w:val="Heading4"/>
      </w:pPr>
      <w:r>
        <w:t>Questions</w:t>
      </w:r>
    </w:p>
    <w:p w14:paraId="33301E72" w14:textId="774F8E3D" w:rsidR="00C37FD4" w:rsidRPr="00BF413B" w:rsidRDefault="00556847" w:rsidP="00FD3FE7">
      <w:pPr>
        <w:pStyle w:val="Bullet"/>
        <w:numPr>
          <w:ilvl w:val="0"/>
          <w:numId w:val="40"/>
        </w:numPr>
        <w:tabs>
          <w:tab w:val="clear" w:pos="1985"/>
          <w:tab w:val="num" w:pos="426"/>
        </w:tabs>
        <w:ind w:left="426" w:hanging="284"/>
      </w:pPr>
      <w:r w:rsidRPr="00556847">
        <w:t>How should the CSLR manage claims associated with large unexpected failures?</w:t>
      </w:r>
    </w:p>
    <w:p w14:paraId="43B646D0" w14:textId="296574E7" w:rsidR="0028065A" w:rsidRDefault="0028065A" w:rsidP="00FD3FE7">
      <w:pPr>
        <w:pStyle w:val="Bullet"/>
        <w:numPr>
          <w:ilvl w:val="0"/>
          <w:numId w:val="40"/>
        </w:numPr>
        <w:tabs>
          <w:tab w:val="clear" w:pos="1985"/>
          <w:tab w:val="num" w:pos="426"/>
        </w:tabs>
        <w:ind w:left="426" w:hanging="284"/>
      </w:pPr>
      <w:r>
        <w:t>Should the CSLR be able to spread compensation payments</w:t>
      </w:r>
      <w:r w:rsidR="00556847">
        <w:t xml:space="preserve"> over time and</w:t>
      </w:r>
      <w:r w:rsidR="009F6592">
        <w:t>,</w:t>
      </w:r>
      <w:r w:rsidR="00556847">
        <w:t xml:space="preserve"> if so</w:t>
      </w:r>
      <w:r w:rsidR="009F6592">
        <w:t>,</w:t>
      </w:r>
      <w:r w:rsidR="00556847">
        <w:t xml:space="preserve"> what would an appropriate maximum time period be</w:t>
      </w:r>
      <w:r>
        <w:t>?</w:t>
      </w:r>
    </w:p>
    <w:p w14:paraId="2532CE43" w14:textId="4B22677C" w:rsidR="00C37FD4" w:rsidRDefault="00C37FD4" w:rsidP="00FD3FE7">
      <w:pPr>
        <w:pStyle w:val="Bullet"/>
        <w:numPr>
          <w:ilvl w:val="0"/>
          <w:numId w:val="40"/>
        </w:numPr>
        <w:tabs>
          <w:tab w:val="clear" w:pos="1985"/>
          <w:tab w:val="num" w:pos="426"/>
        </w:tabs>
        <w:ind w:left="426" w:hanging="284"/>
      </w:pPr>
      <w:r>
        <w:t>Should the CSLR be able to impose a</w:t>
      </w:r>
      <w:r w:rsidR="00556847">
        <w:t>n</w:t>
      </w:r>
      <w:r>
        <w:t xml:space="preserve"> </w:t>
      </w:r>
      <w:r w:rsidR="00556847">
        <w:t xml:space="preserve">additional </w:t>
      </w:r>
      <w:r>
        <w:t xml:space="preserve">compensation limit to unpaid determinations associated with a single </w:t>
      </w:r>
      <w:r w:rsidR="00556847">
        <w:t xml:space="preserve">specific large </w:t>
      </w:r>
      <w:r>
        <w:t>failure</w:t>
      </w:r>
      <w:r w:rsidR="009F6592">
        <w:t xml:space="preserve"> and, if so, what would an appropriate limit be</w:t>
      </w:r>
      <w:r>
        <w:t>?</w:t>
      </w:r>
    </w:p>
    <w:p w14:paraId="7E0B5B67" w14:textId="77ECF6E1" w:rsidR="00572356" w:rsidRDefault="008E601E" w:rsidP="008E601E">
      <w:pPr>
        <w:pStyle w:val="Heading3"/>
      </w:pPr>
      <w:bookmarkStart w:id="504" w:name="_Toc26979158"/>
      <w:bookmarkStart w:id="505" w:name="_Toc27469299"/>
      <w:bookmarkStart w:id="506" w:name="_Toc27471877"/>
      <w:bookmarkStart w:id="507" w:name="_Toc27474885"/>
      <w:bookmarkStart w:id="508" w:name="_Toc27478308"/>
      <w:bookmarkStart w:id="509" w:name="_Toc27478862"/>
      <w:bookmarkStart w:id="510" w:name="_Toc27490043"/>
      <w:bookmarkStart w:id="511" w:name="_Toc27491058"/>
      <w:bookmarkStart w:id="512" w:name="_Toc27492751"/>
      <w:bookmarkStart w:id="513" w:name="_Toc27646242"/>
      <w:bookmarkStart w:id="514" w:name="_Toc27646277"/>
      <w:bookmarkStart w:id="515" w:name="_Toc27650489"/>
      <w:r>
        <w:t>How should compensation for legal and professional costs be limited</w:t>
      </w:r>
      <w:bookmarkEnd w:id="504"/>
      <w:r>
        <w:t>?</w:t>
      </w:r>
      <w:bookmarkEnd w:id="505"/>
      <w:bookmarkEnd w:id="506"/>
      <w:bookmarkEnd w:id="507"/>
      <w:bookmarkEnd w:id="508"/>
      <w:bookmarkEnd w:id="509"/>
      <w:bookmarkEnd w:id="510"/>
      <w:bookmarkEnd w:id="511"/>
      <w:bookmarkEnd w:id="512"/>
      <w:bookmarkEnd w:id="513"/>
      <w:bookmarkEnd w:id="514"/>
      <w:bookmarkEnd w:id="515"/>
    </w:p>
    <w:p w14:paraId="248B9D16" w14:textId="23EF35A0" w:rsidR="004C6E48" w:rsidRDefault="008E601E" w:rsidP="00572356">
      <w:r>
        <w:t xml:space="preserve">The </w:t>
      </w:r>
      <w:r w:rsidR="00005CF7">
        <w:t>Ramsay</w:t>
      </w:r>
      <w:r>
        <w:t xml:space="preserve"> Review </w:t>
      </w:r>
      <w:r w:rsidR="00C3015A">
        <w:t>recommended that consumers and small businesses be allowed to recover their reasonable legal costs through the CSLR.</w:t>
      </w:r>
      <w:r w:rsidR="00C3015A">
        <w:rPr>
          <w:rStyle w:val="FootnoteReference"/>
        </w:rPr>
        <w:footnoteReference w:id="15"/>
      </w:r>
      <w:r w:rsidR="00C3015A">
        <w:t xml:space="preserve"> The </w:t>
      </w:r>
      <w:r w:rsidR="00005CF7">
        <w:t>Ramsay</w:t>
      </w:r>
      <w:r w:rsidR="00C3015A">
        <w:t xml:space="preserve"> Review also considered that litigation funders should not be able to directly access the CSLR but that consumers and small businesses should be able to use </w:t>
      </w:r>
      <w:r w:rsidR="000820A3">
        <w:t xml:space="preserve">compensation </w:t>
      </w:r>
      <w:r w:rsidR="00C3015A">
        <w:t>paid by the CSLR to meet obligations under a litigation funding agreement.</w:t>
      </w:r>
      <w:r w:rsidR="004C6E48">
        <w:rPr>
          <w:rStyle w:val="FootnoteReference"/>
        </w:rPr>
        <w:footnoteReference w:id="16"/>
      </w:r>
    </w:p>
    <w:p w14:paraId="27BF11F0" w14:textId="3180CD6D" w:rsidR="00AF400F" w:rsidRDefault="004C6E48" w:rsidP="00572356">
      <w:r>
        <w:t>An alternate approach is to limit compensation payable for legal and professional costs to the limit imposed by AFCA, which is currently $5</w:t>
      </w:r>
      <w:r w:rsidR="00544E5B">
        <w:t>,</w:t>
      </w:r>
      <w:r>
        <w:t>000.</w:t>
      </w:r>
    </w:p>
    <w:p w14:paraId="43F9DBA0" w14:textId="77777777" w:rsidR="008E601E" w:rsidRDefault="008E601E" w:rsidP="008E601E">
      <w:pPr>
        <w:pStyle w:val="Heading4"/>
      </w:pPr>
      <w:r>
        <w:t>Questions</w:t>
      </w:r>
    </w:p>
    <w:p w14:paraId="636B5FE4" w14:textId="4AF69A22" w:rsidR="008E601E" w:rsidRDefault="004C6E48" w:rsidP="00FD3FE7">
      <w:pPr>
        <w:pStyle w:val="Bullet"/>
        <w:numPr>
          <w:ilvl w:val="0"/>
          <w:numId w:val="40"/>
        </w:numPr>
        <w:tabs>
          <w:tab w:val="clear" w:pos="1985"/>
          <w:tab w:val="num" w:pos="426"/>
        </w:tabs>
        <w:ind w:left="426" w:hanging="284"/>
      </w:pPr>
      <w:r w:rsidRPr="004C6E48">
        <w:t>How should compensation for legal and professional costs be limited?</w:t>
      </w:r>
    </w:p>
    <w:p w14:paraId="14F0D157" w14:textId="77777777" w:rsidR="00BD2829" w:rsidRDefault="00BD2829" w:rsidP="00572356">
      <w:pPr>
        <w:sectPr w:rsidR="00BD2829" w:rsidSect="00CB3A37">
          <w:pgSz w:w="11906" w:h="16838" w:code="9"/>
          <w:pgMar w:top="1418" w:right="1418" w:bottom="1418" w:left="1418" w:header="709" w:footer="709" w:gutter="0"/>
          <w:cols w:space="708"/>
          <w:docGrid w:linePitch="360"/>
        </w:sectPr>
      </w:pPr>
    </w:p>
    <w:p w14:paraId="560A6771" w14:textId="55676A61" w:rsidR="00B64CA3" w:rsidRDefault="00B64CA3" w:rsidP="00B64CA3">
      <w:pPr>
        <w:pStyle w:val="Heading1"/>
      </w:pPr>
      <w:bookmarkStart w:id="516" w:name="_Toc27353698"/>
      <w:bookmarkStart w:id="517" w:name="_Toc27381731"/>
      <w:bookmarkStart w:id="518" w:name="_Toc27400941"/>
      <w:bookmarkStart w:id="519" w:name="_Toc27414071"/>
      <w:bookmarkStart w:id="520" w:name="_Toc27415356"/>
      <w:bookmarkStart w:id="521" w:name="_Toc27469300"/>
      <w:bookmarkStart w:id="522" w:name="_Toc27471878"/>
      <w:bookmarkStart w:id="523" w:name="_Toc27474886"/>
      <w:bookmarkStart w:id="524" w:name="_Toc27478309"/>
      <w:bookmarkStart w:id="525" w:name="_Toc27478863"/>
      <w:bookmarkStart w:id="526" w:name="_Toc27490044"/>
      <w:bookmarkStart w:id="527" w:name="_Toc27491059"/>
      <w:bookmarkStart w:id="528" w:name="_Toc27492752"/>
      <w:bookmarkStart w:id="529" w:name="_Toc27646243"/>
      <w:bookmarkStart w:id="530" w:name="_Toc27646278"/>
      <w:bookmarkStart w:id="531" w:name="_Toc27650490"/>
      <w:r>
        <w:lastRenderedPageBreak/>
        <w:t>Managing scheme evolution</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38822034" w14:textId="2B12C81C" w:rsidR="00B64CA3" w:rsidRDefault="00B64CA3" w:rsidP="00B64CA3">
      <w:pPr>
        <w:pStyle w:val="Heading2"/>
      </w:pPr>
      <w:bookmarkStart w:id="532" w:name="_Toc27353699"/>
      <w:bookmarkStart w:id="533" w:name="_Toc27381732"/>
      <w:bookmarkStart w:id="534" w:name="_Toc27400942"/>
      <w:bookmarkStart w:id="535" w:name="_Toc27414072"/>
      <w:bookmarkStart w:id="536" w:name="_Toc27415357"/>
      <w:bookmarkStart w:id="537" w:name="_Toc27469301"/>
      <w:bookmarkStart w:id="538" w:name="_Toc27471879"/>
      <w:bookmarkStart w:id="539" w:name="_Toc27474887"/>
      <w:bookmarkStart w:id="540" w:name="_Toc27478310"/>
      <w:bookmarkStart w:id="541" w:name="_Toc27478864"/>
      <w:bookmarkStart w:id="542" w:name="_Toc27490045"/>
      <w:bookmarkStart w:id="543" w:name="_Toc27491060"/>
      <w:bookmarkStart w:id="544" w:name="_Toc27492753"/>
      <w:bookmarkStart w:id="545" w:name="_Toc27646244"/>
      <w:bookmarkStart w:id="546" w:name="_Toc27646279"/>
      <w:bookmarkStart w:id="547" w:name="_Toc27650491"/>
      <w:r>
        <w:t>Issue</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7DD60716" w14:textId="2AE905FB" w:rsidR="00152AE4" w:rsidRDefault="00152AE4" w:rsidP="00D3775F">
      <w:r>
        <w:t xml:space="preserve">The CSLR will be a new scheme in the context of the Australian financial system. </w:t>
      </w:r>
      <w:r w:rsidR="00544E5B">
        <w:t>In the earlier sections of this paper,</w:t>
      </w:r>
      <w:r>
        <w:t xml:space="preserve"> it has been noted that while there is some historic data on unpaid determinations, this data is unlikely to be fully reflective of future experience</w:t>
      </w:r>
      <w:r w:rsidR="00CD4865">
        <w:t xml:space="preserve">. </w:t>
      </w:r>
      <w:r>
        <w:t xml:space="preserve">Given this, the actual experience of the CSLR will be better understood once </w:t>
      </w:r>
      <w:r w:rsidR="00CD4865">
        <w:t>the scheme is operationalised.</w:t>
      </w:r>
    </w:p>
    <w:p w14:paraId="65556BA9" w14:textId="6AA9DC48" w:rsidR="007E7A9C" w:rsidRDefault="00F94515" w:rsidP="00D3775F">
      <w:r>
        <w:t>While legislation will be enacted to establish the scheme</w:t>
      </w:r>
      <w:r w:rsidR="003941C4">
        <w:t>,</w:t>
      </w:r>
      <w:r>
        <w:t xml:space="preserve"> there are options as to which aspects of the CSLR’s operations are prescribed through legislation</w:t>
      </w:r>
      <w:r w:rsidR="00CD4865">
        <w:t xml:space="preserve">. </w:t>
      </w:r>
      <w:r>
        <w:t>In part, this decision follows from how responsive the CSLR should be to its claims experience and how sensitive the funding model should be to such experience</w:t>
      </w:r>
      <w:r w:rsidR="00CD4865">
        <w:t>.</w:t>
      </w:r>
    </w:p>
    <w:p w14:paraId="0A244D95" w14:textId="00F44AFA" w:rsidR="00B64CA3" w:rsidRDefault="00B64CA3" w:rsidP="00B64CA3">
      <w:pPr>
        <w:pStyle w:val="Heading2"/>
      </w:pPr>
      <w:bookmarkStart w:id="548" w:name="_Toc27353700"/>
      <w:bookmarkStart w:id="549" w:name="_Toc27381733"/>
      <w:bookmarkStart w:id="550" w:name="_Toc27400943"/>
      <w:bookmarkStart w:id="551" w:name="_Toc27414073"/>
      <w:bookmarkStart w:id="552" w:name="_Toc27415358"/>
      <w:bookmarkStart w:id="553" w:name="_Toc27469302"/>
      <w:bookmarkStart w:id="554" w:name="_Toc27471880"/>
      <w:bookmarkStart w:id="555" w:name="_Toc27474888"/>
      <w:bookmarkStart w:id="556" w:name="_Toc27478311"/>
      <w:bookmarkStart w:id="557" w:name="_Toc27478865"/>
      <w:bookmarkStart w:id="558" w:name="_Toc27490046"/>
      <w:bookmarkStart w:id="559" w:name="_Toc27491061"/>
      <w:bookmarkStart w:id="560" w:name="_Toc27492754"/>
      <w:bookmarkStart w:id="561" w:name="_Toc27646245"/>
      <w:bookmarkStart w:id="562" w:name="_Toc27646280"/>
      <w:bookmarkStart w:id="563" w:name="_Toc27650492"/>
      <w:r>
        <w:t>Considerations</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07D5013A" w14:textId="3E4FE9F0" w:rsidR="009E4191" w:rsidRDefault="009E4191" w:rsidP="009E4191">
      <w:r>
        <w:t xml:space="preserve">The </w:t>
      </w:r>
      <w:r w:rsidR="00384092">
        <w:t>level of flexibility in the operation</w:t>
      </w:r>
      <w:r>
        <w:t xml:space="preserve"> </w:t>
      </w:r>
      <w:r w:rsidR="00CD4865">
        <w:t xml:space="preserve">of the </w:t>
      </w:r>
      <w:r>
        <w:t xml:space="preserve">CSLR will need to balance a number of considerations including: </w:t>
      </w:r>
    </w:p>
    <w:p w14:paraId="119CD3C2" w14:textId="67C25B84" w:rsidR="009E4191" w:rsidRPr="00543A52" w:rsidRDefault="003941C4" w:rsidP="00543A52">
      <w:pPr>
        <w:pStyle w:val="Bullet"/>
        <w:tabs>
          <w:tab w:val="clear" w:pos="1985"/>
          <w:tab w:val="left" w:pos="567"/>
        </w:tabs>
        <w:ind w:left="567"/>
      </w:pPr>
      <w:r>
        <w:rPr>
          <w:b/>
        </w:rPr>
        <w:t>Adaptability</w:t>
      </w:r>
      <w:r w:rsidR="009E4191" w:rsidRPr="00543A52">
        <w:rPr>
          <w:b/>
        </w:rPr>
        <w:t>:</w:t>
      </w:r>
      <w:r w:rsidR="009E4191" w:rsidRPr="00543A52">
        <w:t xml:space="preserve"> the CSLR needs to be sufficiently adaptable to change its </w:t>
      </w:r>
      <w:r w:rsidR="00D1598D" w:rsidRPr="00543A52">
        <w:t xml:space="preserve">arrangements </w:t>
      </w:r>
      <w:r w:rsidR="009E4191" w:rsidRPr="00543A52">
        <w:t xml:space="preserve">as appropriate. </w:t>
      </w:r>
    </w:p>
    <w:p w14:paraId="12D1CC6C" w14:textId="6A207E5E" w:rsidR="00F94515" w:rsidRPr="00543A52" w:rsidRDefault="00F94515" w:rsidP="00543A52">
      <w:pPr>
        <w:pStyle w:val="Bullet"/>
        <w:tabs>
          <w:tab w:val="clear" w:pos="1985"/>
          <w:tab w:val="left" w:pos="567"/>
        </w:tabs>
        <w:ind w:left="567"/>
      </w:pPr>
      <w:r>
        <w:rPr>
          <w:b/>
        </w:rPr>
        <w:t>Transparency and certainty:</w:t>
      </w:r>
      <w:r w:rsidRPr="00543A52">
        <w:t xml:space="preserve"> the</w:t>
      </w:r>
      <w:r w:rsidR="00293810" w:rsidRPr="00543A52">
        <w:t xml:space="preserve"> operation of the CSLR should be transparent and industry and consumers should have a high degree of certainty </w:t>
      </w:r>
      <w:r w:rsidR="003941C4" w:rsidRPr="00543A52">
        <w:t xml:space="preserve">as to </w:t>
      </w:r>
      <w:r w:rsidR="00293810" w:rsidRPr="00543A52">
        <w:t>how the CSLR will operate.</w:t>
      </w:r>
    </w:p>
    <w:p w14:paraId="6B85A0D2" w14:textId="59B3C1CD" w:rsidR="00B64CA3" w:rsidRPr="00543A52" w:rsidRDefault="009E4191" w:rsidP="00543A52">
      <w:pPr>
        <w:pStyle w:val="Bullet"/>
        <w:tabs>
          <w:tab w:val="clear" w:pos="1985"/>
          <w:tab w:val="left" w:pos="567"/>
        </w:tabs>
        <w:ind w:left="567"/>
      </w:pPr>
      <w:r w:rsidRPr="00D1598D">
        <w:rPr>
          <w:b/>
        </w:rPr>
        <w:t>Efficiency</w:t>
      </w:r>
      <w:r w:rsidRPr="00543A52">
        <w:rPr>
          <w:b/>
        </w:rPr>
        <w:t>:</w:t>
      </w:r>
      <w:r w:rsidRPr="00543A52">
        <w:t xml:space="preserve"> </w:t>
      </w:r>
      <w:r w:rsidR="003F1DCD" w:rsidRPr="00543A52">
        <w:t xml:space="preserve">it is important that the CSLR is </w:t>
      </w:r>
      <w:r w:rsidR="00D1598D" w:rsidRPr="00543A52">
        <w:t xml:space="preserve">cost effective and </w:t>
      </w:r>
      <w:r w:rsidR="003F1DCD" w:rsidRPr="00543A52">
        <w:t xml:space="preserve">able to make decisions in a timely fashion. </w:t>
      </w:r>
    </w:p>
    <w:p w14:paraId="7DA135E3" w14:textId="2629646C" w:rsidR="00B64CA3" w:rsidRDefault="00B64CA3" w:rsidP="00B64CA3">
      <w:pPr>
        <w:pStyle w:val="Heading2"/>
      </w:pPr>
      <w:bookmarkStart w:id="564" w:name="_Toc27353701"/>
      <w:bookmarkStart w:id="565" w:name="_Toc27381734"/>
      <w:bookmarkStart w:id="566" w:name="_Toc27400944"/>
      <w:bookmarkStart w:id="567" w:name="_Toc27414074"/>
      <w:bookmarkStart w:id="568" w:name="_Toc27415359"/>
      <w:bookmarkStart w:id="569" w:name="_Toc27469303"/>
      <w:bookmarkStart w:id="570" w:name="_Toc27471881"/>
      <w:bookmarkStart w:id="571" w:name="_Toc27474889"/>
      <w:bookmarkStart w:id="572" w:name="_Toc27478312"/>
      <w:bookmarkStart w:id="573" w:name="_Toc27478866"/>
      <w:bookmarkStart w:id="574" w:name="_Toc27490047"/>
      <w:bookmarkStart w:id="575" w:name="_Toc27491062"/>
      <w:bookmarkStart w:id="576" w:name="_Toc27492755"/>
      <w:bookmarkStart w:id="577" w:name="_Toc27646246"/>
      <w:bookmarkStart w:id="578" w:name="_Toc27646281"/>
      <w:bookmarkStart w:id="579" w:name="_Toc27650493"/>
      <w:r>
        <w:t>Discussion items</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6940354A" w14:textId="4CB34D4A" w:rsidR="00B64CA3" w:rsidRDefault="00B13AB4" w:rsidP="00DC6EE3">
      <w:pPr>
        <w:pStyle w:val="Heading3"/>
      </w:pPr>
      <w:bookmarkStart w:id="580" w:name="_Toc27400945"/>
      <w:bookmarkStart w:id="581" w:name="_Toc27414075"/>
      <w:bookmarkStart w:id="582" w:name="_Toc27415360"/>
      <w:bookmarkStart w:id="583" w:name="_Toc27469304"/>
      <w:bookmarkStart w:id="584" w:name="_Toc27471882"/>
      <w:bookmarkStart w:id="585" w:name="_Toc27474890"/>
      <w:bookmarkStart w:id="586" w:name="_Toc27646247"/>
      <w:bookmarkStart w:id="587" w:name="_Toc27646282"/>
      <w:bookmarkStart w:id="588" w:name="_Toc27650494"/>
      <w:bookmarkStart w:id="589" w:name="_Toc27478313"/>
      <w:bookmarkStart w:id="590" w:name="_Toc27478867"/>
      <w:bookmarkStart w:id="591" w:name="_Toc27490048"/>
      <w:bookmarkStart w:id="592" w:name="_Toc27491063"/>
      <w:bookmarkStart w:id="593" w:name="_Toc27492756"/>
      <w:r>
        <w:t xml:space="preserve">To what extent should </w:t>
      </w:r>
      <w:r w:rsidR="00384092">
        <w:t>the operation of the CSLR be responsive to experience</w:t>
      </w:r>
      <w:r>
        <w:t>?</w:t>
      </w:r>
      <w:bookmarkEnd w:id="580"/>
      <w:bookmarkEnd w:id="581"/>
      <w:bookmarkEnd w:id="582"/>
      <w:bookmarkEnd w:id="583"/>
      <w:bookmarkEnd w:id="584"/>
      <w:bookmarkEnd w:id="585"/>
      <w:bookmarkEnd w:id="586"/>
      <w:bookmarkEnd w:id="587"/>
      <w:bookmarkEnd w:id="588"/>
      <w:r>
        <w:t xml:space="preserve"> </w:t>
      </w:r>
      <w:bookmarkEnd w:id="589"/>
      <w:bookmarkEnd w:id="590"/>
      <w:bookmarkEnd w:id="591"/>
      <w:bookmarkEnd w:id="592"/>
      <w:bookmarkEnd w:id="593"/>
    </w:p>
    <w:p w14:paraId="64F8496E" w14:textId="75DD7748" w:rsidR="00910A91" w:rsidRDefault="00910A91">
      <w:pPr>
        <w:spacing w:before="0" w:after="160" w:line="259" w:lineRule="auto"/>
      </w:pPr>
      <w:r>
        <w:t xml:space="preserve">The Ramsay </w:t>
      </w:r>
      <w:r w:rsidR="00DC6EE3">
        <w:t xml:space="preserve">Review </w:t>
      </w:r>
      <w:r>
        <w:t xml:space="preserve">noted the importance of establishing a CSLR that was </w:t>
      </w:r>
      <w:r w:rsidR="00DC6EE3">
        <w:t>independent</w:t>
      </w:r>
      <w:r>
        <w:t xml:space="preserve"> but subject to regulatory oversight.</w:t>
      </w:r>
      <w:r w:rsidR="00DC6EE3">
        <w:rPr>
          <w:rStyle w:val="FootnoteReference"/>
        </w:rPr>
        <w:footnoteReference w:id="17"/>
      </w:r>
      <w:r>
        <w:t xml:space="preserve"> </w:t>
      </w:r>
    </w:p>
    <w:p w14:paraId="42C5F3E1" w14:textId="47C3765C" w:rsidR="00384092" w:rsidRDefault="00384092">
      <w:pPr>
        <w:spacing w:before="0" w:after="160" w:line="259" w:lineRule="auto"/>
      </w:pPr>
      <w:r>
        <w:t xml:space="preserve">One approach offering </w:t>
      </w:r>
      <w:r w:rsidR="00D82372">
        <w:t xml:space="preserve">a </w:t>
      </w:r>
      <w:r>
        <w:t>high degree of flexibility to the CSLR to adapt its operations, including setting of levies, would be to follow the framework for AFCA. That is</w:t>
      </w:r>
      <w:r w:rsidR="00D82372">
        <w:t>,</w:t>
      </w:r>
      <w:r>
        <w:t xml:space="preserve"> while legislation would prescribe certain aspects of the CSLR’s operations</w:t>
      </w:r>
      <w:r w:rsidR="00D82372">
        <w:t>,</w:t>
      </w:r>
      <w:r>
        <w:t xml:space="preserve"> a high degree of flexibility would be left to the scheme to determine other aspects of operations. For example</w:t>
      </w:r>
      <w:r w:rsidR="00D82372">
        <w:t>,</w:t>
      </w:r>
      <w:r>
        <w:t xml:space="preserve"> significant aspects of AFCA’s operations are governed by its Rules but </w:t>
      </w:r>
      <w:r w:rsidR="005E6235">
        <w:t>are</w:t>
      </w:r>
      <w:r>
        <w:t xml:space="preserve"> not otherwise prescribed in legislation. Similarly, AFCA’s approach to funding on a user pays system is not legislatively prescribed.  </w:t>
      </w:r>
    </w:p>
    <w:p w14:paraId="2AEECC28" w14:textId="1DF53C96" w:rsidR="00377664" w:rsidRDefault="00384092">
      <w:pPr>
        <w:spacing w:before="0" w:after="160" w:line="259" w:lineRule="auto"/>
      </w:pPr>
      <w:r>
        <w:t>Adopting a similar approach in the case of the CLSR</w:t>
      </w:r>
      <w:r w:rsidR="004A4AB3">
        <w:t xml:space="preserve"> </w:t>
      </w:r>
      <w:r w:rsidR="00E643F2">
        <w:t>would</w:t>
      </w:r>
      <w:r w:rsidR="004A4AB3">
        <w:t xml:space="preserve"> enhance </w:t>
      </w:r>
      <w:r w:rsidR="00E643F2">
        <w:t xml:space="preserve">the </w:t>
      </w:r>
      <w:r w:rsidR="004A4AB3">
        <w:t>CSLR’s ability to efficiently evolve in</w:t>
      </w:r>
      <w:r w:rsidR="00035828">
        <w:t xml:space="preserve"> response to market changes, changing stakeholder expectations and the recommendations of independent reviews</w:t>
      </w:r>
      <w:r w:rsidR="00403A8B">
        <w:t>.</w:t>
      </w:r>
      <w:r w:rsidR="007C1B7A">
        <w:t xml:space="preserve"> Government and regulatory</w:t>
      </w:r>
      <w:r w:rsidR="00403A8B">
        <w:t xml:space="preserve"> oversight of the scheme </w:t>
      </w:r>
      <w:r w:rsidR="00E643F2">
        <w:t>would</w:t>
      </w:r>
      <w:r w:rsidR="00403A8B">
        <w:t xml:space="preserve"> be designed to ensure that the CSLR’s operations remain consistent with the key objectives of the scheme</w:t>
      </w:r>
      <w:r w:rsidR="00E643F2">
        <w:t xml:space="preserve"> as detailed in legislation</w:t>
      </w:r>
      <w:r w:rsidR="00035828">
        <w:t>.</w:t>
      </w:r>
      <w:r w:rsidR="005E120E">
        <w:t xml:space="preserve"> </w:t>
      </w:r>
    </w:p>
    <w:p w14:paraId="5B38D0AF" w14:textId="45E075E2" w:rsidR="00057C06" w:rsidRDefault="00DD48C3">
      <w:pPr>
        <w:spacing w:before="0" w:after="160" w:line="259" w:lineRule="auto"/>
      </w:pPr>
      <w:r>
        <w:lastRenderedPageBreak/>
        <w:t xml:space="preserve">Alternatively, </w:t>
      </w:r>
      <w:r w:rsidR="00057C06">
        <w:t xml:space="preserve">the legislation </w:t>
      </w:r>
      <w:r w:rsidR="00CE6AF2">
        <w:t xml:space="preserve">enabling the establishment of the CSLR </w:t>
      </w:r>
      <w:r>
        <w:t xml:space="preserve">could </w:t>
      </w:r>
      <w:r w:rsidR="007C1B7A">
        <w:t xml:space="preserve">take a more prescriptive approach </w:t>
      </w:r>
      <w:r>
        <w:t>such as</w:t>
      </w:r>
      <w:r w:rsidR="007C1B7A">
        <w:t xml:space="preserve"> prescribing</w:t>
      </w:r>
      <w:r>
        <w:t xml:space="preserve">: </w:t>
      </w:r>
    </w:p>
    <w:p w14:paraId="48DB0714" w14:textId="35451B08" w:rsidR="00DD48C3" w:rsidRDefault="00DD48C3" w:rsidP="00543A52">
      <w:pPr>
        <w:pStyle w:val="Bullet"/>
        <w:tabs>
          <w:tab w:val="num" w:pos="567"/>
        </w:tabs>
        <w:ind w:left="567"/>
      </w:pPr>
      <w:r>
        <w:t xml:space="preserve">the size and risk metrics used </w:t>
      </w:r>
      <w:r w:rsidR="00CE6AF2">
        <w:t xml:space="preserve">as the basis for </w:t>
      </w:r>
      <w:r>
        <w:t>annual levi</w:t>
      </w:r>
      <w:r w:rsidR="005E120E">
        <w:t xml:space="preserve">es for </w:t>
      </w:r>
      <w:r w:rsidR="00CE6AF2">
        <w:t>financial firms;</w:t>
      </w:r>
    </w:p>
    <w:p w14:paraId="22899CE5" w14:textId="11C582DE" w:rsidR="00DD48C3" w:rsidRDefault="005E120E" w:rsidP="00543A52">
      <w:pPr>
        <w:pStyle w:val="Bullet"/>
        <w:tabs>
          <w:tab w:val="num" w:pos="567"/>
        </w:tabs>
        <w:ind w:left="567"/>
      </w:pPr>
      <w:r>
        <w:t xml:space="preserve">the appropriate level of capital to be held by the CSLR in anticipation of potential unexpected events; </w:t>
      </w:r>
    </w:p>
    <w:p w14:paraId="176DFB2C" w14:textId="7616D64C" w:rsidR="005E120E" w:rsidRDefault="00CE6AF2" w:rsidP="00543A52">
      <w:pPr>
        <w:pStyle w:val="Bullet"/>
        <w:tabs>
          <w:tab w:val="num" w:pos="567"/>
        </w:tabs>
        <w:ind w:left="567"/>
      </w:pPr>
      <w:r>
        <w:t>a</w:t>
      </w:r>
      <w:r w:rsidR="005E120E">
        <w:t xml:space="preserve"> maximum cap applied by the CSLR in respect of annual levies for </w:t>
      </w:r>
      <w:r>
        <w:t>financial firms;</w:t>
      </w:r>
    </w:p>
    <w:p w14:paraId="2ABD9D16" w14:textId="6F171926" w:rsidR="005E120E" w:rsidRDefault="00CE6AF2" w:rsidP="00543A52">
      <w:pPr>
        <w:pStyle w:val="Bullet"/>
        <w:tabs>
          <w:tab w:val="num" w:pos="567"/>
        </w:tabs>
        <w:ind w:left="567"/>
      </w:pPr>
      <w:r>
        <w:t>a</w:t>
      </w:r>
      <w:r w:rsidR="005E120E">
        <w:t xml:space="preserve"> maximum amount of compensation to be paid to consumers; and/or </w:t>
      </w:r>
    </w:p>
    <w:p w14:paraId="389ECB21" w14:textId="6444F381" w:rsidR="005E120E" w:rsidRDefault="00CE6AF2" w:rsidP="00543A52">
      <w:pPr>
        <w:pStyle w:val="Bullet"/>
        <w:tabs>
          <w:tab w:val="num" w:pos="567"/>
        </w:tabs>
        <w:ind w:left="567"/>
      </w:pPr>
      <w:r>
        <w:t>a</w:t>
      </w:r>
      <w:r w:rsidR="005E120E">
        <w:t xml:space="preserve"> maximum amount of compensation to be pai</w:t>
      </w:r>
      <w:r>
        <w:t xml:space="preserve">d where the determination relates to a large </w:t>
      </w:r>
      <w:r w:rsidR="005E120E">
        <w:t>unexpected event.</w:t>
      </w:r>
    </w:p>
    <w:p w14:paraId="66D0A152" w14:textId="1A869DAB" w:rsidR="007C1B7A" w:rsidRDefault="00403A8B" w:rsidP="00DC6EE3">
      <w:pPr>
        <w:pStyle w:val="Bullet"/>
        <w:numPr>
          <w:ilvl w:val="0"/>
          <w:numId w:val="0"/>
        </w:numPr>
      </w:pPr>
      <w:r>
        <w:t xml:space="preserve">Under this approach, </w:t>
      </w:r>
      <w:r w:rsidR="007C1B7A">
        <w:t xml:space="preserve">changes to the operations of the scheme would require action by Government and would be expected to be less responsive to experience than if made by the CSLR itself.  </w:t>
      </w:r>
    </w:p>
    <w:p w14:paraId="05F3023D" w14:textId="0205388C" w:rsidR="00996FD1" w:rsidRDefault="00996FD1" w:rsidP="00996FD1">
      <w:pPr>
        <w:pStyle w:val="Heading4"/>
      </w:pPr>
      <w:r>
        <w:t>Questions</w:t>
      </w:r>
    </w:p>
    <w:p w14:paraId="5CC08EB2" w14:textId="4702FD0F" w:rsidR="00996FD1" w:rsidRDefault="007C1B7A" w:rsidP="00FD3FE7">
      <w:pPr>
        <w:pStyle w:val="Bullet"/>
        <w:numPr>
          <w:ilvl w:val="0"/>
          <w:numId w:val="40"/>
        </w:numPr>
        <w:tabs>
          <w:tab w:val="clear" w:pos="1985"/>
          <w:tab w:val="num" w:pos="426"/>
        </w:tabs>
        <w:ind w:left="426" w:hanging="284"/>
      </w:pPr>
      <w:r>
        <w:t xml:space="preserve">What aspects of the design and operation of the CSLR should be determined by the CSLR and </w:t>
      </w:r>
      <w:r w:rsidR="004C04F4">
        <w:t>what aspects should be prescribed in legislation?</w:t>
      </w:r>
    </w:p>
    <w:p w14:paraId="7B5FFD51" w14:textId="1C044916" w:rsidR="00996FD1" w:rsidRDefault="00996FD1" w:rsidP="00DC6EE3">
      <w:pPr>
        <w:pStyle w:val="Bullet"/>
        <w:numPr>
          <w:ilvl w:val="0"/>
          <w:numId w:val="0"/>
        </w:numPr>
      </w:pPr>
    </w:p>
    <w:p w14:paraId="6B749A7F" w14:textId="77777777" w:rsidR="00996FD1" w:rsidRDefault="00996FD1" w:rsidP="00DC6EE3">
      <w:pPr>
        <w:pStyle w:val="Bullet"/>
        <w:numPr>
          <w:ilvl w:val="0"/>
          <w:numId w:val="0"/>
        </w:numPr>
      </w:pPr>
    </w:p>
    <w:p w14:paraId="5028E057" w14:textId="77777777" w:rsidR="005948D3" w:rsidRDefault="005948D3">
      <w:pPr>
        <w:spacing w:before="0" w:after="160" w:line="259" w:lineRule="auto"/>
        <w:sectPr w:rsidR="005948D3" w:rsidSect="00CB3A37">
          <w:pgSz w:w="11906" w:h="16838" w:code="9"/>
          <w:pgMar w:top="1418" w:right="1418" w:bottom="1418" w:left="1418" w:header="709" w:footer="709" w:gutter="0"/>
          <w:cols w:space="708"/>
          <w:docGrid w:linePitch="360"/>
        </w:sectPr>
      </w:pPr>
    </w:p>
    <w:p w14:paraId="062CDB58" w14:textId="467C2BD6" w:rsidR="008C261D" w:rsidRDefault="00D9699A" w:rsidP="004B7D90">
      <w:pPr>
        <w:pStyle w:val="Heading1"/>
      </w:pPr>
      <w:bookmarkStart w:id="594" w:name="_Toc27149192"/>
      <w:bookmarkStart w:id="595" w:name="_Toc27353702"/>
      <w:bookmarkStart w:id="596" w:name="_Toc27381735"/>
      <w:bookmarkStart w:id="597" w:name="_Toc27400946"/>
      <w:bookmarkStart w:id="598" w:name="_Toc27414076"/>
      <w:bookmarkStart w:id="599" w:name="_Toc27415361"/>
      <w:bookmarkStart w:id="600" w:name="_Toc27469305"/>
      <w:bookmarkStart w:id="601" w:name="_Toc27471883"/>
      <w:bookmarkStart w:id="602" w:name="_Toc27474891"/>
      <w:bookmarkStart w:id="603" w:name="_Toc27477823"/>
      <w:bookmarkStart w:id="604" w:name="_Toc27478314"/>
      <w:bookmarkStart w:id="605" w:name="_Toc27478868"/>
      <w:bookmarkStart w:id="606" w:name="_Toc27490049"/>
      <w:bookmarkStart w:id="607" w:name="_Toc27491064"/>
      <w:bookmarkStart w:id="608" w:name="_Toc27492757"/>
      <w:bookmarkStart w:id="609" w:name="_Toc27646248"/>
      <w:bookmarkStart w:id="610" w:name="_Toc27646283"/>
      <w:bookmarkStart w:id="611" w:name="_Toc27650495"/>
      <w:r>
        <w:lastRenderedPageBreak/>
        <w:t xml:space="preserve">Appendix 1: </w:t>
      </w:r>
      <w:bookmarkStart w:id="612" w:name="_Toc27149193"/>
      <w:bookmarkEnd w:id="594"/>
      <w:r w:rsidR="008C261D">
        <w:t xml:space="preserve">Ramsay Review </w:t>
      </w:r>
      <w:r w:rsidR="003F744E">
        <w:t>r</w:t>
      </w:r>
      <w:r w:rsidR="008C261D">
        <w:t>ecommendations</w:t>
      </w:r>
      <w:bookmarkEnd w:id="612"/>
      <w:bookmarkEnd w:id="595"/>
      <w:bookmarkEnd w:id="596"/>
      <w:r w:rsidR="008C261D">
        <w:t xml:space="preserve"> </w:t>
      </w:r>
      <w:r w:rsidR="0066167F">
        <w:t>on the establishment of a CSLR</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r w:rsidR="00211809">
        <w:t xml:space="preserve"> </w:t>
      </w:r>
    </w:p>
    <w:p w14:paraId="171713BC" w14:textId="740DFA44" w:rsidR="008C261D" w:rsidRDefault="008C261D" w:rsidP="00C06104">
      <w:pPr>
        <w:pStyle w:val="OutlineNumbered1"/>
        <w:ind w:hanging="378"/>
      </w:pPr>
      <w:r>
        <w:t>A CSLR should be established</w:t>
      </w:r>
      <w:r w:rsidR="002C6CEB">
        <w:t>. A CSLR, if established,</w:t>
      </w:r>
      <w:r>
        <w:t xml:space="preserve"> should be limited and carefully targeted at the areas of the financial sector </w:t>
      </w:r>
      <w:r w:rsidR="002C6CEB">
        <w:t>with the greatest</w:t>
      </w:r>
      <w:r>
        <w:t xml:space="preserve"> evidence of </w:t>
      </w:r>
      <w:r w:rsidR="002C6CEB">
        <w:t>need.</w:t>
      </w:r>
    </w:p>
    <w:p w14:paraId="4C042CB7" w14:textId="48973344" w:rsidR="00326D50" w:rsidRDefault="00326D50" w:rsidP="00C06104">
      <w:pPr>
        <w:pStyle w:val="OutlineNumbered1"/>
        <w:ind w:hanging="378"/>
      </w:pPr>
      <w:r>
        <w:t xml:space="preserve">A CSLR, if established, should initially be restricted to financial advice failures where a financial adviser (relevant provider) has provided personal and/or general advice on ‘relevant financial products’ to a consumer or small business. This means that only advice given by a ‘relevant provider’, as defined in section 910A of the Corporations Act, would be covered by a CSLR. Relevant financial products include, for example, financial advice on investments in managed investment schemes, superannuation and banking products that are not basic banking products. </w:t>
      </w:r>
    </w:p>
    <w:p w14:paraId="0361D837" w14:textId="7A73EAD0" w:rsidR="00326D50" w:rsidRDefault="00326D50" w:rsidP="00C06104">
      <w:pPr>
        <w:pStyle w:val="OutlineNumbered1"/>
        <w:numPr>
          <w:ilvl w:val="0"/>
          <w:numId w:val="0"/>
        </w:numPr>
        <w:ind w:left="520"/>
      </w:pPr>
      <w:r>
        <w:t>A CSLR should be designed for the future and accordingly be scalable, which means it can be expanded over time to cover other types of financial and credit services should evidence of significant problems of uncompensated losses emerge.</w:t>
      </w:r>
    </w:p>
    <w:p w14:paraId="302B9333" w14:textId="77777777" w:rsidR="00326D50" w:rsidRDefault="00326D50" w:rsidP="00C06104">
      <w:pPr>
        <w:pStyle w:val="OutlineNumbered1"/>
        <w:ind w:hanging="378"/>
      </w:pPr>
      <w:r>
        <w:t>If a CSLR is established, the following design features are recommended:</w:t>
      </w:r>
    </w:p>
    <w:p w14:paraId="3C111437" w14:textId="52D51887" w:rsidR="006C39D5" w:rsidRPr="00C84019" w:rsidRDefault="006C39D5" w:rsidP="00C84019">
      <w:pPr>
        <w:spacing w:after="180"/>
        <w:ind w:firstLine="520"/>
        <w:rPr>
          <w:i/>
        </w:rPr>
      </w:pPr>
      <w:r w:rsidRPr="00C84019">
        <w:rPr>
          <w:i/>
        </w:rPr>
        <w:t>Prospective</w:t>
      </w:r>
    </w:p>
    <w:p w14:paraId="7DF492E3" w14:textId="14813669" w:rsidR="00326D50" w:rsidRDefault="00326D50" w:rsidP="00C01DF8">
      <w:pPr>
        <w:pStyle w:val="Bullet"/>
        <w:tabs>
          <w:tab w:val="num" w:pos="851"/>
        </w:tabs>
        <w:ind w:left="851" w:hanging="284"/>
      </w:pPr>
      <w:r>
        <w:t>A CSLR should only apply to unpaid EDR determinations, court judgments and tribunal awards which are made after a CSLR is established.</w:t>
      </w:r>
    </w:p>
    <w:p w14:paraId="03CAECC9" w14:textId="7015A095" w:rsidR="006C39D5" w:rsidRPr="00C84019" w:rsidRDefault="006C39D5" w:rsidP="00C84019">
      <w:pPr>
        <w:spacing w:after="180"/>
        <w:ind w:left="567"/>
        <w:rPr>
          <w:i/>
        </w:rPr>
      </w:pPr>
      <w:r w:rsidRPr="00C84019">
        <w:rPr>
          <w:i/>
        </w:rPr>
        <w:t>Eligibility</w:t>
      </w:r>
    </w:p>
    <w:p w14:paraId="11D43823" w14:textId="606AFF24" w:rsidR="00326D50" w:rsidRDefault="00326D50" w:rsidP="00C01DF8">
      <w:pPr>
        <w:pStyle w:val="Bullet"/>
        <w:tabs>
          <w:tab w:val="num" w:pos="851"/>
        </w:tabs>
        <w:ind w:left="851" w:hanging="284"/>
      </w:pPr>
      <w:r>
        <w:t>A CSLR should be restricted to consumers and small businesses (as defined by AFCA).</w:t>
      </w:r>
    </w:p>
    <w:p w14:paraId="4E0E0571" w14:textId="77777777" w:rsidR="00326D50" w:rsidRPr="00C84019" w:rsidRDefault="00326D50" w:rsidP="00C84019">
      <w:pPr>
        <w:spacing w:after="180"/>
        <w:ind w:left="567"/>
        <w:rPr>
          <w:i/>
        </w:rPr>
      </w:pPr>
      <w:r w:rsidRPr="00C84019">
        <w:rPr>
          <w:i/>
        </w:rPr>
        <w:t>Types of claims</w:t>
      </w:r>
    </w:p>
    <w:p w14:paraId="3E3B5350" w14:textId="7B95C561" w:rsidR="00326D50" w:rsidRDefault="00326D50" w:rsidP="00C01DF8">
      <w:pPr>
        <w:pStyle w:val="Bullet"/>
        <w:tabs>
          <w:tab w:val="num" w:pos="851"/>
        </w:tabs>
        <w:ind w:left="851" w:hanging="284"/>
      </w:pPr>
      <w:r>
        <w:t>A CSLR should be limited to financial advice failures but sc</w:t>
      </w:r>
      <w:r w:rsidR="006C39D5">
        <w:t xml:space="preserve">alable in the future subject to </w:t>
      </w:r>
      <w:r>
        <w:t>consultation and modelling.</w:t>
      </w:r>
    </w:p>
    <w:p w14:paraId="04F7EA6D" w14:textId="77777777" w:rsidR="00326D50" w:rsidRPr="00C84019" w:rsidRDefault="00326D50" w:rsidP="00C84019">
      <w:pPr>
        <w:spacing w:after="180"/>
        <w:ind w:left="567"/>
        <w:rPr>
          <w:i/>
        </w:rPr>
      </w:pPr>
      <w:r w:rsidRPr="00C84019">
        <w:rPr>
          <w:i/>
        </w:rPr>
        <w:t>Conditions for accessing a CSLR</w:t>
      </w:r>
    </w:p>
    <w:p w14:paraId="45D3E6AC" w14:textId="3EA08A61" w:rsidR="00326D50" w:rsidRDefault="00326D50" w:rsidP="00C01DF8">
      <w:pPr>
        <w:pStyle w:val="Bullet"/>
        <w:tabs>
          <w:tab w:val="num" w:pos="851"/>
        </w:tabs>
        <w:ind w:left="851" w:hanging="284"/>
      </w:pPr>
      <w:r>
        <w:t>Consumers and small businesses must have a decision from AFCA, a court or a tribunal wh</w:t>
      </w:r>
      <w:r w:rsidR="006C39D5">
        <w:t xml:space="preserve">ich </w:t>
      </w:r>
      <w:r>
        <w:t>remains unpaid after reasonable steps, as defined by a CSLR, have been taken.</w:t>
      </w:r>
    </w:p>
    <w:p w14:paraId="478DB443" w14:textId="38A62597" w:rsidR="00326D50" w:rsidRDefault="00326D50" w:rsidP="00C01DF8">
      <w:pPr>
        <w:pStyle w:val="Bullet"/>
        <w:tabs>
          <w:tab w:val="num" w:pos="851"/>
        </w:tabs>
        <w:ind w:left="851" w:hanging="284"/>
      </w:pPr>
      <w:r>
        <w:t>To allow consumers and small businesses to satisfy this con</w:t>
      </w:r>
      <w:r w:rsidR="006C39D5">
        <w:t xml:space="preserve">dition, AFCA should determine a </w:t>
      </w:r>
      <w:r>
        <w:t>dispute and make a determination in circumstances where a financial firm is insol</w:t>
      </w:r>
      <w:r w:rsidR="006C39D5">
        <w:t xml:space="preserve">vent or has </w:t>
      </w:r>
      <w:r>
        <w:t>been expelled from AFCA.</w:t>
      </w:r>
    </w:p>
    <w:p w14:paraId="4F7E4778" w14:textId="55FC86A2" w:rsidR="00326D50" w:rsidRDefault="00326D50" w:rsidP="00C01DF8">
      <w:pPr>
        <w:pStyle w:val="Bullet"/>
        <w:tabs>
          <w:tab w:val="num" w:pos="851"/>
        </w:tabs>
        <w:ind w:left="851" w:hanging="284"/>
      </w:pPr>
      <w:r>
        <w:t>A CSLR should only be able to receive a claim following a c</w:t>
      </w:r>
      <w:r w:rsidR="006C39D5">
        <w:t xml:space="preserve">ourt judgment or tribunal award </w:t>
      </w:r>
      <w:r>
        <w:t>where the circumstances giving rise to that claim would have bee</w:t>
      </w:r>
      <w:r w:rsidR="006C39D5">
        <w:t xml:space="preserve">n eligible for consideration by </w:t>
      </w:r>
      <w:r>
        <w:t>AFCA.</w:t>
      </w:r>
    </w:p>
    <w:p w14:paraId="3A88A23B" w14:textId="77777777" w:rsidR="00326D50" w:rsidRPr="00C84019" w:rsidRDefault="00326D50" w:rsidP="00C84019">
      <w:pPr>
        <w:spacing w:after="180"/>
        <w:ind w:left="567"/>
        <w:rPr>
          <w:i/>
        </w:rPr>
      </w:pPr>
      <w:r w:rsidRPr="00C84019">
        <w:rPr>
          <w:i/>
        </w:rPr>
        <w:t>Time limits for making a claim to a CSLR</w:t>
      </w:r>
    </w:p>
    <w:p w14:paraId="76D39AA2" w14:textId="7B34E1F5" w:rsidR="00326D50" w:rsidRDefault="00326D50" w:rsidP="00C01DF8">
      <w:pPr>
        <w:pStyle w:val="Bullet"/>
        <w:tabs>
          <w:tab w:val="num" w:pos="851"/>
        </w:tabs>
        <w:ind w:left="851" w:hanging="284"/>
      </w:pPr>
      <w:r>
        <w:t>Applications must be lodged with a CSLR by a consumer or sma</w:t>
      </w:r>
      <w:r w:rsidR="006C39D5">
        <w:t xml:space="preserve">ll business within 12 months of </w:t>
      </w:r>
      <w:r>
        <w:t>the consumer or small business having completed speci</w:t>
      </w:r>
      <w:r w:rsidR="006C39D5">
        <w:t xml:space="preserve">fied reasonable steps to obtain </w:t>
      </w:r>
      <w:r>
        <w:t>compensation.</w:t>
      </w:r>
    </w:p>
    <w:p w14:paraId="46E6378E" w14:textId="5BAE265B" w:rsidR="00326D50" w:rsidRDefault="00326D50" w:rsidP="00C01DF8">
      <w:pPr>
        <w:pStyle w:val="Bullet"/>
        <w:tabs>
          <w:tab w:val="num" w:pos="851"/>
        </w:tabs>
        <w:ind w:left="851" w:hanging="284"/>
      </w:pPr>
      <w:r>
        <w:lastRenderedPageBreak/>
        <w:t>Where an uncompensated loss arises from an unpaid ED</w:t>
      </w:r>
      <w:r w:rsidR="005A3FE6">
        <w:t xml:space="preserve">R determination, AFCA should be </w:t>
      </w:r>
      <w:r>
        <w:t>required to provide certification that it has completed its processes to enforce the</w:t>
      </w:r>
      <w:r w:rsidR="005A3FE6">
        <w:t xml:space="preserve"> </w:t>
      </w:r>
      <w:r>
        <w:t>determination and that it does not consider that the determination will be paid, and then refer</w:t>
      </w:r>
      <w:r w:rsidR="005A3FE6">
        <w:t xml:space="preserve"> </w:t>
      </w:r>
      <w:r>
        <w:t>the consumer or small business to a CSLR.</w:t>
      </w:r>
    </w:p>
    <w:p w14:paraId="1F15106C" w14:textId="12319C92" w:rsidR="00326D50" w:rsidRDefault="00326D50" w:rsidP="00C01DF8">
      <w:pPr>
        <w:pStyle w:val="Bullet"/>
        <w:tabs>
          <w:tab w:val="num" w:pos="851"/>
        </w:tabs>
        <w:ind w:left="851" w:hanging="284"/>
      </w:pPr>
      <w:r>
        <w:t>AFCA should ensure that consumers and small businesses are in</w:t>
      </w:r>
      <w:r w:rsidR="006C39D5">
        <w:t xml:space="preserve">formed of their right to make a </w:t>
      </w:r>
      <w:r>
        <w:t>claim to a CSLR. This should be communicated as part of all k</w:t>
      </w:r>
      <w:r w:rsidR="006C39D5">
        <w:t xml:space="preserve">ey communications, such as when </w:t>
      </w:r>
      <w:r>
        <w:t>the initial determination is issued.</w:t>
      </w:r>
    </w:p>
    <w:p w14:paraId="0623B02B" w14:textId="77777777" w:rsidR="00326D50" w:rsidRPr="00C84019" w:rsidRDefault="00326D50" w:rsidP="00C84019">
      <w:pPr>
        <w:spacing w:after="180"/>
        <w:ind w:left="567"/>
        <w:rPr>
          <w:i/>
        </w:rPr>
      </w:pPr>
      <w:r w:rsidRPr="00C84019">
        <w:rPr>
          <w:i/>
        </w:rPr>
        <w:t>Functions and powers of a CSLR</w:t>
      </w:r>
    </w:p>
    <w:p w14:paraId="222A0630" w14:textId="7472EF11" w:rsidR="00326D50" w:rsidRDefault="00326D50" w:rsidP="00C01DF8">
      <w:pPr>
        <w:pStyle w:val="Bullet"/>
        <w:tabs>
          <w:tab w:val="num" w:pos="851"/>
        </w:tabs>
        <w:ind w:left="851" w:hanging="284"/>
      </w:pPr>
      <w:r>
        <w:t>A CSLR should not independently reassess the merits of claims which it receives.</w:t>
      </w:r>
    </w:p>
    <w:p w14:paraId="3C5D4243" w14:textId="4743799F" w:rsidR="00326D50" w:rsidRDefault="00326D50" w:rsidP="00C01DF8">
      <w:pPr>
        <w:pStyle w:val="Bullet"/>
        <w:tabs>
          <w:tab w:val="num" w:pos="851"/>
        </w:tabs>
        <w:ind w:left="851" w:hanging="284"/>
      </w:pPr>
      <w:r>
        <w:t>Before paying a claim, a CSLR must be satisfied that the EDR d</w:t>
      </w:r>
      <w:r w:rsidR="006C39D5">
        <w:t xml:space="preserve">etermination, court judgment or </w:t>
      </w:r>
      <w:r>
        <w:t>tribunal award will not be paid by the financial firm to the consumer or small business.</w:t>
      </w:r>
    </w:p>
    <w:p w14:paraId="60C3D4BC" w14:textId="77777777" w:rsidR="00326D50" w:rsidRPr="00C84019" w:rsidRDefault="00326D50" w:rsidP="00C84019">
      <w:pPr>
        <w:spacing w:after="180"/>
        <w:ind w:left="567"/>
        <w:rPr>
          <w:i/>
        </w:rPr>
      </w:pPr>
      <w:r w:rsidRPr="00C84019">
        <w:rPr>
          <w:i/>
        </w:rPr>
        <w:t>The amount and types of compensation that can be paid through a CSLR</w:t>
      </w:r>
    </w:p>
    <w:p w14:paraId="4E4FD6C4" w14:textId="4EC117F9" w:rsidR="00326D50" w:rsidRDefault="00326D50" w:rsidP="00C01DF8">
      <w:pPr>
        <w:pStyle w:val="Bullet"/>
        <w:tabs>
          <w:tab w:val="num" w:pos="851"/>
        </w:tabs>
        <w:ind w:left="851" w:hanging="284"/>
      </w:pPr>
      <w:r>
        <w:t xml:space="preserve">A cap should apply to the level of compensation that </w:t>
      </w:r>
      <w:r w:rsidR="006C39D5">
        <w:t xml:space="preserve">a CSLR is able to provide. This </w:t>
      </w:r>
      <w:r>
        <w:t>compensation cap should be aligned with the compensation cap which AFCA applies.</w:t>
      </w:r>
    </w:p>
    <w:p w14:paraId="583733C2" w14:textId="1BDC38C9" w:rsidR="00326D50" w:rsidRDefault="00326D50" w:rsidP="00C01DF8">
      <w:pPr>
        <w:pStyle w:val="Bullet"/>
        <w:tabs>
          <w:tab w:val="num" w:pos="851"/>
        </w:tabs>
        <w:ind w:left="851" w:hanging="284"/>
      </w:pPr>
      <w:r>
        <w:t>The compensation cap should be subject to review, from time to</w:t>
      </w:r>
      <w:r w:rsidR="006C39D5">
        <w:t xml:space="preserve"> time, to ensure it remains fit </w:t>
      </w:r>
      <w:r>
        <w:t>for purpose and that a CSLR remains financially sustainable.</w:t>
      </w:r>
    </w:p>
    <w:p w14:paraId="58C97F61" w14:textId="0BD99ED3" w:rsidR="00326D50" w:rsidRDefault="00326D50" w:rsidP="00C01DF8">
      <w:pPr>
        <w:pStyle w:val="Bullet"/>
        <w:tabs>
          <w:tab w:val="num" w:pos="851"/>
        </w:tabs>
        <w:ind w:left="851" w:hanging="284"/>
      </w:pPr>
      <w:r>
        <w:t>A CSLR should set limits on the level and types of legal costs that are recoverable.</w:t>
      </w:r>
    </w:p>
    <w:p w14:paraId="5E63FE2F" w14:textId="03056423" w:rsidR="00326D50" w:rsidRDefault="00326D50" w:rsidP="00C01DF8">
      <w:pPr>
        <w:pStyle w:val="Bullet"/>
        <w:tabs>
          <w:tab w:val="num" w:pos="851"/>
        </w:tabs>
        <w:ind w:left="851" w:hanging="284"/>
      </w:pPr>
      <w:r>
        <w:t>A CSLR should consider issuing guidance on its treatment of com</w:t>
      </w:r>
      <w:r w:rsidR="006C39D5">
        <w:t xml:space="preserve">pensation caps where litigation </w:t>
      </w:r>
      <w:r>
        <w:t>funding is involved, to ensure that access to a CSLR in matters invo</w:t>
      </w:r>
      <w:r w:rsidR="006C39D5">
        <w:t xml:space="preserve">lving private sector litigation </w:t>
      </w:r>
      <w:r>
        <w:t>funding does not undermine its financial sustainability.</w:t>
      </w:r>
    </w:p>
    <w:p w14:paraId="014FB838" w14:textId="77777777" w:rsidR="00251D44" w:rsidRPr="00C84019" w:rsidRDefault="00251D44" w:rsidP="00C84019">
      <w:pPr>
        <w:spacing w:after="180"/>
        <w:ind w:left="567"/>
        <w:rPr>
          <w:i/>
        </w:rPr>
      </w:pPr>
      <w:r w:rsidRPr="00C84019">
        <w:rPr>
          <w:i/>
        </w:rPr>
        <w:t>A CSLR’s right to subrogation</w:t>
      </w:r>
    </w:p>
    <w:p w14:paraId="27616E60" w14:textId="4E57B6BE" w:rsidR="00251D44" w:rsidRDefault="00251D44" w:rsidP="00C01DF8">
      <w:pPr>
        <w:pStyle w:val="Bullet"/>
        <w:tabs>
          <w:tab w:val="num" w:pos="851"/>
        </w:tabs>
        <w:ind w:left="851" w:hanging="284"/>
      </w:pPr>
      <w:r>
        <w:t>A CSLR should have the ability to stand in the shoes of a consumer or small business and pursue the financial firm for the compensation amount, where the firm is still in existence and a CSLR considers that it has reasonable prospects of success.</w:t>
      </w:r>
    </w:p>
    <w:p w14:paraId="5FD415CA" w14:textId="77777777" w:rsidR="00251D44" w:rsidRPr="00C84019" w:rsidRDefault="00251D44" w:rsidP="00C84019">
      <w:pPr>
        <w:spacing w:after="180"/>
        <w:ind w:left="567"/>
        <w:rPr>
          <w:i/>
        </w:rPr>
      </w:pPr>
      <w:r w:rsidRPr="00C84019">
        <w:rPr>
          <w:i/>
        </w:rPr>
        <w:t>Funding of a CSLR</w:t>
      </w:r>
    </w:p>
    <w:p w14:paraId="603ECFC3" w14:textId="7F0AA12A" w:rsidR="00251D44" w:rsidRDefault="00251D44" w:rsidP="00C01DF8">
      <w:pPr>
        <w:pStyle w:val="Bullet"/>
        <w:tabs>
          <w:tab w:val="num" w:pos="851"/>
        </w:tabs>
        <w:ind w:left="851" w:hanging="284"/>
      </w:pPr>
      <w:r>
        <w:t>A CSLR should be funded by financial firms engaged in the types of financial services covered by a CSLR (initially, specified types of financial advice).</w:t>
      </w:r>
    </w:p>
    <w:p w14:paraId="2F3E6A8A" w14:textId="79215572" w:rsidR="00251D44" w:rsidRDefault="00251D44" w:rsidP="00C01DF8">
      <w:pPr>
        <w:pStyle w:val="Bullet"/>
        <w:tabs>
          <w:tab w:val="num" w:pos="851"/>
        </w:tabs>
        <w:ind w:left="851" w:hanging="284"/>
      </w:pPr>
      <w:r>
        <w:t>A CSLR should be ex-ante funded; that is, financial firms should be required to contribute to a CSLR from its outset. This ensures that those financial firms whose actions give rise to uncompensated losses are required to contribute to a CSLR.</w:t>
      </w:r>
    </w:p>
    <w:p w14:paraId="2EDC131A" w14:textId="71D07EBF" w:rsidR="00251D44" w:rsidRDefault="00251D44" w:rsidP="00C01DF8">
      <w:pPr>
        <w:pStyle w:val="Bullet"/>
        <w:tabs>
          <w:tab w:val="num" w:pos="851"/>
        </w:tabs>
        <w:ind w:left="851" w:hanging="284"/>
      </w:pPr>
      <w:r>
        <w:t>The Government should work with industry to develop an appropriate mechanism, such as a levy, to fund a CSLR.</w:t>
      </w:r>
    </w:p>
    <w:p w14:paraId="5B8A7085" w14:textId="20A38EFA" w:rsidR="00251D44" w:rsidRDefault="00251D44" w:rsidP="00C01DF8">
      <w:pPr>
        <w:pStyle w:val="Bullet"/>
        <w:tabs>
          <w:tab w:val="num" w:pos="851"/>
        </w:tabs>
        <w:ind w:left="851" w:hanging="284"/>
      </w:pPr>
      <w:r>
        <w:t>Comprehensive modelling should be undertaken to estimate the likely costs associated with a CSLR and the funding mechanism should reflect the outcome of this modelling exercise.</w:t>
      </w:r>
    </w:p>
    <w:p w14:paraId="4C361D0C" w14:textId="73E2D335" w:rsidR="00251D44" w:rsidRDefault="00251D44" w:rsidP="00C01DF8">
      <w:pPr>
        <w:pStyle w:val="Bullet"/>
        <w:tabs>
          <w:tab w:val="num" w:pos="851"/>
        </w:tabs>
        <w:ind w:left="851" w:hanging="284"/>
      </w:pPr>
      <w:r>
        <w:t>The funding mechanism should be designed to minimise the volatility in funding requirements, that is, it should be designed to minimise the need for a CSLR to raise additional ad-hoc funding to meet its obligations.</w:t>
      </w:r>
    </w:p>
    <w:p w14:paraId="42AAD715" w14:textId="529737B9" w:rsidR="00251D44" w:rsidRDefault="00251D44" w:rsidP="00C01DF8">
      <w:pPr>
        <w:pStyle w:val="Bullet"/>
        <w:tabs>
          <w:tab w:val="num" w:pos="851"/>
        </w:tabs>
        <w:ind w:left="851" w:hanging="284"/>
      </w:pPr>
      <w:r>
        <w:t>The funding mechanism should be designed in a manner that does not result in a substantial lessening of competition amongst financial firms, while ensuring that all firms providing the types of financial services covered by a CSLR make an appropriate level of contribution to a CSLR.</w:t>
      </w:r>
    </w:p>
    <w:p w14:paraId="2EBAE0E4" w14:textId="147768C3" w:rsidR="00251D44" w:rsidRDefault="00251D44" w:rsidP="00C01DF8">
      <w:pPr>
        <w:pStyle w:val="Bullet"/>
        <w:tabs>
          <w:tab w:val="num" w:pos="851"/>
        </w:tabs>
        <w:ind w:left="851" w:hanging="284"/>
      </w:pPr>
      <w:r>
        <w:lastRenderedPageBreak/>
        <w:t>A CSLR should be provided with sufficient funding to allow it to raise community awareness about its existence.</w:t>
      </w:r>
    </w:p>
    <w:p w14:paraId="52526185" w14:textId="77777777" w:rsidR="00251D44" w:rsidRPr="00C84019" w:rsidRDefault="00251D44" w:rsidP="00AD64D2">
      <w:pPr>
        <w:keepNext/>
        <w:spacing w:after="180"/>
        <w:ind w:left="567"/>
        <w:rPr>
          <w:i/>
        </w:rPr>
      </w:pPr>
      <w:r w:rsidRPr="00C84019">
        <w:rPr>
          <w:i/>
        </w:rPr>
        <w:t>Administration of a CSLR</w:t>
      </w:r>
    </w:p>
    <w:p w14:paraId="27DF76BB" w14:textId="6389F544" w:rsidR="00251D44" w:rsidRDefault="00251D44" w:rsidP="00C01DF8">
      <w:pPr>
        <w:pStyle w:val="Bullet"/>
        <w:tabs>
          <w:tab w:val="num" w:pos="851"/>
        </w:tabs>
        <w:ind w:left="851" w:hanging="284"/>
      </w:pPr>
      <w:r>
        <w:t>Financial firms providing the types of financial services covered by a CSLR should be required to be members and contribute to the funding of a CSLR as a condition of licensing.</w:t>
      </w:r>
    </w:p>
    <w:p w14:paraId="0C03C13F" w14:textId="528F46DF" w:rsidR="00251D44" w:rsidRDefault="00251D44" w:rsidP="00C01DF8">
      <w:pPr>
        <w:pStyle w:val="Bullet"/>
        <w:tabs>
          <w:tab w:val="num" w:pos="851"/>
        </w:tabs>
        <w:ind w:left="851" w:hanging="284"/>
      </w:pPr>
      <w:r>
        <w:t>A CSLR should be governed by an independent board with an independent chair and equal numbers of directors with industry and consumer backgrounds, consistent with the model in the EDR framework.</w:t>
      </w:r>
    </w:p>
    <w:p w14:paraId="6E01A875" w14:textId="00436613" w:rsidR="00251D44" w:rsidRDefault="00251D44" w:rsidP="00C01DF8">
      <w:pPr>
        <w:pStyle w:val="Bullet"/>
        <w:tabs>
          <w:tab w:val="num" w:pos="851"/>
        </w:tabs>
        <w:ind w:left="851" w:hanging="284"/>
      </w:pPr>
      <w:r>
        <w:t>ASIC should have oversight of a CSLR to ensure it is fulfilling its objectives, similar to the role envisaged for ASIC in respect of AFCA. This will require ASIC to have a general directions power</w:t>
      </w:r>
      <w:r w:rsidR="008373E5">
        <w:t xml:space="preserve"> </w:t>
      </w:r>
      <w:r>
        <w:t>to allow it to compel a CSLR to meet its regulatory and legislative requirements.</w:t>
      </w:r>
    </w:p>
    <w:p w14:paraId="0CB5BB7B" w14:textId="5AFCE643" w:rsidR="00251D44" w:rsidRDefault="00251D44" w:rsidP="00C01DF8">
      <w:pPr>
        <w:pStyle w:val="Bullet"/>
        <w:tabs>
          <w:tab w:val="num" w:pos="851"/>
        </w:tabs>
        <w:ind w:left="851" w:hanging="284"/>
      </w:pPr>
      <w:r>
        <w:t>A CSLR should operate independently of AFCA; however,</w:t>
      </w:r>
      <w:r w:rsidR="008373E5">
        <w:t xml:space="preserve"> these bodies will need to work </w:t>
      </w:r>
      <w:r>
        <w:t>together.</w:t>
      </w:r>
    </w:p>
    <w:p w14:paraId="0162A78D" w14:textId="26EFD43E" w:rsidR="00293083" w:rsidRDefault="00293083">
      <w:pPr>
        <w:spacing w:before="0" w:after="160" w:line="259" w:lineRule="auto"/>
      </w:pPr>
      <w:r>
        <w:br w:type="page"/>
      </w:r>
    </w:p>
    <w:p w14:paraId="59AE242A" w14:textId="1250B742" w:rsidR="00251D44" w:rsidRDefault="00293083">
      <w:pPr>
        <w:pStyle w:val="Heading1"/>
      </w:pPr>
      <w:bookmarkStart w:id="613" w:name="_Toc27646249"/>
      <w:bookmarkStart w:id="614" w:name="_Toc27646284"/>
      <w:bookmarkStart w:id="615" w:name="_Toc27650496"/>
      <w:r>
        <w:lastRenderedPageBreak/>
        <w:t>Appendix 2: Discussion questions</w:t>
      </w:r>
      <w:bookmarkEnd w:id="613"/>
      <w:bookmarkEnd w:id="614"/>
      <w:bookmarkEnd w:id="615"/>
    </w:p>
    <w:p w14:paraId="3D931FF1" w14:textId="77777777" w:rsidR="00293083" w:rsidRPr="00293083" w:rsidRDefault="00293083"/>
    <w:p w14:paraId="32DB5394" w14:textId="77777777" w:rsidR="00AF5483" w:rsidRDefault="00293083">
      <w:pPr>
        <w:pStyle w:val="ListParagraph"/>
        <w:numPr>
          <w:ilvl w:val="0"/>
          <w:numId w:val="51"/>
        </w:numPr>
        <w:spacing w:line="276" w:lineRule="auto"/>
      </w:pPr>
      <w:r w:rsidRPr="007A13DC">
        <w:t>What is the appropriate coverage for the CSLR, beyond the provision of personal advice?</w:t>
      </w:r>
    </w:p>
    <w:p w14:paraId="07FF86E0" w14:textId="7CDB79CA" w:rsidR="00AF5483" w:rsidRDefault="0026112E">
      <w:pPr>
        <w:pStyle w:val="ListParagraph"/>
        <w:numPr>
          <w:ilvl w:val="0"/>
          <w:numId w:val="51"/>
        </w:numPr>
      </w:pPr>
      <w:r>
        <w:t>Would there be any unintended consequences from initially excluding court and tribunal decisions or from excluding voluntary members of AFCA</w:t>
      </w:r>
      <w:r w:rsidR="00956548">
        <w:t xml:space="preserve"> from the CSLR</w:t>
      </w:r>
      <w:r>
        <w:t>?</w:t>
      </w:r>
    </w:p>
    <w:p w14:paraId="5F9E5238" w14:textId="77777777" w:rsidR="00AF5483" w:rsidRDefault="00293083">
      <w:pPr>
        <w:pStyle w:val="ListParagraph"/>
        <w:numPr>
          <w:ilvl w:val="0"/>
          <w:numId w:val="51"/>
        </w:numPr>
        <w:spacing w:line="276" w:lineRule="auto"/>
      </w:pPr>
      <w:r>
        <w:t>To what extent should the funding model be based on risk?</w:t>
      </w:r>
    </w:p>
    <w:p w14:paraId="1D4CB663" w14:textId="77777777" w:rsidR="00AF5483" w:rsidRDefault="00293083">
      <w:pPr>
        <w:pStyle w:val="ListParagraph"/>
        <w:numPr>
          <w:ilvl w:val="0"/>
          <w:numId w:val="51"/>
        </w:numPr>
        <w:spacing w:line="276" w:lineRule="auto"/>
      </w:pPr>
      <w:r>
        <w:t>How should risk be assessed?</w:t>
      </w:r>
    </w:p>
    <w:p w14:paraId="1D796CF8" w14:textId="77777777" w:rsidR="00AF5483" w:rsidRDefault="00293083">
      <w:pPr>
        <w:pStyle w:val="ListParagraph"/>
        <w:numPr>
          <w:ilvl w:val="0"/>
          <w:numId w:val="51"/>
        </w:numPr>
        <w:spacing w:line="276" w:lineRule="auto"/>
      </w:pPr>
      <w:r>
        <w:t>Should the funding model assess risks at the individual financial firm level or at the financial service class level?</w:t>
      </w:r>
    </w:p>
    <w:p w14:paraId="2F82DE25" w14:textId="77777777" w:rsidR="00AF5483" w:rsidRDefault="00293083">
      <w:pPr>
        <w:pStyle w:val="ListParagraph"/>
        <w:numPr>
          <w:ilvl w:val="0"/>
          <w:numId w:val="51"/>
        </w:numPr>
        <w:spacing w:line="276" w:lineRule="auto"/>
      </w:pPr>
      <w:r>
        <w:t>Should a risk based funding model apply to all CSLR costs?</w:t>
      </w:r>
    </w:p>
    <w:p w14:paraId="51272EAE" w14:textId="0ADC3605" w:rsidR="00AF5483" w:rsidRDefault="00293083">
      <w:pPr>
        <w:pStyle w:val="ListParagraph"/>
        <w:numPr>
          <w:ilvl w:val="0"/>
          <w:numId w:val="51"/>
        </w:numPr>
        <w:spacing w:line="276" w:lineRule="auto"/>
      </w:pPr>
      <w:r>
        <w:t>To what exten</w:t>
      </w:r>
      <w:r w:rsidR="00212125">
        <w:t>t</w:t>
      </w:r>
      <w:r>
        <w:t xml:space="preserve"> should the funding model be based on a firm’s ability to pay?</w:t>
      </w:r>
    </w:p>
    <w:p w14:paraId="1D3550A7" w14:textId="77777777" w:rsidR="00AF5483" w:rsidRDefault="00293083">
      <w:pPr>
        <w:pStyle w:val="ListParagraph"/>
        <w:numPr>
          <w:ilvl w:val="0"/>
          <w:numId w:val="51"/>
        </w:numPr>
        <w:spacing w:line="276" w:lineRule="auto"/>
      </w:pPr>
      <w:r>
        <w:t xml:space="preserve">How should ability to pay be assessed? </w:t>
      </w:r>
    </w:p>
    <w:p w14:paraId="61AB5F4B" w14:textId="77777777" w:rsidR="00AF5483" w:rsidRDefault="00293083">
      <w:pPr>
        <w:pStyle w:val="ListParagraph"/>
        <w:numPr>
          <w:ilvl w:val="0"/>
          <w:numId w:val="51"/>
        </w:numPr>
        <w:spacing w:line="276" w:lineRule="auto"/>
      </w:pPr>
      <w:r>
        <w:t xml:space="preserve">What are suitable universally available metrics to assess a firm’s ability to pay? </w:t>
      </w:r>
    </w:p>
    <w:p w14:paraId="7B57683F" w14:textId="77777777" w:rsidR="00AF5483" w:rsidRDefault="00293083">
      <w:pPr>
        <w:pStyle w:val="ListParagraph"/>
        <w:numPr>
          <w:ilvl w:val="0"/>
          <w:numId w:val="51"/>
        </w:numPr>
        <w:spacing w:line="276" w:lineRule="auto"/>
      </w:pPr>
      <w:r>
        <w:t>How should the funding model address unexpected costs?</w:t>
      </w:r>
    </w:p>
    <w:p w14:paraId="3D217AFF" w14:textId="77777777" w:rsidR="00AF5483" w:rsidRDefault="00293083">
      <w:pPr>
        <w:pStyle w:val="ListParagraph"/>
        <w:numPr>
          <w:ilvl w:val="0"/>
          <w:numId w:val="51"/>
        </w:numPr>
        <w:spacing w:line="276" w:lineRule="auto"/>
      </w:pPr>
      <w:r>
        <w:t>Is it better to avoid levy volatility or funds being tied up in a capital base that may not be often used?</w:t>
      </w:r>
    </w:p>
    <w:p w14:paraId="4B9CB1FF" w14:textId="77777777" w:rsidR="00AF5483" w:rsidRDefault="00293083">
      <w:pPr>
        <w:pStyle w:val="ListParagraph"/>
        <w:numPr>
          <w:ilvl w:val="0"/>
          <w:numId w:val="51"/>
        </w:numPr>
        <w:spacing w:line="276" w:lineRule="auto"/>
      </w:pPr>
      <w:r>
        <w:t>If a CSLR capital base is to be established, what is a suitable minimum capital requirement?</w:t>
      </w:r>
    </w:p>
    <w:p w14:paraId="0D5FABD8" w14:textId="77777777" w:rsidR="00AF5483" w:rsidRDefault="00293083">
      <w:pPr>
        <w:pStyle w:val="ListParagraph"/>
        <w:numPr>
          <w:ilvl w:val="0"/>
          <w:numId w:val="51"/>
        </w:numPr>
        <w:spacing w:line="276" w:lineRule="auto"/>
      </w:pPr>
      <w:r>
        <w:t>If levies are to be collected after the CSLR becomes aware of unexpected additional costs, how will financial firms manage this?</w:t>
      </w:r>
    </w:p>
    <w:p w14:paraId="369BFBAD" w14:textId="77777777" w:rsidR="00AF5483" w:rsidRDefault="00293083">
      <w:pPr>
        <w:pStyle w:val="ListParagraph"/>
        <w:numPr>
          <w:ilvl w:val="0"/>
          <w:numId w:val="51"/>
        </w:numPr>
        <w:spacing w:line="276" w:lineRule="auto"/>
      </w:pPr>
      <w:r>
        <w:t>Should a maximum cap apply to the annual levies that can be imposed on participating financial firms?</w:t>
      </w:r>
    </w:p>
    <w:p w14:paraId="0334E28A" w14:textId="77777777" w:rsidR="00AF5483" w:rsidRDefault="00293083">
      <w:pPr>
        <w:pStyle w:val="ListParagraph"/>
        <w:numPr>
          <w:ilvl w:val="0"/>
          <w:numId w:val="51"/>
        </w:numPr>
        <w:spacing w:line="276" w:lineRule="auto"/>
      </w:pPr>
      <w:r>
        <w:t>If a maximum cap is imposed, what is an appropriate metric for this cap (for example, gross revenue from covered financial services)?</w:t>
      </w:r>
    </w:p>
    <w:p w14:paraId="31586F80" w14:textId="77777777" w:rsidR="00AF5483" w:rsidRDefault="00293083">
      <w:pPr>
        <w:pStyle w:val="ListParagraph"/>
        <w:numPr>
          <w:ilvl w:val="0"/>
          <w:numId w:val="51"/>
        </w:numPr>
        <w:spacing w:line="276" w:lineRule="auto"/>
      </w:pPr>
      <w:r>
        <w:t>If a maximum cap is imposed,</w:t>
      </w:r>
      <w:r w:rsidR="00AF5483">
        <w:t xml:space="preserve"> what should the maximum cap be?</w:t>
      </w:r>
    </w:p>
    <w:p w14:paraId="53957200" w14:textId="77777777" w:rsidR="00AF5483" w:rsidRDefault="00293083">
      <w:pPr>
        <w:pStyle w:val="ListParagraph"/>
        <w:numPr>
          <w:ilvl w:val="0"/>
          <w:numId w:val="51"/>
        </w:numPr>
        <w:spacing w:line="276" w:lineRule="auto"/>
      </w:pPr>
      <w:r>
        <w:t>If a maximum cap is imposed, what mechanisms should the CSLR have to avoid going into deficit (for example, an ability to raise further levies from financial firms that are yet to reach the maximum cap and/or to further limit compensation so that expenditure is kept under the effective annual maximum for the scheme)?</w:t>
      </w:r>
    </w:p>
    <w:p w14:paraId="2EE6F4DD" w14:textId="77777777" w:rsidR="00AF5483" w:rsidRDefault="00293083">
      <w:pPr>
        <w:pStyle w:val="ListParagraph"/>
        <w:numPr>
          <w:ilvl w:val="0"/>
          <w:numId w:val="51"/>
        </w:numPr>
        <w:spacing w:line="276" w:lineRule="auto"/>
      </w:pPr>
      <w:r w:rsidRPr="00850D6F">
        <w:t>How should compensation limits be used by the CSLR to balance the interests of consumers and those funding the scheme?</w:t>
      </w:r>
    </w:p>
    <w:p w14:paraId="75B04DAB" w14:textId="5D2ADE61" w:rsidR="00AF5483" w:rsidRDefault="00293083">
      <w:pPr>
        <w:pStyle w:val="ListParagraph"/>
        <w:numPr>
          <w:ilvl w:val="0"/>
          <w:numId w:val="51"/>
        </w:numPr>
        <w:spacing w:line="276" w:lineRule="auto"/>
      </w:pPr>
      <w:r>
        <w:t>If the CSLR compensation limits are to be lower than AFCA’s claim limits, what limit would be appropriate</w:t>
      </w:r>
      <w:r w:rsidR="00AF5483">
        <w:t>?</w:t>
      </w:r>
    </w:p>
    <w:p w14:paraId="7E2AB14A" w14:textId="77777777" w:rsidR="00AF5483" w:rsidRDefault="00293083">
      <w:pPr>
        <w:pStyle w:val="ListParagraph"/>
        <w:numPr>
          <w:ilvl w:val="0"/>
          <w:numId w:val="51"/>
        </w:numPr>
        <w:spacing w:line="276" w:lineRule="auto"/>
      </w:pPr>
      <w:r w:rsidRPr="00556847">
        <w:t>How should the CSLR manage claims associated with large unexpected failures?</w:t>
      </w:r>
    </w:p>
    <w:p w14:paraId="4166108D" w14:textId="77777777" w:rsidR="00AF5483" w:rsidRDefault="00293083">
      <w:pPr>
        <w:pStyle w:val="ListParagraph"/>
        <w:numPr>
          <w:ilvl w:val="0"/>
          <w:numId w:val="51"/>
        </w:numPr>
        <w:spacing w:line="276" w:lineRule="auto"/>
      </w:pPr>
      <w:r>
        <w:t>Should the CSLR be able to spread compensation payments over time and, if so, what would an appropriate maximum time period be?</w:t>
      </w:r>
    </w:p>
    <w:p w14:paraId="750D13C5" w14:textId="77777777" w:rsidR="00AF5483" w:rsidRDefault="00293083">
      <w:pPr>
        <w:pStyle w:val="ListParagraph"/>
        <w:numPr>
          <w:ilvl w:val="0"/>
          <w:numId w:val="51"/>
        </w:numPr>
        <w:spacing w:line="276" w:lineRule="auto"/>
      </w:pPr>
      <w:r>
        <w:t>Should the CSLR be able to impose an additional compensation limit to unpaid determinations associated with a single specific large failure and, if so, what would an appropriate limit be?</w:t>
      </w:r>
    </w:p>
    <w:p w14:paraId="6AB6DF6D" w14:textId="77777777" w:rsidR="00AF5483" w:rsidRDefault="00293083">
      <w:pPr>
        <w:pStyle w:val="ListParagraph"/>
        <w:numPr>
          <w:ilvl w:val="0"/>
          <w:numId w:val="51"/>
        </w:numPr>
        <w:spacing w:line="276" w:lineRule="auto"/>
      </w:pPr>
      <w:r w:rsidRPr="004C6E48">
        <w:t>How should compensation for legal and professional costs be limited?</w:t>
      </w:r>
    </w:p>
    <w:p w14:paraId="00F9779D" w14:textId="79F297CF" w:rsidR="00293083" w:rsidRDefault="00293083">
      <w:pPr>
        <w:pStyle w:val="ListParagraph"/>
        <w:numPr>
          <w:ilvl w:val="0"/>
          <w:numId w:val="51"/>
        </w:numPr>
        <w:spacing w:line="276" w:lineRule="auto"/>
      </w:pPr>
      <w:r>
        <w:t>What aspects of the design and operation of the CSLR should be determined by the CSLR and what aspects should be prescribed in legislation?</w:t>
      </w:r>
    </w:p>
    <w:p w14:paraId="3EA31A82" w14:textId="77777777" w:rsidR="00293083" w:rsidRDefault="00293083">
      <w:pPr>
        <w:pStyle w:val="Bullet"/>
        <w:numPr>
          <w:ilvl w:val="0"/>
          <w:numId w:val="0"/>
        </w:numPr>
        <w:tabs>
          <w:tab w:val="clear" w:pos="1985"/>
        </w:tabs>
      </w:pPr>
    </w:p>
    <w:p w14:paraId="497FEEC6" w14:textId="77696458" w:rsidR="00251D44" w:rsidRDefault="00251D44"/>
    <w:sectPr w:rsidR="00251D44" w:rsidSect="00CB3A37">
      <w:pgSz w:w="11906" w:h="16838" w:code="9"/>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49B9D6" w16cid:durableId="214851E0"/>
  <w16cid:commentId w16cid:paraId="5C71782F" w16cid:durableId="21487148"/>
  <w16cid:commentId w16cid:paraId="7FA9142A" w16cid:durableId="21485261"/>
  <w16cid:commentId w16cid:paraId="5670CD9E" w16cid:durableId="214852F6"/>
  <w16cid:commentId w16cid:paraId="5FC85BE6" w16cid:durableId="2148540C"/>
  <w16cid:commentId w16cid:paraId="771D099C" w16cid:durableId="2148545D"/>
  <w16cid:commentId w16cid:paraId="45CECE54" w16cid:durableId="21485477"/>
  <w16cid:commentId w16cid:paraId="3D1690FB" w16cid:durableId="2148548E"/>
  <w16cid:commentId w16cid:paraId="61ED5B12" w16cid:durableId="214854C8"/>
  <w16cid:commentId w16cid:paraId="5033B73E" w16cid:durableId="21485538"/>
  <w16cid:commentId w16cid:paraId="7BC7553B" w16cid:durableId="21485646"/>
  <w16cid:commentId w16cid:paraId="221A40CE" w16cid:durableId="21485697"/>
  <w16cid:commentId w16cid:paraId="63A7A1D4" w16cid:durableId="214870F1"/>
  <w16cid:commentId w16cid:paraId="0691240A" w16cid:durableId="214856C2"/>
  <w16cid:commentId w16cid:paraId="514F7028" w16cid:durableId="2148897A"/>
  <w16cid:commentId w16cid:paraId="1F91124C" w16cid:durableId="2148899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5E9F1" w14:textId="77777777" w:rsidR="00D210E6" w:rsidRDefault="00D210E6">
      <w:pPr>
        <w:spacing w:before="0" w:after="0"/>
      </w:pPr>
      <w:r>
        <w:separator/>
      </w:r>
    </w:p>
  </w:endnote>
  <w:endnote w:type="continuationSeparator" w:id="0">
    <w:p w14:paraId="497DB91C" w14:textId="77777777" w:rsidR="00D210E6" w:rsidRDefault="00D210E6">
      <w:pPr>
        <w:spacing w:before="0" w:after="0"/>
      </w:pPr>
      <w:r>
        <w:continuationSeparator/>
      </w:r>
    </w:p>
  </w:endnote>
  <w:endnote w:type="continuationNotice" w:id="1">
    <w:p w14:paraId="06AD869B" w14:textId="77777777" w:rsidR="00D210E6" w:rsidRDefault="00D210E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E40E8" w14:textId="6AD92E2C" w:rsidR="00D210E6" w:rsidRDefault="00D210E6" w:rsidP="00E1136B">
    <w:pPr>
      <w:pStyle w:val="Footer"/>
      <w:rPr>
        <w:noProof/>
      </w:rPr>
    </w:pPr>
    <w:r>
      <w:fldChar w:fldCharType="begin"/>
    </w:r>
    <w:r>
      <w:instrText xml:space="preserve"> PAGE   \* MERGEFORMAT </w:instrText>
    </w:r>
    <w:r>
      <w:fldChar w:fldCharType="separate"/>
    </w:r>
    <w:r w:rsidR="004D0E4D">
      <w:rPr>
        <w:noProof/>
      </w:rPr>
      <w:t>i</w:t>
    </w:r>
    <w:r>
      <w:rPr>
        <w:noProof/>
      </w:rPr>
      <w:fldChar w:fldCharType="end"/>
    </w:r>
  </w:p>
  <w:p w14:paraId="22B764F4" w14:textId="05F5D35F" w:rsidR="00D210E6" w:rsidRPr="00E1136B" w:rsidRDefault="00D210E6" w:rsidP="00ED16FC">
    <w:pPr>
      <w:pStyle w:val="SecurityClassification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304DC" w14:textId="77777777" w:rsidR="00D210E6" w:rsidRDefault="00D210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6C0A2" w14:textId="5F8F3836" w:rsidR="00D210E6" w:rsidRDefault="00D210E6" w:rsidP="0017089D">
    <w:r>
      <w:fldChar w:fldCharType="begin"/>
    </w:r>
    <w:r>
      <w:instrText xml:space="preserve"> PAGE  \* Arabic  \* MERGEFORMAT </w:instrText>
    </w:r>
    <w:r>
      <w:fldChar w:fldCharType="separate"/>
    </w:r>
    <w:r>
      <w:t>6</w:t>
    </w:r>
    <w:r>
      <w:fldChar w:fldCharType="end"/>
    </w:r>
  </w:p>
  <w:p w14:paraId="146C5A3E" w14:textId="51240513" w:rsidR="00D210E6" w:rsidRPr="00E77C89" w:rsidRDefault="00D210E6" w:rsidP="00ED16FC">
    <w:pPr>
      <w:pStyle w:val="SecurityClassification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85D5D" w14:textId="3561FDE7" w:rsidR="00D210E6" w:rsidRPr="00E77C89" w:rsidRDefault="00D210E6" w:rsidP="00ED16FC">
    <w:pPr>
      <w:pStyle w:val="SecurityClassificationFooter"/>
    </w:pPr>
    <w:r>
      <w:fldChar w:fldCharType="begin"/>
    </w:r>
    <w:r>
      <w:instrText xml:space="preserve"> DOCPROPERTY WorkingDocStatus \* MERGEFORMAT </w:instrTex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A34E" w14:textId="20773AA3" w:rsidR="00D210E6" w:rsidRPr="00E1136B" w:rsidRDefault="00D210E6" w:rsidP="00E1136B">
    <w:pPr>
      <w:pStyle w:val="Footer"/>
    </w:pPr>
    <w:r>
      <w:fldChar w:fldCharType="begin"/>
    </w:r>
    <w:r>
      <w:instrText xml:space="preserve"> PAGE   \* MERGEFORMAT </w:instrText>
    </w:r>
    <w:r>
      <w:fldChar w:fldCharType="separate"/>
    </w:r>
    <w:r w:rsidR="004D0E4D">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AB6DE" w14:textId="7AB6AB29" w:rsidR="00D210E6" w:rsidRDefault="00D210E6" w:rsidP="00ED16FC">
    <w:pPr>
      <w:pStyle w:val="SecurityClassification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2FE6E" w14:textId="77777777" w:rsidR="00D210E6" w:rsidRDefault="00D210E6">
      <w:pPr>
        <w:spacing w:before="0" w:after="0"/>
      </w:pPr>
      <w:r>
        <w:separator/>
      </w:r>
    </w:p>
  </w:footnote>
  <w:footnote w:type="continuationSeparator" w:id="0">
    <w:p w14:paraId="627DDE51" w14:textId="77777777" w:rsidR="00D210E6" w:rsidRDefault="00D210E6">
      <w:pPr>
        <w:spacing w:before="0" w:after="0"/>
      </w:pPr>
      <w:r>
        <w:continuationSeparator/>
      </w:r>
    </w:p>
  </w:footnote>
  <w:footnote w:type="continuationNotice" w:id="1">
    <w:p w14:paraId="0E1BA63D" w14:textId="77777777" w:rsidR="00D210E6" w:rsidRDefault="00D210E6">
      <w:pPr>
        <w:spacing w:before="0" w:after="0"/>
      </w:pPr>
    </w:p>
  </w:footnote>
  <w:footnote w:id="2">
    <w:p w14:paraId="0A151568" w14:textId="5127CF0F" w:rsidR="00D210E6" w:rsidRDefault="00D210E6">
      <w:pPr>
        <w:pStyle w:val="FootnoteText"/>
      </w:pPr>
      <w:r>
        <w:rPr>
          <w:rStyle w:val="FootnoteReference"/>
        </w:rPr>
        <w:footnoteRef/>
      </w:r>
      <w:r>
        <w:t xml:space="preserve"> Ramsay Review para 2.44 and 2.45.</w:t>
      </w:r>
    </w:p>
  </w:footnote>
  <w:footnote w:id="3">
    <w:p w14:paraId="0F500785" w14:textId="7F3F47F0" w:rsidR="00D210E6" w:rsidRDefault="00D210E6">
      <w:pPr>
        <w:pStyle w:val="FootnoteText"/>
      </w:pPr>
      <w:r>
        <w:rPr>
          <w:rStyle w:val="FootnoteReference"/>
        </w:rPr>
        <w:footnoteRef/>
      </w:r>
      <w:r>
        <w:t xml:space="preserve"> Ramsay Review para 4.223 and 4.224.</w:t>
      </w:r>
    </w:p>
  </w:footnote>
  <w:footnote w:id="4">
    <w:p w14:paraId="09324699" w14:textId="39B7CC0E" w:rsidR="00D210E6" w:rsidRDefault="00D210E6">
      <w:pPr>
        <w:pStyle w:val="FootnoteText"/>
      </w:pPr>
      <w:r>
        <w:rPr>
          <w:rStyle w:val="FootnoteReference"/>
        </w:rPr>
        <w:footnoteRef/>
      </w:r>
      <w:r>
        <w:t xml:space="preserve"> Ramsay Review para </w:t>
      </w:r>
      <w:r w:rsidRPr="006D7E32">
        <w:t>2.41</w:t>
      </w:r>
      <w:r>
        <w:t>.</w:t>
      </w:r>
    </w:p>
  </w:footnote>
  <w:footnote w:id="5">
    <w:p w14:paraId="353D9650" w14:textId="5B1C1751" w:rsidR="00D210E6" w:rsidRDefault="00D210E6">
      <w:pPr>
        <w:pStyle w:val="FootnoteText"/>
      </w:pPr>
      <w:r>
        <w:rPr>
          <w:rStyle w:val="FootnoteReference"/>
        </w:rPr>
        <w:footnoteRef/>
      </w:r>
      <w:r>
        <w:t xml:space="preserve"> Ramsay Review para 4.76.</w:t>
      </w:r>
    </w:p>
  </w:footnote>
  <w:footnote w:id="6">
    <w:p w14:paraId="4EF8A607" w14:textId="5FB75D49" w:rsidR="00D210E6" w:rsidRDefault="00D210E6" w:rsidP="00846E73">
      <w:pPr>
        <w:pStyle w:val="FootnoteText"/>
      </w:pPr>
      <w:r>
        <w:rPr>
          <w:rStyle w:val="FootnoteReference"/>
        </w:rPr>
        <w:footnoteRef/>
      </w:r>
      <w:r>
        <w:t xml:space="preserve"> Ramsay Review para 4.60.</w:t>
      </w:r>
    </w:p>
  </w:footnote>
  <w:footnote w:id="7">
    <w:p w14:paraId="3A7F7AB1" w14:textId="188291B6" w:rsidR="00D210E6" w:rsidRDefault="00D210E6">
      <w:pPr>
        <w:pStyle w:val="FootnoteText"/>
      </w:pPr>
      <w:r>
        <w:rPr>
          <w:rStyle w:val="FootnoteReference"/>
        </w:rPr>
        <w:footnoteRef/>
      </w:r>
      <w:r>
        <w:t xml:space="preserve"> Ramsay Review para 4.59. </w:t>
      </w:r>
    </w:p>
  </w:footnote>
  <w:footnote w:id="8">
    <w:p w14:paraId="30A64AB3" w14:textId="641CC4F0" w:rsidR="00D210E6" w:rsidRDefault="00D210E6">
      <w:pPr>
        <w:pStyle w:val="FootnoteText"/>
      </w:pPr>
      <w:r>
        <w:rPr>
          <w:rStyle w:val="FootnoteReference"/>
        </w:rPr>
        <w:footnoteRef/>
      </w:r>
      <w:r>
        <w:t xml:space="preserve"> Ramsay Review para 4.63.</w:t>
      </w:r>
    </w:p>
  </w:footnote>
  <w:footnote w:id="9">
    <w:p w14:paraId="17D6DAA2" w14:textId="3EBC1284" w:rsidR="00D210E6" w:rsidRDefault="00D210E6">
      <w:pPr>
        <w:pStyle w:val="FootnoteText"/>
      </w:pPr>
      <w:r>
        <w:rPr>
          <w:rStyle w:val="FootnoteReference"/>
        </w:rPr>
        <w:footnoteRef/>
      </w:r>
      <w:r>
        <w:t xml:space="preserve"> Ramsay Review para 4.230.</w:t>
      </w:r>
    </w:p>
  </w:footnote>
  <w:footnote w:id="10">
    <w:p w14:paraId="1F84CC46" w14:textId="501F17EF" w:rsidR="00D210E6" w:rsidRDefault="00D210E6">
      <w:pPr>
        <w:pStyle w:val="FootnoteText"/>
      </w:pPr>
      <w:r>
        <w:rPr>
          <w:rStyle w:val="FootnoteReference"/>
        </w:rPr>
        <w:footnoteRef/>
      </w:r>
      <w:r>
        <w:t xml:space="preserve"> Ramsay Review para 4.231.</w:t>
      </w:r>
    </w:p>
  </w:footnote>
  <w:footnote w:id="11">
    <w:p w14:paraId="6687B527" w14:textId="53E61EB0" w:rsidR="00D210E6" w:rsidRDefault="00D210E6">
      <w:pPr>
        <w:pStyle w:val="FootnoteText"/>
      </w:pPr>
      <w:r>
        <w:rPr>
          <w:rStyle w:val="FootnoteReference"/>
        </w:rPr>
        <w:footnoteRef/>
      </w:r>
      <w:r>
        <w:t xml:space="preserve"> Ramsay Review para 4.239, 4.241</w:t>
      </w:r>
      <w:r w:rsidR="00441B9D">
        <w:t>.</w:t>
      </w:r>
    </w:p>
  </w:footnote>
  <w:footnote w:id="12">
    <w:p w14:paraId="5C123BD9" w14:textId="3E34313C" w:rsidR="00D210E6" w:rsidRDefault="00D210E6">
      <w:pPr>
        <w:pStyle w:val="FootnoteText"/>
      </w:pPr>
      <w:r>
        <w:rPr>
          <w:rStyle w:val="FootnoteReference"/>
        </w:rPr>
        <w:footnoteRef/>
      </w:r>
      <w:r>
        <w:t xml:space="preserve"> Ramsay Review para 4.233</w:t>
      </w:r>
      <w:r w:rsidR="00441B9D">
        <w:t>.</w:t>
      </w:r>
    </w:p>
  </w:footnote>
  <w:footnote w:id="13">
    <w:p w14:paraId="73079A71" w14:textId="7351A8D4" w:rsidR="00D210E6" w:rsidRDefault="00D210E6">
      <w:pPr>
        <w:pStyle w:val="FootnoteText"/>
      </w:pPr>
      <w:r>
        <w:rPr>
          <w:rStyle w:val="FootnoteReference"/>
        </w:rPr>
        <w:footnoteRef/>
      </w:r>
      <w:r>
        <w:t xml:space="preserve"> Ramsay Review para 4.170.</w:t>
      </w:r>
    </w:p>
  </w:footnote>
  <w:footnote w:id="14">
    <w:p w14:paraId="6C98C3BB" w14:textId="1EC6CBA6" w:rsidR="00D210E6" w:rsidRDefault="00D210E6">
      <w:pPr>
        <w:pStyle w:val="FootnoteText"/>
      </w:pPr>
      <w:r>
        <w:rPr>
          <w:rStyle w:val="FootnoteReference"/>
        </w:rPr>
        <w:footnoteRef/>
      </w:r>
      <w:r>
        <w:t xml:space="preserve"> Ramsay Review para 4.233.</w:t>
      </w:r>
    </w:p>
  </w:footnote>
  <w:footnote w:id="15">
    <w:p w14:paraId="6E880E09" w14:textId="4B7F51E2" w:rsidR="00D210E6" w:rsidRDefault="00D210E6">
      <w:pPr>
        <w:pStyle w:val="FootnoteText"/>
      </w:pPr>
      <w:r>
        <w:rPr>
          <w:rStyle w:val="FootnoteReference"/>
        </w:rPr>
        <w:footnoteRef/>
      </w:r>
      <w:r>
        <w:t xml:space="preserve"> Ramsay Review para 4.178.</w:t>
      </w:r>
    </w:p>
  </w:footnote>
  <w:footnote w:id="16">
    <w:p w14:paraId="06125275" w14:textId="6E7515E1" w:rsidR="00D210E6" w:rsidRDefault="00D210E6">
      <w:pPr>
        <w:pStyle w:val="FootnoteText"/>
      </w:pPr>
      <w:r>
        <w:rPr>
          <w:rStyle w:val="FootnoteReference"/>
        </w:rPr>
        <w:footnoteRef/>
      </w:r>
      <w:r>
        <w:t xml:space="preserve"> Ramsay Review paras 4.183 and 4.184.</w:t>
      </w:r>
    </w:p>
  </w:footnote>
  <w:footnote w:id="17">
    <w:p w14:paraId="6F543E0F" w14:textId="1CD53D38" w:rsidR="00D210E6" w:rsidRDefault="00D210E6">
      <w:pPr>
        <w:pStyle w:val="FootnoteText"/>
      </w:pPr>
      <w:r>
        <w:rPr>
          <w:rStyle w:val="FootnoteReference"/>
        </w:rPr>
        <w:footnoteRef/>
      </w:r>
      <w:r>
        <w:t xml:space="preserve"> Ramsay Review para 4.273.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7FA36" w14:textId="73D1AD25" w:rsidR="00D210E6" w:rsidRDefault="00D210E6">
    <w:pPr>
      <w:pStyle w:val="Header"/>
    </w:pPr>
    <w:r>
      <w:rPr>
        <w:noProof/>
      </w:rPr>
      <w:drawing>
        <wp:anchor distT="0" distB="0" distL="114300" distR="114300" simplePos="0" relativeHeight="251658241" behindDoc="1" locked="0" layoutInCell="1" allowOverlap="1" wp14:anchorId="0B84A03C" wp14:editId="153FC229">
          <wp:simplePos x="0" y="0"/>
          <wp:positionH relativeFrom="margin">
            <wp:align>center</wp:align>
          </wp:positionH>
          <wp:positionV relativeFrom="page">
            <wp:posOffset>117070</wp:posOffset>
          </wp:positionV>
          <wp:extent cx="7200000" cy="99972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eader_15mm marg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999720"/>
                  </a:xfrm>
                  <a:prstGeom prst="rect">
                    <a:avLst/>
                  </a:prstGeom>
                </pic:spPr>
              </pic:pic>
            </a:graphicData>
          </a:graphic>
          <wp14:sizeRelH relativeFrom="margin">
            <wp14:pctWidth>0</wp14:pctWidth>
          </wp14:sizeRelH>
          <wp14:sizeRelV relativeFrom="margin">
            <wp14:pctHeight>0</wp14:pctHeight>
          </wp14:sizeRelV>
        </wp:anchor>
      </w:drawing>
    </w:r>
  </w:p>
  <w:p w14:paraId="1CD21B7B" w14:textId="3C9966FB" w:rsidR="00D210E6" w:rsidRDefault="00D210E6" w:rsidP="00ED16FC">
    <w:pPr>
      <w:pStyle w:val="SecurityClassification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185C4" w14:textId="77777777" w:rsidR="00D210E6" w:rsidRDefault="00D210E6" w:rsidP="00BF4722">
    <w:pPr>
      <w:pStyle w:val="SecurityClassification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DA98F" w14:textId="0999A70E" w:rsidR="00D210E6" w:rsidRDefault="00D210E6">
    <w:pPr>
      <w:pStyle w:val="Header"/>
    </w:pPr>
    <w:r>
      <w:rPr>
        <w:noProof/>
      </w:rPr>
      <w:drawing>
        <wp:anchor distT="0" distB="0" distL="114300" distR="114300" simplePos="0" relativeHeight="251658242" behindDoc="1" locked="0" layoutInCell="1" allowOverlap="1" wp14:anchorId="5F5205AA" wp14:editId="1AE28499">
          <wp:simplePos x="0" y="0"/>
          <wp:positionH relativeFrom="margin">
            <wp:align>center</wp:align>
          </wp:positionH>
          <wp:positionV relativeFrom="page">
            <wp:posOffset>158508</wp:posOffset>
          </wp:positionV>
          <wp:extent cx="7200000" cy="10184400"/>
          <wp:effectExtent l="0" t="0" r="127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BF0F0" w14:textId="77777777" w:rsidR="00D210E6" w:rsidRDefault="00D210E6" w:rsidP="00ED16FC">
    <w:pPr>
      <w:pStyle w:val="SecurityClassification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90342" w14:textId="77777777" w:rsidR="00D210E6" w:rsidRDefault="00D210E6">
    <w:pPr>
      <w:pStyle w:val="Header"/>
    </w:pPr>
    <w:r>
      <w:rPr>
        <w:noProof/>
      </w:rPr>
      <w:drawing>
        <wp:anchor distT="0" distB="0" distL="114300" distR="114300" simplePos="0" relativeHeight="251658240" behindDoc="1" locked="0" layoutInCell="1" allowOverlap="1" wp14:anchorId="70BEE42C" wp14:editId="66446D15">
          <wp:simplePos x="0" y="0"/>
          <wp:positionH relativeFrom="page">
            <wp:posOffset>201183</wp:posOffset>
          </wp:positionH>
          <wp:positionV relativeFrom="page">
            <wp:posOffset>146410</wp:posOffset>
          </wp:positionV>
          <wp:extent cx="7200000" cy="99972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eader_15mm marg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99972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35CDF" w14:textId="16AAB2BC" w:rsidR="00D210E6" w:rsidRDefault="00D210E6" w:rsidP="0017089D">
    <w:r>
      <w:fldChar w:fldCharType="begin"/>
    </w:r>
    <w:r>
      <w:instrText xml:space="preserve"> macrobutton nomacro [Click and add Publication Title] </w:instrText>
    </w:r>
    <w:r>
      <w:fldChar w:fldCharType="end"/>
    </w:r>
  </w:p>
  <w:p w14:paraId="2D97A187" w14:textId="6EFDE773" w:rsidR="00D210E6" w:rsidRPr="001F3912" w:rsidRDefault="00D210E6" w:rsidP="00ED16FC">
    <w:pPr>
      <w:pStyle w:val="SecurityClassification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CA7B7" w14:textId="77777777" w:rsidR="00D210E6" w:rsidRPr="001F3912" w:rsidRDefault="00D210E6" w:rsidP="00BF4722">
    <w:pPr>
      <w:pStyle w:val="SecurityClassification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851A1" w14:textId="77777777" w:rsidR="00D210E6" w:rsidRDefault="00D210E6" w:rsidP="00BF4722">
    <w:pPr>
      <w:pStyle w:val="SecurityClassification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2D18E" w14:textId="77777777" w:rsidR="00D210E6" w:rsidRPr="001F3912" w:rsidRDefault="00D210E6" w:rsidP="00BF4722">
    <w:pPr>
      <w:pStyle w:val="SecurityClassification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787CD" w14:textId="0EADDF36" w:rsidR="00D210E6" w:rsidRDefault="00D210E6" w:rsidP="001606CF">
    <w:pPr>
      <w:pStyle w:val="Header"/>
      <w:rPr>
        <w:noProof/>
      </w:rPr>
    </w:pPr>
    <w:r>
      <w:t>CSLR Discussion Paper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5380C"/>
    <w:multiLevelType w:val="hybridMultilevel"/>
    <w:tmpl w:val="C554DE9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8F541BF"/>
    <w:multiLevelType w:val="hybridMultilevel"/>
    <w:tmpl w:val="E78A1A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B214A2"/>
    <w:multiLevelType w:val="hybridMultilevel"/>
    <w:tmpl w:val="099283EC"/>
    <w:lvl w:ilvl="0" w:tplc="4A30890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D928A1"/>
    <w:multiLevelType w:val="hybridMultilevel"/>
    <w:tmpl w:val="C938E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1756304"/>
    <w:multiLevelType w:val="multilevel"/>
    <w:tmpl w:val="C1240876"/>
    <w:lvl w:ilvl="0">
      <w:start w:val="1"/>
      <w:numFmt w:val="decimal"/>
      <w:lvlText w:val="%1."/>
      <w:lvlJc w:val="left"/>
      <w:pPr>
        <w:tabs>
          <w:tab w:val="num" w:pos="1985"/>
        </w:tabs>
        <w:ind w:left="1985" w:hanging="283"/>
      </w:pPr>
      <w:rPr>
        <w:rFonts w:hint="default"/>
        <w:b w:val="0"/>
        <w:i w:val="0"/>
      </w:rPr>
    </w:lvl>
    <w:lvl w:ilvl="1">
      <w:start w:val="1"/>
      <w:numFmt w:val="bullet"/>
      <w:lvlText w:val="–"/>
      <w:lvlJc w:val="left"/>
      <w:pPr>
        <w:tabs>
          <w:tab w:val="num" w:pos="851"/>
        </w:tabs>
        <w:ind w:left="851" w:hanging="284"/>
      </w:pPr>
      <w:rPr>
        <w:rFonts w:ascii="Times New Roman" w:hAnsi="Times New Roman" w:cs="Times New Roman" w:hint="default"/>
        <w:b w:val="0"/>
        <w:i w:val="0"/>
      </w:rPr>
    </w:lvl>
    <w:lvl w:ilvl="2">
      <w:start w:val="1"/>
      <w:numFmt w:val="bullet"/>
      <w:lvlText w:val=":"/>
      <w:lvlJc w:val="left"/>
      <w:pPr>
        <w:tabs>
          <w:tab w:val="num" w:pos="1134"/>
        </w:tabs>
        <w:ind w:left="1134" w:hanging="283"/>
      </w:pPr>
      <w:rPr>
        <w:rFonts w:ascii="Times New Roman" w:hAnsi="Times New Roman" w:cs="Times New Roman" w:hint="default"/>
        <w:b w:val="0"/>
        <w:i w:val="0"/>
      </w:rPr>
    </w:lvl>
    <w:lvl w:ilvl="3">
      <w:start w:val="1"/>
      <w:numFmt w:val="decimal"/>
      <w:lvlText w:val="(%4)"/>
      <w:lvlJc w:val="left"/>
      <w:pPr>
        <w:tabs>
          <w:tab w:val="num" w:pos="1724"/>
        </w:tabs>
        <w:ind w:left="1724" w:hanging="360"/>
      </w:pPr>
      <w:rPr>
        <w:rFonts w:hint="default"/>
        <w:b w:val="0"/>
        <w:i w:val="0"/>
      </w:rPr>
    </w:lvl>
    <w:lvl w:ilvl="4">
      <w:start w:val="1"/>
      <w:numFmt w:val="lowerLetter"/>
      <w:lvlText w:val="(%5)"/>
      <w:lvlJc w:val="left"/>
      <w:pPr>
        <w:tabs>
          <w:tab w:val="num" w:pos="2084"/>
        </w:tabs>
        <w:ind w:left="2084" w:hanging="360"/>
      </w:pPr>
      <w:rPr>
        <w:rFonts w:hint="default"/>
        <w:b w:val="0"/>
        <w:i w:val="0"/>
      </w:rPr>
    </w:lvl>
    <w:lvl w:ilvl="5">
      <w:start w:val="1"/>
      <w:numFmt w:val="lowerRoman"/>
      <w:lvlText w:val="(%6)"/>
      <w:lvlJc w:val="left"/>
      <w:pPr>
        <w:tabs>
          <w:tab w:val="num" w:pos="2444"/>
        </w:tabs>
        <w:ind w:left="2444" w:hanging="360"/>
      </w:pPr>
      <w:rPr>
        <w:rFonts w:hint="default"/>
        <w:b w:val="0"/>
        <w:i w:val="0"/>
      </w:rPr>
    </w:lvl>
    <w:lvl w:ilvl="6">
      <w:start w:val="1"/>
      <w:numFmt w:val="decimal"/>
      <w:lvlText w:val="%7."/>
      <w:lvlJc w:val="left"/>
      <w:pPr>
        <w:tabs>
          <w:tab w:val="num" w:pos="2804"/>
        </w:tabs>
        <w:ind w:left="2804" w:hanging="360"/>
      </w:pPr>
      <w:rPr>
        <w:rFonts w:hint="default"/>
        <w:b w:val="0"/>
        <w:i w:val="0"/>
      </w:rPr>
    </w:lvl>
    <w:lvl w:ilvl="7">
      <w:start w:val="1"/>
      <w:numFmt w:val="lowerLetter"/>
      <w:lvlText w:val="%8."/>
      <w:lvlJc w:val="left"/>
      <w:pPr>
        <w:tabs>
          <w:tab w:val="num" w:pos="3164"/>
        </w:tabs>
        <w:ind w:left="3164" w:hanging="360"/>
      </w:pPr>
      <w:rPr>
        <w:rFonts w:hint="default"/>
        <w:b w:val="0"/>
        <w:i w:val="0"/>
      </w:rPr>
    </w:lvl>
    <w:lvl w:ilvl="8">
      <w:start w:val="1"/>
      <w:numFmt w:val="lowerRoman"/>
      <w:lvlText w:val="%9."/>
      <w:lvlJc w:val="left"/>
      <w:pPr>
        <w:tabs>
          <w:tab w:val="num" w:pos="3524"/>
        </w:tabs>
        <w:ind w:left="3524" w:hanging="360"/>
      </w:pPr>
      <w:rPr>
        <w:rFonts w:hint="default"/>
        <w:b w:val="0"/>
        <w:i w:val="0"/>
      </w:rPr>
    </w:lvl>
  </w:abstractNum>
  <w:abstractNum w:abstractNumId="8" w15:restartNumberingAfterBreak="0">
    <w:nsid w:val="13F85063"/>
    <w:multiLevelType w:val="multilevel"/>
    <w:tmpl w:val="AA48419C"/>
    <w:name w:val="StandardNumberedList"/>
    <w:lvl w:ilvl="0">
      <w:start w:val="1"/>
      <w:numFmt w:val="decimal"/>
      <w:pStyle w:val="OutlineNumbered1"/>
      <w:lvlText w:val="%1."/>
      <w:lvlJc w:val="left"/>
      <w:pPr>
        <w:tabs>
          <w:tab w:val="num" w:pos="520"/>
        </w:tabs>
        <w:ind w:left="520" w:hanging="520"/>
      </w:pPr>
      <w:rPr>
        <w:rFonts w:hint="default"/>
      </w:r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6CC4E5D"/>
    <w:multiLevelType w:val="multilevel"/>
    <w:tmpl w:val="D10E9CF6"/>
    <w:numStyleLink w:val="OneLevelList"/>
  </w:abstractNum>
  <w:abstractNum w:abstractNumId="10"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9CB4886"/>
    <w:multiLevelType w:val="multilevel"/>
    <w:tmpl w:val="5CB2871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C9D6498"/>
    <w:multiLevelType w:val="hybridMultilevel"/>
    <w:tmpl w:val="B92A09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2F36C73"/>
    <w:multiLevelType w:val="hybridMultilevel"/>
    <w:tmpl w:val="761EBDE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7C03C6B"/>
    <w:multiLevelType w:val="hybridMultilevel"/>
    <w:tmpl w:val="18A0294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08C2710"/>
    <w:multiLevelType w:val="multilevel"/>
    <w:tmpl w:val="0D723674"/>
    <w:styleLink w:val="BulletedList"/>
    <w:lvl w:ilvl="0">
      <w:start w:val="1"/>
      <w:numFmt w:val="bullet"/>
      <w:lvlRestart w:val="0"/>
      <w:lvlText w:val="•"/>
      <w:lvlJc w:val="left"/>
      <w:pPr>
        <w:tabs>
          <w:tab w:val="num" w:pos="1985"/>
        </w:tabs>
        <w:ind w:left="1985" w:hanging="283"/>
      </w:pPr>
      <w:rPr>
        <w:rFonts w:ascii="Times New Roman" w:hAnsi="Times New Roman" w:cs="Times New Roman" w:hint="default"/>
        <w:b w:val="0"/>
        <w:i w:val="0"/>
      </w:rPr>
    </w:lvl>
    <w:lvl w:ilvl="1">
      <w:start w:val="1"/>
      <w:numFmt w:val="bullet"/>
      <w:lvlText w:val="–"/>
      <w:lvlJc w:val="left"/>
      <w:pPr>
        <w:tabs>
          <w:tab w:val="num" w:pos="851"/>
        </w:tabs>
        <w:ind w:left="851" w:hanging="284"/>
      </w:pPr>
      <w:rPr>
        <w:rFonts w:ascii="Times New Roman" w:hAnsi="Times New Roman" w:cs="Times New Roman" w:hint="default"/>
        <w:b w:val="0"/>
        <w:i w:val="0"/>
      </w:rPr>
    </w:lvl>
    <w:lvl w:ilvl="2">
      <w:start w:val="1"/>
      <w:numFmt w:val="bullet"/>
      <w:lvlText w:val=":"/>
      <w:lvlJc w:val="left"/>
      <w:pPr>
        <w:tabs>
          <w:tab w:val="num" w:pos="1134"/>
        </w:tabs>
        <w:ind w:left="1134" w:hanging="283"/>
      </w:pPr>
      <w:rPr>
        <w:rFonts w:ascii="Times New Roman" w:hAnsi="Times New Roman" w:cs="Times New Roman" w:hint="default"/>
        <w:b w:val="0"/>
        <w:i w:val="0"/>
      </w:rPr>
    </w:lvl>
    <w:lvl w:ilvl="3">
      <w:start w:val="1"/>
      <w:numFmt w:val="decimal"/>
      <w:lvlText w:val="(%4)"/>
      <w:lvlJc w:val="left"/>
      <w:pPr>
        <w:tabs>
          <w:tab w:val="num" w:pos="1724"/>
        </w:tabs>
        <w:ind w:left="1724" w:hanging="360"/>
      </w:pPr>
      <w:rPr>
        <w:rFonts w:hint="default"/>
        <w:b w:val="0"/>
        <w:i w:val="0"/>
      </w:rPr>
    </w:lvl>
    <w:lvl w:ilvl="4">
      <w:start w:val="1"/>
      <w:numFmt w:val="lowerLetter"/>
      <w:lvlText w:val="(%5)"/>
      <w:lvlJc w:val="left"/>
      <w:pPr>
        <w:tabs>
          <w:tab w:val="num" w:pos="2084"/>
        </w:tabs>
        <w:ind w:left="2084" w:hanging="360"/>
      </w:pPr>
      <w:rPr>
        <w:rFonts w:hint="default"/>
        <w:b w:val="0"/>
        <w:i w:val="0"/>
      </w:rPr>
    </w:lvl>
    <w:lvl w:ilvl="5">
      <w:start w:val="1"/>
      <w:numFmt w:val="lowerRoman"/>
      <w:lvlText w:val="(%6)"/>
      <w:lvlJc w:val="left"/>
      <w:pPr>
        <w:tabs>
          <w:tab w:val="num" w:pos="2444"/>
        </w:tabs>
        <w:ind w:left="2444" w:hanging="360"/>
      </w:pPr>
      <w:rPr>
        <w:rFonts w:hint="default"/>
        <w:b w:val="0"/>
        <w:i w:val="0"/>
      </w:rPr>
    </w:lvl>
    <w:lvl w:ilvl="6">
      <w:start w:val="1"/>
      <w:numFmt w:val="decimal"/>
      <w:lvlText w:val="%7."/>
      <w:lvlJc w:val="left"/>
      <w:pPr>
        <w:tabs>
          <w:tab w:val="num" w:pos="2804"/>
        </w:tabs>
        <w:ind w:left="2804" w:hanging="360"/>
      </w:pPr>
      <w:rPr>
        <w:rFonts w:hint="default"/>
        <w:b w:val="0"/>
        <w:i w:val="0"/>
      </w:rPr>
    </w:lvl>
    <w:lvl w:ilvl="7">
      <w:start w:val="1"/>
      <w:numFmt w:val="lowerLetter"/>
      <w:lvlText w:val="%8."/>
      <w:lvlJc w:val="left"/>
      <w:pPr>
        <w:tabs>
          <w:tab w:val="num" w:pos="3164"/>
        </w:tabs>
        <w:ind w:left="3164" w:hanging="360"/>
      </w:pPr>
      <w:rPr>
        <w:rFonts w:hint="default"/>
        <w:b w:val="0"/>
        <w:i w:val="0"/>
      </w:rPr>
    </w:lvl>
    <w:lvl w:ilvl="8">
      <w:start w:val="1"/>
      <w:numFmt w:val="lowerRoman"/>
      <w:lvlText w:val="%9."/>
      <w:lvlJc w:val="left"/>
      <w:pPr>
        <w:tabs>
          <w:tab w:val="num" w:pos="3524"/>
        </w:tabs>
        <w:ind w:left="3524" w:hanging="360"/>
      </w:pPr>
      <w:rPr>
        <w:rFonts w:hint="default"/>
        <w:b w:val="0"/>
        <w:i w:val="0"/>
      </w:rPr>
    </w:lvl>
  </w:abstractNum>
  <w:abstractNum w:abstractNumId="17"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03F749B"/>
    <w:multiLevelType w:val="singleLevel"/>
    <w:tmpl w:val="0C09000F"/>
    <w:lvl w:ilvl="0">
      <w:start w:val="1"/>
      <w:numFmt w:val="decimal"/>
      <w:lvlText w:val="%1."/>
      <w:lvlJc w:val="left"/>
      <w:pPr>
        <w:ind w:left="360" w:hanging="360"/>
      </w:pPr>
      <w:rPr>
        <w:rFonts w:hint="default"/>
      </w:rPr>
    </w:lvl>
  </w:abstractNum>
  <w:abstractNum w:abstractNumId="20" w15:restartNumberingAfterBreak="0">
    <w:nsid w:val="4331797C"/>
    <w:multiLevelType w:val="multilevel"/>
    <w:tmpl w:val="4D54EF70"/>
    <w:lvl w:ilvl="0">
      <w:start w:val="1"/>
      <w:numFmt w:val="decimal"/>
      <w:lvlText w:val="%1."/>
      <w:lvlJc w:val="left"/>
      <w:pPr>
        <w:tabs>
          <w:tab w:val="num" w:pos="425"/>
        </w:tabs>
        <w:ind w:left="425" w:hanging="283"/>
      </w:pPr>
      <w:rPr>
        <w:rFonts w:hint="default"/>
        <w:b w:val="0"/>
        <w:i w:val="0"/>
      </w:rPr>
    </w:lvl>
    <w:lvl w:ilvl="1">
      <w:start w:val="1"/>
      <w:numFmt w:val="bullet"/>
      <w:lvlText w:val="–"/>
      <w:lvlJc w:val="left"/>
      <w:pPr>
        <w:tabs>
          <w:tab w:val="num" w:pos="-709"/>
        </w:tabs>
        <w:ind w:left="-709" w:hanging="284"/>
      </w:pPr>
      <w:rPr>
        <w:rFonts w:ascii="Times New Roman" w:hAnsi="Times New Roman" w:cs="Times New Roman" w:hint="default"/>
        <w:b w:val="0"/>
        <w:i w:val="0"/>
      </w:rPr>
    </w:lvl>
    <w:lvl w:ilvl="2">
      <w:start w:val="1"/>
      <w:numFmt w:val="bullet"/>
      <w:lvlText w:val=":"/>
      <w:lvlJc w:val="left"/>
      <w:pPr>
        <w:tabs>
          <w:tab w:val="num" w:pos="-426"/>
        </w:tabs>
        <w:ind w:left="-426" w:hanging="283"/>
      </w:pPr>
      <w:rPr>
        <w:rFonts w:ascii="Times New Roman" w:hAnsi="Times New Roman" w:cs="Times New Roman" w:hint="default"/>
        <w:b w:val="0"/>
        <w:i w:val="0"/>
      </w:rPr>
    </w:lvl>
    <w:lvl w:ilvl="3">
      <w:start w:val="1"/>
      <w:numFmt w:val="decimal"/>
      <w:lvlText w:val="(%4)"/>
      <w:lvlJc w:val="left"/>
      <w:pPr>
        <w:tabs>
          <w:tab w:val="num" w:pos="164"/>
        </w:tabs>
        <w:ind w:left="164" w:hanging="360"/>
      </w:pPr>
      <w:rPr>
        <w:rFonts w:hint="default"/>
        <w:b w:val="0"/>
        <w:i w:val="0"/>
      </w:rPr>
    </w:lvl>
    <w:lvl w:ilvl="4">
      <w:start w:val="1"/>
      <w:numFmt w:val="lowerLetter"/>
      <w:lvlText w:val="(%5)"/>
      <w:lvlJc w:val="left"/>
      <w:pPr>
        <w:tabs>
          <w:tab w:val="num" w:pos="524"/>
        </w:tabs>
        <w:ind w:left="524" w:hanging="360"/>
      </w:pPr>
      <w:rPr>
        <w:rFonts w:hint="default"/>
        <w:b w:val="0"/>
        <w:i w:val="0"/>
      </w:rPr>
    </w:lvl>
    <w:lvl w:ilvl="5">
      <w:start w:val="1"/>
      <w:numFmt w:val="lowerRoman"/>
      <w:lvlText w:val="(%6)"/>
      <w:lvlJc w:val="left"/>
      <w:pPr>
        <w:tabs>
          <w:tab w:val="num" w:pos="884"/>
        </w:tabs>
        <w:ind w:left="884" w:hanging="360"/>
      </w:pPr>
      <w:rPr>
        <w:rFonts w:hint="default"/>
        <w:b w:val="0"/>
        <w:i w:val="0"/>
      </w:rPr>
    </w:lvl>
    <w:lvl w:ilvl="6">
      <w:start w:val="1"/>
      <w:numFmt w:val="decimal"/>
      <w:lvlText w:val="%7."/>
      <w:lvlJc w:val="left"/>
      <w:pPr>
        <w:tabs>
          <w:tab w:val="num" w:pos="1244"/>
        </w:tabs>
        <w:ind w:left="1244" w:hanging="360"/>
      </w:pPr>
      <w:rPr>
        <w:rFonts w:hint="default"/>
        <w:b w:val="0"/>
        <w:i w:val="0"/>
      </w:rPr>
    </w:lvl>
    <w:lvl w:ilvl="7">
      <w:start w:val="1"/>
      <w:numFmt w:val="lowerLetter"/>
      <w:lvlText w:val="%8."/>
      <w:lvlJc w:val="left"/>
      <w:pPr>
        <w:tabs>
          <w:tab w:val="num" w:pos="1604"/>
        </w:tabs>
        <w:ind w:left="1604" w:hanging="360"/>
      </w:pPr>
      <w:rPr>
        <w:rFonts w:hint="default"/>
        <w:b w:val="0"/>
        <w:i w:val="0"/>
      </w:rPr>
    </w:lvl>
    <w:lvl w:ilvl="8">
      <w:start w:val="1"/>
      <w:numFmt w:val="lowerRoman"/>
      <w:lvlText w:val="%9."/>
      <w:lvlJc w:val="left"/>
      <w:pPr>
        <w:tabs>
          <w:tab w:val="num" w:pos="1964"/>
        </w:tabs>
        <w:ind w:left="1964" w:hanging="360"/>
      </w:pPr>
      <w:rPr>
        <w:rFonts w:hint="default"/>
        <w:b w:val="0"/>
        <w:i w:val="0"/>
      </w:rPr>
    </w:lvl>
  </w:abstractNum>
  <w:abstractNum w:abstractNumId="21" w15:restartNumberingAfterBreak="0">
    <w:nsid w:val="45923E3A"/>
    <w:multiLevelType w:val="hybridMultilevel"/>
    <w:tmpl w:val="EB1418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4E63EC"/>
    <w:multiLevelType w:val="multilevel"/>
    <w:tmpl w:val="2566FDE2"/>
    <w:lvl w:ilvl="0">
      <w:start w:val="1"/>
      <w:numFmt w:val="decimal"/>
      <w:lvlText w:val="%1."/>
      <w:lvlJc w:val="left"/>
      <w:pPr>
        <w:tabs>
          <w:tab w:val="num" w:pos="520"/>
        </w:tabs>
        <w:ind w:left="520" w:hanging="520"/>
      </w:pPr>
      <w:rPr>
        <w:rFonts w:hint="default"/>
      </w:rPr>
    </w:lvl>
    <w:lvl w:ilvl="1">
      <w:start w:val="1"/>
      <w:numFmt w:val="lowerLetter"/>
      <w:lvlText w:val="%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FF377B"/>
    <w:multiLevelType w:val="hybridMultilevel"/>
    <w:tmpl w:val="5CD254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BC875FD"/>
    <w:multiLevelType w:val="hybridMultilevel"/>
    <w:tmpl w:val="53B247CA"/>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5" w15:restartNumberingAfterBreak="0">
    <w:nsid w:val="504D7167"/>
    <w:multiLevelType w:val="multilevel"/>
    <w:tmpl w:val="21622140"/>
    <w:name w:val="AGAReportBulletedList"/>
    <w:lvl w:ilvl="0">
      <w:start w:val="1"/>
      <w:numFmt w:val="bullet"/>
      <w:lvlText w:val="•"/>
      <w:lvlJc w:val="left"/>
      <w:pPr>
        <w:tabs>
          <w:tab w:val="num" w:pos="567"/>
        </w:tabs>
        <w:ind w:left="567" w:hanging="567"/>
      </w:pPr>
    </w:lvl>
    <w:lvl w:ilvl="1">
      <w:start w:val="1"/>
      <w:numFmt w:val="bullet"/>
      <w:lvlText w:val="–"/>
      <w:lvlJc w:val="left"/>
      <w:pPr>
        <w:tabs>
          <w:tab w:val="num" w:pos="1134"/>
        </w:tabs>
        <w:ind w:left="1134" w:hanging="567"/>
      </w:pPr>
    </w:lvl>
    <w:lvl w:ilvl="2">
      <w:start w:val="1"/>
      <w:numFmt w:val="bullet"/>
      <w:lvlText w:val=":"/>
      <w:lvlJc w:val="left"/>
      <w:pPr>
        <w:tabs>
          <w:tab w:val="num" w:pos="1701"/>
        </w:tabs>
        <w:ind w:left="1701" w:hanging="567"/>
      </w:pPr>
    </w:lvl>
    <w:lvl w:ilvl="3">
      <w:start w:val="1"/>
      <w:numFmt w:val="lowerRoman"/>
      <w:lvlText w:val="(%4)"/>
      <w:lvlJc w:val="right"/>
      <w:pPr>
        <w:tabs>
          <w:tab w:val="num" w:pos="13"/>
        </w:tabs>
        <w:ind w:left="13" w:hanging="144"/>
      </w:pPr>
    </w:lvl>
    <w:lvl w:ilvl="4">
      <w:start w:val="1"/>
      <w:numFmt w:val="decimal"/>
      <w:lvlText w:val="%5)"/>
      <w:lvlJc w:val="left"/>
      <w:pPr>
        <w:tabs>
          <w:tab w:val="num" w:pos="157"/>
        </w:tabs>
        <w:ind w:left="157" w:hanging="432"/>
      </w:pPr>
    </w:lvl>
    <w:lvl w:ilvl="5">
      <w:start w:val="1"/>
      <w:numFmt w:val="lowerLetter"/>
      <w:lvlText w:val="%6)"/>
      <w:lvlJc w:val="left"/>
      <w:pPr>
        <w:tabs>
          <w:tab w:val="num" w:pos="301"/>
        </w:tabs>
        <w:ind w:left="301" w:hanging="432"/>
      </w:pPr>
    </w:lvl>
    <w:lvl w:ilvl="6">
      <w:start w:val="1"/>
      <w:numFmt w:val="lowerRoman"/>
      <w:lvlText w:val="%7)"/>
      <w:lvlJc w:val="right"/>
      <w:pPr>
        <w:tabs>
          <w:tab w:val="num" w:pos="445"/>
        </w:tabs>
        <w:ind w:left="445" w:hanging="288"/>
      </w:pPr>
    </w:lvl>
    <w:lvl w:ilvl="7">
      <w:start w:val="1"/>
      <w:numFmt w:val="lowerLetter"/>
      <w:lvlText w:val="%8."/>
      <w:lvlJc w:val="left"/>
      <w:pPr>
        <w:tabs>
          <w:tab w:val="num" w:pos="589"/>
        </w:tabs>
        <w:ind w:left="589" w:hanging="432"/>
      </w:pPr>
    </w:lvl>
    <w:lvl w:ilvl="8">
      <w:start w:val="1"/>
      <w:numFmt w:val="lowerRoman"/>
      <w:lvlText w:val="%9."/>
      <w:lvlJc w:val="right"/>
      <w:pPr>
        <w:tabs>
          <w:tab w:val="num" w:pos="733"/>
        </w:tabs>
        <w:ind w:left="733" w:hanging="144"/>
      </w:pPr>
    </w:lvl>
  </w:abstractNum>
  <w:abstractNum w:abstractNumId="26" w15:restartNumberingAfterBreak="0">
    <w:nsid w:val="51126E77"/>
    <w:multiLevelType w:val="multilevel"/>
    <w:tmpl w:val="2A9C0164"/>
    <w:lvl w:ilvl="0">
      <w:start w:val="1"/>
      <w:numFmt w:val="decimal"/>
      <w:lvlText w:val="%1."/>
      <w:lvlJc w:val="left"/>
      <w:pPr>
        <w:tabs>
          <w:tab w:val="num" w:pos="520"/>
        </w:tabs>
        <w:ind w:left="520" w:hanging="520"/>
      </w:pPr>
      <w:rPr>
        <w:rFonts w:hint="default"/>
      </w:rPr>
    </w:lvl>
    <w:lvl w:ilvl="1">
      <w:start w:val="1"/>
      <w:numFmt w:val="lowerLetter"/>
      <w:lvlText w:val="%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2137715"/>
    <w:multiLevelType w:val="hybridMultilevel"/>
    <w:tmpl w:val="51D84FE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F94BBD"/>
    <w:multiLevelType w:val="hybridMultilevel"/>
    <w:tmpl w:val="39F2877C"/>
    <w:lvl w:ilvl="0" w:tplc="041E76EE">
      <w:numFmt w:val="bullet"/>
      <w:lvlText w:val=""/>
      <w:lvlJc w:val="left"/>
      <w:pPr>
        <w:ind w:left="780" w:hanging="420"/>
      </w:pPr>
      <w:rPr>
        <w:rFonts w:ascii="Symbol" w:eastAsia="Calibri" w:hAnsi="Symbol" w:cs="Calibri" w:hint="default"/>
      </w:rPr>
    </w:lvl>
    <w:lvl w:ilvl="1" w:tplc="F29621F0">
      <w:start w:val="1"/>
      <w:numFmt w:val="bullet"/>
      <w:lvlText w:val="o"/>
      <w:lvlJc w:val="left"/>
      <w:pPr>
        <w:ind w:left="1440" w:hanging="360"/>
      </w:pPr>
      <w:rPr>
        <w:rFonts w:ascii="Courier New" w:hAnsi="Courier New" w:cs="Courier New" w:hint="default"/>
      </w:rPr>
    </w:lvl>
    <w:lvl w:ilvl="2" w:tplc="510CC3B8">
      <w:start w:val="1"/>
      <w:numFmt w:val="bullet"/>
      <w:lvlText w:val=""/>
      <w:lvlJc w:val="left"/>
      <w:pPr>
        <w:ind w:left="2160" w:hanging="360"/>
      </w:pPr>
      <w:rPr>
        <w:rFonts w:ascii="Wingdings" w:hAnsi="Wingdings" w:hint="default"/>
      </w:rPr>
    </w:lvl>
    <w:lvl w:ilvl="3" w:tplc="F0D83C20">
      <w:start w:val="1"/>
      <w:numFmt w:val="bullet"/>
      <w:lvlText w:val=""/>
      <w:lvlJc w:val="left"/>
      <w:pPr>
        <w:ind w:left="2880" w:hanging="360"/>
      </w:pPr>
      <w:rPr>
        <w:rFonts w:ascii="Symbol" w:hAnsi="Symbol" w:hint="default"/>
      </w:rPr>
    </w:lvl>
    <w:lvl w:ilvl="4" w:tplc="19D2DFC0">
      <w:start w:val="1"/>
      <w:numFmt w:val="bullet"/>
      <w:lvlText w:val="o"/>
      <w:lvlJc w:val="left"/>
      <w:pPr>
        <w:ind w:left="3600" w:hanging="360"/>
      </w:pPr>
      <w:rPr>
        <w:rFonts w:ascii="Courier New" w:hAnsi="Courier New" w:cs="Courier New" w:hint="default"/>
      </w:rPr>
    </w:lvl>
    <w:lvl w:ilvl="5" w:tplc="6114CBC0">
      <w:start w:val="1"/>
      <w:numFmt w:val="bullet"/>
      <w:lvlText w:val=""/>
      <w:lvlJc w:val="left"/>
      <w:pPr>
        <w:ind w:left="4320" w:hanging="360"/>
      </w:pPr>
      <w:rPr>
        <w:rFonts w:ascii="Wingdings" w:hAnsi="Wingdings" w:hint="default"/>
      </w:rPr>
    </w:lvl>
    <w:lvl w:ilvl="6" w:tplc="00EA7AD6">
      <w:start w:val="1"/>
      <w:numFmt w:val="bullet"/>
      <w:lvlText w:val=""/>
      <w:lvlJc w:val="left"/>
      <w:pPr>
        <w:ind w:left="5040" w:hanging="360"/>
      </w:pPr>
      <w:rPr>
        <w:rFonts w:ascii="Symbol" w:hAnsi="Symbol" w:hint="default"/>
      </w:rPr>
    </w:lvl>
    <w:lvl w:ilvl="7" w:tplc="EE1663B4">
      <w:start w:val="1"/>
      <w:numFmt w:val="bullet"/>
      <w:lvlText w:val="o"/>
      <w:lvlJc w:val="left"/>
      <w:pPr>
        <w:ind w:left="5760" w:hanging="360"/>
      </w:pPr>
      <w:rPr>
        <w:rFonts w:ascii="Courier New" w:hAnsi="Courier New" w:cs="Courier New" w:hint="default"/>
      </w:rPr>
    </w:lvl>
    <w:lvl w:ilvl="8" w:tplc="6FB4E100">
      <w:start w:val="1"/>
      <w:numFmt w:val="bullet"/>
      <w:lvlText w:val=""/>
      <w:lvlJc w:val="left"/>
      <w:pPr>
        <w:ind w:left="6480" w:hanging="360"/>
      </w:pPr>
      <w:rPr>
        <w:rFonts w:ascii="Wingdings" w:hAnsi="Wingdings" w:hint="default"/>
      </w:rPr>
    </w:lvl>
  </w:abstractNum>
  <w:abstractNum w:abstractNumId="29" w15:restartNumberingAfterBreak="0">
    <w:nsid w:val="6653527D"/>
    <w:multiLevelType w:val="hybridMultilevel"/>
    <w:tmpl w:val="8AE05142"/>
    <w:lvl w:ilvl="0" w:tplc="A1D85F8C">
      <w:start w:val="1"/>
      <w:numFmt w:val="lowerLetter"/>
      <w:lvlText w:val="%1)"/>
      <w:lvlJc w:val="left"/>
      <w:pPr>
        <w:ind w:left="720" w:hanging="360"/>
      </w:pPr>
    </w:lvl>
    <w:lvl w:ilvl="1" w:tplc="0C090003">
      <w:start w:val="1"/>
      <w:numFmt w:val="lowerLetter"/>
      <w:lvlText w:val="%2."/>
      <w:lvlJc w:val="left"/>
      <w:pPr>
        <w:ind w:left="1440" w:hanging="360"/>
      </w:pPr>
    </w:lvl>
    <w:lvl w:ilvl="2" w:tplc="0C090005">
      <w:start w:val="1"/>
      <w:numFmt w:val="lowerRoman"/>
      <w:lvlText w:val="%3."/>
      <w:lvlJc w:val="right"/>
      <w:pPr>
        <w:ind w:left="2160" w:hanging="180"/>
      </w:pPr>
    </w:lvl>
    <w:lvl w:ilvl="3" w:tplc="0C090001">
      <w:start w:val="1"/>
      <w:numFmt w:val="decimal"/>
      <w:lvlText w:val="%4."/>
      <w:lvlJc w:val="left"/>
      <w:pPr>
        <w:ind w:left="2880" w:hanging="360"/>
      </w:pPr>
    </w:lvl>
    <w:lvl w:ilvl="4" w:tplc="0C090003">
      <w:start w:val="1"/>
      <w:numFmt w:val="lowerLetter"/>
      <w:lvlText w:val="%5."/>
      <w:lvlJc w:val="left"/>
      <w:pPr>
        <w:ind w:left="3600" w:hanging="360"/>
      </w:pPr>
    </w:lvl>
    <w:lvl w:ilvl="5" w:tplc="0C090005">
      <w:start w:val="1"/>
      <w:numFmt w:val="lowerRoman"/>
      <w:lvlText w:val="%6."/>
      <w:lvlJc w:val="right"/>
      <w:pPr>
        <w:ind w:left="4320" w:hanging="180"/>
      </w:pPr>
    </w:lvl>
    <w:lvl w:ilvl="6" w:tplc="0C090001">
      <w:start w:val="1"/>
      <w:numFmt w:val="decimal"/>
      <w:lvlText w:val="%7."/>
      <w:lvlJc w:val="left"/>
      <w:pPr>
        <w:ind w:left="5040" w:hanging="360"/>
      </w:pPr>
    </w:lvl>
    <w:lvl w:ilvl="7" w:tplc="0C090003">
      <w:start w:val="1"/>
      <w:numFmt w:val="lowerLetter"/>
      <w:lvlText w:val="%8."/>
      <w:lvlJc w:val="left"/>
      <w:pPr>
        <w:ind w:left="5760" w:hanging="360"/>
      </w:pPr>
    </w:lvl>
    <w:lvl w:ilvl="8" w:tplc="0C090005">
      <w:start w:val="1"/>
      <w:numFmt w:val="lowerRoman"/>
      <w:lvlText w:val="%9."/>
      <w:lvlJc w:val="right"/>
      <w:pPr>
        <w:ind w:left="6480" w:hanging="180"/>
      </w:pPr>
    </w:lvl>
  </w:abstractNum>
  <w:abstractNum w:abstractNumId="30" w15:restartNumberingAfterBreak="0">
    <w:nsid w:val="6BB663FD"/>
    <w:multiLevelType w:val="hybridMultilevel"/>
    <w:tmpl w:val="500679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AB2597"/>
    <w:multiLevelType w:val="hybridMultilevel"/>
    <w:tmpl w:val="80641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B93192A"/>
    <w:multiLevelType w:val="multilevel"/>
    <w:tmpl w:val="FE66350C"/>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3" w15:restartNumberingAfterBreak="0">
    <w:nsid w:val="7CE10551"/>
    <w:multiLevelType w:val="hybridMultilevel"/>
    <w:tmpl w:val="9B12ABD2"/>
    <w:lvl w:ilvl="0" w:tplc="1AEE6CD0">
      <w:start w:val="1"/>
      <w:numFmt w:val="lowerLetter"/>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5" w15:restartNumberingAfterBreak="0">
    <w:nsid w:val="7F942DF8"/>
    <w:multiLevelType w:val="multilevel"/>
    <w:tmpl w:val="695EDA38"/>
    <w:lvl w:ilvl="0">
      <w:start w:val="1"/>
      <w:numFmt w:val="decimal"/>
      <w:lvlText w:val="%1."/>
      <w:lvlJc w:val="left"/>
      <w:pPr>
        <w:tabs>
          <w:tab w:val="num" w:pos="520"/>
        </w:tabs>
        <w:ind w:left="520" w:hanging="520"/>
      </w:pPr>
      <w:rPr>
        <w:rFonts w:hint="default"/>
      </w:rPr>
    </w:lvl>
    <w:lvl w:ilvl="1">
      <w:start w:val="1"/>
      <w:numFmt w:val="lowerLetter"/>
      <w:lvlText w:val="%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1"/>
  </w:num>
  <w:num w:numId="3">
    <w:abstractNumId w:val="18"/>
  </w:num>
  <w:num w:numId="4">
    <w:abstractNumId w:val="6"/>
  </w:num>
  <w:num w:numId="5">
    <w:abstractNumId w:val="9"/>
  </w:num>
  <w:num w:numId="6">
    <w:abstractNumId w:val="19"/>
  </w:num>
  <w:num w:numId="7">
    <w:abstractNumId w:val="17"/>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10"/>
  </w:num>
  <w:num w:numId="9">
    <w:abstractNumId w:val="4"/>
  </w:num>
  <w:num w:numId="10">
    <w:abstractNumId w:val="14"/>
  </w:num>
  <w:num w:numId="11">
    <w:abstractNumId w:val="34"/>
  </w:num>
  <w:num w:numId="12">
    <w:abstractNumId w:val="19"/>
  </w:num>
  <w:num w:numId="13">
    <w:abstractNumId w:val="14"/>
  </w:num>
  <w:num w:numId="14">
    <w:abstractNumId w:val="17"/>
  </w:num>
  <w:num w:numId="15">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3"/>
  </w:num>
  <w:num w:numId="20">
    <w:abstractNumId w:val="28"/>
  </w:num>
  <w:num w:numId="21">
    <w:abstractNumId w:val="16"/>
  </w:num>
  <w:num w:numId="22">
    <w:abstractNumId w:val="29"/>
  </w:num>
  <w:num w:numId="23">
    <w:abstractNumId w:val="8"/>
  </w:num>
  <w:num w:numId="24">
    <w:abstractNumId w:val="15"/>
  </w:num>
  <w:num w:numId="25">
    <w:abstractNumId w:val="0"/>
  </w:num>
  <w:num w:numId="26">
    <w:abstractNumId w:val="12"/>
  </w:num>
  <w:num w:numId="27">
    <w:abstractNumId w:val="2"/>
  </w:num>
  <w:num w:numId="28">
    <w:abstractNumId w:val="33"/>
  </w:num>
  <w:num w:numId="29">
    <w:abstractNumId w:val="32"/>
  </w:num>
  <w:num w:numId="30">
    <w:abstractNumId w:val="21"/>
  </w:num>
  <w:num w:numId="31">
    <w:abstractNumId w:val="22"/>
  </w:num>
  <w:num w:numId="32">
    <w:abstractNumId w:val="30"/>
  </w:num>
  <w:num w:numId="33">
    <w:abstractNumId w:val="31"/>
  </w:num>
  <w:num w:numId="34">
    <w:abstractNumId w:val="23"/>
  </w:num>
  <w:num w:numId="35">
    <w:abstractNumId w:val="35"/>
  </w:num>
  <w:num w:numId="36">
    <w:abstractNumId w:val="26"/>
  </w:num>
  <w:num w:numId="37">
    <w:abstractNumId w:val="13"/>
  </w:num>
  <w:num w:numId="38">
    <w:abstractNumId w:val="11"/>
  </w:num>
  <w:num w:numId="39">
    <w:abstractNumId w:val="16"/>
  </w:num>
  <w:num w:numId="40">
    <w:abstractNumId w:val="7"/>
  </w:num>
  <w:num w:numId="41">
    <w:abstractNumId w:val="16"/>
  </w:num>
  <w:num w:numId="42">
    <w:abstractNumId w:val="16"/>
  </w:num>
  <w:num w:numId="43">
    <w:abstractNumId w:val="16"/>
  </w:num>
  <w:num w:numId="44">
    <w:abstractNumId w:val="16"/>
  </w:num>
  <w:num w:numId="45">
    <w:abstractNumId w:val="16"/>
  </w:num>
  <w:num w:numId="46">
    <w:abstractNumId w:val="16"/>
  </w:num>
  <w:num w:numId="47">
    <w:abstractNumId w:val="16"/>
  </w:num>
  <w:num w:numId="48">
    <w:abstractNumId w:val="16"/>
  </w:num>
  <w:num w:numId="49">
    <w:abstractNumId w:val="27"/>
  </w:num>
  <w:num w:numId="50">
    <w:abstractNumId w:val="20"/>
  </w:num>
  <w:num w:numId="5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OIClassificationInHeader" w:val="False"/>
    <w:docVar w:name="SecurityClassificationInHeader" w:val="False"/>
    <w:docVar w:name="SecurityDLMInHeader" w:val="False"/>
  </w:docVars>
  <w:rsids>
    <w:rsidRoot w:val="000258DD"/>
    <w:rsid w:val="00000278"/>
    <w:rsid w:val="00000E7B"/>
    <w:rsid w:val="00001384"/>
    <w:rsid w:val="000025A4"/>
    <w:rsid w:val="00003011"/>
    <w:rsid w:val="00003034"/>
    <w:rsid w:val="00003387"/>
    <w:rsid w:val="0000425B"/>
    <w:rsid w:val="00004513"/>
    <w:rsid w:val="00004890"/>
    <w:rsid w:val="00004960"/>
    <w:rsid w:val="00004B5B"/>
    <w:rsid w:val="00004C4E"/>
    <w:rsid w:val="00005319"/>
    <w:rsid w:val="00005507"/>
    <w:rsid w:val="00005536"/>
    <w:rsid w:val="00005CF7"/>
    <w:rsid w:val="0000629C"/>
    <w:rsid w:val="00006BA4"/>
    <w:rsid w:val="00006E3C"/>
    <w:rsid w:val="00010117"/>
    <w:rsid w:val="00010921"/>
    <w:rsid w:val="00010E0E"/>
    <w:rsid w:val="000115A0"/>
    <w:rsid w:val="00011725"/>
    <w:rsid w:val="00011D1E"/>
    <w:rsid w:val="000127AE"/>
    <w:rsid w:val="00012C62"/>
    <w:rsid w:val="00013029"/>
    <w:rsid w:val="00013FF1"/>
    <w:rsid w:val="00014FC8"/>
    <w:rsid w:val="0001585F"/>
    <w:rsid w:val="00015B82"/>
    <w:rsid w:val="00015D96"/>
    <w:rsid w:val="000160E0"/>
    <w:rsid w:val="00016F17"/>
    <w:rsid w:val="0001755F"/>
    <w:rsid w:val="00017AC0"/>
    <w:rsid w:val="00017EE2"/>
    <w:rsid w:val="000207A8"/>
    <w:rsid w:val="00020F1F"/>
    <w:rsid w:val="0002107C"/>
    <w:rsid w:val="000211F4"/>
    <w:rsid w:val="00021E19"/>
    <w:rsid w:val="000224B1"/>
    <w:rsid w:val="00022F56"/>
    <w:rsid w:val="00023D21"/>
    <w:rsid w:val="000246FF"/>
    <w:rsid w:val="00024810"/>
    <w:rsid w:val="000248AF"/>
    <w:rsid w:val="00025058"/>
    <w:rsid w:val="000252DE"/>
    <w:rsid w:val="0002544D"/>
    <w:rsid w:val="00025788"/>
    <w:rsid w:val="0002582F"/>
    <w:rsid w:val="000258DD"/>
    <w:rsid w:val="00025A73"/>
    <w:rsid w:val="00025CF7"/>
    <w:rsid w:val="00026458"/>
    <w:rsid w:val="00026E27"/>
    <w:rsid w:val="00027431"/>
    <w:rsid w:val="000303D8"/>
    <w:rsid w:val="00030799"/>
    <w:rsid w:val="00031728"/>
    <w:rsid w:val="00032041"/>
    <w:rsid w:val="0003299D"/>
    <w:rsid w:val="0003376C"/>
    <w:rsid w:val="00033EA3"/>
    <w:rsid w:val="00034E9A"/>
    <w:rsid w:val="00035394"/>
    <w:rsid w:val="000357C5"/>
    <w:rsid w:val="00035817"/>
    <w:rsid w:val="00035828"/>
    <w:rsid w:val="000364C6"/>
    <w:rsid w:val="000367DF"/>
    <w:rsid w:val="00037664"/>
    <w:rsid w:val="00037CB0"/>
    <w:rsid w:val="00040454"/>
    <w:rsid w:val="000419EA"/>
    <w:rsid w:val="00041A8B"/>
    <w:rsid w:val="00041D97"/>
    <w:rsid w:val="00042308"/>
    <w:rsid w:val="0004240D"/>
    <w:rsid w:val="0004274D"/>
    <w:rsid w:val="000431CD"/>
    <w:rsid w:val="00044442"/>
    <w:rsid w:val="00044C0A"/>
    <w:rsid w:val="00045164"/>
    <w:rsid w:val="000452B7"/>
    <w:rsid w:val="000464C3"/>
    <w:rsid w:val="00046C31"/>
    <w:rsid w:val="00046FE7"/>
    <w:rsid w:val="0004776C"/>
    <w:rsid w:val="00047F22"/>
    <w:rsid w:val="000501E0"/>
    <w:rsid w:val="00051415"/>
    <w:rsid w:val="000517E3"/>
    <w:rsid w:val="00051C5E"/>
    <w:rsid w:val="00051F02"/>
    <w:rsid w:val="00053019"/>
    <w:rsid w:val="00053D81"/>
    <w:rsid w:val="00054A9F"/>
    <w:rsid w:val="00054BCF"/>
    <w:rsid w:val="00056406"/>
    <w:rsid w:val="00056880"/>
    <w:rsid w:val="000574CC"/>
    <w:rsid w:val="00057BEE"/>
    <w:rsid w:val="00057C06"/>
    <w:rsid w:val="00060655"/>
    <w:rsid w:val="00060F71"/>
    <w:rsid w:val="0006134B"/>
    <w:rsid w:val="00061DB6"/>
    <w:rsid w:val="00062C6C"/>
    <w:rsid w:val="0006543F"/>
    <w:rsid w:val="00065FCB"/>
    <w:rsid w:val="00066071"/>
    <w:rsid w:val="000667E8"/>
    <w:rsid w:val="000674E5"/>
    <w:rsid w:val="000675D1"/>
    <w:rsid w:val="00067EE3"/>
    <w:rsid w:val="00070440"/>
    <w:rsid w:val="0007102C"/>
    <w:rsid w:val="000715DF"/>
    <w:rsid w:val="00072352"/>
    <w:rsid w:val="00072B2A"/>
    <w:rsid w:val="0007305B"/>
    <w:rsid w:val="00073521"/>
    <w:rsid w:val="000737EC"/>
    <w:rsid w:val="000738E6"/>
    <w:rsid w:val="000738EC"/>
    <w:rsid w:val="0007408C"/>
    <w:rsid w:val="000741F0"/>
    <w:rsid w:val="000754B2"/>
    <w:rsid w:val="000769A5"/>
    <w:rsid w:val="00076D6F"/>
    <w:rsid w:val="000773DE"/>
    <w:rsid w:val="000775DE"/>
    <w:rsid w:val="00077A2A"/>
    <w:rsid w:val="00077D19"/>
    <w:rsid w:val="000818BD"/>
    <w:rsid w:val="00081E2A"/>
    <w:rsid w:val="000820A3"/>
    <w:rsid w:val="000829CF"/>
    <w:rsid w:val="00083365"/>
    <w:rsid w:val="000835CF"/>
    <w:rsid w:val="00083A4B"/>
    <w:rsid w:val="00084477"/>
    <w:rsid w:val="00084674"/>
    <w:rsid w:val="00084D83"/>
    <w:rsid w:val="00084E49"/>
    <w:rsid w:val="0008552F"/>
    <w:rsid w:val="000858F2"/>
    <w:rsid w:val="0008690B"/>
    <w:rsid w:val="00086C22"/>
    <w:rsid w:val="00086D5B"/>
    <w:rsid w:val="00087FAF"/>
    <w:rsid w:val="000901FC"/>
    <w:rsid w:val="00092DAB"/>
    <w:rsid w:val="00093229"/>
    <w:rsid w:val="00093513"/>
    <w:rsid w:val="00093657"/>
    <w:rsid w:val="00093732"/>
    <w:rsid w:val="00094F6A"/>
    <w:rsid w:val="00095248"/>
    <w:rsid w:val="000959B5"/>
    <w:rsid w:val="00095BE5"/>
    <w:rsid w:val="0009600A"/>
    <w:rsid w:val="000962DA"/>
    <w:rsid w:val="00096B0A"/>
    <w:rsid w:val="000A0084"/>
    <w:rsid w:val="000A0909"/>
    <w:rsid w:val="000A0C88"/>
    <w:rsid w:val="000A2E9C"/>
    <w:rsid w:val="000A3313"/>
    <w:rsid w:val="000A364F"/>
    <w:rsid w:val="000A3780"/>
    <w:rsid w:val="000A54A3"/>
    <w:rsid w:val="000A57FE"/>
    <w:rsid w:val="000A5943"/>
    <w:rsid w:val="000A5BA0"/>
    <w:rsid w:val="000A5D41"/>
    <w:rsid w:val="000A5F56"/>
    <w:rsid w:val="000A6114"/>
    <w:rsid w:val="000A6F10"/>
    <w:rsid w:val="000A71D8"/>
    <w:rsid w:val="000B027A"/>
    <w:rsid w:val="000B11C4"/>
    <w:rsid w:val="000B19B8"/>
    <w:rsid w:val="000B2D1F"/>
    <w:rsid w:val="000B409E"/>
    <w:rsid w:val="000B5165"/>
    <w:rsid w:val="000B61C2"/>
    <w:rsid w:val="000B66DF"/>
    <w:rsid w:val="000B7272"/>
    <w:rsid w:val="000B7920"/>
    <w:rsid w:val="000B7B36"/>
    <w:rsid w:val="000C04F3"/>
    <w:rsid w:val="000C0B73"/>
    <w:rsid w:val="000C1000"/>
    <w:rsid w:val="000C117C"/>
    <w:rsid w:val="000C16B6"/>
    <w:rsid w:val="000C29EB"/>
    <w:rsid w:val="000C2C60"/>
    <w:rsid w:val="000C3D81"/>
    <w:rsid w:val="000C4994"/>
    <w:rsid w:val="000C5F40"/>
    <w:rsid w:val="000D04D6"/>
    <w:rsid w:val="000D0559"/>
    <w:rsid w:val="000D0BE4"/>
    <w:rsid w:val="000D1106"/>
    <w:rsid w:val="000D145C"/>
    <w:rsid w:val="000D1DAC"/>
    <w:rsid w:val="000D37B9"/>
    <w:rsid w:val="000D427D"/>
    <w:rsid w:val="000D4404"/>
    <w:rsid w:val="000D4593"/>
    <w:rsid w:val="000D48EC"/>
    <w:rsid w:val="000D4EEC"/>
    <w:rsid w:val="000D54D7"/>
    <w:rsid w:val="000D57DC"/>
    <w:rsid w:val="000D5AA6"/>
    <w:rsid w:val="000D635F"/>
    <w:rsid w:val="000D64E1"/>
    <w:rsid w:val="000D69A1"/>
    <w:rsid w:val="000D724D"/>
    <w:rsid w:val="000D74A0"/>
    <w:rsid w:val="000D7502"/>
    <w:rsid w:val="000D7722"/>
    <w:rsid w:val="000D7729"/>
    <w:rsid w:val="000E032E"/>
    <w:rsid w:val="000E0B15"/>
    <w:rsid w:val="000E0B74"/>
    <w:rsid w:val="000E0EEA"/>
    <w:rsid w:val="000E1138"/>
    <w:rsid w:val="000E3057"/>
    <w:rsid w:val="000E3200"/>
    <w:rsid w:val="000E338C"/>
    <w:rsid w:val="000E45AD"/>
    <w:rsid w:val="000E4D1A"/>
    <w:rsid w:val="000E6D81"/>
    <w:rsid w:val="000E7474"/>
    <w:rsid w:val="000E7E7C"/>
    <w:rsid w:val="000F0BF8"/>
    <w:rsid w:val="000F0DC4"/>
    <w:rsid w:val="000F245A"/>
    <w:rsid w:val="000F2899"/>
    <w:rsid w:val="000F29A5"/>
    <w:rsid w:val="000F2C0C"/>
    <w:rsid w:val="000F2F6A"/>
    <w:rsid w:val="000F3131"/>
    <w:rsid w:val="000F3CA6"/>
    <w:rsid w:val="000F4205"/>
    <w:rsid w:val="000F6838"/>
    <w:rsid w:val="000F7517"/>
    <w:rsid w:val="000F7F6A"/>
    <w:rsid w:val="0010218D"/>
    <w:rsid w:val="001026F5"/>
    <w:rsid w:val="001033F3"/>
    <w:rsid w:val="00104775"/>
    <w:rsid w:val="00105956"/>
    <w:rsid w:val="0010637C"/>
    <w:rsid w:val="00106B25"/>
    <w:rsid w:val="0010746D"/>
    <w:rsid w:val="001074F2"/>
    <w:rsid w:val="00110749"/>
    <w:rsid w:val="0011096F"/>
    <w:rsid w:val="00111700"/>
    <w:rsid w:val="001118E4"/>
    <w:rsid w:val="00111941"/>
    <w:rsid w:val="0011234B"/>
    <w:rsid w:val="00112620"/>
    <w:rsid w:val="001129F2"/>
    <w:rsid w:val="001131D4"/>
    <w:rsid w:val="001133F3"/>
    <w:rsid w:val="00113D07"/>
    <w:rsid w:val="00116C3F"/>
    <w:rsid w:val="00117624"/>
    <w:rsid w:val="00117990"/>
    <w:rsid w:val="001179A4"/>
    <w:rsid w:val="00120089"/>
    <w:rsid w:val="00120991"/>
    <w:rsid w:val="00120E46"/>
    <w:rsid w:val="0012144A"/>
    <w:rsid w:val="00121C60"/>
    <w:rsid w:val="00122463"/>
    <w:rsid w:val="001225B5"/>
    <w:rsid w:val="00122AC1"/>
    <w:rsid w:val="00122D74"/>
    <w:rsid w:val="00125C78"/>
    <w:rsid w:val="001262DD"/>
    <w:rsid w:val="00130C8B"/>
    <w:rsid w:val="00130DBB"/>
    <w:rsid w:val="00131987"/>
    <w:rsid w:val="00131A22"/>
    <w:rsid w:val="00132380"/>
    <w:rsid w:val="00132655"/>
    <w:rsid w:val="00133EA7"/>
    <w:rsid w:val="0013408E"/>
    <w:rsid w:val="00134D2C"/>
    <w:rsid w:val="00135D27"/>
    <w:rsid w:val="00136A38"/>
    <w:rsid w:val="00136E42"/>
    <w:rsid w:val="00137861"/>
    <w:rsid w:val="0014073D"/>
    <w:rsid w:val="0014091C"/>
    <w:rsid w:val="00140CCA"/>
    <w:rsid w:val="00141981"/>
    <w:rsid w:val="00141FCA"/>
    <w:rsid w:val="00142F60"/>
    <w:rsid w:val="00144499"/>
    <w:rsid w:val="00144EF4"/>
    <w:rsid w:val="00145E2E"/>
    <w:rsid w:val="00146132"/>
    <w:rsid w:val="00150094"/>
    <w:rsid w:val="001503D8"/>
    <w:rsid w:val="001510F0"/>
    <w:rsid w:val="00151CD9"/>
    <w:rsid w:val="00152906"/>
    <w:rsid w:val="00152AE4"/>
    <w:rsid w:val="001531C1"/>
    <w:rsid w:val="00153E75"/>
    <w:rsid w:val="00154BB9"/>
    <w:rsid w:val="00154DE1"/>
    <w:rsid w:val="001552FF"/>
    <w:rsid w:val="001570E3"/>
    <w:rsid w:val="00157453"/>
    <w:rsid w:val="00157779"/>
    <w:rsid w:val="00160455"/>
    <w:rsid w:val="001606CF"/>
    <w:rsid w:val="001606F4"/>
    <w:rsid w:val="0016128D"/>
    <w:rsid w:val="00162429"/>
    <w:rsid w:val="0016274C"/>
    <w:rsid w:val="0016294B"/>
    <w:rsid w:val="00162D7F"/>
    <w:rsid w:val="0016317E"/>
    <w:rsid w:val="00163D48"/>
    <w:rsid w:val="00164ABD"/>
    <w:rsid w:val="00164CD5"/>
    <w:rsid w:val="00164D7C"/>
    <w:rsid w:val="001655B4"/>
    <w:rsid w:val="00165B3B"/>
    <w:rsid w:val="00165D0F"/>
    <w:rsid w:val="0017038D"/>
    <w:rsid w:val="0017089D"/>
    <w:rsid w:val="00171329"/>
    <w:rsid w:val="00171A2B"/>
    <w:rsid w:val="00171CED"/>
    <w:rsid w:val="00171EE3"/>
    <w:rsid w:val="00171FDD"/>
    <w:rsid w:val="001726AA"/>
    <w:rsid w:val="00172B2D"/>
    <w:rsid w:val="00173BA1"/>
    <w:rsid w:val="001751EC"/>
    <w:rsid w:val="00175F51"/>
    <w:rsid w:val="0017625A"/>
    <w:rsid w:val="0017732D"/>
    <w:rsid w:val="001778A4"/>
    <w:rsid w:val="00180421"/>
    <w:rsid w:val="00181ABB"/>
    <w:rsid w:val="00182706"/>
    <w:rsid w:val="00182AB9"/>
    <w:rsid w:val="00182F89"/>
    <w:rsid w:val="001834DE"/>
    <w:rsid w:val="00184A44"/>
    <w:rsid w:val="00185F83"/>
    <w:rsid w:val="001864C0"/>
    <w:rsid w:val="0018671A"/>
    <w:rsid w:val="00187538"/>
    <w:rsid w:val="001879D8"/>
    <w:rsid w:val="00187A71"/>
    <w:rsid w:val="00187C88"/>
    <w:rsid w:val="00187FDC"/>
    <w:rsid w:val="00190035"/>
    <w:rsid w:val="001905E1"/>
    <w:rsid w:val="00190990"/>
    <w:rsid w:val="00190A8F"/>
    <w:rsid w:val="0019101A"/>
    <w:rsid w:val="0019179A"/>
    <w:rsid w:val="00191850"/>
    <w:rsid w:val="001920A8"/>
    <w:rsid w:val="001929A5"/>
    <w:rsid w:val="00192B64"/>
    <w:rsid w:val="00193314"/>
    <w:rsid w:val="00193690"/>
    <w:rsid w:val="001938BA"/>
    <w:rsid w:val="00193A06"/>
    <w:rsid w:val="00193CF0"/>
    <w:rsid w:val="0019457D"/>
    <w:rsid w:val="001959F7"/>
    <w:rsid w:val="0019737E"/>
    <w:rsid w:val="00197A4B"/>
    <w:rsid w:val="001A1862"/>
    <w:rsid w:val="001A2258"/>
    <w:rsid w:val="001A2FA7"/>
    <w:rsid w:val="001A376F"/>
    <w:rsid w:val="001A47BF"/>
    <w:rsid w:val="001A4860"/>
    <w:rsid w:val="001A523B"/>
    <w:rsid w:val="001A5878"/>
    <w:rsid w:val="001A6728"/>
    <w:rsid w:val="001A6F84"/>
    <w:rsid w:val="001B0E7D"/>
    <w:rsid w:val="001B1067"/>
    <w:rsid w:val="001B12F7"/>
    <w:rsid w:val="001B13BA"/>
    <w:rsid w:val="001B2F93"/>
    <w:rsid w:val="001B3297"/>
    <w:rsid w:val="001B3BDA"/>
    <w:rsid w:val="001B459D"/>
    <w:rsid w:val="001B48E5"/>
    <w:rsid w:val="001B4E99"/>
    <w:rsid w:val="001B50C2"/>
    <w:rsid w:val="001B54B5"/>
    <w:rsid w:val="001B591D"/>
    <w:rsid w:val="001B7CBF"/>
    <w:rsid w:val="001C0BE0"/>
    <w:rsid w:val="001C21D2"/>
    <w:rsid w:val="001C2812"/>
    <w:rsid w:val="001C2ECB"/>
    <w:rsid w:val="001C358D"/>
    <w:rsid w:val="001C3B6F"/>
    <w:rsid w:val="001C441A"/>
    <w:rsid w:val="001C4ED2"/>
    <w:rsid w:val="001C5AF3"/>
    <w:rsid w:val="001C5B13"/>
    <w:rsid w:val="001C5DA7"/>
    <w:rsid w:val="001C5DD3"/>
    <w:rsid w:val="001C622A"/>
    <w:rsid w:val="001C684B"/>
    <w:rsid w:val="001D052C"/>
    <w:rsid w:val="001D088D"/>
    <w:rsid w:val="001D0DA5"/>
    <w:rsid w:val="001D1074"/>
    <w:rsid w:val="001D16BA"/>
    <w:rsid w:val="001D18CF"/>
    <w:rsid w:val="001D2869"/>
    <w:rsid w:val="001D3305"/>
    <w:rsid w:val="001D3844"/>
    <w:rsid w:val="001D49EC"/>
    <w:rsid w:val="001D4EAA"/>
    <w:rsid w:val="001D5AED"/>
    <w:rsid w:val="001D605A"/>
    <w:rsid w:val="001D6F27"/>
    <w:rsid w:val="001D78ED"/>
    <w:rsid w:val="001D7B4F"/>
    <w:rsid w:val="001E00F5"/>
    <w:rsid w:val="001E0845"/>
    <w:rsid w:val="001E098F"/>
    <w:rsid w:val="001E0D97"/>
    <w:rsid w:val="001E10C9"/>
    <w:rsid w:val="001E11FD"/>
    <w:rsid w:val="001E1245"/>
    <w:rsid w:val="001E20FC"/>
    <w:rsid w:val="001E2660"/>
    <w:rsid w:val="001E3990"/>
    <w:rsid w:val="001E4E55"/>
    <w:rsid w:val="001E6160"/>
    <w:rsid w:val="001E665A"/>
    <w:rsid w:val="001E789A"/>
    <w:rsid w:val="001E7A82"/>
    <w:rsid w:val="001F0AB4"/>
    <w:rsid w:val="001F1318"/>
    <w:rsid w:val="001F246E"/>
    <w:rsid w:val="001F2D7B"/>
    <w:rsid w:val="001F3299"/>
    <w:rsid w:val="001F33FE"/>
    <w:rsid w:val="001F4C8A"/>
    <w:rsid w:val="001F4F44"/>
    <w:rsid w:val="001F71A7"/>
    <w:rsid w:val="001F76E3"/>
    <w:rsid w:val="001F79A0"/>
    <w:rsid w:val="001F7A52"/>
    <w:rsid w:val="001F7FA3"/>
    <w:rsid w:val="001F7FD1"/>
    <w:rsid w:val="002000C9"/>
    <w:rsid w:val="00200594"/>
    <w:rsid w:val="002007B1"/>
    <w:rsid w:val="00200BE2"/>
    <w:rsid w:val="002044D6"/>
    <w:rsid w:val="00204E0A"/>
    <w:rsid w:val="002053CF"/>
    <w:rsid w:val="00206A52"/>
    <w:rsid w:val="00206F04"/>
    <w:rsid w:val="00207CBD"/>
    <w:rsid w:val="00207FE6"/>
    <w:rsid w:val="002100EA"/>
    <w:rsid w:val="002117CE"/>
    <w:rsid w:val="00211809"/>
    <w:rsid w:val="00211B42"/>
    <w:rsid w:val="00211C73"/>
    <w:rsid w:val="00212125"/>
    <w:rsid w:val="0021262B"/>
    <w:rsid w:val="00212A3A"/>
    <w:rsid w:val="00213B2F"/>
    <w:rsid w:val="00214FBA"/>
    <w:rsid w:val="00215007"/>
    <w:rsid w:val="00215256"/>
    <w:rsid w:val="0021528C"/>
    <w:rsid w:val="00215DC4"/>
    <w:rsid w:val="002175AC"/>
    <w:rsid w:val="0021790B"/>
    <w:rsid w:val="00217C91"/>
    <w:rsid w:val="00217D8E"/>
    <w:rsid w:val="002204C3"/>
    <w:rsid w:val="002207E5"/>
    <w:rsid w:val="00220885"/>
    <w:rsid w:val="0022190E"/>
    <w:rsid w:val="00221DC0"/>
    <w:rsid w:val="002226CF"/>
    <w:rsid w:val="00225A72"/>
    <w:rsid w:val="00225ECF"/>
    <w:rsid w:val="00226431"/>
    <w:rsid w:val="0022754A"/>
    <w:rsid w:val="00230334"/>
    <w:rsid w:val="00231049"/>
    <w:rsid w:val="002314C7"/>
    <w:rsid w:val="002314D2"/>
    <w:rsid w:val="00231626"/>
    <w:rsid w:val="00233318"/>
    <w:rsid w:val="0023333E"/>
    <w:rsid w:val="0023378D"/>
    <w:rsid w:val="00233A8D"/>
    <w:rsid w:val="00233C20"/>
    <w:rsid w:val="002343B4"/>
    <w:rsid w:val="002361E1"/>
    <w:rsid w:val="00236208"/>
    <w:rsid w:val="0023663C"/>
    <w:rsid w:val="002367D7"/>
    <w:rsid w:val="00236C1B"/>
    <w:rsid w:val="002372A6"/>
    <w:rsid w:val="00237EEA"/>
    <w:rsid w:val="00242116"/>
    <w:rsid w:val="00242203"/>
    <w:rsid w:val="002423E8"/>
    <w:rsid w:val="00242433"/>
    <w:rsid w:val="00242757"/>
    <w:rsid w:val="00243054"/>
    <w:rsid w:val="002436EB"/>
    <w:rsid w:val="0024457A"/>
    <w:rsid w:val="00245780"/>
    <w:rsid w:val="00245EA2"/>
    <w:rsid w:val="00246102"/>
    <w:rsid w:val="0024637B"/>
    <w:rsid w:val="002467F2"/>
    <w:rsid w:val="00246862"/>
    <w:rsid w:val="00246C37"/>
    <w:rsid w:val="00246DC9"/>
    <w:rsid w:val="0024744F"/>
    <w:rsid w:val="0024772A"/>
    <w:rsid w:val="00247CB4"/>
    <w:rsid w:val="00250159"/>
    <w:rsid w:val="0025039B"/>
    <w:rsid w:val="00250796"/>
    <w:rsid w:val="002507DB"/>
    <w:rsid w:val="002510E5"/>
    <w:rsid w:val="00251D44"/>
    <w:rsid w:val="002525F8"/>
    <w:rsid w:val="002535E4"/>
    <w:rsid w:val="00253883"/>
    <w:rsid w:val="00253EB6"/>
    <w:rsid w:val="002543C8"/>
    <w:rsid w:val="00255889"/>
    <w:rsid w:val="00255C59"/>
    <w:rsid w:val="00256161"/>
    <w:rsid w:val="00256AA8"/>
    <w:rsid w:val="00257AEE"/>
    <w:rsid w:val="00260803"/>
    <w:rsid w:val="0026112E"/>
    <w:rsid w:val="00261B76"/>
    <w:rsid w:val="0026278E"/>
    <w:rsid w:val="002629AA"/>
    <w:rsid w:val="00262BBD"/>
    <w:rsid w:val="00262C52"/>
    <w:rsid w:val="002637AF"/>
    <w:rsid w:val="00263B6C"/>
    <w:rsid w:val="002652D0"/>
    <w:rsid w:val="00267105"/>
    <w:rsid w:val="00267982"/>
    <w:rsid w:val="00270AC7"/>
    <w:rsid w:val="00270F2F"/>
    <w:rsid w:val="00270F73"/>
    <w:rsid w:val="00272A9C"/>
    <w:rsid w:val="002735E6"/>
    <w:rsid w:val="00273632"/>
    <w:rsid w:val="00273ECA"/>
    <w:rsid w:val="0027566C"/>
    <w:rsid w:val="002758F7"/>
    <w:rsid w:val="0027590B"/>
    <w:rsid w:val="00275D32"/>
    <w:rsid w:val="00275E36"/>
    <w:rsid w:val="00276A63"/>
    <w:rsid w:val="00276EF6"/>
    <w:rsid w:val="00277864"/>
    <w:rsid w:val="002800B6"/>
    <w:rsid w:val="002805B6"/>
    <w:rsid w:val="0028065A"/>
    <w:rsid w:val="00280DF6"/>
    <w:rsid w:val="00280F44"/>
    <w:rsid w:val="00281B86"/>
    <w:rsid w:val="00281DC8"/>
    <w:rsid w:val="00282309"/>
    <w:rsid w:val="00282567"/>
    <w:rsid w:val="00282E5E"/>
    <w:rsid w:val="00283221"/>
    <w:rsid w:val="00283370"/>
    <w:rsid w:val="00283608"/>
    <w:rsid w:val="002837DE"/>
    <w:rsid w:val="00283953"/>
    <w:rsid w:val="002843C5"/>
    <w:rsid w:val="0028517C"/>
    <w:rsid w:val="0028574E"/>
    <w:rsid w:val="00285969"/>
    <w:rsid w:val="00285D93"/>
    <w:rsid w:val="0028669E"/>
    <w:rsid w:val="0028731D"/>
    <w:rsid w:val="0028792D"/>
    <w:rsid w:val="00287A73"/>
    <w:rsid w:val="00287C9F"/>
    <w:rsid w:val="00290626"/>
    <w:rsid w:val="00291BB0"/>
    <w:rsid w:val="00292B07"/>
    <w:rsid w:val="00293083"/>
    <w:rsid w:val="00293810"/>
    <w:rsid w:val="00293F50"/>
    <w:rsid w:val="002940EC"/>
    <w:rsid w:val="0029439E"/>
    <w:rsid w:val="00297083"/>
    <w:rsid w:val="00297112"/>
    <w:rsid w:val="0029747D"/>
    <w:rsid w:val="002976A0"/>
    <w:rsid w:val="002977E2"/>
    <w:rsid w:val="002A05A8"/>
    <w:rsid w:val="002A0783"/>
    <w:rsid w:val="002A08DB"/>
    <w:rsid w:val="002A1917"/>
    <w:rsid w:val="002A1A14"/>
    <w:rsid w:val="002A1CFE"/>
    <w:rsid w:val="002A22FD"/>
    <w:rsid w:val="002A23C6"/>
    <w:rsid w:val="002A2494"/>
    <w:rsid w:val="002A28A6"/>
    <w:rsid w:val="002A2FB3"/>
    <w:rsid w:val="002A3142"/>
    <w:rsid w:val="002A3D1A"/>
    <w:rsid w:val="002A3DE7"/>
    <w:rsid w:val="002A70FE"/>
    <w:rsid w:val="002A79EA"/>
    <w:rsid w:val="002A7A18"/>
    <w:rsid w:val="002A7CCC"/>
    <w:rsid w:val="002A7D71"/>
    <w:rsid w:val="002B098A"/>
    <w:rsid w:val="002B099E"/>
    <w:rsid w:val="002B0AAC"/>
    <w:rsid w:val="002B18EC"/>
    <w:rsid w:val="002B1D08"/>
    <w:rsid w:val="002B3829"/>
    <w:rsid w:val="002B3FE2"/>
    <w:rsid w:val="002B4B06"/>
    <w:rsid w:val="002B4B38"/>
    <w:rsid w:val="002B4D4D"/>
    <w:rsid w:val="002B4E37"/>
    <w:rsid w:val="002B57C7"/>
    <w:rsid w:val="002B5C39"/>
    <w:rsid w:val="002B5E91"/>
    <w:rsid w:val="002B6AE0"/>
    <w:rsid w:val="002B6E84"/>
    <w:rsid w:val="002B7E05"/>
    <w:rsid w:val="002C06E5"/>
    <w:rsid w:val="002C070B"/>
    <w:rsid w:val="002C1065"/>
    <w:rsid w:val="002C1C3B"/>
    <w:rsid w:val="002C247B"/>
    <w:rsid w:val="002C2516"/>
    <w:rsid w:val="002C2618"/>
    <w:rsid w:val="002C2FEE"/>
    <w:rsid w:val="002C3115"/>
    <w:rsid w:val="002C462C"/>
    <w:rsid w:val="002C494E"/>
    <w:rsid w:val="002C6930"/>
    <w:rsid w:val="002C6CEB"/>
    <w:rsid w:val="002C6D17"/>
    <w:rsid w:val="002C6EED"/>
    <w:rsid w:val="002D07F3"/>
    <w:rsid w:val="002D0A13"/>
    <w:rsid w:val="002D15C8"/>
    <w:rsid w:val="002D16D9"/>
    <w:rsid w:val="002D18D4"/>
    <w:rsid w:val="002D1916"/>
    <w:rsid w:val="002D1EA5"/>
    <w:rsid w:val="002D23A4"/>
    <w:rsid w:val="002D2BB9"/>
    <w:rsid w:val="002D42B6"/>
    <w:rsid w:val="002D488F"/>
    <w:rsid w:val="002D5257"/>
    <w:rsid w:val="002D5AC6"/>
    <w:rsid w:val="002D5DB0"/>
    <w:rsid w:val="002D5FE7"/>
    <w:rsid w:val="002D607A"/>
    <w:rsid w:val="002D6E25"/>
    <w:rsid w:val="002D7031"/>
    <w:rsid w:val="002E0793"/>
    <w:rsid w:val="002E1A47"/>
    <w:rsid w:val="002E1D89"/>
    <w:rsid w:val="002E2329"/>
    <w:rsid w:val="002E33CE"/>
    <w:rsid w:val="002E3870"/>
    <w:rsid w:val="002E4502"/>
    <w:rsid w:val="002E4D58"/>
    <w:rsid w:val="002E4E78"/>
    <w:rsid w:val="002E4F23"/>
    <w:rsid w:val="002E50CA"/>
    <w:rsid w:val="002E56E1"/>
    <w:rsid w:val="002E5B48"/>
    <w:rsid w:val="002E6143"/>
    <w:rsid w:val="002E6D78"/>
    <w:rsid w:val="002E7326"/>
    <w:rsid w:val="002E7527"/>
    <w:rsid w:val="002E761D"/>
    <w:rsid w:val="002F0105"/>
    <w:rsid w:val="002F115F"/>
    <w:rsid w:val="002F1700"/>
    <w:rsid w:val="002F2967"/>
    <w:rsid w:val="002F2B6E"/>
    <w:rsid w:val="002F2B76"/>
    <w:rsid w:val="002F349A"/>
    <w:rsid w:val="002F3A58"/>
    <w:rsid w:val="002F3D13"/>
    <w:rsid w:val="002F3D3E"/>
    <w:rsid w:val="002F44D1"/>
    <w:rsid w:val="002F458B"/>
    <w:rsid w:val="002F4BA5"/>
    <w:rsid w:val="002F5261"/>
    <w:rsid w:val="002F5687"/>
    <w:rsid w:val="002F5F09"/>
    <w:rsid w:val="002F617F"/>
    <w:rsid w:val="002F6C91"/>
    <w:rsid w:val="002F7632"/>
    <w:rsid w:val="002F78C4"/>
    <w:rsid w:val="002F79D0"/>
    <w:rsid w:val="00300C71"/>
    <w:rsid w:val="00300CA6"/>
    <w:rsid w:val="00302501"/>
    <w:rsid w:val="00302F7D"/>
    <w:rsid w:val="0030793F"/>
    <w:rsid w:val="00307A97"/>
    <w:rsid w:val="0031001D"/>
    <w:rsid w:val="00310769"/>
    <w:rsid w:val="00310E04"/>
    <w:rsid w:val="003113DF"/>
    <w:rsid w:val="003122F4"/>
    <w:rsid w:val="00312B6E"/>
    <w:rsid w:val="00312BCC"/>
    <w:rsid w:val="0031401B"/>
    <w:rsid w:val="003161A7"/>
    <w:rsid w:val="00316835"/>
    <w:rsid w:val="00316DD7"/>
    <w:rsid w:val="00317478"/>
    <w:rsid w:val="00320292"/>
    <w:rsid w:val="00320BC1"/>
    <w:rsid w:val="0032132F"/>
    <w:rsid w:val="0032438E"/>
    <w:rsid w:val="00325ED9"/>
    <w:rsid w:val="003268D5"/>
    <w:rsid w:val="00326D50"/>
    <w:rsid w:val="0032788D"/>
    <w:rsid w:val="00327D9C"/>
    <w:rsid w:val="00327EAE"/>
    <w:rsid w:val="00331241"/>
    <w:rsid w:val="00331DC4"/>
    <w:rsid w:val="00332E29"/>
    <w:rsid w:val="00333881"/>
    <w:rsid w:val="00333A53"/>
    <w:rsid w:val="00334322"/>
    <w:rsid w:val="00334ECB"/>
    <w:rsid w:val="00335298"/>
    <w:rsid w:val="00335754"/>
    <w:rsid w:val="00337E99"/>
    <w:rsid w:val="00340752"/>
    <w:rsid w:val="00340E24"/>
    <w:rsid w:val="00341306"/>
    <w:rsid w:val="003421FB"/>
    <w:rsid w:val="003423D1"/>
    <w:rsid w:val="00342FD0"/>
    <w:rsid w:val="00343687"/>
    <w:rsid w:val="003436B6"/>
    <w:rsid w:val="003446A1"/>
    <w:rsid w:val="00344779"/>
    <w:rsid w:val="00344E32"/>
    <w:rsid w:val="00345725"/>
    <w:rsid w:val="00345C01"/>
    <w:rsid w:val="00345EEB"/>
    <w:rsid w:val="0034635F"/>
    <w:rsid w:val="00347AC8"/>
    <w:rsid w:val="00347D98"/>
    <w:rsid w:val="003505F0"/>
    <w:rsid w:val="003522A2"/>
    <w:rsid w:val="00352449"/>
    <w:rsid w:val="00353879"/>
    <w:rsid w:val="003539E6"/>
    <w:rsid w:val="00353D00"/>
    <w:rsid w:val="003540FD"/>
    <w:rsid w:val="00354597"/>
    <w:rsid w:val="00354C0C"/>
    <w:rsid w:val="00354D27"/>
    <w:rsid w:val="00354FBB"/>
    <w:rsid w:val="00355227"/>
    <w:rsid w:val="0035550F"/>
    <w:rsid w:val="00355557"/>
    <w:rsid w:val="00355CF4"/>
    <w:rsid w:val="00357049"/>
    <w:rsid w:val="003603CC"/>
    <w:rsid w:val="00360636"/>
    <w:rsid w:val="00360A25"/>
    <w:rsid w:val="0036169B"/>
    <w:rsid w:val="003616D8"/>
    <w:rsid w:val="00361FBF"/>
    <w:rsid w:val="00363E29"/>
    <w:rsid w:val="0036415D"/>
    <w:rsid w:val="00364284"/>
    <w:rsid w:val="003642B0"/>
    <w:rsid w:val="003642EE"/>
    <w:rsid w:val="00365D6D"/>
    <w:rsid w:val="00365F7D"/>
    <w:rsid w:val="00366DCD"/>
    <w:rsid w:val="00371B75"/>
    <w:rsid w:val="00372A83"/>
    <w:rsid w:val="00373B81"/>
    <w:rsid w:val="00374140"/>
    <w:rsid w:val="0037492F"/>
    <w:rsid w:val="0037540E"/>
    <w:rsid w:val="003756C5"/>
    <w:rsid w:val="00375800"/>
    <w:rsid w:val="00376682"/>
    <w:rsid w:val="00376F17"/>
    <w:rsid w:val="00377664"/>
    <w:rsid w:val="00377E9B"/>
    <w:rsid w:val="0038081A"/>
    <w:rsid w:val="00380B3A"/>
    <w:rsid w:val="00380D11"/>
    <w:rsid w:val="003814E4"/>
    <w:rsid w:val="003824B0"/>
    <w:rsid w:val="003829A1"/>
    <w:rsid w:val="003831C7"/>
    <w:rsid w:val="003839F0"/>
    <w:rsid w:val="00383D24"/>
    <w:rsid w:val="00384092"/>
    <w:rsid w:val="00384C2D"/>
    <w:rsid w:val="00385456"/>
    <w:rsid w:val="003858A6"/>
    <w:rsid w:val="003858F3"/>
    <w:rsid w:val="00385E10"/>
    <w:rsid w:val="003863EB"/>
    <w:rsid w:val="00386832"/>
    <w:rsid w:val="00386E24"/>
    <w:rsid w:val="0038772C"/>
    <w:rsid w:val="0038775D"/>
    <w:rsid w:val="00387B90"/>
    <w:rsid w:val="00391819"/>
    <w:rsid w:val="003925F4"/>
    <w:rsid w:val="00392DCC"/>
    <w:rsid w:val="003940C2"/>
    <w:rsid w:val="003941C4"/>
    <w:rsid w:val="0039499F"/>
    <w:rsid w:val="003970DF"/>
    <w:rsid w:val="0039742D"/>
    <w:rsid w:val="003974D7"/>
    <w:rsid w:val="00397881"/>
    <w:rsid w:val="003A048E"/>
    <w:rsid w:val="003A05B3"/>
    <w:rsid w:val="003A10E4"/>
    <w:rsid w:val="003A15A2"/>
    <w:rsid w:val="003A19ED"/>
    <w:rsid w:val="003A2AD6"/>
    <w:rsid w:val="003A2F12"/>
    <w:rsid w:val="003A352B"/>
    <w:rsid w:val="003A3A9F"/>
    <w:rsid w:val="003A3D42"/>
    <w:rsid w:val="003A492A"/>
    <w:rsid w:val="003A6698"/>
    <w:rsid w:val="003A7BC3"/>
    <w:rsid w:val="003B0217"/>
    <w:rsid w:val="003B0A2D"/>
    <w:rsid w:val="003B1229"/>
    <w:rsid w:val="003B1AB2"/>
    <w:rsid w:val="003B1B80"/>
    <w:rsid w:val="003B1F11"/>
    <w:rsid w:val="003B463B"/>
    <w:rsid w:val="003B489D"/>
    <w:rsid w:val="003B6241"/>
    <w:rsid w:val="003C040C"/>
    <w:rsid w:val="003C1C14"/>
    <w:rsid w:val="003C25CA"/>
    <w:rsid w:val="003C2B64"/>
    <w:rsid w:val="003C2B6D"/>
    <w:rsid w:val="003C4870"/>
    <w:rsid w:val="003C598F"/>
    <w:rsid w:val="003C6357"/>
    <w:rsid w:val="003C729F"/>
    <w:rsid w:val="003D05FC"/>
    <w:rsid w:val="003D08AC"/>
    <w:rsid w:val="003D12CC"/>
    <w:rsid w:val="003D2F47"/>
    <w:rsid w:val="003D4855"/>
    <w:rsid w:val="003D4B23"/>
    <w:rsid w:val="003D4D7E"/>
    <w:rsid w:val="003D4E65"/>
    <w:rsid w:val="003D665C"/>
    <w:rsid w:val="003D6D11"/>
    <w:rsid w:val="003D6F70"/>
    <w:rsid w:val="003D6F8B"/>
    <w:rsid w:val="003E0DD4"/>
    <w:rsid w:val="003E1F2B"/>
    <w:rsid w:val="003E23FD"/>
    <w:rsid w:val="003E2566"/>
    <w:rsid w:val="003E4AE4"/>
    <w:rsid w:val="003E4D87"/>
    <w:rsid w:val="003E5D65"/>
    <w:rsid w:val="003E643F"/>
    <w:rsid w:val="003F0445"/>
    <w:rsid w:val="003F1149"/>
    <w:rsid w:val="003F1D19"/>
    <w:rsid w:val="003F1DCD"/>
    <w:rsid w:val="003F24EE"/>
    <w:rsid w:val="003F2B15"/>
    <w:rsid w:val="003F2C64"/>
    <w:rsid w:val="003F2CFD"/>
    <w:rsid w:val="003F3076"/>
    <w:rsid w:val="003F367A"/>
    <w:rsid w:val="003F391D"/>
    <w:rsid w:val="003F4539"/>
    <w:rsid w:val="003F5E24"/>
    <w:rsid w:val="003F71F2"/>
    <w:rsid w:val="003F744E"/>
    <w:rsid w:val="003F75E6"/>
    <w:rsid w:val="003F790F"/>
    <w:rsid w:val="00400490"/>
    <w:rsid w:val="0040053F"/>
    <w:rsid w:val="004005CA"/>
    <w:rsid w:val="0040209B"/>
    <w:rsid w:val="004026A2"/>
    <w:rsid w:val="00402A8B"/>
    <w:rsid w:val="00403A8B"/>
    <w:rsid w:val="00404046"/>
    <w:rsid w:val="00404269"/>
    <w:rsid w:val="0040449F"/>
    <w:rsid w:val="00405379"/>
    <w:rsid w:val="004056DF"/>
    <w:rsid w:val="00405D4B"/>
    <w:rsid w:val="00405E00"/>
    <w:rsid w:val="0040606A"/>
    <w:rsid w:val="0040703F"/>
    <w:rsid w:val="00407DDC"/>
    <w:rsid w:val="00410947"/>
    <w:rsid w:val="004110A9"/>
    <w:rsid w:val="00412543"/>
    <w:rsid w:val="00413175"/>
    <w:rsid w:val="004135F2"/>
    <w:rsid w:val="00415415"/>
    <w:rsid w:val="00416559"/>
    <w:rsid w:val="00416762"/>
    <w:rsid w:val="00417137"/>
    <w:rsid w:val="00417B0E"/>
    <w:rsid w:val="00417C64"/>
    <w:rsid w:val="0042028F"/>
    <w:rsid w:val="00420AD2"/>
    <w:rsid w:val="00420C64"/>
    <w:rsid w:val="004212FB"/>
    <w:rsid w:val="00421351"/>
    <w:rsid w:val="004214A8"/>
    <w:rsid w:val="004239AB"/>
    <w:rsid w:val="004250F3"/>
    <w:rsid w:val="00425893"/>
    <w:rsid w:val="00425AC7"/>
    <w:rsid w:val="00425EE2"/>
    <w:rsid w:val="004262ED"/>
    <w:rsid w:val="00427F49"/>
    <w:rsid w:val="004303BE"/>
    <w:rsid w:val="0043137B"/>
    <w:rsid w:val="00431AB4"/>
    <w:rsid w:val="00432DA7"/>
    <w:rsid w:val="00433008"/>
    <w:rsid w:val="0043327F"/>
    <w:rsid w:val="00433BDB"/>
    <w:rsid w:val="00435400"/>
    <w:rsid w:val="0043687A"/>
    <w:rsid w:val="00436FAD"/>
    <w:rsid w:val="0043722A"/>
    <w:rsid w:val="00441766"/>
    <w:rsid w:val="00441857"/>
    <w:rsid w:val="0044191F"/>
    <w:rsid w:val="00441B9D"/>
    <w:rsid w:val="004433E2"/>
    <w:rsid w:val="0044389A"/>
    <w:rsid w:val="00444552"/>
    <w:rsid w:val="00445265"/>
    <w:rsid w:val="004466A1"/>
    <w:rsid w:val="00451843"/>
    <w:rsid w:val="00451F36"/>
    <w:rsid w:val="00452CA2"/>
    <w:rsid w:val="004542BC"/>
    <w:rsid w:val="00454D43"/>
    <w:rsid w:val="00454E2B"/>
    <w:rsid w:val="00455638"/>
    <w:rsid w:val="004557B7"/>
    <w:rsid w:val="004559AD"/>
    <w:rsid w:val="004559CE"/>
    <w:rsid w:val="00456AD9"/>
    <w:rsid w:val="0045730D"/>
    <w:rsid w:val="00457682"/>
    <w:rsid w:val="00460757"/>
    <w:rsid w:val="004616FD"/>
    <w:rsid w:val="00461EB4"/>
    <w:rsid w:val="00461FB1"/>
    <w:rsid w:val="004627C7"/>
    <w:rsid w:val="004634C0"/>
    <w:rsid w:val="00463523"/>
    <w:rsid w:val="004644D1"/>
    <w:rsid w:val="00464F8E"/>
    <w:rsid w:val="004663B0"/>
    <w:rsid w:val="0046653E"/>
    <w:rsid w:val="00466726"/>
    <w:rsid w:val="0046736D"/>
    <w:rsid w:val="00467403"/>
    <w:rsid w:val="00467FF8"/>
    <w:rsid w:val="00470438"/>
    <w:rsid w:val="004710DE"/>
    <w:rsid w:val="00472ED7"/>
    <w:rsid w:val="00473457"/>
    <w:rsid w:val="004734DF"/>
    <w:rsid w:val="0047529D"/>
    <w:rsid w:val="0047566F"/>
    <w:rsid w:val="004756C7"/>
    <w:rsid w:val="00475B7B"/>
    <w:rsid w:val="00475F4D"/>
    <w:rsid w:val="0047671B"/>
    <w:rsid w:val="00476746"/>
    <w:rsid w:val="004800AA"/>
    <w:rsid w:val="00480900"/>
    <w:rsid w:val="00480A74"/>
    <w:rsid w:val="0048109F"/>
    <w:rsid w:val="00482277"/>
    <w:rsid w:val="00482751"/>
    <w:rsid w:val="00482AD1"/>
    <w:rsid w:val="00483049"/>
    <w:rsid w:val="004836A0"/>
    <w:rsid w:val="0048394F"/>
    <w:rsid w:val="00484155"/>
    <w:rsid w:val="00484905"/>
    <w:rsid w:val="00485081"/>
    <w:rsid w:val="00486338"/>
    <w:rsid w:val="004864E0"/>
    <w:rsid w:val="00486BBE"/>
    <w:rsid w:val="00486F37"/>
    <w:rsid w:val="00487651"/>
    <w:rsid w:val="00490EE2"/>
    <w:rsid w:val="00491DE1"/>
    <w:rsid w:val="00492127"/>
    <w:rsid w:val="00492C19"/>
    <w:rsid w:val="00492C5A"/>
    <w:rsid w:val="00492FCB"/>
    <w:rsid w:val="004937BE"/>
    <w:rsid w:val="004938D1"/>
    <w:rsid w:val="0049465B"/>
    <w:rsid w:val="00495095"/>
    <w:rsid w:val="004950D2"/>
    <w:rsid w:val="004951A8"/>
    <w:rsid w:val="00495B99"/>
    <w:rsid w:val="004964BD"/>
    <w:rsid w:val="00496630"/>
    <w:rsid w:val="00496F92"/>
    <w:rsid w:val="00497435"/>
    <w:rsid w:val="00497BFA"/>
    <w:rsid w:val="004A15FB"/>
    <w:rsid w:val="004A280F"/>
    <w:rsid w:val="004A3287"/>
    <w:rsid w:val="004A37C5"/>
    <w:rsid w:val="004A4AB3"/>
    <w:rsid w:val="004A5A5C"/>
    <w:rsid w:val="004A615D"/>
    <w:rsid w:val="004A6ED7"/>
    <w:rsid w:val="004A7586"/>
    <w:rsid w:val="004A7A68"/>
    <w:rsid w:val="004A7BC2"/>
    <w:rsid w:val="004A7ED5"/>
    <w:rsid w:val="004B13A4"/>
    <w:rsid w:val="004B2880"/>
    <w:rsid w:val="004B3504"/>
    <w:rsid w:val="004B40AC"/>
    <w:rsid w:val="004B4726"/>
    <w:rsid w:val="004B4943"/>
    <w:rsid w:val="004B78DD"/>
    <w:rsid w:val="004B7D63"/>
    <w:rsid w:val="004B7D90"/>
    <w:rsid w:val="004C0209"/>
    <w:rsid w:val="004C04F4"/>
    <w:rsid w:val="004C2020"/>
    <w:rsid w:val="004C288E"/>
    <w:rsid w:val="004C30E0"/>
    <w:rsid w:val="004C3E0E"/>
    <w:rsid w:val="004C4509"/>
    <w:rsid w:val="004C561B"/>
    <w:rsid w:val="004C65F6"/>
    <w:rsid w:val="004C66A5"/>
    <w:rsid w:val="004C6D6D"/>
    <w:rsid w:val="004C6E48"/>
    <w:rsid w:val="004C79FE"/>
    <w:rsid w:val="004D074D"/>
    <w:rsid w:val="004D0E23"/>
    <w:rsid w:val="004D0E4D"/>
    <w:rsid w:val="004D262D"/>
    <w:rsid w:val="004D2907"/>
    <w:rsid w:val="004D30AF"/>
    <w:rsid w:val="004D3396"/>
    <w:rsid w:val="004D37FA"/>
    <w:rsid w:val="004D40A7"/>
    <w:rsid w:val="004D4651"/>
    <w:rsid w:val="004D484E"/>
    <w:rsid w:val="004D4A6C"/>
    <w:rsid w:val="004D501F"/>
    <w:rsid w:val="004D6323"/>
    <w:rsid w:val="004D7573"/>
    <w:rsid w:val="004E0206"/>
    <w:rsid w:val="004E0AAF"/>
    <w:rsid w:val="004E0EBE"/>
    <w:rsid w:val="004E1BC2"/>
    <w:rsid w:val="004E1E72"/>
    <w:rsid w:val="004E3772"/>
    <w:rsid w:val="004E3E12"/>
    <w:rsid w:val="004E4138"/>
    <w:rsid w:val="004E4A1D"/>
    <w:rsid w:val="004E5C0C"/>
    <w:rsid w:val="004E71DD"/>
    <w:rsid w:val="004E7C28"/>
    <w:rsid w:val="004F06AE"/>
    <w:rsid w:val="004F0C21"/>
    <w:rsid w:val="004F0E26"/>
    <w:rsid w:val="004F0E76"/>
    <w:rsid w:val="004F1164"/>
    <w:rsid w:val="004F1EF1"/>
    <w:rsid w:val="004F3021"/>
    <w:rsid w:val="004F3ADA"/>
    <w:rsid w:val="004F3B8B"/>
    <w:rsid w:val="004F47B4"/>
    <w:rsid w:val="004F6E7E"/>
    <w:rsid w:val="004F6ED0"/>
    <w:rsid w:val="004F7D7F"/>
    <w:rsid w:val="005000D5"/>
    <w:rsid w:val="005009AC"/>
    <w:rsid w:val="00500A0F"/>
    <w:rsid w:val="00500CBD"/>
    <w:rsid w:val="00501A66"/>
    <w:rsid w:val="00501D70"/>
    <w:rsid w:val="0050205F"/>
    <w:rsid w:val="005020C8"/>
    <w:rsid w:val="005024BE"/>
    <w:rsid w:val="00503095"/>
    <w:rsid w:val="0050338C"/>
    <w:rsid w:val="00504720"/>
    <w:rsid w:val="00504CB6"/>
    <w:rsid w:val="00505E48"/>
    <w:rsid w:val="005060D7"/>
    <w:rsid w:val="00506838"/>
    <w:rsid w:val="00506BBF"/>
    <w:rsid w:val="00507E0B"/>
    <w:rsid w:val="0051083B"/>
    <w:rsid w:val="005108CC"/>
    <w:rsid w:val="0051097A"/>
    <w:rsid w:val="00511C15"/>
    <w:rsid w:val="0051215E"/>
    <w:rsid w:val="00512BEE"/>
    <w:rsid w:val="00512C59"/>
    <w:rsid w:val="00512CD5"/>
    <w:rsid w:val="00512F19"/>
    <w:rsid w:val="00516785"/>
    <w:rsid w:val="00521852"/>
    <w:rsid w:val="00522212"/>
    <w:rsid w:val="00523209"/>
    <w:rsid w:val="00523554"/>
    <w:rsid w:val="00523AFE"/>
    <w:rsid w:val="00523FF8"/>
    <w:rsid w:val="0052419D"/>
    <w:rsid w:val="005246AE"/>
    <w:rsid w:val="00524745"/>
    <w:rsid w:val="00524777"/>
    <w:rsid w:val="00524CD7"/>
    <w:rsid w:val="005250AD"/>
    <w:rsid w:val="00525D7C"/>
    <w:rsid w:val="00526098"/>
    <w:rsid w:val="00526A4D"/>
    <w:rsid w:val="00526D16"/>
    <w:rsid w:val="00527149"/>
    <w:rsid w:val="00527985"/>
    <w:rsid w:val="005301F8"/>
    <w:rsid w:val="00530B30"/>
    <w:rsid w:val="00530E21"/>
    <w:rsid w:val="00531143"/>
    <w:rsid w:val="005312FC"/>
    <w:rsid w:val="00531889"/>
    <w:rsid w:val="0053245D"/>
    <w:rsid w:val="00532472"/>
    <w:rsid w:val="00533DBF"/>
    <w:rsid w:val="00534538"/>
    <w:rsid w:val="0053471F"/>
    <w:rsid w:val="005348E4"/>
    <w:rsid w:val="00534945"/>
    <w:rsid w:val="0053568D"/>
    <w:rsid w:val="0053603D"/>
    <w:rsid w:val="00536491"/>
    <w:rsid w:val="005365E8"/>
    <w:rsid w:val="00536971"/>
    <w:rsid w:val="00536E07"/>
    <w:rsid w:val="0053750A"/>
    <w:rsid w:val="00540F1F"/>
    <w:rsid w:val="00541240"/>
    <w:rsid w:val="00541716"/>
    <w:rsid w:val="00541C4C"/>
    <w:rsid w:val="005422B9"/>
    <w:rsid w:val="0054245A"/>
    <w:rsid w:val="00542EF3"/>
    <w:rsid w:val="00543A52"/>
    <w:rsid w:val="00543EFD"/>
    <w:rsid w:val="00544930"/>
    <w:rsid w:val="00544C93"/>
    <w:rsid w:val="00544CD5"/>
    <w:rsid w:val="00544E5B"/>
    <w:rsid w:val="0054501E"/>
    <w:rsid w:val="0054533C"/>
    <w:rsid w:val="005454BC"/>
    <w:rsid w:val="00545527"/>
    <w:rsid w:val="00547765"/>
    <w:rsid w:val="00550D03"/>
    <w:rsid w:val="00550F9F"/>
    <w:rsid w:val="00551221"/>
    <w:rsid w:val="005517D4"/>
    <w:rsid w:val="00552FB2"/>
    <w:rsid w:val="005532FA"/>
    <w:rsid w:val="005533B3"/>
    <w:rsid w:val="00553564"/>
    <w:rsid w:val="00553E8E"/>
    <w:rsid w:val="00554150"/>
    <w:rsid w:val="005548D8"/>
    <w:rsid w:val="00554F44"/>
    <w:rsid w:val="00555152"/>
    <w:rsid w:val="0055521B"/>
    <w:rsid w:val="00556847"/>
    <w:rsid w:val="00556BB7"/>
    <w:rsid w:val="00557074"/>
    <w:rsid w:val="005600A3"/>
    <w:rsid w:val="00561939"/>
    <w:rsid w:val="00562CAB"/>
    <w:rsid w:val="005634C5"/>
    <w:rsid w:val="00563E88"/>
    <w:rsid w:val="00564229"/>
    <w:rsid w:val="00564797"/>
    <w:rsid w:val="00566293"/>
    <w:rsid w:val="0056666D"/>
    <w:rsid w:val="00566EF3"/>
    <w:rsid w:val="0056711B"/>
    <w:rsid w:val="0056714B"/>
    <w:rsid w:val="00567849"/>
    <w:rsid w:val="00567DEF"/>
    <w:rsid w:val="0057010F"/>
    <w:rsid w:val="0057011C"/>
    <w:rsid w:val="00570618"/>
    <w:rsid w:val="0057106B"/>
    <w:rsid w:val="00572356"/>
    <w:rsid w:val="005726C9"/>
    <w:rsid w:val="0057292C"/>
    <w:rsid w:val="00572F9C"/>
    <w:rsid w:val="005735ED"/>
    <w:rsid w:val="005736C7"/>
    <w:rsid w:val="00574D17"/>
    <w:rsid w:val="00576356"/>
    <w:rsid w:val="005765E0"/>
    <w:rsid w:val="005769F6"/>
    <w:rsid w:val="00576F7B"/>
    <w:rsid w:val="0057703A"/>
    <w:rsid w:val="0057777F"/>
    <w:rsid w:val="00580A53"/>
    <w:rsid w:val="00581A7E"/>
    <w:rsid w:val="005821A4"/>
    <w:rsid w:val="00582276"/>
    <w:rsid w:val="00582A51"/>
    <w:rsid w:val="005838CB"/>
    <w:rsid w:val="005849F1"/>
    <w:rsid w:val="00584EA6"/>
    <w:rsid w:val="00585CAE"/>
    <w:rsid w:val="0058605B"/>
    <w:rsid w:val="005868DE"/>
    <w:rsid w:val="00586F04"/>
    <w:rsid w:val="0058789B"/>
    <w:rsid w:val="00593759"/>
    <w:rsid w:val="00593F45"/>
    <w:rsid w:val="00593F91"/>
    <w:rsid w:val="005940E5"/>
    <w:rsid w:val="005945AA"/>
    <w:rsid w:val="005948D3"/>
    <w:rsid w:val="00594CD9"/>
    <w:rsid w:val="00595650"/>
    <w:rsid w:val="00595848"/>
    <w:rsid w:val="00596948"/>
    <w:rsid w:val="005973C5"/>
    <w:rsid w:val="00597B62"/>
    <w:rsid w:val="005A0A6E"/>
    <w:rsid w:val="005A0EDF"/>
    <w:rsid w:val="005A112E"/>
    <w:rsid w:val="005A1CDA"/>
    <w:rsid w:val="005A1CE6"/>
    <w:rsid w:val="005A2822"/>
    <w:rsid w:val="005A2E56"/>
    <w:rsid w:val="005A2EE1"/>
    <w:rsid w:val="005A315F"/>
    <w:rsid w:val="005A3FE6"/>
    <w:rsid w:val="005A4FCF"/>
    <w:rsid w:val="005A5067"/>
    <w:rsid w:val="005A5281"/>
    <w:rsid w:val="005A539F"/>
    <w:rsid w:val="005A5B8E"/>
    <w:rsid w:val="005A5C5F"/>
    <w:rsid w:val="005A68FA"/>
    <w:rsid w:val="005A6F74"/>
    <w:rsid w:val="005B008B"/>
    <w:rsid w:val="005B09F7"/>
    <w:rsid w:val="005B0D2F"/>
    <w:rsid w:val="005B2A17"/>
    <w:rsid w:val="005B3A4A"/>
    <w:rsid w:val="005B461B"/>
    <w:rsid w:val="005B4C6E"/>
    <w:rsid w:val="005B4EC6"/>
    <w:rsid w:val="005B5E25"/>
    <w:rsid w:val="005B6F98"/>
    <w:rsid w:val="005B7DB6"/>
    <w:rsid w:val="005C1179"/>
    <w:rsid w:val="005C12EB"/>
    <w:rsid w:val="005C2CC0"/>
    <w:rsid w:val="005C34F4"/>
    <w:rsid w:val="005C37E8"/>
    <w:rsid w:val="005C3B36"/>
    <w:rsid w:val="005C3C54"/>
    <w:rsid w:val="005C4406"/>
    <w:rsid w:val="005C46A2"/>
    <w:rsid w:val="005C5A9C"/>
    <w:rsid w:val="005C5DF5"/>
    <w:rsid w:val="005C6061"/>
    <w:rsid w:val="005C60EE"/>
    <w:rsid w:val="005C6B9F"/>
    <w:rsid w:val="005D0C5D"/>
    <w:rsid w:val="005D0D53"/>
    <w:rsid w:val="005D18D5"/>
    <w:rsid w:val="005D253F"/>
    <w:rsid w:val="005D2692"/>
    <w:rsid w:val="005D2A83"/>
    <w:rsid w:val="005D2D60"/>
    <w:rsid w:val="005D2E71"/>
    <w:rsid w:val="005D455C"/>
    <w:rsid w:val="005D50C9"/>
    <w:rsid w:val="005D50DE"/>
    <w:rsid w:val="005D5B55"/>
    <w:rsid w:val="005D6CCD"/>
    <w:rsid w:val="005D701B"/>
    <w:rsid w:val="005D72F2"/>
    <w:rsid w:val="005E057D"/>
    <w:rsid w:val="005E05C9"/>
    <w:rsid w:val="005E0CC8"/>
    <w:rsid w:val="005E120E"/>
    <w:rsid w:val="005E1745"/>
    <w:rsid w:val="005E2C41"/>
    <w:rsid w:val="005E2F97"/>
    <w:rsid w:val="005E31D9"/>
    <w:rsid w:val="005E3277"/>
    <w:rsid w:val="005E3521"/>
    <w:rsid w:val="005E3B8D"/>
    <w:rsid w:val="005E3C19"/>
    <w:rsid w:val="005E5701"/>
    <w:rsid w:val="005E60C1"/>
    <w:rsid w:val="005E6235"/>
    <w:rsid w:val="005E654C"/>
    <w:rsid w:val="005E735F"/>
    <w:rsid w:val="005E7DD3"/>
    <w:rsid w:val="005F07E1"/>
    <w:rsid w:val="005F11E7"/>
    <w:rsid w:val="005F15ED"/>
    <w:rsid w:val="005F1780"/>
    <w:rsid w:val="005F1D10"/>
    <w:rsid w:val="005F3AB4"/>
    <w:rsid w:val="005F3B08"/>
    <w:rsid w:val="005F474E"/>
    <w:rsid w:val="005F4BC0"/>
    <w:rsid w:val="005F4E5A"/>
    <w:rsid w:val="005F509B"/>
    <w:rsid w:val="005F53B5"/>
    <w:rsid w:val="005F647C"/>
    <w:rsid w:val="005F6551"/>
    <w:rsid w:val="005F66C0"/>
    <w:rsid w:val="005F68E1"/>
    <w:rsid w:val="005F6F73"/>
    <w:rsid w:val="005F7479"/>
    <w:rsid w:val="005F7BAB"/>
    <w:rsid w:val="00600412"/>
    <w:rsid w:val="00600F92"/>
    <w:rsid w:val="00601526"/>
    <w:rsid w:val="00601DAB"/>
    <w:rsid w:val="00602279"/>
    <w:rsid w:val="00602605"/>
    <w:rsid w:val="00603415"/>
    <w:rsid w:val="00604620"/>
    <w:rsid w:val="00604F6F"/>
    <w:rsid w:val="0060595B"/>
    <w:rsid w:val="00605AFD"/>
    <w:rsid w:val="00605EDE"/>
    <w:rsid w:val="00606915"/>
    <w:rsid w:val="0060784F"/>
    <w:rsid w:val="00607A28"/>
    <w:rsid w:val="00607C7C"/>
    <w:rsid w:val="006105B7"/>
    <w:rsid w:val="00610B0A"/>
    <w:rsid w:val="006123D4"/>
    <w:rsid w:val="0061256C"/>
    <w:rsid w:val="00613308"/>
    <w:rsid w:val="00613657"/>
    <w:rsid w:val="00613888"/>
    <w:rsid w:val="0061401B"/>
    <w:rsid w:val="00614778"/>
    <w:rsid w:val="00614AB2"/>
    <w:rsid w:val="00615487"/>
    <w:rsid w:val="006155BB"/>
    <w:rsid w:val="00615CA3"/>
    <w:rsid w:val="006169F4"/>
    <w:rsid w:val="006178DB"/>
    <w:rsid w:val="00620005"/>
    <w:rsid w:val="0062049B"/>
    <w:rsid w:val="00620E96"/>
    <w:rsid w:val="00621972"/>
    <w:rsid w:val="00621FFC"/>
    <w:rsid w:val="00622DEC"/>
    <w:rsid w:val="0062335F"/>
    <w:rsid w:val="00623B09"/>
    <w:rsid w:val="006240AF"/>
    <w:rsid w:val="0062505C"/>
    <w:rsid w:val="006251A1"/>
    <w:rsid w:val="00625231"/>
    <w:rsid w:val="0062640A"/>
    <w:rsid w:val="00626939"/>
    <w:rsid w:val="00626B89"/>
    <w:rsid w:val="00626D84"/>
    <w:rsid w:val="00627258"/>
    <w:rsid w:val="00627683"/>
    <w:rsid w:val="00627DF9"/>
    <w:rsid w:val="00630527"/>
    <w:rsid w:val="0063064C"/>
    <w:rsid w:val="0063127D"/>
    <w:rsid w:val="006313FB"/>
    <w:rsid w:val="0063164C"/>
    <w:rsid w:val="006319CC"/>
    <w:rsid w:val="0063247C"/>
    <w:rsid w:val="00632E7F"/>
    <w:rsid w:val="006330AE"/>
    <w:rsid w:val="006344BF"/>
    <w:rsid w:val="0063472E"/>
    <w:rsid w:val="00634FA2"/>
    <w:rsid w:val="006357DE"/>
    <w:rsid w:val="00636582"/>
    <w:rsid w:val="00636B9C"/>
    <w:rsid w:val="00636EF5"/>
    <w:rsid w:val="00637467"/>
    <w:rsid w:val="0063753A"/>
    <w:rsid w:val="00637C14"/>
    <w:rsid w:val="0064141A"/>
    <w:rsid w:val="00642F85"/>
    <w:rsid w:val="006445A0"/>
    <w:rsid w:val="00645433"/>
    <w:rsid w:val="00645AD1"/>
    <w:rsid w:val="00645D5A"/>
    <w:rsid w:val="00646623"/>
    <w:rsid w:val="00646AF5"/>
    <w:rsid w:val="006518A0"/>
    <w:rsid w:val="00651B33"/>
    <w:rsid w:val="00653245"/>
    <w:rsid w:val="0065479A"/>
    <w:rsid w:val="00654810"/>
    <w:rsid w:val="006548F9"/>
    <w:rsid w:val="00654D43"/>
    <w:rsid w:val="00656356"/>
    <w:rsid w:val="00656581"/>
    <w:rsid w:val="00660DDF"/>
    <w:rsid w:val="006613ED"/>
    <w:rsid w:val="0066167F"/>
    <w:rsid w:val="00661741"/>
    <w:rsid w:val="006618C7"/>
    <w:rsid w:val="00661918"/>
    <w:rsid w:val="00662EA3"/>
    <w:rsid w:val="006630D4"/>
    <w:rsid w:val="00663709"/>
    <w:rsid w:val="006639F8"/>
    <w:rsid w:val="006639FD"/>
    <w:rsid w:val="00663C68"/>
    <w:rsid w:val="006644DF"/>
    <w:rsid w:val="00664C30"/>
    <w:rsid w:val="006657EF"/>
    <w:rsid w:val="0066620D"/>
    <w:rsid w:val="00666486"/>
    <w:rsid w:val="00666526"/>
    <w:rsid w:val="00666C19"/>
    <w:rsid w:val="0066761B"/>
    <w:rsid w:val="00667A4B"/>
    <w:rsid w:val="00667CAD"/>
    <w:rsid w:val="00670611"/>
    <w:rsid w:val="006709C8"/>
    <w:rsid w:val="006729D5"/>
    <w:rsid w:val="00673260"/>
    <w:rsid w:val="006733CF"/>
    <w:rsid w:val="00673979"/>
    <w:rsid w:val="006740DF"/>
    <w:rsid w:val="00674598"/>
    <w:rsid w:val="006749F8"/>
    <w:rsid w:val="006752B9"/>
    <w:rsid w:val="0067548D"/>
    <w:rsid w:val="006755BF"/>
    <w:rsid w:val="00675D23"/>
    <w:rsid w:val="00676082"/>
    <w:rsid w:val="00676468"/>
    <w:rsid w:val="006764E1"/>
    <w:rsid w:val="00676CC0"/>
    <w:rsid w:val="00676E73"/>
    <w:rsid w:val="00677CED"/>
    <w:rsid w:val="006805C0"/>
    <w:rsid w:val="00680CEA"/>
    <w:rsid w:val="00680DE2"/>
    <w:rsid w:val="00682EFE"/>
    <w:rsid w:val="006836C8"/>
    <w:rsid w:val="006839D3"/>
    <w:rsid w:val="00684042"/>
    <w:rsid w:val="00684CFC"/>
    <w:rsid w:val="00684E89"/>
    <w:rsid w:val="00686165"/>
    <w:rsid w:val="00686432"/>
    <w:rsid w:val="006869BF"/>
    <w:rsid w:val="006876D2"/>
    <w:rsid w:val="006900ED"/>
    <w:rsid w:val="00690A15"/>
    <w:rsid w:val="00691042"/>
    <w:rsid w:val="00691CB5"/>
    <w:rsid w:val="00691D7F"/>
    <w:rsid w:val="00693120"/>
    <w:rsid w:val="006937FD"/>
    <w:rsid w:val="006942E7"/>
    <w:rsid w:val="00694DE9"/>
    <w:rsid w:val="00695E10"/>
    <w:rsid w:val="00696096"/>
    <w:rsid w:val="0069670F"/>
    <w:rsid w:val="0069678E"/>
    <w:rsid w:val="00696C1D"/>
    <w:rsid w:val="00696D13"/>
    <w:rsid w:val="00697E6A"/>
    <w:rsid w:val="006A0F78"/>
    <w:rsid w:val="006A1007"/>
    <w:rsid w:val="006A14A6"/>
    <w:rsid w:val="006A1AAB"/>
    <w:rsid w:val="006A1AD7"/>
    <w:rsid w:val="006A2BA1"/>
    <w:rsid w:val="006A33D9"/>
    <w:rsid w:val="006A4A93"/>
    <w:rsid w:val="006A4C19"/>
    <w:rsid w:val="006A54EC"/>
    <w:rsid w:val="006A65A1"/>
    <w:rsid w:val="006A6EE1"/>
    <w:rsid w:val="006A6EF6"/>
    <w:rsid w:val="006B071A"/>
    <w:rsid w:val="006B077B"/>
    <w:rsid w:val="006B081F"/>
    <w:rsid w:val="006B1159"/>
    <w:rsid w:val="006B1369"/>
    <w:rsid w:val="006B1448"/>
    <w:rsid w:val="006B29B6"/>
    <w:rsid w:val="006B3831"/>
    <w:rsid w:val="006B3E21"/>
    <w:rsid w:val="006B4121"/>
    <w:rsid w:val="006B4307"/>
    <w:rsid w:val="006B4AB6"/>
    <w:rsid w:val="006B51F1"/>
    <w:rsid w:val="006B5C1F"/>
    <w:rsid w:val="006B5C37"/>
    <w:rsid w:val="006B5E7C"/>
    <w:rsid w:val="006B7C32"/>
    <w:rsid w:val="006C0DB1"/>
    <w:rsid w:val="006C1AAB"/>
    <w:rsid w:val="006C1B06"/>
    <w:rsid w:val="006C2189"/>
    <w:rsid w:val="006C2B75"/>
    <w:rsid w:val="006C2F29"/>
    <w:rsid w:val="006C3396"/>
    <w:rsid w:val="006C33F3"/>
    <w:rsid w:val="006C39D5"/>
    <w:rsid w:val="006C4D76"/>
    <w:rsid w:val="006C5BA1"/>
    <w:rsid w:val="006C645D"/>
    <w:rsid w:val="006C6614"/>
    <w:rsid w:val="006C70AB"/>
    <w:rsid w:val="006C7801"/>
    <w:rsid w:val="006C7CDF"/>
    <w:rsid w:val="006D050B"/>
    <w:rsid w:val="006D07C5"/>
    <w:rsid w:val="006D0BBE"/>
    <w:rsid w:val="006D0E03"/>
    <w:rsid w:val="006D3A6F"/>
    <w:rsid w:val="006D42C7"/>
    <w:rsid w:val="006D5685"/>
    <w:rsid w:val="006D5DA3"/>
    <w:rsid w:val="006D6266"/>
    <w:rsid w:val="006D6ABC"/>
    <w:rsid w:val="006D710D"/>
    <w:rsid w:val="006D72BD"/>
    <w:rsid w:val="006D72C3"/>
    <w:rsid w:val="006D75BB"/>
    <w:rsid w:val="006D7E32"/>
    <w:rsid w:val="006D7FCF"/>
    <w:rsid w:val="006E04C0"/>
    <w:rsid w:val="006E07DD"/>
    <w:rsid w:val="006E10A3"/>
    <w:rsid w:val="006E1EC8"/>
    <w:rsid w:val="006E21F0"/>
    <w:rsid w:val="006E3CC3"/>
    <w:rsid w:val="006E4E61"/>
    <w:rsid w:val="006E4EF9"/>
    <w:rsid w:val="006E642A"/>
    <w:rsid w:val="006E732B"/>
    <w:rsid w:val="006F122F"/>
    <w:rsid w:val="006F1543"/>
    <w:rsid w:val="006F2654"/>
    <w:rsid w:val="006F2E15"/>
    <w:rsid w:val="006F3963"/>
    <w:rsid w:val="006F3F14"/>
    <w:rsid w:val="006F43B7"/>
    <w:rsid w:val="006F656C"/>
    <w:rsid w:val="006F69E8"/>
    <w:rsid w:val="0070129E"/>
    <w:rsid w:val="00701301"/>
    <w:rsid w:val="0070279E"/>
    <w:rsid w:val="00702EC1"/>
    <w:rsid w:val="0070334A"/>
    <w:rsid w:val="007041AD"/>
    <w:rsid w:val="007043C5"/>
    <w:rsid w:val="007047A4"/>
    <w:rsid w:val="00705373"/>
    <w:rsid w:val="007053D8"/>
    <w:rsid w:val="0070572E"/>
    <w:rsid w:val="00705829"/>
    <w:rsid w:val="00705CC2"/>
    <w:rsid w:val="00705EC1"/>
    <w:rsid w:val="007065CB"/>
    <w:rsid w:val="007068A6"/>
    <w:rsid w:val="00706AE0"/>
    <w:rsid w:val="00706B5B"/>
    <w:rsid w:val="00707014"/>
    <w:rsid w:val="007103A3"/>
    <w:rsid w:val="007105E5"/>
    <w:rsid w:val="007107CD"/>
    <w:rsid w:val="00712EC5"/>
    <w:rsid w:val="0071304B"/>
    <w:rsid w:val="00715051"/>
    <w:rsid w:val="00715AE1"/>
    <w:rsid w:val="00716211"/>
    <w:rsid w:val="00716313"/>
    <w:rsid w:val="00716783"/>
    <w:rsid w:val="007169F5"/>
    <w:rsid w:val="00716BDE"/>
    <w:rsid w:val="00716C47"/>
    <w:rsid w:val="007174D2"/>
    <w:rsid w:val="00717ABF"/>
    <w:rsid w:val="00717EA9"/>
    <w:rsid w:val="00720A30"/>
    <w:rsid w:val="00722B71"/>
    <w:rsid w:val="00725B73"/>
    <w:rsid w:val="00725EF4"/>
    <w:rsid w:val="00726187"/>
    <w:rsid w:val="007264D5"/>
    <w:rsid w:val="00726DBA"/>
    <w:rsid w:val="00727CAA"/>
    <w:rsid w:val="00731514"/>
    <w:rsid w:val="007320E2"/>
    <w:rsid w:val="007336F3"/>
    <w:rsid w:val="00733AC0"/>
    <w:rsid w:val="00733C17"/>
    <w:rsid w:val="00733F4D"/>
    <w:rsid w:val="0073442C"/>
    <w:rsid w:val="00735CFC"/>
    <w:rsid w:val="00736BB1"/>
    <w:rsid w:val="0073718A"/>
    <w:rsid w:val="00737698"/>
    <w:rsid w:val="007402A7"/>
    <w:rsid w:val="00740DFA"/>
    <w:rsid w:val="0074166A"/>
    <w:rsid w:val="00741AD0"/>
    <w:rsid w:val="007428B7"/>
    <w:rsid w:val="00742CFD"/>
    <w:rsid w:val="00742EA0"/>
    <w:rsid w:val="00743729"/>
    <w:rsid w:val="00745239"/>
    <w:rsid w:val="0074565D"/>
    <w:rsid w:val="00745A87"/>
    <w:rsid w:val="00745CBE"/>
    <w:rsid w:val="007460B8"/>
    <w:rsid w:val="00746374"/>
    <w:rsid w:val="00746AF1"/>
    <w:rsid w:val="007472EB"/>
    <w:rsid w:val="00747382"/>
    <w:rsid w:val="00747460"/>
    <w:rsid w:val="00747DF8"/>
    <w:rsid w:val="007500D6"/>
    <w:rsid w:val="00750C50"/>
    <w:rsid w:val="0075103D"/>
    <w:rsid w:val="00751D96"/>
    <w:rsid w:val="00752771"/>
    <w:rsid w:val="00752A54"/>
    <w:rsid w:val="00753500"/>
    <w:rsid w:val="007540DE"/>
    <w:rsid w:val="00756349"/>
    <w:rsid w:val="007565BD"/>
    <w:rsid w:val="00756792"/>
    <w:rsid w:val="00756996"/>
    <w:rsid w:val="00756F8E"/>
    <w:rsid w:val="0075799B"/>
    <w:rsid w:val="00760764"/>
    <w:rsid w:val="00760BA0"/>
    <w:rsid w:val="00761C2C"/>
    <w:rsid w:val="00761D09"/>
    <w:rsid w:val="00761E38"/>
    <w:rsid w:val="00763527"/>
    <w:rsid w:val="007636E6"/>
    <w:rsid w:val="00763CB5"/>
    <w:rsid w:val="00763EFD"/>
    <w:rsid w:val="00764214"/>
    <w:rsid w:val="007648D4"/>
    <w:rsid w:val="007651EC"/>
    <w:rsid w:val="00765974"/>
    <w:rsid w:val="00765D68"/>
    <w:rsid w:val="00766A45"/>
    <w:rsid w:val="00767C81"/>
    <w:rsid w:val="00770CBB"/>
    <w:rsid w:val="00771D6B"/>
    <w:rsid w:val="00772451"/>
    <w:rsid w:val="00773134"/>
    <w:rsid w:val="00774236"/>
    <w:rsid w:val="00775029"/>
    <w:rsid w:val="0077513C"/>
    <w:rsid w:val="007756B9"/>
    <w:rsid w:val="00776108"/>
    <w:rsid w:val="00776AEC"/>
    <w:rsid w:val="007774EE"/>
    <w:rsid w:val="0077785F"/>
    <w:rsid w:val="00777F49"/>
    <w:rsid w:val="00780B7F"/>
    <w:rsid w:val="007815A1"/>
    <w:rsid w:val="00781945"/>
    <w:rsid w:val="007824C7"/>
    <w:rsid w:val="00782E3B"/>
    <w:rsid w:val="00783346"/>
    <w:rsid w:val="00784629"/>
    <w:rsid w:val="0078509F"/>
    <w:rsid w:val="00785CF9"/>
    <w:rsid w:val="00786072"/>
    <w:rsid w:val="0078636B"/>
    <w:rsid w:val="00786578"/>
    <w:rsid w:val="00786794"/>
    <w:rsid w:val="00786C7A"/>
    <w:rsid w:val="00786F7B"/>
    <w:rsid w:val="0078726E"/>
    <w:rsid w:val="00787C48"/>
    <w:rsid w:val="0079131B"/>
    <w:rsid w:val="00791605"/>
    <w:rsid w:val="0079163B"/>
    <w:rsid w:val="007926DC"/>
    <w:rsid w:val="00792AB6"/>
    <w:rsid w:val="00792E8F"/>
    <w:rsid w:val="007933CC"/>
    <w:rsid w:val="00793403"/>
    <w:rsid w:val="00793509"/>
    <w:rsid w:val="007937A5"/>
    <w:rsid w:val="00794499"/>
    <w:rsid w:val="00794A49"/>
    <w:rsid w:val="00794F86"/>
    <w:rsid w:val="007969D5"/>
    <w:rsid w:val="00796F68"/>
    <w:rsid w:val="00797B02"/>
    <w:rsid w:val="007A0072"/>
    <w:rsid w:val="007A0DD8"/>
    <w:rsid w:val="007A13DC"/>
    <w:rsid w:val="007A2526"/>
    <w:rsid w:val="007A3B1B"/>
    <w:rsid w:val="007A3F0B"/>
    <w:rsid w:val="007A4AC0"/>
    <w:rsid w:val="007A50BB"/>
    <w:rsid w:val="007A606D"/>
    <w:rsid w:val="007A6715"/>
    <w:rsid w:val="007A74D2"/>
    <w:rsid w:val="007A7E00"/>
    <w:rsid w:val="007A7E28"/>
    <w:rsid w:val="007B0D47"/>
    <w:rsid w:val="007B183F"/>
    <w:rsid w:val="007B1A5F"/>
    <w:rsid w:val="007B1D16"/>
    <w:rsid w:val="007B33C5"/>
    <w:rsid w:val="007B3EB0"/>
    <w:rsid w:val="007B3FC8"/>
    <w:rsid w:val="007B479A"/>
    <w:rsid w:val="007B49E6"/>
    <w:rsid w:val="007B4C1B"/>
    <w:rsid w:val="007B5819"/>
    <w:rsid w:val="007B5F55"/>
    <w:rsid w:val="007B61AD"/>
    <w:rsid w:val="007B7EAE"/>
    <w:rsid w:val="007C045F"/>
    <w:rsid w:val="007C0663"/>
    <w:rsid w:val="007C0744"/>
    <w:rsid w:val="007C0D0A"/>
    <w:rsid w:val="007C1B7A"/>
    <w:rsid w:val="007C230C"/>
    <w:rsid w:val="007C2D38"/>
    <w:rsid w:val="007C2F3B"/>
    <w:rsid w:val="007C3100"/>
    <w:rsid w:val="007C365E"/>
    <w:rsid w:val="007C3687"/>
    <w:rsid w:val="007C3C7B"/>
    <w:rsid w:val="007C42E9"/>
    <w:rsid w:val="007C436E"/>
    <w:rsid w:val="007C4EB1"/>
    <w:rsid w:val="007C50B1"/>
    <w:rsid w:val="007C556F"/>
    <w:rsid w:val="007C780E"/>
    <w:rsid w:val="007D1730"/>
    <w:rsid w:val="007D1DF1"/>
    <w:rsid w:val="007D2183"/>
    <w:rsid w:val="007D2770"/>
    <w:rsid w:val="007D27B1"/>
    <w:rsid w:val="007D2AB7"/>
    <w:rsid w:val="007D4E55"/>
    <w:rsid w:val="007D5296"/>
    <w:rsid w:val="007D5AA6"/>
    <w:rsid w:val="007D5DA3"/>
    <w:rsid w:val="007D6510"/>
    <w:rsid w:val="007E0025"/>
    <w:rsid w:val="007E0680"/>
    <w:rsid w:val="007E06BE"/>
    <w:rsid w:val="007E085E"/>
    <w:rsid w:val="007E0A1E"/>
    <w:rsid w:val="007E2AB9"/>
    <w:rsid w:val="007E2C9B"/>
    <w:rsid w:val="007E457E"/>
    <w:rsid w:val="007E48B6"/>
    <w:rsid w:val="007E4D4D"/>
    <w:rsid w:val="007E5056"/>
    <w:rsid w:val="007E6456"/>
    <w:rsid w:val="007E6784"/>
    <w:rsid w:val="007E6C32"/>
    <w:rsid w:val="007E7349"/>
    <w:rsid w:val="007E7A9C"/>
    <w:rsid w:val="007E7AED"/>
    <w:rsid w:val="007F0F45"/>
    <w:rsid w:val="007F10C2"/>
    <w:rsid w:val="007F1467"/>
    <w:rsid w:val="007F16FE"/>
    <w:rsid w:val="007F1716"/>
    <w:rsid w:val="007F19FC"/>
    <w:rsid w:val="007F1DBC"/>
    <w:rsid w:val="007F2379"/>
    <w:rsid w:val="007F2439"/>
    <w:rsid w:val="007F33DD"/>
    <w:rsid w:val="007F3F41"/>
    <w:rsid w:val="007F40D7"/>
    <w:rsid w:val="007F51F8"/>
    <w:rsid w:val="007F6957"/>
    <w:rsid w:val="007F69B5"/>
    <w:rsid w:val="007F77BB"/>
    <w:rsid w:val="00801C50"/>
    <w:rsid w:val="00801FE2"/>
    <w:rsid w:val="008033F3"/>
    <w:rsid w:val="008039BD"/>
    <w:rsid w:val="00804071"/>
    <w:rsid w:val="00804447"/>
    <w:rsid w:val="00805057"/>
    <w:rsid w:val="008053E0"/>
    <w:rsid w:val="0080576E"/>
    <w:rsid w:val="00806BEF"/>
    <w:rsid w:val="00806E53"/>
    <w:rsid w:val="00807061"/>
    <w:rsid w:val="00807C5F"/>
    <w:rsid w:val="00810278"/>
    <w:rsid w:val="00810BFB"/>
    <w:rsid w:val="00810CB1"/>
    <w:rsid w:val="00811D04"/>
    <w:rsid w:val="00812501"/>
    <w:rsid w:val="00812970"/>
    <w:rsid w:val="00813A8C"/>
    <w:rsid w:val="00814837"/>
    <w:rsid w:val="00814FB6"/>
    <w:rsid w:val="00815DDD"/>
    <w:rsid w:val="00816998"/>
    <w:rsid w:val="00820D75"/>
    <w:rsid w:val="00822029"/>
    <w:rsid w:val="0082248E"/>
    <w:rsid w:val="0082397E"/>
    <w:rsid w:val="00823E05"/>
    <w:rsid w:val="00824FA7"/>
    <w:rsid w:val="008250FA"/>
    <w:rsid w:val="00825B93"/>
    <w:rsid w:val="0082621B"/>
    <w:rsid w:val="00827328"/>
    <w:rsid w:val="00827F67"/>
    <w:rsid w:val="00830641"/>
    <w:rsid w:val="008310E6"/>
    <w:rsid w:val="00831377"/>
    <w:rsid w:val="0083241E"/>
    <w:rsid w:val="008330B0"/>
    <w:rsid w:val="00833562"/>
    <w:rsid w:val="008338F1"/>
    <w:rsid w:val="00833CA8"/>
    <w:rsid w:val="00833DF2"/>
    <w:rsid w:val="00834243"/>
    <w:rsid w:val="0083511F"/>
    <w:rsid w:val="00836177"/>
    <w:rsid w:val="008373E5"/>
    <w:rsid w:val="00837B8A"/>
    <w:rsid w:val="008400C4"/>
    <w:rsid w:val="0084047D"/>
    <w:rsid w:val="008404BD"/>
    <w:rsid w:val="0084092E"/>
    <w:rsid w:val="00841480"/>
    <w:rsid w:val="00842FA7"/>
    <w:rsid w:val="008430CE"/>
    <w:rsid w:val="0084397A"/>
    <w:rsid w:val="008439DF"/>
    <w:rsid w:val="0084453D"/>
    <w:rsid w:val="008447E2"/>
    <w:rsid w:val="00844BBB"/>
    <w:rsid w:val="008451C6"/>
    <w:rsid w:val="00845310"/>
    <w:rsid w:val="00845D2A"/>
    <w:rsid w:val="008467C2"/>
    <w:rsid w:val="008469CF"/>
    <w:rsid w:val="00846E73"/>
    <w:rsid w:val="008471B6"/>
    <w:rsid w:val="00847BC3"/>
    <w:rsid w:val="00847C84"/>
    <w:rsid w:val="00850270"/>
    <w:rsid w:val="0085054D"/>
    <w:rsid w:val="0085091F"/>
    <w:rsid w:val="00850D6F"/>
    <w:rsid w:val="00852558"/>
    <w:rsid w:val="00852810"/>
    <w:rsid w:val="00853425"/>
    <w:rsid w:val="0085457F"/>
    <w:rsid w:val="00854778"/>
    <w:rsid w:val="00854BBE"/>
    <w:rsid w:val="0085554A"/>
    <w:rsid w:val="00855618"/>
    <w:rsid w:val="0085586D"/>
    <w:rsid w:val="00855CDF"/>
    <w:rsid w:val="008574E8"/>
    <w:rsid w:val="0085789D"/>
    <w:rsid w:val="00857969"/>
    <w:rsid w:val="00860EE6"/>
    <w:rsid w:val="00861238"/>
    <w:rsid w:val="0086180A"/>
    <w:rsid w:val="00861EFA"/>
    <w:rsid w:val="00862159"/>
    <w:rsid w:val="008637F9"/>
    <w:rsid w:val="00864315"/>
    <w:rsid w:val="00864B36"/>
    <w:rsid w:val="0086634D"/>
    <w:rsid w:val="0086659F"/>
    <w:rsid w:val="00866B9F"/>
    <w:rsid w:val="00867952"/>
    <w:rsid w:val="008711B9"/>
    <w:rsid w:val="008714A8"/>
    <w:rsid w:val="00871A01"/>
    <w:rsid w:val="00871C05"/>
    <w:rsid w:val="00871C5D"/>
    <w:rsid w:val="00871CD3"/>
    <w:rsid w:val="0087220A"/>
    <w:rsid w:val="00872513"/>
    <w:rsid w:val="00872C6B"/>
    <w:rsid w:val="00872FF8"/>
    <w:rsid w:val="00873E6B"/>
    <w:rsid w:val="0087412C"/>
    <w:rsid w:val="00874745"/>
    <w:rsid w:val="00874ABE"/>
    <w:rsid w:val="008757E9"/>
    <w:rsid w:val="00875B10"/>
    <w:rsid w:val="00875F01"/>
    <w:rsid w:val="00876891"/>
    <w:rsid w:val="008774A9"/>
    <w:rsid w:val="0088029E"/>
    <w:rsid w:val="008802EC"/>
    <w:rsid w:val="0088082B"/>
    <w:rsid w:val="00880C89"/>
    <w:rsid w:val="0088143C"/>
    <w:rsid w:val="008817C3"/>
    <w:rsid w:val="00881B3A"/>
    <w:rsid w:val="00882AC0"/>
    <w:rsid w:val="00882BBB"/>
    <w:rsid w:val="00883AE6"/>
    <w:rsid w:val="00884FA3"/>
    <w:rsid w:val="008858EA"/>
    <w:rsid w:val="008867CB"/>
    <w:rsid w:val="00886817"/>
    <w:rsid w:val="00887DF3"/>
    <w:rsid w:val="00890699"/>
    <w:rsid w:val="00890AA8"/>
    <w:rsid w:val="00890F19"/>
    <w:rsid w:val="00891156"/>
    <w:rsid w:val="00892621"/>
    <w:rsid w:val="00893830"/>
    <w:rsid w:val="00893A14"/>
    <w:rsid w:val="008966ED"/>
    <w:rsid w:val="00896ACF"/>
    <w:rsid w:val="00896DEF"/>
    <w:rsid w:val="008A1187"/>
    <w:rsid w:val="008A19EA"/>
    <w:rsid w:val="008A1E2D"/>
    <w:rsid w:val="008A24AC"/>
    <w:rsid w:val="008A2BD0"/>
    <w:rsid w:val="008A30B2"/>
    <w:rsid w:val="008A33FD"/>
    <w:rsid w:val="008A55AE"/>
    <w:rsid w:val="008A5672"/>
    <w:rsid w:val="008A6519"/>
    <w:rsid w:val="008A6744"/>
    <w:rsid w:val="008A6BB9"/>
    <w:rsid w:val="008A6FA7"/>
    <w:rsid w:val="008A7435"/>
    <w:rsid w:val="008B0009"/>
    <w:rsid w:val="008B13CD"/>
    <w:rsid w:val="008B1499"/>
    <w:rsid w:val="008B14BA"/>
    <w:rsid w:val="008B158F"/>
    <w:rsid w:val="008B1C5A"/>
    <w:rsid w:val="008B245C"/>
    <w:rsid w:val="008B2CAA"/>
    <w:rsid w:val="008B2E1A"/>
    <w:rsid w:val="008B4015"/>
    <w:rsid w:val="008B50F0"/>
    <w:rsid w:val="008B5920"/>
    <w:rsid w:val="008B6888"/>
    <w:rsid w:val="008B7AD5"/>
    <w:rsid w:val="008C0623"/>
    <w:rsid w:val="008C134E"/>
    <w:rsid w:val="008C17BD"/>
    <w:rsid w:val="008C253D"/>
    <w:rsid w:val="008C261D"/>
    <w:rsid w:val="008C3EE7"/>
    <w:rsid w:val="008C408A"/>
    <w:rsid w:val="008C4CA9"/>
    <w:rsid w:val="008C5A76"/>
    <w:rsid w:val="008C5CD4"/>
    <w:rsid w:val="008C6B89"/>
    <w:rsid w:val="008C6D41"/>
    <w:rsid w:val="008C736E"/>
    <w:rsid w:val="008C7503"/>
    <w:rsid w:val="008C7597"/>
    <w:rsid w:val="008C79DA"/>
    <w:rsid w:val="008C7F3D"/>
    <w:rsid w:val="008D0B7C"/>
    <w:rsid w:val="008D1705"/>
    <w:rsid w:val="008D1794"/>
    <w:rsid w:val="008D2041"/>
    <w:rsid w:val="008D24AF"/>
    <w:rsid w:val="008D2555"/>
    <w:rsid w:val="008D2ADC"/>
    <w:rsid w:val="008D3362"/>
    <w:rsid w:val="008D339F"/>
    <w:rsid w:val="008D39DE"/>
    <w:rsid w:val="008D4F04"/>
    <w:rsid w:val="008D5366"/>
    <w:rsid w:val="008D595A"/>
    <w:rsid w:val="008D72E7"/>
    <w:rsid w:val="008D7F38"/>
    <w:rsid w:val="008E17E1"/>
    <w:rsid w:val="008E1C29"/>
    <w:rsid w:val="008E262E"/>
    <w:rsid w:val="008E2BDE"/>
    <w:rsid w:val="008E2C94"/>
    <w:rsid w:val="008E3F11"/>
    <w:rsid w:val="008E4219"/>
    <w:rsid w:val="008E4808"/>
    <w:rsid w:val="008E4EA1"/>
    <w:rsid w:val="008E5A78"/>
    <w:rsid w:val="008E601E"/>
    <w:rsid w:val="008E6292"/>
    <w:rsid w:val="008E68BB"/>
    <w:rsid w:val="008E7BAF"/>
    <w:rsid w:val="008E7EC4"/>
    <w:rsid w:val="008F0C81"/>
    <w:rsid w:val="008F0D93"/>
    <w:rsid w:val="008F14E7"/>
    <w:rsid w:val="008F1580"/>
    <w:rsid w:val="008F25B1"/>
    <w:rsid w:val="008F2BF7"/>
    <w:rsid w:val="008F2EEF"/>
    <w:rsid w:val="008F3870"/>
    <w:rsid w:val="008F3945"/>
    <w:rsid w:val="008F457B"/>
    <w:rsid w:val="008F50CB"/>
    <w:rsid w:val="008F5305"/>
    <w:rsid w:val="008F54B2"/>
    <w:rsid w:val="008F5D00"/>
    <w:rsid w:val="008F5E21"/>
    <w:rsid w:val="008F5F84"/>
    <w:rsid w:val="008F67F6"/>
    <w:rsid w:val="008F6E05"/>
    <w:rsid w:val="008F7053"/>
    <w:rsid w:val="008F709C"/>
    <w:rsid w:val="008F726B"/>
    <w:rsid w:val="0090081D"/>
    <w:rsid w:val="00900963"/>
    <w:rsid w:val="00900A80"/>
    <w:rsid w:val="00900BBD"/>
    <w:rsid w:val="00902FF7"/>
    <w:rsid w:val="00904560"/>
    <w:rsid w:val="0090488E"/>
    <w:rsid w:val="009048D3"/>
    <w:rsid w:val="00905092"/>
    <w:rsid w:val="0090678B"/>
    <w:rsid w:val="0090685B"/>
    <w:rsid w:val="00906929"/>
    <w:rsid w:val="00906977"/>
    <w:rsid w:val="00907621"/>
    <w:rsid w:val="0091066E"/>
    <w:rsid w:val="00910A91"/>
    <w:rsid w:val="0091171A"/>
    <w:rsid w:val="009124E9"/>
    <w:rsid w:val="009125FB"/>
    <w:rsid w:val="00913735"/>
    <w:rsid w:val="0091429D"/>
    <w:rsid w:val="009142DF"/>
    <w:rsid w:val="0091476C"/>
    <w:rsid w:val="00914FAE"/>
    <w:rsid w:val="00915523"/>
    <w:rsid w:val="0091637D"/>
    <w:rsid w:val="009201B1"/>
    <w:rsid w:val="00920334"/>
    <w:rsid w:val="00920354"/>
    <w:rsid w:val="00921055"/>
    <w:rsid w:val="00921A2C"/>
    <w:rsid w:val="0092269B"/>
    <w:rsid w:val="00923E78"/>
    <w:rsid w:val="0092540B"/>
    <w:rsid w:val="00925975"/>
    <w:rsid w:val="00925AA5"/>
    <w:rsid w:val="00925B27"/>
    <w:rsid w:val="00925C43"/>
    <w:rsid w:val="00925D7C"/>
    <w:rsid w:val="00926389"/>
    <w:rsid w:val="00926548"/>
    <w:rsid w:val="00927AB7"/>
    <w:rsid w:val="0093097F"/>
    <w:rsid w:val="009309B8"/>
    <w:rsid w:val="00930F3F"/>
    <w:rsid w:val="009324B7"/>
    <w:rsid w:val="0093287F"/>
    <w:rsid w:val="00933FE2"/>
    <w:rsid w:val="00935CCF"/>
    <w:rsid w:val="00935FE9"/>
    <w:rsid w:val="0093661D"/>
    <w:rsid w:val="00936BC8"/>
    <w:rsid w:val="00937192"/>
    <w:rsid w:val="009372DD"/>
    <w:rsid w:val="009400F6"/>
    <w:rsid w:val="0094019D"/>
    <w:rsid w:val="00940299"/>
    <w:rsid w:val="00942351"/>
    <w:rsid w:val="00942BEB"/>
    <w:rsid w:val="00942C11"/>
    <w:rsid w:val="00943D3B"/>
    <w:rsid w:val="00943FCB"/>
    <w:rsid w:val="00944E2C"/>
    <w:rsid w:val="009452A3"/>
    <w:rsid w:val="009453DC"/>
    <w:rsid w:val="009457A9"/>
    <w:rsid w:val="0094684C"/>
    <w:rsid w:val="009468ED"/>
    <w:rsid w:val="0095014F"/>
    <w:rsid w:val="00950742"/>
    <w:rsid w:val="009509AD"/>
    <w:rsid w:val="00950D39"/>
    <w:rsid w:val="009516F6"/>
    <w:rsid w:val="00951B65"/>
    <w:rsid w:val="00951FCE"/>
    <w:rsid w:val="009522E2"/>
    <w:rsid w:val="009529F8"/>
    <w:rsid w:val="00952E9B"/>
    <w:rsid w:val="00953026"/>
    <w:rsid w:val="0095333E"/>
    <w:rsid w:val="009539FA"/>
    <w:rsid w:val="00954BCF"/>
    <w:rsid w:val="00955402"/>
    <w:rsid w:val="00955D8A"/>
    <w:rsid w:val="00956548"/>
    <w:rsid w:val="00956D5A"/>
    <w:rsid w:val="00956FFF"/>
    <w:rsid w:val="009572FA"/>
    <w:rsid w:val="00957CDB"/>
    <w:rsid w:val="009600AF"/>
    <w:rsid w:val="0096019B"/>
    <w:rsid w:val="00960D0C"/>
    <w:rsid w:val="00961E9B"/>
    <w:rsid w:val="00961F30"/>
    <w:rsid w:val="0096214B"/>
    <w:rsid w:val="00962A84"/>
    <w:rsid w:val="00963144"/>
    <w:rsid w:val="009652B4"/>
    <w:rsid w:val="00965CE9"/>
    <w:rsid w:val="00966A9E"/>
    <w:rsid w:val="00966AE5"/>
    <w:rsid w:val="00967DB3"/>
    <w:rsid w:val="00970BB8"/>
    <w:rsid w:val="00970EB6"/>
    <w:rsid w:val="00971DDC"/>
    <w:rsid w:val="0097235B"/>
    <w:rsid w:val="009723C1"/>
    <w:rsid w:val="00972D01"/>
    <w:rsid w:val="00972E06"/>
    <w:rsid w:val="009732EC"/>
    <w:rsid w:val="00973FB5"/>
    <w:rsid w:val="009741D6"/>
    <w:rsid w:val="009743B6"/>
    <w:rsid w:val="009745A0"/>
    <w:rsid w:val="009748A6"/>
    <w:rsid w:val="00974AD6"/>
    <w:rsid w:val="00974D89"/>
    <w:rsid w:val="009752AE"/>
    <w:rsid w:val="00975696"/>
    <w:rsid w:val="009758BF"/>
    <w:rsid w:val="00975B0C"/>
    <w:rsid w:val="00976791"/>
    <w:rsid w:val="00976F58"/>
    <w:rsid w:val="00980097"/>
    <w:rsid w:val="00981053"/>
    <w:rsid w:val="00981E3C"/>
    <w:rsid w:val="009821CE"/>
    <w:rsid w:val="00982624"/>
    <w:rsid w:val="009827A9"/>
    <w:rsid w:val="00982CD1"/>
    <w:rsid w:val="00983AE9"/>
    <w:rsid w:val="00983DEF"/>
    <w:rsid w:val="009852CF"/>
    <w:rsid w:val="0098598E"/>
    <w:rsid w:val="009859AA"/>
    <w:rsid w:val="00985BEA"/>
    <w:rsid w:val="00986674"/>
    <w:rsid w:val="00987377"/>
    <w:rsid w:val="009873E4"/>
    <w:rsid w:val="00987444"/>
    <w:rsid w:val="009877B6"/>
    <w:rsid w:val="00987E82"/>
    <w:rsid w:val="00991949"/>
    <w:rsid w:val="00991F4F"/>
    <w:rsid w:val="00992017"/>
    <w:rsid w:val="00992AEA"/>
    <w:rsid w:val="00993033"/>
    <w:rsid w:val="0099329C"/>
    <w:rsid w:val="009933E1"/>
    <w:rsid w:val="0099385A"/>
    <w:rsid w:val="0099414B"/>
    <w:rsid w:val="009941C8"/>
    <w:rsid w:val="009942D7"/>
    <w:rsid w:val="0099434A"/>
    <w:rsid w:val="009964C7"/>
    <w:rsid w:val="00996B80"/>
    <w:rsid w:val="00996FD1"/>
    <w:rsid w:val="00997BEE"/>
    <w:rsid w:val="009A09FF"/>
    <w:rsid w:val="009A149E"/>
    <w:rsid w:val="009A2264"/>
    <w:rsid w:val="009A249B"/>
    <w:rsid w:val="009A3158"/>
    <w:rsid w:val="009A31B8"/>
    <w:rsid w:val="009A3D82"/>
    <w:rsid w:val="009A4456"/>
    <w:rsid w:val="009A4F93"/>
    <w:rsid w:val="009A562E"/>
    <w:rsid w:val="009A5E70"/>
    <w:rsid w:val="009A5EEE"/>
    <w:rsid w:val="009A658F"/>
    <w:rsid w:val="009A668A"/>
    <w:rsid w:val="009A68B7"/>
    <w:rsid w:val="009A7339"/>
    <w:rsid w:val="009A7428"/>
    <w:rsid w:val="009A74F2"/>
    <w:rsid w:val="009A7E53"/>
    <w:rsid w:val="009B0CC9"/>
    <w:rsid w:val="009B1683"/>
    <w:rsid w:val="009B38BD"/>
    <w:rsid w:val="009B4D84"/>
    <w:rsid w:val="009B5214"/>
    <w:rsid w:val="009B522A"/>
    <w:rsid w:val="009B54B0"/>
    <w:rsid w:val="009B5DD7"/>
    <w:rsid w:val="009B6167"/>
    <w:rsid w:val="009B6427"/>
    <w:rsid w:val="009B6F50"/>
    <w:rsid w:val="009B77BD"/>
    <w:rsid w:val="009C0025"/>
    <w:rsid w:val="009C0D80"/>
    <w:rsid w:val="009C0E65"/>
    <w:rsid w:val="009C0F3C"/>
    <w:rsid w:val="009C31A7"/>
    <w:rsid w:val="009C3829"/>
    <w:rsid w:val="009C45FB"/>
    <w:rsid w:val="009C5C79"/>
    <w:rsid w:val="009C68B6"/>
    <w:rsid w:val="009C7FD8"/>
    <w:rsid w:val="009D0594"/>
    <w:rsid w:val="009D119B"/>
    <w:rsid w:val="009D11C9"/>
    <w:rsid w:val="009D1CC3"/>
    <w:rsid w:val="009D203E"/>
    <w:rsid w:val="009D28FB"/>
    <w:rsid w:val="009D2C8A"/>
    <w:rsid w:val="009D2D28"/>
    <w:rsid w:val="009D2F94"/>
    <w:rsid w:val="009D3A8C"/>
    <w:rsid w:val="009D4312"/>
    <w:rsid w:val="009D47ED"/>
    <w:rsid w:val="009D49C7"/>
    <w:rsid w:val="009D4C45"/>
    <w:rsid w:val="009D4EEB"/>
    <w:rsid w:val="009D5286"/>
    <w:rsid w:val="009D5C10"/>
    <w:rsid w:val="009D5F48"/>
    <w:rsid w:val="009D651F"/>
    <w:rsid w:val="009D668F"/>
    <w:rsid w:val="009D6FDF"/>
    <w:rsid w:val="009D72D7"/>
    <w:rsid w:val="009D737B"/>
    <w:rsid w:val="009D74DE"/>
    <w:rsid w:val="009D7FA9"/>
    <w:rsid w:val="009E00BA"/>
    <w:rsid w:val="009E1606"/>
    <w:rsid w:val="009E1ABA"/>
    <w:rsid w:val="009E1C1E"/>
    <w:rsid w:val="009E1CD4"/>
    <w:rsid w:val="009E221D"/>
    <w:rsid w:val="009E32EC"/>
    <w:rsid w:val="009E37E4"/>
    <w:rsid w:val="009E4191"/>
    <w:rsid w:val="009E41DD"/>
    <w:rsid w:val="009E45DD"/>
    <w:rsid w:val="009E4B79"/>
    <w:rsid w:val="009E5646"/>
    <w:rsid w:val="009E5D58"/>
    <w:rsid w:val="009E61A7"/>
    <w:rsid w:val="009E6AFD"/>
    <w:rsid w:val="009E7113"/>
    <w:rsid w:val="009E7428"/>
    <w:rsid w:val="009E7464"/>
    <w:rsid w:val="009E7B93"/>
    <w:rsid w:val="009E7BB7"/>
    <w:rsid w:val="009F0124"/>
    <w:rsid w:val="009F0244"/>
    <w:rsid w:val="009F0D36"/>
    <w:rsid w:val="009F0FDF"/>
    <w:rsid w:val="009F4249"/>
    <w:rsid w:val="009F45EB"/>
    <w:rsid w:val="009F4DCD"/>
    <w:rsid w:val="009F4E50"/>
    <w:rsid w:val="009F4FEF"/>
    <w:rsid w:val="009F51F1"/>
    <w:rsid w:val="009F5408"/>
    <w:rsid w:val="009F554F"/>
    <w:rsid w:val="009F5832"/>
    <w:rsid w:val="009F62DE"/>
    <w:rsid w:val="009F653A"/>
    <w:rsid w:val="009F6592"/>
    <w:rsid w:val="009F6BB5"/>
    <w:rsid w:val="009F7085"/>
    <w:rsid w:val="009F7277"/>
    <w:rsid w:val="009F7FC0"/>
    <w:rsid w:val="00A00C24"/>
    <w:rsid w:val="00A03874"/>
    <w:rsid w:val="00A039CF"/>
    <w:rsid w:val="00A03F6F"/>
    <w:rsid w:val="00A04EA3"/>
    <w:rsid w:val="00A0508A"/>
    <w:rsid w:val="00A0533B"/>
    <w:rsid w:val="00A0589E"/>
    <w:rsid w:val="00A0602B"/>
    <w:rsid w:val="00A06376"/>
    <w:rsid w:val="00A0681B"/>
    <w:rsid w:val="00A068E9"/>
    <w:rsid w:val="00A07354"/>
    <w:rsid w:val="00A07BC1"/>
    <w:rsid w:val="00A106F5"/>
    <w:rsid w:val="00A10980"/>
    <w:rsid w:val="00A1171A"/>
    <w:rsid w:val="00A1270B"/>
    <w:rsid w:val="00A12D93"/>
    <w:rsid w:val="00A13477"/>
    <w:rsid w:val="00A1393A"/>
    <w:rsid w:val="00A145CC"/>
    <w:rsid w:val="00A14615"/>
    <w:rsid w:val="00A15501"/>
    <w:rsid w:val="00A15DDF"/>
    <w:rsid w:val="00A15EC1"/>
    <w:rsid w:val="00A16146"/>
    <w:rsid w:val="00A164FB"/>
    <w:rsid w:val="00A16677"/>
    <w:rsid w:val="00A16E03"/>
    <w:rsid w:val="00A16E2D"/>
    <w:rsid w:val="00A16FD9"/>
    <w:rsid w:val="00A174A1"/>
    <w:rsid w:val="00A17A89"/>
    <w:rsid w:val="00A17ABF"/>
    <w:rsid w:val="00A20CCC"/>
    <w:rsid w:val="00A2127B"/>
    <w:rsid w:val="00A22E73"/>
    <w:rsid w:val="00A24C2B"/>
    <w:rsid w:val="00A25E8F"/>
    <w:rsid w:val="00A260CD"/>
    <w:rsid w:val="00A2666D"/>
    <w:rsid w:val="00A26B5F"/>
    <w:rsid w:val="00A26E78"/>
    <w:rsid w:val="00A26EEC"/>
    <w:rsid w:val="00A2703A"/>
    <w:rsid w:val="00A2798A"/>
    <w:rsid w:val="00A3101F"/>
    <w:rsid w:val="00A318D6"/>
    <w:rsid w:val="00A32021"/>
    <w:rsid w:val="00A32AF6"/>
    <w:rsid w:val="00A33B76"/>
    <w:rsid w:val="00A34275"/>
    <w:rsid w:val="00A3480B"/>
    <w:rsid w:val="00A35715"/>
    <w:rsid w:val="00A36AB4"/>
    <w:rsid w:val="00A37031"/>
    <w:rsid w:val="00A37323"/>
    <w:rsid w:val="00A3749B"/>
    <w:rsid w:val="00A3797C"/>
    <w:rsid w:val="00A37CDA"/>
    <w:rsid w:val="00A40734"/>
    <w:rsid w:val="00A40C5F"/>
    <w:rsid w:val="00A40E69"/>
    <w:rsid w:val="00A41089"/>
    <w:rsid w:val="00A41B2D"/>
    <w:rsid w:val="00A428FD"/>
    <w:rsid w:val="00A42CD5"/>
    <w:rsid w:val="00A430F1"/>
    <w:rsid w:val="00A4377E"/>
    <w:rsid w:val="00A43CB9"/>
    <w:rsid w:val="00A440A5"/>
    <w:rsid w:val="00A46475"/>
    <w:rsid w:val="00A46575"/>
    <w:rsid w:val="00A46A91"/>
    <w:rsid w:val="00A46DAC"/>
    <w:rsid w:val="00A46E00"/>
    <w:rsid w:val="00A50A76"/>
    <w:rsid w:val="00A50F66"/>
    <w:rsid w:val="00A51EE3"/>
    <w:rsid w:val="00A51F9C"/>
    <w:rsid w:val="00A52D33"/>
    <w:rsid w:val="00A53517"/>
    <w:rsid w:val="00A53F70"/>
    <w:rsid w:val="00A54234"/>
    <w:rsid w:val="00A5462B"/>
    <w:rsid w:val="00A55307"/>
    <w:rsid w:val="00A556CD"/>
    <w:rsid w:val="00A5642C"/>
    <w:rsid w:val="00A56731"/>
    <w:rsid w:val="00A57084"/>
    <w:rsid w:val="00A57B31"/>
    <w:rsid w:val="00A57F73"/>
    <w:rsid w:val="00A6101A"/>
    <w:rsid w:val="00A61BF4"/>
    <w:rsid w:val="00A626EE"/>
    <w:rsid w:val="00A62E42"/>
    <w:rsid w:val="00A63362"/>
    <w:rsid w:val="00A63EA4"/>
    <w:rsid w:val="00A6461B"/>
    <w:rsid w:val="00A64A71"/>
    <w:rsid w:val="00A64D53"/>
    <w:rsid w:val="00A66C31"/>
    <w:rsid w:val="00A70950"/>
    <w:rsid w:val="00A7142C"/>
    <w:rsid w:val="00A71F2B"/>
    <w:rsid w:val="00A7254B"/>
    <w:rsid w:val="00A72976"/>
    <w:rsid w:val="00A72F36"/>
    <w:rsid w:val="00A72FF9"/>
    <w:rsid w:val="00A73C79"/>
    <w:rsid w:val="00A74471"/>
    <w:rsid w:val="00A74E0E"/>
    <w:rsid w:val="00A75072"/>
    <w:rsid w:val="00A7608E"/>
    <w:rsid w:val="00A767FA"/>
    <w:rsid w:val="00A803AB"/>
    <w:rsid w:val="00A8087E"/>
    <w:rsid w:val="00A81972"/>
    <w:rsid w:val="00A820E7"/>
    <w:rsid w:val="00A8212C"/>
    <w:rsid w:val="00A8352C"/>
    <w:rsid w:val="00A839CD"/>
    <w:rsid w:val="00A84113"/>
    <w:rsid w:val="00A8453A"/>
    <w:rsid w:val="00A846D5"/>
    <w:rsid w:val="00A84E25"/>
    <w:rsid w:val="00A85077"/>
    <w:rsid w:val="00A85140"/>
    <w:rsid w:val="00A865B8"/>
    <w:rsid w:val="00A86DAD"/>
    <w:rsid w:val="00A86E34"/>
    <w:rsid w:val="00A872C9"/>
    <w:rsid w:val="00A87404"/>
    <w:rsid w:val="00A87415"/>
    <w:rsid w:val="00A87ABB"/>
    <w:rsid w:val="00A90A89"/>
    <w:rsid w:val="00A911D4"/>
    <w:rsid w:val="00A91F12"/>
    <w:rsid w:val="00A92346"/>
    <w:rsid w:val="00A9259E"/>
    <w:rsid w:val="00A92A7A"/>
    <w:rsid w:val="00A92CC3"/>
    <w:rsid w:val="00A92F16"/>
    <w:rsid w:val="00A93636"/>
    <w:rsid w:val="00A93D90"/>
    <w:rsid w:val="00A93DA8"/>
    <w:rsid w:val="00A944B5"/>
    <w:rsid w:val="00A948BD"/>
    <w:rsid w:val="00A94D73"/>
    <w:rsid w:val="00A95B08"/>
    <w:rsid w:val="00A95F39"/>
    <w:rsid w:val="00A96271"/>
    <w:rsid w:val="00A9686D"/>
    <w:rsid w:val="00AA0394"/>
    <w:rsid w:val="00AA1E57"/>
    <w:rsid w:val="00AA1F2F"/>
    <w:rsid w:val="00AA2052"/>
    <w:rsid w:val="00AA24DC"/>
    <w:rsid w:val="00AA287A"/>
    <w:rsid w:val="00AA3A76"/>
    <w:rsid w:val="00AA3FD1"/>
    <w:rsid w:val="00AA40BF"/>
    <w:rsid w:val="00AA50F2"/>
    <w:rsid w:val="00AA6EF2"/>
    <w:rsid w:val="00AA7341"/>
    <w:rsid w:val="00AA752C"/>
    <w:rsid w:val="00AA7841"/>
    <w:rsid w:val="00AA7DE2"/>
    <w:rsid w:val="00AB09DD"/>
    <w:rsid w:val="00AB1263"/>
    <w:rsid w:val="00AB230F"/>
    <w:rsid w:val="00AB2783"/>
    <w:rsid w:val="00AB29DE"/>
    <w:rsid w:val="00AB2EE6"/>
    <w:rsid w:val="00AB3158"/>
    <w:rsid w:val="00AB408D"/>
    <w:rsid w:val="00AB44D2"/>
    <w:rsid w:val="00AB49CF"/>
    <w:rsid w:val="00AB4B24"/>
    <w:rsid w:val="00AB56D0"/>
    <w:rsid w:val="00AB611D"/>
    <w:rsid w:val="00AB6230"/>
    <w:rsid w:val="00AC029C"/>
    <w:rsid w:val="00AC076E"/>
    <w:rsid w:val="00AC09C8"/>
    <w:rsid w:val="00AC11E9"/>
    <w:rsid w:val="00AC234A"/>
    <w:rsid w:val="00AC2FFA"/>
    <w:rsid w:val="00AC3B7F"/>
    <w:rsid w:val="00AC409C"/>
    <w:rsid w:val="00AC4237"/>
    <w:rsid w:val="00AC4D10"/>
    <w:rsid w:val="00AC58D1"/>
    <w:rsid w:val="00AC614F"/>
    <w:rsid w:val="00AC6374"/>
    <w:rsid w:val="00AC64AB"/>
    <w:rsid w:val="00AC702A"/>
    <w:rsid w:val="00AC7699"/>
    <w:rsid w:val="00AC78EC"/>
    <w:rsid w:val="00AC79F6"/>
    <w:rsid w:val="00AD1980"/>
    <w:rsid w:val="00AD3339"/>
    <w:rsid w:val="00AD35C1"/>
    <w:rsid w:val="00AD4D55"/>
    <w:rsid w:val="00AD52EB"/>
    <w:rsid w:val="00AD5729"/>
    <w:rsid w:val="00AD5A48"/>
    <w:rsid w:val="00AD6445"/>
    <w:rsid w:val="00AD64D2"/>
    <w:rsid w:val="00AD79F7"/>
    <w:rsid w:val="00AE0050"/>
    <w:rsid w:val="00AE05D0"/>
    <w:rsid w:val="00AE0600"/>
    <w:rsid w:val="00AE0856"/>
    <w:rsid w:val="00AE0B4E"/>
    <w:rsid w:val="00AE2730"/>
    <w:rsid w:val="00AE2C14"/>
    <w:rsid w:val="00AE2F90"/>
    <w:rsid w:val="00AE430D"/>
    <w:rsid w:val="00AE4D99"/>
    <w:rsid w:val="00AE5817"/>
    <w:rsid w:val="00AE613B"/>
    <w:rsid w:val="00AE6387"/>
    <w:rsid w:val="00AE646B"/>
    <w:rsid w:val="00AE67BC"/>
    <w:rsid w:val="00AE7785"/>
    <w:rsid w:val="00AE7A7A"/>
    <w:rsid w:val="00AF072C"/>
    <w:rsid w:val="00AF1714"/>
    <w:rsid w:val="00AF281B"/>
    <w:rsid w:val="00AF400F"/>
    <w:rsid w:val="00AF40A6"/>
    <w:rsid w:val="00AF4ED3"/>
    <w:rsid w:val="00AF529F"/>
    <w:rsid w:val="00AF541A"/>
    <w:rsid w:val="00AF5483"/>
    <w:rsid w:val="00AF62DD"/>
    <w:rsid w:val="00AF65DD"/>
    <w:rsid w:val="00AF7794"/>
    <w:rsid w:val="00AF7A93"/>
    <w:rsid w:val="00B0076B"/>
    <w:rsid w:val="00B014F0"/>
    <w:rsid w:val="00B01622"/>
    <w:rsid w:val="00B02491"/>
    <w:rsid w:val="00B02EF6"/>
    <w:rsid w:val="00B02FE3"/>
    <w:rsid w:val="00B035B6"/>
    <w:rsid w:val="00B03A31"/>
    <w:rsid w:val="00B04DF5"/>
    <w:rsid w:val="00B072B5"/>
    <w:rsid w:val="00B1077D"/>
    <w:rsid w:val="00B11180"/>
    <w:rsid w:val="00B1171B"/>
    <w:rsid w:val="00B13AB4"/>
    <w:rsid w:val="00B1553F"/>
    <w:rsid w:val="00B16110"/>
    <w:rsid w:val="00B168F4"/>
    <w:rsid w:val="00B20B8B"/>
    <w:rsid w:val="00B218FC"/>
    <w:rsid w:val="00B223C5"/>
    <w:rsid w:val="00B241DE"/>
    <w:rsid w:val="00B244AE"/>
    <w:rsid w:val="00B24892"/>
    <w:rsid w:val="00B24D23"/>
    <w:rsid w:val="00B24F0B"/>
    <w:rsid w:val="00B255C2"/>
    <w:rsid w:val="00B25DB5"/>
    <w:rsid w:val="00B30BB7"/>
    <w:rsid w:val="00B3149D"/>
    <w:rsid w:val="00B31ED3"/>
    <w:rsid w:val="00B3234B"/>
    <w:rsid w:val="00B32452"/>
    <w:rsid w:val="00B32735"/>
    <w:rsid w:val="00B32ADE"/>
    <w:rsid w:val="00B33048"/>
    <w:rsid w:val="00B35166"/>
    <w:rsid w:val="00B365A6"/>
    <w:rsid w:val="00B36729"/>
    <w:rsid w:val="00B36B3E"/>
    <w:rsid w:val="00B4011C"/>
    <w:rsid w:val="00B40C93"/>
    <w:rsid w:val="00B40DA1"/>
    <w:rsid w:val="00B414DB"/>
    <w:rsid w:val="00B41689"/>
    <w:rsid w:val="00B42272"/>
    <w:rsid w:val="00B425C6"/>
    <w:rsid w:val="00B425D9"/>
    <w:rsid w:val="00B43463"/>
    <w:rsid w:val="00B4377A"/>
    <w:rsid w:val="00B43D16"/>
    <w:rsid w:val="00B4402C"/>
    <w:rsid w:val="00B445A4"/>
    <w:rsid w:val="00B44C51"/>
    <w:rsid w:val="00B44C91"/>
    <w:rsid w:val="00B460FD"/>
    <w:rsid w:val="00B46858"/>
    <w:rsid w:val="00B5028B"/>
    <w:rsid w:val="00B50417"/>
    <w:rsid w:val="00B50C98"/>
    <w:rsid w:val="00B50F6A"/>
    <w:rsid w:val="00B50F7B"/>
    <w:rsid w:val="00B5140E"/>
    <w:rsid w:val="00B52A60"/>
    <w:rsid w:val="00B52AD5"/>
    <w:rsid w:val="00B537FC"/>
    <w:rsid w:val="00B53BC8"/>
    <w:rsid w:val="00B54505"/>
    <w:rsid w:val="00B5487A"/>
    <w:rsid w:val="00B55B58"/>
    <w:rsid w:val="00B55BE5"/>
    <w:rsid w:val="00B55D64"/>
    <w:rsid w:val="00B55DB1"/>
    <w:rsid w:val="00B55F29"/>
    <w:rsid w:val="00B5611D"/>
    <w:rsid w:val="00B57933"/>
    <w:rsid w:val="00B604FB"/>
    <w:rsid w:val="00B60602"/>
    <w:rsid w:val="00B606D0"/>
    <w:rsid w:val="00B609AE"/>
    <w:rsid w:val="00B61066"/>
    <w:rsid w:val="00B6168D"/>
    <w:rsid w:val="00B619CB"/>
    <w:rsid w:val="00B62207"/>
    <w:rsid w:val="00B62712"/>
    <w:rsid w:val="00B628A5"/>
    <w:rsid w:val="00B63980"/>
    <w:rsid w:val="00B643DC"/>
    <w:rsid w:val="00B64CA3"/>
    <w:rsid w:val="00B6511A"/>
    <w:rsid w:val="00B66287"/>
    <w:rsid w:val="00B66471"/>
    <w:rsid w:val="00B66F78"/>
    <w:rsid w:val="00B6783D"/>
    <w:rsid w:val="00B70692"/>
    <w:rsid w:val="00B7124F"/>
    <w:rsid w:val="00B715DA"/>
    <w:rsid w:val="00B71D1D"/>
    <w:rsid w:val="00B73545"/>
    <w:rsid w:val="00B73E4D"/>
    <w:rsid w:val="00B7458E"/>
    <w:rsid w:val="00B74708"/>
    <w:rsid w:val="00B747F0"/>
    <w:rsid w:val="00B74AA4"/>
    <w:rsid w:val="00B75C38"/>
    <w:rsid w:val="00B760DE"/>
    <w:rsid w:val="00B770FF"/>
    <w:rsid w:val="00B8121C"/>
    <w:rsid w:val="00B8126C"/>
    <w:rsid w:val="00B81A59"/>
    <w:rsid w:val="00B82840"/>
    <w:rsid w:val="00B82EF9"/>
    <w:rsid w:val="00B83175"/>
    <w:rsid w:val="00B8320C"/>
    <w:rsid w:val="00B83214"/>
    <w:rsid w:val="00B836FD"/>
    <w:rsid w:val="00B85203"/>
    <w:rsid w:val="00B855B8"/>
    <w:rsid w:val="00B8562A"/>
    <w:rsid w:val="00B85F47"/>
    <w:rsid w:val="00B86806"/>
    <w:rsid w:val="00B86D66"/>
    <w:rsid w:val="00B86FF5"/>
    <w:rsid w:val="00B87927"/>
    <w:rsid w:val="00B9063E"/>
    <w:rsid w:val="00B910C3"/>
    <w:rsid w:val="00B9136F"/>
    <w:rsid w:val="00B917C0"/>
    <w:rsid w:val="00B92619"/>
    <w:rsid w:val="00B927A6"/>
    <w:rsid w:val="00B92AEA"/>
    <w:rsid w:val="00B933CF"/>
    <w:rsid w:val="00B93A0A"/>
    <w:rsid w:val="00B93DBB"/>
    <w:rsid w:val="00B9501C"/>
    <w:rsid w:val="00B96621"/>
    <w:rsid w:val="00B97587"/>
    <w:rsid w:val="00B97CFB"/>
    <w:rsid w:val="00BA0002"/>
    <w:rsid w:val="00BA06F2"/>
    <w:rsid w:val="00BA088A"/>
    <w:rsid w:val="00BA092B"/>
    <w:rsid w:val="00BA1F9A"/>
    <w:rsid w:val="00BA20B4"/>
    <w:rsid w:val="00BA2134"/>
    <w:rsid w:val="00BA2E72"/>
    <w:rsid w:val="00BA329D"/>
    <w:rsid w:val="00BA5955"/>
    <w:rsid w:val="00BA66C4"/>
    <w:rsid w:val="00BA6C42"/>
    <w:rsid w:val="00BA7AF8"/>
    <w:rsid w:val="00BB06AA"/>
    <w:rsid w:val="00BB09D5"/>
    <w:rsid w:val="00BB1064"/>
    <w:rsid w:val="00BB1546"/>
    <w:rsid w:val="00BB1E2F"/>
    <w:rsid w:val="00BB204C"/>
    <w:rsid w:val="00BB3E3C"/>
    <w:rsid w:val="00BB4DA0"/>
    <w:rsid w:val="00BB4FE6"/>
    <w:rsid w:val="00BB5A1D"/>
    <w:rsid w:val="00BC06B3"/>
    <w:rsid w:val="00BC0B82"/>
    <w:rsid w:val="00BC15D0"/>
    <w:rsid w:val="00BC19DE"/>
    <w:rsid w:val="00BC27D1"/>
    <w:rsid w:val="00BC2FF7"/>
    <w:rsid w:val="00BC3566"/>
    <w:rsid w:val="00BC3E47"/>
    <w:rsid w:val="00BC40F1"/>
    <w:rsid w:val="00BC48D4"/>
    <w:rsid w:val="00BC4E9D"/>
    <w:rsid w:val="00BC4F4E"/>
    <w:rsid w:val="00BC5358"/>
    <w:rsid w:val="00BC560F"/>
    <w:rsid w:val="00BC577F"/>
    <w:rsid w:val="00BC581A"/>
    <w:rsid w:val="00BC6BC5"/>
    <w:rsid w:val="00BC6BD8"/>
    <w:rsid w:val="00BC6BDB"/>
    <w:rsid w:val="00BC7048"/>
    <w:rsid w:val="00BC7234"/>
    <w:rsid w:val="00BC7439"/>
    <w:rsid w:val="00BC7897"/>
    <w:rsid w:val="00BC7BE5"/>
    <w:rsid w:val="00BD0808"/>
    <w:rsid w:val="00BD08C4"/>
    <w:rsid w:val="00BD0967"/>
    <w:rsid w:val="00BD1899"/>
    <w:rsid w:val="00BD1AD9"/>
    <w:rsid w:val="00BD2829"/>
    <w:rsid w:val="00BD2B39"/>
    <w:rsid w:val="00BD2B95"/>
    <w:rsid w:val="00BD2BCA"/>
    <w:rsid w:val="00BD3EA6"/>
    <w:rsid w:val="00BD3EAE"/>
    <w:rsid w:val="00BD4789"/>
    <w:rsid w:val="00BD5650"/>
    <w:rsid w:val="00BD576E"/>
    <w:rsid w:val="00BD791F"/>
    <w:rsid w:val="00BE0161"/>
    <w:rsid w:val="00BE18AF"/>
    <w:rsid w:val="00BE1BDD"/>
    <w:rsid w:val="00BE22B0"/>
    <w:rsid w:val="00BE252B"/>
    <w:rsid w:val="00BE2ACA"/>
    <w:rsid w:val="00BE2D9A"/>
    <w:rsid w:val="00BE4B18"/>
    <w:rsid w:val="00BE6192"/>
    <w:rsid w:val="00BE6F7F"/>
    <w:rsid w:val="00BE7363"/>
    <w:rsid w:val="00BF1257"/>
    <w:rsid w:val="00BF2B13"/>
    <w:rsid w:val="00BF399E"/>
    <w:rsid w:val="00BF413B"/>
    <w:rsid w:val="00BF44D8"/>
    <w:rsid w:val="00BF4722"/>
    <w:rsid w:val="00BF4F36"/>
    <w:rsid w:val="00BF4F88"/>
    <w:rsid w:val="00BF5421"/>
    <w:rsid w:val="00BF5DFF"/>
    <w:rsid w:val="00BF5F56"/>
    <w:rsid w:val="00BF682E"/>
    <w:rsid w:val="00BF6CFB"/>
    <w:rsid w:val="00BF75A1"/>
    <w:rsid w:val="00BF7C94"/>
    <w:rsid w:val="00C00B3E"/>
    <w:rsid w:val="00C0101D"/>
    <w:rsid w:val="00C01DF8"/>
    <w:rsid w:val="00C036F2"/>
    <w:rsid w:val="00C03A22"/>
    <w:rsid w:val="00C03BDF"/>
    <w:rsid w:val="00C05388"/>
    <w:rsid w:val="00C05588"/>
    <w:rsid w:val="00C0576C"/>
    <w:rsid w:val="00C05FBE"/>
    <w:rsid w:val="00C06104"/>
    <w:rsid w:val="00C07C7A"/>
    <w:rsid w:val="00C10899"/>
    <w:rsid w:val="00C10AB6"/>
    <w:rsid w:val="00C1125B"/>
    <w:rsid w:val="00C11CAB"/>
    <w:rsid w:val="00C1296D"/>
    <w:rsid w:val="00C12F6B"/>
    <w:rsid w:val="00C136B1"/>
    <w:rsid w:val="00C13D8B"/>
    <w:rsid w:val="00C141D3"/>
    <w:rsid w:val="00C1439B"/>
    <w:rsid w:val="00C147FE"/>
    <w:rsid w:val="00C14E85"/>
    <w:rsid w:val="00C1555E"/>
    <w:rsid w:val="00C163A4"/>
    <w:rsid w:val="00C16C81"/>
    <w:rsid w:val="00C16E3D"/>
    <w:rsid w:val="00C17AA3"/>
    <w:rsid w:val="00C20941"/>
    <w:rsid w:val="00C20EC8"/>
    <w:rsid w:val="00C20F60"/>
    <w:rsid w:val="00C21243"/>
    <w:rsid w:val="00C21289"/>
    <w:rsid w:val="00C215C6"/>
    <w:rsid w:val="00C23012"/>
    <w:rsid w:val="00C237A6"/>
    <w:rsid w:val="00C23B22"/>
    <w:rsid w:val="00C24657"/>
    <w:rsid w:val="00C25CDF"/>
    <w:rsid w:val="00C25FD9"/>
    <w:rsid w:val="00C2614B"/>
    <w:rsid w:val="00C27FC9"/>
    <w:rsid w:val="00C3015A"/>
    <w:rsid w:val="00C30297"/>
    <w:rsid w:val="00C31091"/>
    <w:rsid w:val="00C3118A"/>
    <w:rsid w:val="00C319FD"/>
    <w:rsid w:val="00C321A0"/>
    <w:rsid w:val="00C3267B"/>
    <w:rsid w:val="00C32ACC"/>
    <w:rsid w:val="00C32E0C"/>
    <w:rsid w:val="00C33721"/>
    <w:rsid w:val="00C33B85"/>
    <w:rsid w:val="00C3496F"/>
    <w:rsid w:val="00C35549"/>
    <w:rsid w:val="00C37FD4"/>
    <w:rsid w:val="00C40285"/>
    <w:rsid w:val="00C403D2"/>
    <w:rsid w:val="00C40B04"/>
    <w:rsid w:val="00C40B42"/>
    <w:rsid w:val="00C40D5E"/>
    <w:rsid w:val="00C40FF3"/>
    <w:rsid w:val="00C4119D"/>
    <w:rsid w:val="00C41ED8"/>
    <w:rsid w:val="00C42265"/>
    <w:rsid w:val="00C42710"/>
    <w:rsid w:val="00C4377D"/>
    <w:rsid w:val="00C43F5F"/>
    <w:rsid w:val="00C44B76"/>
    <w:rsid w:val="00C457EE"/>
    <w:rsid w:val="00C4726D"/>
    <w:rsid w:val="00C47688"/>
    <w:rsid w:val="00C47B2F"/>
    <w:rsid w:val="00C50791"/>
    <w:rsid w:val="00C51393"/>
    <w:rsid w:val="00C516C8"/>
    <w:rsid w:val="00C51915"/>
    <w:rsid w:val="00C520F8"/>
    <w:rsid w:val="00C523E2"/>
    <w:rsid w:val="00C525DA"/>
    <w:rsid w:val="00C54E4E"/>
    <w:rsid w:val="00C54FA0"/>
    <w:rsid w:val="00C5562F"/>
    <w:rsid w:val="00C56B77"/>
    <w:rsid w:val="00C56BB1"/>
    <w:rsid w:val="00C575AE"/>
    <w:rsid w:val="00C57623"/>
    <w:rsid w:val="00C57917"/>
    <w:rsid w:val="00C57BE2"/>
    <w:rsid w:val="00C64414"/>
    <w:rsid w:val="00C64989"/>
    <w:rsid w:val="00C65341"/>
    <w:rsid w:val="00C663AB"/>
    <w:rsid w:val="00C667F7"/>
    <w:rsid w:val="00C67913"/>
    <w:rsid w:val="00C700DE"/>
    <w:rsid w:val="00C70653"/>
    <w:rsid w:val="00C70E6D"/>
    <w:rsid w:val="00C71797"/>
    <w:rsid w:val="00C71B9D"/>
    <w:rsid w:val="00C731EE"/>
    <w:rsid w:val="00C737CC"/>
    <w:rsid w:val="00C73E60"/>
    <w:rsid w:val="00C74528"/>
    <w:rsid w:val="00C747ED"/>
    <w:rsid w:val="00C74E0B"/>
    <w:rsid w:val="00C74FBE"/>
    <w:rsid w:val="00C75066"/>
    <w:rsid w:val="00C75C0C"/>
    <w:rsid w:val="00C75F54"/>
    <w:rsid w:val="00C76B76"/>
    <w:rsid w:val="00C80B8A"/>
    <w:rsid w:val="00C81053"/>
    <w:rsid w:val="00C812FC"/>
    <w:rsid w:val="00C81316"/>
    <w:rsid w:val="00C82210"/>
    <w:rsid w:val="00C8275C"/>
    <w:rsid w:val="00C82C20"/>
    <w:rsid w:val="00C83884"/>
    <w:rsid w:val="00C84019"/>
    <w:rsid w:val="00C843C8"/>
    <w:rsid w:val="00C84FCA"/>
    <w:rsid w:val="00C850F2"/>
    <w:rsid w:val="00C8515A"/>
    <w:rsid w:val="00C85314"/>
    <w:rsid w:val="00C8540F"/>
    <w:rsid w:val="00C855F7"/>
    <w:rsid w:val="00C856F8"/>
    <w:rsid w:val="00C86F26"/>
    <w:rsid w:val="00C87792"/>
    <w:rsid w:val="00C8784B"/>
    <w:rsid w:val="00C90065"/>
    <w:rsid w:val="00C91131"/>
    <w:rsid w:val="00C91F08"/>
    <w:rsid w:val="00C94B80"/>
    <w:rsid w:val="00C95029"/>
    <w:rsid w:val="00C951C7"/>
    <w:rsid w:val="00C9693F"/>
    <w:rsid w:val="00C96E5B"/>
    <w:rsid w:val="00C971A0"/>
    <w:rsid w:val="00C97D20"/>
    <w:rsid w:val="00C97FD3"/>
    <w:rsid w:val="00CA0BDE"/>
    <w:rsid w:val="00CA0D1C"/>
    <w:rsid w:val="00CA153B"/>
    <w:rsid w:val="00CA16D1"/>
    <w:rsid w:val="00CA1898"/>
    <w:rsid w:val="00CA197B"/>
    <w:rsid w:val="00CA225C"/>
    <w:rsid w:val="00CA46D6"/>
    <w:rsid w:val="00CA495D"/>
    <w:rsid w:val="00CA4BC0"/>
    <w:rsid w:val="00CA5561"/>
    <w:rsid w:val="00CA57EF"/>
    <w:rsid w:val="00CA6DFF"/>
    <w:rsid w:val="00CA7147"/>
    <w:rsid w:val="00CA76EC"/>
    <w:rsid w:val="00CA79F3"/>
    <w:rsid w:val="00CB0178"/>
    <w:rsid w:val="00CB03CF"/>
    <w:rsid w:val="00CB0703"/>
    <w:rsid w:val="00CB11E7"/>
    <w:rsid w:val="00CB243A"/>
    <w:rsid w:val="00CB322C"/>
    <w:rsid w:val="00CB37FE"/>
    <w:rsid w:val="00CB392C"/>
    <w:rsid w:val="00CB3A37"/>
    <w:rsid w:val="00CB4503"/>
    <w:rsid w:val="00CB4674"/>
    <w:rsid w:val="00CB4A59"/>
    <w:rsid w:val="00CB5269"/>
    <w:rsid w:val="00CB552A"/>
    <w:rsid w:val="00CB5A71"/>
    <w:rsid w:val="00CB5E1E"/>
    <w:rsid w:val="00CB6ADB"/>
    <w:rsid w:val="00CB700E"/>
    <w:rsid w:val="00CB7873"/>
    <w:rsid w:val="00CC0D20"/>
    <w:rsid w:val="00CC10E0"/>
    <w:rsid w:val="00CC14BD"/>
    <w:rsid w:val="00CC22A4"/>
    <w:rsid w:val="00CC26F3"/>
    <w:rsid w:val="00CC2B68"/>
    <w:rsid w:val="00CC2F2F"/>
    <w:rsid w:val="00CC3FE1"/>
    <w:rsid w:val="00CC3FF9"/>
    <w:rsid w:val="00CC4991"/>
    <w:rsid w:val="00CC559D"/>
    <w:rsid w:val="00CC5AB8"/>
    <w:rsid w:val="00CC6A31"/>
    <w:rsid w:val="00CC6DA4"/>
    <w:rsid w:val="00CC7E26"/>
    <w:rsid w:val="00CD1C56"/>
    <w:rsid w:val="00CD2899"/>
    <w:rsid w:val="00CD2D82"/>
    <w:rsid w:val="00CD3B28"/>
    <w:rsid w:val="00CD4249"/>
    <w:rsid w:val="00CD4865"/>
    <w:rsid w:val="00CD4875"/>
    <w:rsid w:val="00CD5F4A"/>
    <w:rsid w:val="00CD654B"/>
    <w:rsid w:val="00CD6BD4"/>
    <w:rsid w:val="00CD755B"/>
    <w:rsid w:val="00CD75E2"/>
    <w:rsid w:val="00CD7882"/>
    <w:rsid w:val="00CD78DD"/>
    <w:rsid w:val="00CE0DD9"/>
    <w:rsid w:val="00CE1007"/>
    <w:rsid w:val="00CE141D"/>
    <w:rsid w:val="00CE223E"/>
    <w:rsid w:val="00CE2755"/>
    <w:rsid w:val="00CE2FDF"/>
    <w:rsid w:val="00CE3507"/>
    <w:rsid w:val="00CE4165"/>
    <w:rsid w:val="00CE439B"/>
    <w:rsid w:val="00CE4606"/>
    <w:rsid w:val="00CE5B0C"/>
    <w:rsid w:val="00CE5C4C"/>
    <w:rsid w:val="00CE5D3E"/>
    <w:rsid w:val="00CE5FF5"/>
    <w:rsid w:val="00CE65A1"/>
    <w:rsid w:val="00CE6A22"/>
    <w:rsid w:val="00CE6AF2"/>
    <w:rsid w:val="00CE73E5"/>
    <w:rsid w:val="00CE7841"/>
    <w:rsid w:val="00CE7B1C"/>
    <w:rsid w:val="00CF059C"/>
    <w:rsid w:val="00CF12B5"/>
    <w:rsid w:val="00CF1608"/>
    <w:rsid w:val="00CF1E52"/>
    <w:rsid w:val="00CF22DA"/>
    <w:rsid w:val="00CF2304"/>
    <w:rsid w:val="00CF29B7"/>
    <w:rsid w:val="00CF2FBC"/>
    <w:rsid w:val="00CF32A2"/>
    <w:rsid w:val="00CF4E86"/>
    <w:rsid w:val="00CF511F"/>
    <w:rsid w:val="00CF5806"/>
    <w:rsid w:val="00CF5929"/>
    <w:rsid w:val="00CF6BBC"/>
    <w:rsid w:val="00CF6FC7"/>
    <w:rsid w:val="00CF709C"/>
    <w:rsid w:val="00CF74CD"/>
    <w:rsid w:val="00D00743"/>
    <w:rsid w:val="00D00990"/>
    <w:rsid w:val="00D00AAF"/>
    <w:rsid w:val="00D01336"/>
    <w:rsid w:val="00D02597"/>
    <w:rsid w:val="00D028C9"/>
    <w:rsid w:val="00D02B05"/>
    <w:rsid w:val="00D02D2B"/>
    <w:rsid w:val="00D04616"/>
    <w:rsid w:val="00D048C3"/>
    <w:rsid w:val="00D0535F"/>
    <w:rsid w:val="00D05B45"/>
    <w:rsid w:val="00D05B55"/>
    <w:rsid w:val="00D07A1B"/>
    <w:rsid w:val="00D106DB"/>
    <w:rsid w:val="00D10804"/>
    <w:rsid w:val="00D11BDF"/>
    <w:rsid w:val="00D12292"/>
    <w:rsid w:val="00D123CE"/>
    <w:rsid w:val="00D1289F"/>
    <w:rsid w:val="00D1383A"/>
    <w:rsid w:val="00D145F5"/>
    <w:rsid w:val="00D14814"/>
    <w:rsid w:val="00D148F4"/>
    <w:rsid w:val="00D14F0B"/>
    <w:rsid w:val="00D1526A"/>
    <w:rsid w:val="00D1528E"/>
    <w:rsid w:val="00D158AF"/>
    <w:rsid w:val="00D1598D"/>
    <w:rsid w:val="00D16250"/>
    <w:rsid w:val="00D1652B"/>
    <w:rsid w:val="00D167D4"/>
    <w:rsid w:val="00D17163"/>
    <w:rsid w:val="00D17B68"/>
    <w:rsid w:val="00D20119"/>
    <w:rsid w:val="00D20925"/>
    <w:rsid w:val="00D20F86"/>
    <w:rsid w:val="00D210E6"/>
    <w:rsid w:val="00D21755"/>
    <w:rsid w:val="00D2264C"/>
    <w:rsid w:val="00D22856"/>
    <w:rsid w:val="00D24650"/>
    <w:rsid w:val="00D250B4"/>
    <w:rsid w:val="00D25993"/>
    <w:rsid w:val="00D25A98"/>
    <w:rsid w:val="00D25E32"/>
    <w:rsid w:val="00D26E2F"/>
    <w:rsid w:val="00D30CA4"/>
    <w:rsid w:val="00D30DF0"/>
    <w:rsid w:val="00D310E8"/>
    <w:rsid w:val="00D31514"/>
    <w:rsid w:val="00D31892"/>
    <w:rsid w:val="00D3210C"/>
    <w:rsid w:val="00D326AD"/>
    <w:rsid w:val="00D32820"/>
    <w:rsid w:val="00D32BA5"/>
    <w:rsid w:val="00D33B75"/>
    <w:rsid w:val="00D34F7D"/>
    <w:rsid w:val="00D35598"/>
    <w:rsid w:val="00D355F0"/>
    <w:rsid w:val="00D35894"/>
    <w:rsid w:val="00D370E4"/>
    <w:rsid w:val="00D372D4"/>
    <w:rsid w:val="00D3775F"/>
    <w:rsid w:val="00D409B7"/>
    <w:rsid w:val="00D40FED"/>
    <w:rsid w:val="00D41143"/>
    <w:rsid w:val="00D412EF"/>
    <w:rsid w:val="00D415A8"/>
    <w:rsid w:val="00D4168D"/>
    <w:rsid w:val="00D419CA"/>
    <w:rsid w:val="00D41B13"/>
    <w:rsid w:val="00D421F5"/>
    <w:rsid w:val="00D42D9A"/>
    <w:rsid w:val="00D439F0"/>
    <w:rsid w:val="00D44C16"/>
    <w:rsid w:val="00D44FD6"/>
    <w:rsid w:val="00D4550F"/>
    <w:rsid w:val="00D45AF8"/>
    <w:rsid w:val="00D46B4F"/>
    <w:rsid w:val="00D46BD6"/>
    <w:rsid w:val="00D47D3A"/>
    <w:rsid w:val="00D505EE"/>
    <w:rsid w:val="00D51146"/>
    <w:rsid w:val="00D517BF"/>
    <w:rsid w:val="00D51C05"/>
    <w:rsid w:val="00D524DF"/>
    <w:rsid w:val="00D52966"/>
    <w:rsid w:val="00D52CBC"/>
    <w:rsid w:val="00D52D6B"/>
    <w:rsid w:val="00D5398B"/>
    <w:rsid w:val="00D53CDD"/>
    <w:rsid w:val="00D54E48"/>
    <w:rsid w:val="00D54F58"/>
    <w:rsid w:val="00D55781"/>
    <w:rsid w:val="00D5614D"/>
    <w:rsid w:val="00D566E0"/>
    <w:rsid w:val="00D57547"/>
    <w:rsid w:val="00D605BB"/>
    <w:rsid w:val="00D609C0"/>
    <w:rsid w:val="00D60BFD"/>
    <w:rsid w:val="00D62366"/>
    <w:rsid w:val="00D629D4"/>
    <w:rsid w:val="00D62C47"/>
    <w:rsid w:val="00D62CAE"/>
    <w:rsid w:val="00D63A18"/>
    <w:rsid w:val="00D63DEB"/>
    <w:rsid w:val="00D65031"/>
    <w:rsid w:val="00D65F0E"/>
    <w:rsid w:val="00D665A9"/>
    <w:rsid w:val="00D67B91"/>
    <w:rsid w:val="00D713B0"/>
    <w:rsid w:val="00D72078"/>
    <w:rsid w:val="00D72369"/>
    <w:rsid w:val="00D73B15"/>
    <w:rsid w:val="00D74079"/>
    <w:rsid w:val="00D742C0"/>
    <w:rsid w:val="00D7485F"/>
    <w:rsid w:val="00D7496E"/>
    <w:rsid w:val="00D749E0"/>
    <w:rsid w:val="00D769ED"/>
    <w:rsid w:val="00D770A2"/>
    <w:rsid w:val="00D77BB2"/>
    <w:rsid w:val="00D804B8"/>
    <w:rsid w:val="00D80645"/>
    <w:rsid w:val="00D82077"/>
    <w:rsid w:val="00D8212E"/>
    <w:rsid w:val="00D82372"/>
    <w:rsid w:val="00D83BD9"/>
    <w:rsid w:val="00D843FD"/>
    <w:rsid w:val="00D84B2C"/>
    <w:rsid w:val="00D84BCD"/>
    <w:rsid w:val="00D84E45"/>
    <w:rsid w:val="00D855DD"/>
    <w:rsid w:val="00D85835"/>
    <w:rsid w:val="00D86E51"/>
    <w:rsid w:val="00D8728A"/>
    <w:rsid w:val="00D87845"/>
    <w:rsid w:val="00D91AD2"/>
    <w:rsid w:val="00D91D69"/>
    <w:rsid w:val="00D91D7A"/>
    <w:rsid w:val="00D91E4E"/>
    <w:rsid w:val="00D92EBF"/>
    <w:rsid w:val="00D939CC"/>
    <w:rsid w:val="00D93D33"/>
    <w:rsid w:val="00D94331"/>
    <w:rsid w:val="00D94461"/>
    <w:rsid w:val="00D945D5"/>
    <w:rsid w:val="00D9492E"/>
    <w:rsid w:val="00D95FB9"/>
    <w:rsid w:val="00D96419"/>
    <w:rsid w:val="00D9652D"/>
    <w:rsid w:val="00D9699A"/>
    <w:rsid w:val="00D97B31"/>
    <w:rsid w:val="00D97BBA"/>
    <w:rsid w:val="00DA063C"/>
    <w:rsid w:val="00DA1A0C"/>
    <w:rsid w:val="00DA1C8F"/>
    <w:rsid w:val="00DA37E9"/>
    <w:rsid w:val="00DA540B"/>
    <w:rsid w:val="00DA57C5"/>
    <w:rsid w:val="00DA59EE"/>
    <w:rsid w:val="00DA5DB1"/>
    <w:rsid w:val="00DA686B"/>
    <w:rsid w:val="00DA6AE3"/>
    <w:rsid w:val="00DA7319"/>
    <w:rsid w:val="00DA7B9B"/>
    <w:rsid w:val="00DA7E5B"/>
    <w:rsid w:val="00DB05CA"/>
    <w:rsid w:val="00DB21AE"/>
    <w:rsid w:val="00DB21E6"/>
    <w:rsid w:val="00DB25FF"/>
    <w:rsid w:val="00DB272D"/>
    <w:rsid w:val="00DB292F"/>
    <w:rsid w:val="00DB2B41"/>
    <w:rsid w:val="00DB34E1"/>
    <w:rsid w:val="00DB629F"/>
    <w:rsid w:val="00DB68BB"/>
    <w:rsid w:val="00DB7F09"/>
    <w:rsid w:val="00DC00E8"/>
    <w:rsid w:val="00DC0ACF"/>
    <w:rsid w:val="00DC0C74"/>
    <w:rsid w:val="00DC1BF9"/>
    <w:rsid w:val="00DC1C94"/>
    <w:rsid w:val="00DC258B"/>
    <w:rsid w:val="00DC2A36"/>
    <w:rsid w:val="00DC30A7"/>
    <w:rsid w:val="00DC4AD8"/>
    <w:rsid w:val="00DC5A53"/>
    <w:rsid w:val="00DC6EE3"/>
    <w:rsid w:val="00DC7663"/>
    <w:rsid w:val="00DC7FC6"/>
    <w:rsid w:val="00DD0605"/>
    <w:rsid w:val="00DD0FB1"/>
    <w:rsid w:val="00DD10CE"/>
    <w:rsid w:val="00DD1381"/>
    <w:rsid w:val="00DD1C3E"/>
    <w:rsid w:val="00DD236A"/>
    <w:rsid w:val="00DD40A7"/>
    <w:rsid w:val="00DD48C3"/>
    <w:rsid w:val="00DD4FD5"/>
    <w:rsid w:val="00DD5E00"/>
    <w:rsid w:val="00DD73E8"/>
    <w:rsid w:val="00DD7517"/>
    <w:rsid w:val="00DD77CB"/>
    <w:rsid w:val="00DE09F3"/>
    <w:rsid w:val="00DE12A2"/>
    <w:rsid w:val="00DE15DA"/>
    <w:rsid w:val="00DE2F00"/>
    <w:rsid w:val="00DE3E92"/>
    <w:rsid w:val="00DE5FA5"/>
    <w:rsid w:val="00DE673C"/>
    <w:rsid w:val="00DE6846"/>
    <w:rsid w:val="00DE7F0E"/>
    <w:rsid w:val="00DF0081"/>
    <w:rsid w:val="00DF13C5"/>
    <w:rsid w:val="00DF3D64"/>
    <w:rsid w:val="00DF4C55"/>
    <w:rsid w:val="00DF5689"/>
    <w:rsid w:val="00DF5839"/>
    <w:rsid w:val="00DF5F06"/>
    <w:rsid w:val="00DF6C5F"/>
    <w:rsid w:val="00DF6D11"/>
    <w:rsid w:val="00DF769B"/>
    <w:rsid w:val="00E0004B"/>
    <w:rsid w:val="00E00413"/>
    <w:rsid w:val="00E00BF0"/>
    <w:rsid w:val="00E028E4"/>
    <w:rsid w:val="00E03483"/>
    <w:rsid w:val="00E0359C"/>
    <w:rsid w:val="00E041E1"/>
    <w:rsid w:val="00E04876"/>
    <w:rsid w:val="00E04AE0"/>
    <w:rsid w:val="00E05729"/>
    <w:rsid w:val="00E058BD"/>
    <w:rsid w:val="00E06393"/>
    <w:rsid w:val="00E064B7"/>
    <w:rsid w:val="00E06F8A"/>
    <w:rsid w:val="00E07CA0"/>
    <w:rsid w:val="00E07F49"/>
    <w:rsid w:val="00E100F4"/>
    <w:rsid w:val="00E10D39"/>
    <w:rsid w:val="00E10F63"/>
    <w:rsid w:val="00E1136B"/>
    <w:rsid w:val="00E1216C"/>
    <w:rsid w:val="00E133EF"/>
    <w:rsid w:val="00E136C9"/>
    <w:rsid w:val="00E142B6"/>
    <w:rsid w:val="00E14440"/>
    <w:rsid w:val="00E1472C"/>
    <w:rsid w:val="00E1561B"/>
    <w:rsid w:val="00E162EC"/>
    <w:rsid w:val="00E164B5"/>
    <w:rsid w:val="00E16D87"/>
    <w:rsid w:val="00E17000"/>
    <w:rsid w:val="00E17975"/>
    <w:rsid w:val="00E20231"/>
    <w:rsid w:val="00E20C3F"/>
    <w:rsid w:val="00E218A2"/>
    <w:rsid w:val="00E2216C"/>
    <w:rsid w:val="00E22B34"/>
    <w:rsid w:val="00E22D51"/>
    <w:rsid w:val="00E23995"/>
    <w:rsid w:val="00E23C60"/>
    <w:rsid w:val="00E23DF3"/>
    <w:rsid w:val="00E2471E"/>
    <w:rsid w:val="00E25416"/>
    <w:rsid w:val="00E25D49"/>
    <w:rsid w:val="00E263F9"/>
    <w:rsid w:val="00E26F33"/>
    <w:rsid w:val="00E2701F"/>
    <w:rsid w:val="00E27374"/>
    <w:rsid w:val="00E27471"/>
    <w:rsid w:val="00E3080C"/>
    <w:rsid w:val="00E31B32"/>
    <w:rsid w:val="00E31F61"/>
    <w:rsid w:val="00E339BD"/>
    <w:rsid w:val="00E33F48"/>
    <w:rsid w:val="00E34136"/>
    <w:rsid w:val="00E34B13"/>
    <w:rsid w:val="00E35295"/>
    <w:rsid w:val="00E35545"/>
    <w:rsid w:val="00E35FA1"/>
    <w:rsid w:val="00E36111"/>
    <w:rsid w:val="00E36C1F"/>
    <w:rsid w:val="00E36D08"/>
    <w:rsid w:val="00E3726E"/>
    <w:rsid w:val="00E401C4"/>
    <w:rsid w:val="00E405E9"/>
    <w:rsid w:val="00E409AC"/>
    <w:rsid w:val="00E413BA"/>
    <w:rsid w:val="00E42660"/>
    <w:rsid w:val="00E42924"/>
    <w:rsid w:val="00E432D5"/>
    <w:rsid w:val="00E43F22"/>
    <w:rsid w:val="00E45214"/>
    <w:rsid w:val="00E454EA"/>
    <w:rsid w:val="00E45F50"/>
    <w:rsid w:val="00E46BB9"/>
    <w:rsid w:val="00E46DED"/>
    <w:rsid w:val="00E47501"/>
    <w:rsid w:val="00E5068F"/>
    <w:rsid w:val="00E50908"/>
    <w:rsid w:val="00E50E7C"/>
    <w:rsid w:val="00E51545"/>
    <w:rsid w:val="00E52B98"/>
    <w:rsid w:val="00E52BAB"/>
    <w:rsid w:val="00E5309F"/>
    <w:rsid w:val="00E53323"/>
    <w:rsid w:val="00E53452"/>
    <w:rsid w:val="00E536A6"/>
    <w:rsid w:val="00E53F82"/>
    <w:rsid w:val="00E54EFC"/>
    <w:rsid w:val="00E55143"/>
    <w:rsid w:val="00E55326"/>
    <w:rsid w:val="00E55711"/>
    <w:rsid w:val="00E562D6"/>
    <w:rsid w:val="00E56E45"/>
    <w:rsid w:val="00E57126"/>
    <w:rsid w:val="00E57B4E"/>
    <w:rsid w:val="00E600FF"/>
    <w:rsid w:val="00E604DE"/>
    <w:rsid w:val="00E60B9F"/>
    <w:rsid w:val="00E61A4D"/>
    <w:rsid w:val="00E636F9"/>
    <w:rsid w:val="00E639A7"/>
    <w:rsid w:val="00E643E7"/>
    <w:rsid w:val="00E643F2"/>
    <w:rsid w:val="00E657E4"/>
    <w:rsid w:val="00E65CB0"/>
    <w:rsid w:val="00E660B4"/>
    <w:rsid w:val="00E6725E"/>
    <w:rsid w:val="00E67481"/>
    <w:rsid w:val="00E67699"/>
    <w:rsid w:val="00E701F1"/>
    <w:rsid w:val="00E70CA5"/>
    <w:rsid w:val="00E71196"/>
    <w:rsid w:val="00E711D7"/>
    <w:rsid w:val="00E72136"/>
    <w:rsid w:val="00E72704"/>
    <w:rsid w:val="00E72ABD"/>
    <w:rsid w:val="00E73396"/>
    <w:rsid w:val="00E735BA"/>
    <w:rsid w:val="00E73730"/>
    <w:rsid w:val="00E73FFD"/>
    <w:rsid w:val="00E74779"/>
    <w:rsid w:val="00E74AD2"/>
    <w:rsid w:val="00E74F56"/>
    <w:rsid w:val="00E75309"/>
    <w:rsid w:val="00E75CA5"/>
    <w:rsid w:val="00E76ECF"/>
    <w:rsid w:val="00E80BF8"/>
    <w:rsid w:val="00E81CE0"/>
    <w:rsid w:val="00E81E44"/>
    <w:rsid w:val="00E82B42"/>
    <w:rsid w:val="00E834DB"/>
    <w:rsid w:val="00E8415C"/>
    <w:rsid w:val="00E84A28"/>
    <w:rsid w:val="00E84ABD"/>
    <w:rsid w:val="00E84DD8"/>
    <w:rsid w:val="00E86A21"/>
    <w:rsid w:val="00E87504"/>
    <w:rsid w:val="00E87999"/>
    <w:rsid w:val="00E87A49"/>
    <w:rsid w:val="00E87D8C"/>
    <w:rsid w:val="00E902B0"/>
    <w:rsid w:val="00E902E8"/>
    <w:rsid w:val="00E90A16"/>
    <w:rsid w:val="00E921FB"/>
    <w:rsid w:val="00E92971"/>
    <w:rsid w:val="00E93F14"/>
    <w:rsid w:val="00E949B9"/>
    <w:rsid w:val="00E958BD"/>
    <w:rsid w:val="00E95B95"/>
    <w:rsid w:val="00E96845"/>
    <w:rsid w:val="00E97576"/>
    <w:rsid w:val="00E97BEB"/>
    <w:rsid w:val="00EA0008"/>
    <w:rsid w:val="00EA013E"/>
    <w:rsid w:val="00EA0467"/>
    <w:rsid w:val="00EA0AFC"/>
    <w:rsid w:val="00EA25B1"/>
    <w:rsid w:val="00EA309B"/>
    <w:rsid w:val="00EA3305"/>
    <w:rsid w:val="00EA36F4"/>
    <w:rsid w:val="00EA39B5"/>
    <w:rsid w:val="00EA4344"/>
    <w:rsid w:val="00EA4A4D"/>
    <w:rsid w:val="00EA6B75"/>
    <w:rsid w:val="00EA7085"/>
    <w:rsid w:val="00EA7B17"/>
    <w:rsid w:val="00EA7C6C"/>
    <w:rsid w:val="00EB030F"/>
    <w:rsid w:val="00EB11F2"/>
    <w:rsid w:val="00EB1540"/>
    <w:rsid w:val="00EB1B3F"/>
    <w:rsid w:val="00EB1CE7"/>
    <w:rsid w:val="00EB1E87"/>
    <w:rsid w:val="00EB2760"/>
    <w:rsid w:val="00EB306D"/>
    <w:rsid w:val="00EB3EB2"/>
    <w:rsid w:val="00EB4454"/>
    <w:rsid w:val="00EB4943"/>
    <w:rsid w:val="00EB5ED5"/>
    <w:rsid w:val="00EB66A5"/>
    <w:rsid w:val="00EB6B5F"/>
    <w:rsid w:val="00EB73EF"/>
    <w:rsid w:val="00EB7CA0"/>
    <w:rsid w:val="00EC0D78"/>
    <w:rsid w:val="00EC10C4"/>
    <w:rsid w:val="00EC1EAF"/>
    <w:rsid w:val="00EC2E90"/>
    <w:rsid w:val="00EC2F18"/>
    <w:rsid w:val="00EC3106"/>
    <w:rsid w:val="00EC3AE1"/>
    <w:rsid w:val="00EC44D5"/>
    <w:rsid w:val="00EC4BA5"/>
    <w:rsid w:val="00EC550D"/>
    <w:rsid w:val="00EC5CA8"/>
    <w:rsid w:val="00EC6B16"/>
    <w:rsid w:val="00EC6C60"/>
    <w:rsid w:val="00EC7117"/>
    <w:rsid w:val="00EC77FF"/>
    <w:rsid w:val="00EC7D79"/>
    <w:rsid w:val="00EC7FEC"/>
    <w:rsid w:val="00ED16FC"/>
    <w:rsid w:val="00ED2397"/>
    <w:rsid w:val="00ED2D99"/>
    <w:rsid w:val="00ED3EB1"/>
    <w:rsid w:val="00ED3FA1"/>
    <w:rsid w:val="00ED4323"/>
    <w:rsid w:val="00ED4F67"/>
    <w:rsid w:val="00ED50EB"/>
    <w:rsid w:val="00ED55AF"/>
    <w:rsid w:val="00ED57E2"/>
    <w:rsid w:val="00ED5CBF"/>
    <w:rsid w:val="00ED62F3"/>
    <w:rsid w:val="00ED6708"/>
    <w:rsid w:val="00ED70F7"/>
    <w:rsid w:val="00EE23E2"/>
    <w:rsid w:val="00EE24D8"/>
    <w:rsid w:val="00EE266D"/>
    <w:rsid w:val="00EE2A85"/>
    <w:rsid w:val="00EE33AA"/>
    <w:rsid w:val="00EE3CC0"/>
    <w:rsid w:val="00EE42B8"/>
    <w:rsid w:val="00EE4B94"/>
    <w:rsid w:val="00EE4E6F"/>
    <w:rsid w:val="00EE677F"/>
    <w:rsid w:val="00EE7B97"/>
    <w:rsid w:val="00EE7DE2"/>
    <w:rsid w:val="00EF15A5"/>
    <w:rsid w:val="00EF1679"/>
    <w:rsid w:val="00EF1A40"/>
    <w:rsid w:val="00EF28FC"/>
    <w:rsid w:val="00EF3D7C"/>
    <w:rsid w:val="00EF3FBA"/>
    <w:rsid w:val="00EF4187"/>
    <w:rsid w:val="00EF41BC"/>
    <w:rsid w:val="00EF4D40"/>
    <w:rsid w:val="00EF64B8"/>
    <w:rsid w:val="00EF6871"/>
    <w:rsid w:val="00EF6B03"/>
    <w:rsid w:val="00EF6D1A"/>
    <w:rsid w:val="00EF75B3"/>
    <w:rsid w:val="00F00424"/>
    <w:rsid w:val="00F0082D"/>
    <w:rsid w:val="00F00A23"/>
    <w:rsid w:val="00F016A6"/>
    <w:rsid w:val="00F0184D"/>
    <w:rsid w:val="00F02065"/>
    <w:rsid w:val="00F02460"/>
    <w:rsid w:val="00F0494A"/>
    <w:rsid w:val="00F052D2"/>
    <w:rsid w:val="00F06F51"/>
    <w:rsid w:val="00F072D8"/>
    <w:rsid w:val="00F07C90"/>
    <w:rsid w:val="00F1093B"/>
    <w:rsid w:val="00F109C2"/>
    <w:rsid w:val="00F10C5E"/>
    <w:rsid w:val="00F10F28"/>
    <w:rsid w:val="00F1150E"/>
    <w:rsid w:val="00F118E8"/>
    <w:rsid w:val="00F12202"/>
    <w:rsid w:val="00F12775"/>
    <w:rsid w:val="00F13448"/>
    <w:rsid w:val="00F14BB5"/>
    <w:rsid w:val="00F14E66"/>
    <w:rsid w:val="00F16B93"/>
    <w:rsid w:val="00F20469"/>
    <w:rsid w:val="00F206C5"/>
    <w:rsid w:val="00F2076A"/>
    <w:rsid w:val="00F20D07"/>
    <w:rsid w:val="00F20DFB"/>
    <w:rsid w:val="00F21D5A"/>
    <w:rsid w:val="00F21EED"/>
    <w:rsid w:val="00F21FF3"/>
    <w:rsid w:val="00F22197"/>
    <w:rsid w:val="00F23AA5"/>
    <w:rsid w:val="00F24489"/>
    <w:rsid w:val="00F2452F"/>
    <w:rsid w:val="00F2461C"/>
    <w:rsid w:val="00F2489C"/>
    <w:rsid w:val="00F25681"/>
    <w:rsid w:val="00F25AF3"/>
    <w:rsid w:val="00F25BC1"/>
    <w:rsid w:val="00F26912"/>
    <w:rsid w:val="00F274C0"/>
    <w:rsid w:val="00F3095D"/>
    <w:rsid w:val="00F30AF5"/>
    <w:rsid w:val="00F30C55"/>
    <w:rsid w:val="00F30EE7"/>
    <w:rsid w:val="00F316CD"/>
    <w:rsid w:val="00F31A92"/>
    <w:rsid w:val="00F32109"/>
    <w:rsid w:val="00F321A9"/>
    <w:rsid w:val="00F32591"/>
    <w:rsid w:val="00F32FC6"/>
    <w:rsid w:val="00F3342B"/>
    <w:rsid w:val="00F35281"/>
    <w:rsid w:val="00F35849"/>
    <w:rsid w:val="00F3669C"/>
    <w:rsid w:val="00F36DDC"/>
    <w:rsid w:val="00F3741C"/>
    <w:rsid w:val="00F37470"/>
    <w:rsid w:val="00F379D4"/>
    <w:rsid w:val="00F37E34"/>
    <w:rsid w:val="00F37E86"/>
    <w:rsid w:val="00F408BC"/>
    <w:rsid w:val="00F40AEA"/>
    <w:rsid w:val="00F40B24"/>
    <w:rsid w:val="00F415C1"/>
    <w:rsid w:val="00F425D6"/>
    <w:rsid w:val="00F426FA"/>
    <w:rsid w:val="00F43728"/>
    <w:rsid w:val="00F4376F"/>
    <w:rsid w:val="00F43A22"/>
    <w:rsid w:val="00F43B11"/>
    <w:rsid w:val="00F45DD2"/>
    <w:rsid w:val="00F46715"/>
    <w:rsid w:val="00F469FC"/>
    <w:rsid w:val="00F46F82"/>
    <w:rsid w:val="00F47A93"/>
    <w:rsid w:val="00F47E4A"/>
    <w:rsid w:val="00F47F2A"/>
    <w:rsid w:val="00F5014C"/>
    <w:rsid w:val="00F505CA"/>
    <w:rsid w:val="00F50D3D"/>
    <w:rsid w:val="00F529D1"/>
    <w:rsid w:val="00F53DAB"/>
    <w:rsid w:val="00F54A68"/>
    <w:rsid w:val="00F561B4"/>
    <w:rsid w:val="00F565B8"/>
    <w:rsid w:val="00F56C5A"/>
    <w:rsid w:val="00F570DB"/>
    <w:rsid w:val="00F601D4"/>
    <w:rsid w:val="00F60235"/>
    <w:rsid w:val="00F60549"/>
    <w:rsid w:val="00F607D6"/>
    <w:rsid w:val="00F62472"/>
    <w:rsid w:val="00F63201"/>
    <w:rsid w:val="00F6330C"/>
    <w:rsid w:val="00F63F15"/>
    <w:rsid w:val="00F6468B"/>
    <w:rsid w:val="00F6499E"/>
    <w:rsid w:val="00F64F10"/>
    <w:rsid w:val="00F66A35"/>
    <w:rsid w:val="00F66B9F"/>
    <w:rsid w:val="00F67B33"/>
    <w:rsid w:val="00F702E4"/>
    <w:rsid w:val="00F7155D"/>
    <w:rsid w:val="00F71906"/>
    <w:rsid w:val="00F71A0E"/>
    <w:rsid w:val="00F72187"/>
    <w:rsid w:val="00F72BB2"/>
    <w:rsid w:val="00F73256"/>
    <w:rsid w:val="00F73991"/>
    <w:rsid w:val="00F75DA8"/>
    <w:rsid w:val="00F76D6F"/>
    <w:rsid w:val="00F80167"/>
    <w:rsid w:val="00F80A25"/>
    <w:rsid w:val="00F80F97"/>
    <w:rsid w:val="00F81CDF"/>
    <w:rsid w:val="00F83000"/>
    <w:rsid w:val="00F83586"/>
    <w:rsid w:val="00F840E5"/>
    <w:rsid w:val="00F8608C"/>
    <w:rsid w:val="00F87263"/>
    <w:rsid w:val="00F903B4"/>
    <w:rsid w:val="00F90401"/>
    <w:rsid w:val="00F908BA"/>
    <w:rsid w:val="00F90ABD"/>
    <w:rsid w:val="00F912B5"/>
    <w:rsid w:val="00F918AF"/>
    <w:rsid w:val="00F9193C"/>
    <w:rsid w:val="00F91CF9"/>
    <w:rsid w:val="00F91FDF"/>
    <w:rsid w:val="00F92279"/>
    <w:rsid w:val="00F94515"/>
    <w:rsid w:val="00F94DCE"/>
    <w:rsid w:val="00F955D1"/>
    <w:rsid w:val="00F95E98"/>
    <w:rsid w:val="00F95F8F"/>
    <w:rsid w:val="00F9616A"/>
    <w:rsid w:val="00F9625F"/>
    <w:rsid w:val="00F9671C"/>
    <w:rsid w:val="00F96B4C"/>
    <w:rsid w:val="00F970B0"/>
    <w:rsid w:val="00F972C6"/>
    <w:rsid w:val="00F97A6E"/>
    <w:rsid w:val="00FA003B"/>
    <w:rsid w:val="00FA09BE"/>
    <w:rsid w:val="00FA1561"/>
    <w:rsid w:val="00FA1779"/>
    <w:rsid w:val="00FA1FDD"/>
    <w:rsid w:val="00FA2175"/>
    <w:rsid w:val="00FA4D6A"/>
    <w:rsid w:val="00FA4E63"/>
    <w:rsid w:val="00FA569F"/>
    <w:rsid w:val="00FA6689"/>
    <w:rsid w:val="00FA6B99"/>
    <w:rsid w:val="00FA7BD6"/>
    <w:rsid w:val="00FB023D"/>
    <w:rsid w:val="00FB1142"/>
    <w:rsid w:val="00FB1618"/>
    <w:rsid w:val="00FB1B5B"/>
    <w:rsid w:val="00FB1FBC"/>
    <w:rsid w:val="00FB2510"/>
    <w:rsid w:val="00FB2AFE"/>
    <w:rsid w:val="00FB2EE3"/>
    <w:rsid w:val="00FB3575"/>
    <w:rsid w:val="00FB3B8F"/>
    <w:rsid w:val="00FB5126"/>
    <w:rsid w:val="00FB59A7"/>
    <w:rsid w:val="00FB607E"/>
    <w:rsid w:val="00FB63D6"/>
    <w:rsid w:val="00FB64AA"/>
    <w:rsid w:val="00FB70A0"/>
    <w:rsid w:val="00FB72E4"/>
    <w:rsid w:val="00FC0235"/>
    <w:rsid w:val="00FC120E"/>
    <w:rsid w:val="00FC3775"/>
    <w:rsid w:val="00FC44E1"/>
    <w:rsid w:val="00FC5C2F"/>
    <w:rsid w:val="00FC648B"/>
    <w:rsid w:val="00FC6544"/>
    <w:rsid w:val="00FC66BC"/>
    <w:rsid w:val="00FC6ADA"/>
    <w:rsid w:val="00FC6D98"/>
    <w:rsid w:val="00FC6E0F"/>
    <w:rsid w:val="00FC7050"/>
    <w:rsid w:val="00FC756B"/>
    <w:rsid w:val="00FD06E2"/>
    <w:rsid w:val="00FD0821"/>
    <w:rsid w:val="00FD0C97"/>
    <w:rsid w:val="00FD0FC6"/>
    <w:rsid w:val="00FD178E"/>
    <w:rsid w:val="00FD22E8"/>
    <w:rsid w:val="00FD23DB"/>
    <w:rsid w:val="00FD2A38"/>
    <w:rsid w:val="00FD2BFC"/>
    <w:rsid w:val="00FD37E0"/>
    <w:rsid w:val="00FD3FCC"/>
    <w:rsid w:val="00FD3FE7"/>
    <w:rsid w:val="00FD4448"/>
    <w:rsid w:val="00FD4886"/>
    <w:rsid w:val="00FD4D9C"/>
    <w:rsid w:val="00FD5C09"/>
    <w:rsid w:val="00FD74C4"/>
    <w:rsid w:val="00FE1046"/>
    <w:rsid w:val="00FE15E2"/>
    <w:rsid w:val="00FE1ED8"/>
    <w:rsid w:val="00FE2329"/>
    <w:rsid w:val="00FE3C32"/>
    <w:rsid w:val="00FE3E49"/>
    <w:rsid w:val="00FE405C"/>
    <w:rsid w:val="00FE42E8"/>
    <w:rsid w:val="00FE4539"/>
    <w:rsid w:val="00FE4542"/>
    <w:rsid w:val="00FE687E"/>
    <w:rsid w:val="00FE690C"/>
    <w:rsid w:val="00FE6D84"/>
    <w:rsid w:val="00FE70BA"/>
    <w:rsid w:val="00FE7907"/>
    <w:rsid w:val="00FF008C"/>
    <w:rsid w:val="00FF0B15"/>
    <w:rsid w:val="00FF1180"/>
    <w:rsid w:val="00FF18C1"/>
    <w:rsid w:val="00FF1E07"/>
    <w:rsid w:val="00FF29CA"/>
    <w:rsid w:val="00FF32F2"/>
    <w:rsid w:val="00FF330E"/>
    <w:rsid w:val="00FF373B"/>
    <w:rsid w:val="00FF4118"/>
    <w:rsid w:val="00FF4602"/>
    <w:rsid w:val="00FF4AF3"/>
    <w:rsid w:val="00FF5054"/>
    <w:rsid w:val="00FF5429"/>
    <w:rsid w:val="00FF5F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3846B061"/>
  <w15:docId w15:val="{9BF3D503-FE57-4871-9C61-6F6F45776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354FBB"/>
    <w:pPr>
      <w:spacing w:before="240"/>
      <w:outlineLvl w:val="2"/>
    </w:pPr>
    <w:rPr>
      <w:bCs w:val="0"/>
      <w:color w:val="00827F" w:themeColor="accent3"/>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354FBB"/>
    <w:rPr>
      <w:rFonts w:ascii="Calibri" w:eastAsia="Times New Roman" w:hAnsi="Calibri" w:cs="Arial"/>
      <w:color w:val="00827F" w:themeColor="accent3"/>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354FBB"/>
    <w:pPr>
      <w:keepNext/>
      <w:spacing w:before="240"/>
    </w:pPr>
    <w:rPr>
      <w:b/>
      <w:color w:val="00827F" w:themeColor="accent3"/>
      <w:sz w:val="26"/>
      <w:szCs w:val="26"/>
    </w:rPr>
  </w:style>
  <w:style w:type="paragraph" w:customStyle="1" w:styleId="BoxText">
    <w:name w:val="Box Text"/>
    <w:basedOn w:val="Normal"/>
    <w:rsid w:val="000E0B74"/>
  </w:style>
  <w:style w:type="paragraph" w:customStyle="1" w:styleId="Bullet">
    <w:name w:val="Bullet"/>
    <w:basedOn w:val="Normal"/>
    <w:link w:val="BulletChar"/>
    <w:rsid w:val="000E0B74"/>
    <w:pPr>
      <w:numPr>
        <w:numId w:val="29"/>
      </w:numPr>
      <w:tabs>
        <w:tab w:val="num" w:pos="1985"/>
      </w:tabs>
      <w:spacing w:before="0"/>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E0B7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E0B7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link w:val="DashChar"/>
    <w:rsid w:val="000E0B74"/>
    <w:pPr>
      <w:numPr>
        <w:ilvl w:val="1"/>
        <w:numId w:val="29"/>
      </w:numPr>
      <w:tabs>
        <w:tab w:val="num" w:pos="851"/>
      </w:tabs>
      <w:spacing w:before="0"/>
    </w:pPr>
  </w:style>
  <w:style w:type="paragraph" w:customStyle="1" w:styleId="DoubleDot">
    <w:name w:val="Double Dot"/>
    <w:basedOn w:val="Normal"/>
    <w:rsid w:val="000E0B74"/>
    <w:pPr>
      <w:numPr>
        <w:ilvl w:val="2"/>
        <w:numId w:val="29"/>
      </w:numPr>
      <w:tabs>
        <w:tab w:val="num" w:pos="1134"/>
      </w:tabs>
      <w:spacing w:before="0"/>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CE5B0C"/>
    <w:rPr>
      <w:color w:val="3A6FAF"/>
      <w:u w:val="none"/>
    </w:rPr>
  </w:style>
  <w:style w:type="paragraph" w:customStyle="1" w:styleId="OutlineNumbered1">
    <w:name w:val="Outline Numbered 1"/>
    <w:basedOn w:val="Normal"/>
    <w:rsid w:val="000E0B74"/>
    <w:pPr>
      <w:numPr>
        <w:numId w:val="23"/>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23"/>
      </w:numPr>
      <w:spacing w:before="0"/>
    </w:pPr>
  </w:style>
  <w:style w:type="paragraph" w:customStyle="1" w:styleId="OutlineNumbered3">
    <w:name w:val="Outline Numbered 3"/>
    <w:basedOn w:val="Normal"/>
    <w:rsid w:val="000E0B74"/>
    <w:pPr>
      <w:numPr>
        <w:ilvl w:val="2"/>
        <w:numId w:val="23"/>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0E0B74"/>
    <w:pPr>
      <w:jc w:val="center"/>
    </w:pPr>
    <w:rPr>
      <w:b/>
      <w:color w:val="004A7F"/>
      <w:sz w:val="20"/>
    </w:rPr>
  </w:style>
  <w:style w:type="paragraph" w:customStyle="1" w:styleId="TableColumnHeadingLeft">
    <w:name w:val="Table Column Heading Left"/>
    <w:basedOn w:val="TableTextLeft"/>
    <w:rsid w:val="000E0B74"/>
    <w:rPr>
      <w:b/>
      <w:color w:val="004A7F"/>
      <w:sz w:val="20"/>
    </w:r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356"/>
    <w:pPr>
      <w:keepNext/>
      <w:tabs>
        <w:tab w:val="right" w:leader="dot" w:pos="9072"/>
      </w:tabs>
      <w:spacing w:before="180" w:after="0"/>
      <w:ind w:right="-2"/>
    </w:pPr>
    <w:rPr>
      <w:b/>
      <w:noProof/>
      <w:color w:val="004A7F"/>
      <w:szCs w:val="22"/>
    </w:rPr>
  </w:style>
  <w:style w:type="paragraph" w:styleId="TOC2">
    <w:name w:val="toc 2"/>
    <w:basedOn w:val="Normal"/>
    <w:next w:val="Normal"/>
    <w:uiPriority w:val="39"/>
    <w:qFormat/>
    <w:rsid w:val="00656356"/>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E55326"/>
    <w:pPr>
      <w:tabs>
        <w:tab w:val="right" w:leader="dot" w:pos="9072"/>
      </w:tabs>
      <w:spacing w:before="20" w:after="0"/>
      <w:ind w:left="284" w:right="-2"/>
    </w:pPr>
    <w:rPr>
      <w:rFonts w:cs="Calibri"/>
      <w:noProof/>
      <w:color w:val="7F7F7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F06252"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F06252"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customStyle="1" w:styleId="BulletChar">
    <w:name w:val="Bullet Char"/>
    <w:basedOn w:val="DefaultParagraphFont"/>
    <w:link w:val="Bullet"/>
    <w:rsid w:val="009758BF"/>
    <w:rPr>
      <w:rFonts w:ascii="Calibri" w:eastAsia="Times New Roman" w:hAnsi="Calibri" w:cs="Times New Roman"/>
      <w:szCs w:val="20"/>
      <w:lang w:eastAsia="en-AU"/>
    </w:rPr>
  </w:style>
  <w:style w:type="character" w:styleId="CommentReference">
    <w:name w:val="annotation reference"/>
    <w:basedOn w:val="DefaultParagraphFont"/>
    <w:uiPriority w:val="99"/>
    <w:semiHidden/>
    <w:unhideWhenUsed/>
    <w:rsid w:val="00576F7B"/>
    <w:rPr>
      <w:sz w:val="16"/>
      <w:szCs w:val="16"/>
    </w:rPr>
  </w:style>
  <w:style w:type="paragraph" w:styleId="CommentText">
    <w:name w:val="annotation text"/>
    <w:basedOn w:val="Normal"/>
    <w:link w:val="CommentTextChar"/>
    <w:uiPriority w:val="99"/>
    <w:unhideWhenUsed/>
    <w:rsid w:val="00576F7B"/>
    <w:rPr>
      <w:sz w:val="20"/>
    </w:rPr>
  </w:style>
  <w:style w:type="character" w:customStyle="1" w:styleId="CommentTextChar">
    <w:name w:val="Comment Text Char"/>
    <w:basedOn w:val="DefaultParagraphFont"/>
    <w:link w:val="CommentText"/>
    <w:uiPriority w:val="99"/>
    <w:rsid w:val="00576F7B"/>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76F7B"/>
    <w:rPr>
      <w:b/>
      <w:bCs/>
    </w:rPr>
  </w:style>
  <w:style w:type="character" w:customStyle="1" w:styleId="CommentSubjectChar">
    <w:name w:val="Comment Subject Char"/>
    <w:basedOn w:val="CommentTextChar"/>
    <w:link w:val="CommentSubject"/>
    <w:uiPriority w:val="99"/>
    <w:semiHidden/>
    <w:rsid w:val="00576F7B"/>
    <w:rPr>
      <w:rFonts w:ascii="Calibri" w:eastAsia="Times New Roman" w:hAnsi="Calibri" w:cs="Times New Roman"/>
      <w:b/>
      <w:bCs/>
      <w:sz w:val="20"/>
      <w:szCs w:val="20"/>
      <w:lang w:eastAsia="en-AU"/>
    </w:rPr>
  </w:style>
  <w:style w:type="paragraph" w:styleId="Revision">
    <w:name w:val="Revision"/>
    <w:hidden/>
    <w:uiPriority w:val="99"/>
    <w:semiHidden/>
    <w:rsid w:val="00771D6B"/>
    <w:pPr>
      <w:spacing w:after="0" w:line="240" w:lineRule="auto"/>
    </w:pPr>
    <w:rPr>
      <w:rFonts w:ascii="Calibri" w:eastAsia="Times New Roman" w:hAnsi="Calibri" w:cs="Times New Roman"/>
      <w:szCs w:val="20"/>
      <w:lang w:eastAsia="en-AU"/>
    </w:rPr>
  </w:style>
  <w:style w:type="paragraph" w:styleId="ListParagraph">
    <w:name w:val="List Paragraph"/>
    <w:basedOn w:val="Normal"/>
    <w:uiPriority w:val="34"/>
    <w:qFormat/>
    <w:rsid w:val="0012144A"/>
    <w:pPr>
      <w:spacing w:before="0" w:after="0"/>
      <w:ind w:left="720"/>
    </w:pPr>
    <w:rPr>
      <w:rFonts w:eastAsiaTheme="minorHAnsi"/>
      <w:szCs w:val="22"/>
    </w:rPr>
  </w:style>
  <w:style w:type="paragraph" w:customStyle="1" w:styleId="SecurityClassificationHeader">
    <w:name w:val="Security Classification Header"/>
    <w:link w:val="SecurityClassificationHeaderChar"/>
    <w:rsid w:val="00ED16FC"/>
    <w:pPr>
      <w:spacing w:before="240" w:after="60"/>
      <w:jc w:val="center"/>
    </w:pPr>
    <w:rPr>
      <w:rFonts w:ascii="Calibri" w:eastAsia="Times New Roman" w:hAnsi="Calibri" w:cs="Times New Roman"/>
      <w:b/>
      <w:caps/>
      <w:color w:val="002C47" w:themeColor="accent1"/>
      <w:sz w:val="24"/>
      <w:szCs w:val="20"/>
      <w:lang w:eastAsia="en-AU"/>
    </w:rPr>
  </w:style>
  <w:style w:type="character" w:customStyle="1" w:styleId="SecurityClassificationHeaderChar">
    <w:name w:val="Security Classification Header Char"/>
    <w:basedOn w:val="HeaderChar"/>
    <w:link w:val="SecurityClassificationHeader"/>
    <w:rsid w:val="00ED16FC"/>
    <w:rPr>
      <w:rFonts w:ascii="Calibri" w:eastAsia="Times New Roman" w:hAnsi="Calibri" w:cs="Times New Roman"/>
      <w:b/>
      <w:caps/>
      <w:color w:val="002C47" w:themeColor="accent1"/>
      <w:sz w:val="24"/>
      <w:szCs w:val="20"/>
      <w:lang w:eastAsia="en-AU"/>
    </w:rPr>
  </w:style>
  <w:style w:type="paragraph" w:customStyle="1" w:styleId="SecurityClassificationFooter">
    <w:name w:val="Security Classification Footer"/>
    <w:link w:val="SecurityClassificationFooterChar"/>
    <w:rsid w:val="00ED16FC"/>
    <w:pPr>
      <w:spacing w:before="60" w:after="240"/>
      <w:jc w:val="center"/>
    </w:pPr>
    <w:rPr>
      <w:rFonts w:ascii="Calibri" w:eastAsia="Times New Roman" w:hAnsi="Calibri" w:cs="Times New Roman"/>
      <w:b/>
      <w:caps/>
      <w:color w:val="002C47" w:themeColor="accent1"/>
      <w:sz w:val="24"/>
      <w:szCs w:val="20"/>
      <w:lang w:eastAsia="en-AU"/>
    </w:rPr>
  </w:style>
  <w:style w:type="character" w:customStyle="1" w:styleId="SecurityClassificationFooterChar">
    <w:name w:val="Security Classification Footer Char"/>
    <w:basedOn w:val="HeaderChar"/>
    <w:link w:val="SecurityClassificationFooter"/>
    <w:rsid w:val="00ED16FC"/>
    <w:rPr>
      <w:rFonts w:ascii="Calibri" w:eastAsia="Times New Roman" w:hAnsi="Calibri" w:cs="Times New Roman"/>
      <w:b/>
      <w:caps/>
      <w:color w:val="002C47" w:themeColor="accent1"/>
      <w:sz w:val="24"/>
      <w:szCs w:val="20"/>
      <w:lang w:eastAsia="en-AU"/>
    </w:rPr>
  </w:style>
  <w:style w:type="paragraph" w:customStyle="1" w:styleId="DLMSecurityHeader">
    <w:name w:val="DLM Security Header"/>
    <w:link w:val="DLMSecurityHeaderChar"/>
    <w:rsid w:val="00ED16FC"/>
    <w:pPr>
      <w:spacing w:before="60" w:after="240"/>
      <w:jc w:val="center"/>
    </w:pPr>
    <w:rPr>
      <w:rFonts w:ascii="Calibri" w:eastAsia="Times New Roman" w:hAnsi="Calibri" w:cs="Times New Roman"/>
      <w:b/>
      <w:caps/>
      <w:color w:val="002C47" w:themeColor="accent1"/>
      <w:sz w:val="24"/>
      <w:szCs w:val="20"/>
      <w:lang w:eastAsia="en-AU"/>
    </w:rPr>
  </w:style>
  <w:style w:type="character" w:customStyle="1" w:styleId="DLMSecurityHeaderChar">
    <w:name w:val="DLM Security Header Char"/>
    <w:basedOn w:val="HeaderChar"/>
    <w:link w:val="DLMSecurityHeader"/>
    <w:rsid w:val="00ED16FC"/>
    <w:rPr>
      <w:rFonts w:ascii="Calibri" w:eastAsia="Times New Roman" w:hAnsi="Calibri" w:cs="Times New Roman"/>
      <w:b/>
      <w:caps/>
      <w:color w:val="002C47" w:themeColor="accent1"/>
      <w:sz w:val="24"/>
      <w:szCs w:val="20"/>
      <w:lang w:eastAsia="en-AU"/>
    </w:rPr>
  </w:style>
  <w:style w:type="paragraph" w:customStyle="1" w:styleId="DLMSecurityFooter">
    <w:name w:val="DLM Security Footer"/>
    <w:link w:val="DLMSecurityFooterChar"/>
    <w:rsid w:val="00ED16FC"/>
    <w:pPr>
      <w:spacing w:before="240" w:after="60"/>
      <w:jc w:val="center"/>
    </w:pPr>
    <w:rPr>
      <w:rFonts w:ascii="Calibri" w:eastAsia="Times New Roman" w:hAnsi="Calibri" w:cs="Times New Roman"/>
      <w:b/>
      <w:caps/>
      <w:color w:val="002C47" w:themeColor="accent1"/>
      <w:sz w:val="24"/>
      <w:szCs w:val="20"/>
      <w:lang w:eastAsia="en-AU"/>
    </w:rPr>
  </w:style>
  <w:style w:type="character" w:customStyle="1" w:styleId="DLMSecurityFooterChar">
    <w:name w:val="DLM Security Footer Char"/>
    <w:basedOn w:val="HeaderChar"/>
    <w:link w:val="DLMSecurityFooter"/>
    <w:rsid w:val="00ED16FC"/>
    <w:rPr>
      <w:rFonts w:ascii="Calibri" w:eastAsia="Times New Roman" w:hAnsi="Calibri" w:cs="Times New Roman"/>
      <w:b/>
      <w:caps/>
      <w:color w:val="002C47" w:themeColor="accent1"/>
      <w:sz w:val="24"/>
      <w:szCs w:val="20"/>
      <w:lang w:eastAsia="en-AU"/>
    </w:rPr>
  </w:style>
  <w:style w:type="table" w:styleId="GridTable1Light-Accent2">
    <w:name w:val="Grid Table 1 Light Accent 2"/>
    <w:basedOn w:val="TableNormal"/>
    <w:uiPriority w:val="46"/>
    <w:rsid w:val="000C2C60"/>
    <w:pPr>
      <w:spacing w:after="0" w:line="240" w:lineRule="auto"/>
    </w:pPr>
    <w:tblPr>
      <w:tblStyleRowBandSize w:val="1"/>
      <w:tblStyleColBandSize w:val="1"/>
      <w:tblBorders>
        <w:top w:val="single" w:sz="4" w:space="0" w:color="ABC4E3" w:themeColor="accent2" w:themeTint="66"/>
        <w:left w:val="single" w:sz="4" w:space="0" w:color="ABC4E3" w:themeColor="accent2" w:themeTint="66"/>
        <w:bottom w:val="single" w:sz="4" w:space="0" w:color="ABC4E3" w:themeColor="accent2" w:themeTint="66"/>
        <w:right w:val="single" w:sz="4" w:space="0" w:color="ABC4E3" w:themeColor="accent2" w:themeTint="66"/>
        <w:insideH w:val="single" w:sz="4" w:space="0" w:color="ABC4E3" w:themeColor="accent2" w:themeTint="66"/>
        <w:insideV w:val="single" w:sz="4" w:space="0" w:color="ABC4E3" w:themeColor="accent2" w:themeTint="66"/>
      </w:tblBorders>
    </w:tblPr>
    <w:tblStylePr w:type="firstRow">
      <w:rPr>
        <w:b/>
        <w:bCs/>
      </w:rPr>
      <w:tblPr/>
      <w:tcPr>
        <w:tcBorders>
          <w:bottom w:val="single" w:sz="12" w:space="0" w:color="82A7D5" w:themeColor="accent2" w:themeTint="99"/>
        </w:tcBorders>
      </w:tcPr>
    </w:tblStylePr>
    <w:tblStylePr w:type="lastRow">
      <w:rPr>
        <w:b/>
        <w:bCs/>
      </w:rPr>
      <w:tblPr/>
      <w:tcPr>
        <w:tcBorders>
          <w:top w:val="double" w:sz="2" w:space="0" w:color="82A7D5"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1296D"/>
    <w:pPr>
      <w:spacing w:after="0" w:line="240" w:lineRule="auto"/>
    </w:pPr>
    <w:tblPr>
      <w:tblStyleRowBandSize w:val="1"/>
      <w:tblStyleColBandSize w:val="1"/>
      <w:tblBorders>
        <w:top w:val="single" w:sz="4" w:space="0" w:color="4FBCFF" w:themeColor="accent1" w:themeTint="66"/>
        <w:left w:val="single" w:sz="4" w:space="0" w:color="4FBCFF" w:themeColor="accent1" w:themeTint="66"/>
        <w:bottom w:val="single" w:sz="4" w:space="0" w:color="4FBCFF" w:themeColor="accent1" w:themeTint="66"/>
        <w:right w:val="single" w:sz="4" w:space="0" w:color="4FBCFF" w:themeColor="accent1" w:themeTint="66"/>
        <w:insideH w:val="single" w:sz="4" w:space="0" w:color="4FBCFF" w:themeColor="accent1" w:themeTint="66"/>
        <w:insideV w:val="single" w:sz="4" w:space="0" w:color="4FBCFF" w:themeColor="accent1" w:themeTint="66"/>
      </w:tblBorders>
    </w:tblPr>
    <w:tblStylePr w:type="firstRow">
      <w:rPr>
        <w:b/>
        <w:bCs/>
      </w:rPr>
      <w:tblPr/>
      <w:tcPr>
        <w:tcBorders>
          <w:bottom w:val="single" w:sz="12" w:space="0" w:color="0098F6" w:themeColor="accent1" w:themeTint="99"/>
        </w:tcBorders>
      </w:tcPr>
    </w:tblStylePr>
    <w:tblStylePr w:type="lastRow">
      <w:rPr>
        <w:b/>
        <w:bCs/>
      </w:rPr>
      <w:tblPr/>
      <w:tcPr>
        <w:tcBorders>
          <w:top w:val="double" w:sz="2" w:space="0" w:color="0098F6" w:themeColor="accent1" w:themeTint="99"/>
        </w:tcBorders>
      </w:tcPr>
    </w:tblStylePr>
    <w:tblStylePr w:type="firstCol">
      <w:rPr>
        <w:b/>
        <w:bCs/>
      </w:rPr>
    </w:tblStylePr>
    <w:tblStylePr w:type="lastCol">
      <w:rPr>
        <w:b/>
        <w:bCs/>
      </w:rPr>
    </w:tblStylePr>
  </w:style>
  <w:style w:type="paragraph" w:styleId="NoSpacing">
    <w:name w:val="No Spacing"/>
    <w:uiPriority w:val="1"/>
    <w:qFormat/>
    <w:rsid w:val="004F47B4"/>
    <w:pPr>
      <w:spacing w:after="0" w:line="240" w:lineRule="auto"/>
    </w:pPr>
    <w:rPr>
      <w:rFonts w:ascii="Calibri" w:eastAsia="Times New Roman" w:hAnsi="Calibri" w:cs="Times New Roman"/>
      <w:szCs w:val="20"/>
      <w:lang w:eastAsia="en-AU"/>
    </w:rPr>
  </w:style>
  <w:style w:type="character" w:customStyle="1" w:styleId="DashChar">
    <w:name w:val="Dash Char"/>
    <w:basedOn w:val="DefaultParagraphFont"/>
    <w:link w:val="Dash"/>
    <w:rsid w:val="001131D4"/>
    <w:rPr>
      <w:rFonts w:ascii="Calibri" w:eastAsia="Times New Roman" w:hAnsi="Calibri"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44741">
      <w:bodyDiv w:val="1"/>
      <w:marLeft w:val="0"/>
      <w:marRight w:val="0"/>
      <w:marTop w:val="0"/>
      <w:marBottom w:val="0"/>
      <w:divBdr>
        <w:top w:val="none" w:sz="0" w:space="0" w:color="auto"/>
        <w:left w:val="none" w:sz="0" w:space="0" w:color="auto"/>
        <w:bottom w:val="none" w:sz="0" w:space="0" w:color="auto"/>
        <w:right w:val="none" w:sz="0" w:space="0" w:color="auto"/>
      </w:divBdr>
    </w:div>
    <w:div w:id="280772994">
      <w:bodyDiv w:val="1"/>
      <w:marLeft w:val="0"/>
      <w:marRight w:val="0"/>
      <w:marTop w:val="0"/>
      <w:marBottom w:val="0"/>
      <w:divBdr>
        <w:top w:val="none" w:sz="0" w:space="0" w:color="auto"/>
        <w:left w:val="none" w:sz="0" w:space="0" w:color="auto"/>
        <w:bottom w:val="none" w:sz="0" w:space="0" w:color="auto"/>
        <w:right w:val="none" w:sz="0" w:space="0" w:color="auto"/>
      </w:divBdr>
    </w:div>
    <w:div w:id="568228723">
      <w:bodyDiv w:val="1"/>
      <w:marLeft w:val="0"/>
      <w:marRight w:val="0"/>
      <w:marTop w:val="0"/>
      <w:marBottom w:val="0"/>
      <w:divBdr>
        <w:top w:val="none" w:sz="0" w:space="0" w:color="auto"/>
        <w:left w:val="none" w:sz="0" w:space="0" w:color="auto"/>
        <w:bottom w:val="none" w:sz="0" w:space="0" w:color="auto"/>
        <w:right w:val="none" w:sz="0" w:space="0" w:color="auto"/>
      </w:divBdr>
    </w:div>
    <w:div w:id="613826750">
      <w:bodyDiv w:val="1"/>
      <w:marLeft w:val="0"/>
      <w:marRight w:val="0"/>
      <w:marTop w:val="0"/>
      <w:marBottom w:val="0"/>
      <w:divBdr>
        <w:top w:val="none" w:sz="0" w:space="0" w:color="auto"/>
        <w:left w:val="none" w:sz="0" w:space="0" w:color="auto"/>
        <w:bottom w:val="none" w:sz="0" w:space="0" w:color="auto"/>
        <w:right w:val="none" w:sz="0" w:space="0" w:color="auto"/>
      </w:divBdr>
    </w:div>
    <w:div w:id="726685270">
      <w:bodyDiv w:val="1"/>
      <w:marLeft w:val="0"/>
      <w:marRight w:val="0"/>
      <w:marTop w:val="0"/>
      <w:marBottom w:val="0"/>
      <w:divBdr>
        <w:top w:val="none" w:sz="0" w:space="0" w:color="auto"/>
        <w:left w:val="none" w:sz="0" w:space="0" w:color="auto"/>
        <w:bottom w:val="none" w:sz="0" w:space="0" w:color="auto"/>
        <w:right w:val="none" w:sz="0" w:space="0" w:color="auto"/>
      </w:divBdr>
    </w:div>
    <w:div w:id="812520994">
      <w:bodyDiv w:val="1"/>
      <w:marLeft w:val="0"/>
      <w:marRight w:val="0"/>
      <w:marTop w:val="0"/>
      <w:marBottom w:val="0"/>
      <w:divBdr>
        <w:top w:val="none" w:sz="0" w:space="0" w:color="auto"/>
        <w:left w:val="none" w:sz="0" w:space="0" w:color="auto"/>
        <w:bottom w:val="none" w:sz="0" w:space="0" w:color="auto"/>
        <w:right w:val="none" w:sz="0" w:space="0" w:color="auto"/>
      </w:divBdr>
    </w:div>
    <w:div w:id="881329623">
      <w:bodyDiv w:val="1"/>
      <w:marLeft w:val="0"/>
      <w:marRight w:val="0"/>
      <w:marTop w:val="0"/>
      <w:marBottom w:val="0"/>
      <w:divBdr>
        <w:top w:val="none" w:sz="0" w:space="0" w:color="auto"/>
        <w:left w:val="none" w:sz="0" w:space="0" w:color="auto"/>
        <w:bottom w:val="none" w:sz="0" w:space="0" w:color="auto"/>
        <w:right w:val="none" w:sz="0" w:space="0" w:color="auto"/>
      </w:divBdr>
    </w:div>
    <w:div w:id="1211503655">
      <w:bodyDiv w:val="1"/>
      <w:marLeft w:val="0"/>
      <w:marRight w:val="0"/>
      <w:marTop w:val="0"/>
      <w:marBottom w:val="0"/>
      <w:divBdr>
        <w:top w:val="none" w:sz="0" w:space="0" w:color="auto"/>
        <w:left w:val="none" w:sz="0" w:space="0" w:color="auto"/>
        <w:bottom w:val="none" w:sz="0" w:space="0" w:color="auto"/>
        <w:right w:val="none" w:sz="0" w:space="0" w:color="auto"/>
      </w:divBdr>
    </w:div>
    <w:div w:id="1289169532">
      <w:bodyDiv w:val="1"/>
      <w:marLeft w:val="0"/>
      <w:marRight w:val="0"/>
      <w:marTop w:val="0"/>
      <w:marBottom w:val="0"/>
      <w:divBdr>
        <w:top w:val="none" w:sz="0" w:space="0" w:color="auto"/>
        <w:left w:val="none" w:sz="0" w:space="0" w:color="auto"/>
        <w:bottom w:val="none" w:sz="0" w:space="0" w:color="auto"/>
        <w:right w:val="none" w:sz="0" w:space="0" w:color="auto"/>
      </w:divBdr>
    </w:div>
    <w:div w:id="1459252454">
      <w:bodyDiv w:val="1"/>
      <w:marLeft w:val="0"/>
      <w:marRight w:val="0"/>
      <w:marTop w:val="0"/>
      <w:marBottom w:val="0"/>
      <w:divBdr>
        <w:top w:val="none" w:sz="0" w:space="0" w:color="auto"/>
        <w:left w:val="none" w:sz="0" w:space="0" w:color="auto"/>
        <w:bottom w:val="none" w:sz="0" w:space="0" w:color="auto"/>
        <w:right w:val="none" w:sz="0" w:space="0" w:color="auto"/>
      </w:divBdr>
    </w:div>
    <w:div w:id="1567573261">
      <w:bodyDiv w:val="1"/>
      <w:marLeft w:val="0"/>
      <w:marRight w:val="0"/>
      <w:marTop w:val="0"/>
      <w:marBottom w:val="0"/>
      <w:divBdr>
        <w:top w:val="none" w:sz="0" w:space="0" w:color="auto"/>
        <w:left w:val="none" w:sz="0" w:space="0" w:color="auto"/>
        <w:bottom w:val="none" w:sz="0" w:space="0" w:color="auto"/>
        <w:right w:val="none" w:sz="0" w:space="0" w:color="auto"/>
      </w:divBdr>
    </w:div>
    <w:div w:id="1579290111">
      <w:bodyDiv w:val="1"/>
      <w:marLeft w:val="0"/>
      <w:marRight w:val="0"/>
      <w:marTop w:val="0"/>
      <w:marBottom w:val="0"/>
      <w:divBdr>
        <w:top w:val="none" w:sz="0" w:space="0" w:color="auto"/>
        <w:left w:val="none" w:sz="0" w:space="0" w:color="auto"/>
        <w:bottom w:val="none" w:sz="0" w:space="0" w:color="auto"/>
        <w:right w:val="none" w:sz="0" w:space="0" w:color="auto"/>
      </w:divBdr>
    </w:div>
    <w:div w:id="1624118103">
      <w:bodyDiv w:val="1"/>
      <w:marLeft w:val="0"/>
      <w:marRight w:val="0"/>
      <w:marTop w:val="0"/>
      <w:marBottom w:val="0"/>
      <w:divBdr>
        <w:top w:val="none" w:sz="0" w:space="0" w:color="auto"/>
        <w:left w:val="none" w:sz="0" w:space="0" w:color="auto"/>
        <w:bottom w:val="none" w:sz="0" w:space="0" w:color="auto"/>
        <w:right w:val="none" w:sz="0" w:space="0" w:color="auto"/>
      </w:divBdr>
    </w:div>
    <w:div w:id="1657951377">
      <w:bodyDiv w:val="1"/>
      <w:marLeft w:val="0"/>
      <w:marRight w:val="0"/>
      <w:marTop w:val="0"/>
      <w:marBottom w:val="0"/>
      <w:divBdr>
        <w:top w:val="none" w:sz="0" w:space="0" w:color="auto"/>
        <w:left w:val="none" w:sz="0" w:space="0" w:color="auto"/>
        <w:bottom w:val="none" w:sz="0" w:space="0" w:color="auto"/>
        <w:right w:val="none" w:sz="0" w:space="0" w:color="auto"/>
      </w:divBdr>
    </w:div>
    <w:div w:id="1703289881">
      <w:bodyDiv w:val="1"/>
      <w:marLeft w:val="0"/>
      <w:marRight w:val="0"/>
      <w:marTop w:val="0"/>
      <w:marBottom w:val="0"/>
      <w:divBdr>
        <w:top w:val="none" w:sz="0" w:space="0" w:color="auto"/>
        <w:left w:val="none" w:sz="0" w:space="0" w:color="auto"/>
        <w:bottom w:val="none" w:sz="0" w:space="0" w:color="auto"/>
        <w:right w:val="none" w:sz="0" w:space="0" w:color="auto"/>
      </w:divBdr>
    </w:div>
    <w:div w:id="1778329045">
      <w:bodyDiv w:val="1"/>
      <w:marLeft w:val="0"/>
      <w:marRight w:val="0"/>
      <w:marTop w:val="0"/>
      <w:marBottom w:val="0"/>
      <w:divBdr>
        <w:top w:val="none" w:sz="0" w:space="0" w:color="auto"/>
        <w:left w:val="none" w:sz="0" w:space="0" w:color="auto"/>
        <w:bottom w:val="none" w:sz="0" w:space="0" w:color="auto"/>
        <w:right w:val="none" w:sz="0" w:space="0" w:color="auto"/>
      </w:divBdr>
    </w:div>
    <w:div w:id="1847550794">
      <w:bodyDiv w:val="1"/>
      <w:marLeft w:val="0"/>
      <w:marRight w:val="0"/>
      <w:marTop w:val="0"/>
      <w:marBottom w:val="0"/>
      <w:divBdr>
        <w:top w:val="none" w:sz="0" w:space="0" w:color="auto"/>
        <w:left w:val="none" w:sz="0" w:space="0" w:color="auto"/>
        <w:bottom w:val="none" w:sz="0" w:space="0" w:color="auto"/>
        <w:right w:val="none" w:sz="0" w:space="0" w:color="auto"/>
      </w:divBdr>
    </w:div>
    <w:div w:id="194164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creativecommons.org/licenses/by/3.0/au/deed.en" TargetMode="External"/><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creativecommons.org/licenses/by/3.0/au/deed.en" TargetMode="External"/><Relationship Id="rId34" Type="http://schemas.openxmlformats.org/officeDocument/2006/relationships/footer" Target="footer5.xml"/><Relationship Id="rId55" Type="http://schemas.microsoft.com/office/2016/09/relationships/commentsIds" Target="commentsIds.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footer" Target="footer4.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w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3.xml"/><Relationship Id="rId32" Type="http://schemas.openxmlformats.org/officeDocument/2006/relationships/header" Target="header9.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medialiaison@treasury.gov.au" TargetMode="External"/><Relationship Id="rId28" Type="http://schemas.openxmlformats.org/officeDocument/2006/relationships/header" Target="header6.xml"/><Relationship Id="rId36" Type="http://schemas.openxmlformats.org/officeDocument/2006/relationships/footer" Target="footer6.xml"/><Relationship Id="rId10" Type="http://schemas.openxmlformats.org/officeDocument/2006/relationships/styles" Target="styles.xml"/><Relationship Id="rId19" Type="http://schemas.openxmlformats.org/officeDocument/2006/relationships/hyperlink" Target="http://creativecommons.org/licenses/by/3.0/au/legalcode" TargetMode="Externa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www.pmc.gov.au/government/commonwealth-coat-arm" TargetMode="Externa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77E3B5496204D2AAC5E87FC1FFD6128"/>
        <w:category>
          <w:name w:val="General"/>
          <w:gallery w:val="placeholder"/>
        </w:category>
        <w:types>
          <w:type w:val="bbPlcHdr"/>
        </w:types>
        <w:behaviors>
          <w:behavior w:val="content"/>
        </w:behaviors>
        <w:guid w:val="{09BA93C5-DC1D-4338-91CE-391656DA4D97}"/>
      </w:docPartPr>
      <w:docPartBody>
        <w:p w:rsidR="004D31C7" w:rsidRDefault="00F04740" w:rsidP="00F04740">
          <w:pPr>
            <w:pStyle w:val="D77E3B5496204D2AAC5E87FC1FFD6128"/>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740"/>
    <w:rsid w:val="002B4CA3"/>
    <w:rsid w:val="003404B1"/>
    <w:rsid w:val="003B58AA"/>
    <w:rsid w:val="003D00AE"/>
    <w:rsid w:val="003E714E"/>
    <w:rsid w:val="004D31C7"/>
    <w:rsid w:val="007A69E3"/>
    <w:rsid w:val="00805890"/>
    <w:rsid w:val="008E3C16"/>
    <w:rsid w:val="00A458C5"/>
    <w:rsid w:val="00C16D70"/>
    <w:rsid w:val="00D20A1B"/>
    <w:rsid w:val="00E36023"/>
    <w:rsid w:val="00F04740"/>
    <w:rsid w:val="00F2486A"/>
    <w:rsid w:val="00F613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4740"/>
    <w:rPr>
      <w:color w:val="808080"/>
    </w:rPr>
  </w:style>
  <w:style w:type="paragraph" w:customStyle="1" w:styleId="D77E3B5496204D2AAC5E87FC1FFD6128">
    <w:name w:val="D77E3B5496204D2AAC5E87FC1FFD6128"/>
    <w:rsid w:val="00F047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rporate">
      <a:dk1>
        <a:sysClr val="windowText" lastClr="000000"/>
      </a:dk1>
      <a:lt1>
        <a:sysClr val="window" lastClr="FFFFFF"/>
      </a:lt1>
      <a:dk2>
        <a:srgbClr val="F06252"/>
      </a:dk2>
      <a:lt2>
        <a:srgbClr val="E2E0CB"/>
      </a:lt2>
      <a:accent1>
        <a:srgbClr val="002C47"/>
      </a:accent1>
      <a:accent2>
        <a:srgbClr val="3A6FAF"/>
      </a:accent2>
      <a:accent3>
        <a:srgbClr val="00827F"/>
      </a:accent3>
      <a:accent4>
        <a:srgbClr val="F7901E"/>
      </a:accent4>
      <a:accent5>
        <a:srgbClr val="00ABBD"/>
      </a:accent5>
      <a:accent6>
        <a:srgbClr val="844D9E"/>
      </a:accent6>
      <a:hlink>
        <a:srgbClr val="3A6FAF"/>
      </a:hlink>
      <a:folHlink>
        <a:srgbClr val="E61E2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Treasury Document Audit Policy</p:Name>
  <p:Description/>
  <p:Statement/>
  <p:PolicyItems>
    <p:PolicyItem featureId="Microsoft.Office.RecordsManagement.PolicyFeatures.PolicyAudit" staticId="0x010100BCBF50F8A60B9C40BFC256C0F7AAB54B|1757814118" UniqueId="fde207ac-4387-46b7-8e68-2dd6b8690223">
      <p:Name>Auditing</p:Name>
      <p:Description>Audits user actions on documents and list items to the Audit Log.</p:Description>
      <p:CustomData>
        <Audit>
          <Update/>
          <CheckInOut/>
          <MoveCopy/>
          <DeleteRestore/>
        </Audit>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Treasury Financial Services Reform Document" ma:contentTypeID="0x010100BCBF50F8A60B9C40BFC256C0F7AAB54B00C81BF210190AB64590C7FB729413019E00CBF44E4A21838E499C540592A45CE1B5" ma:contentTypeVersion="5595" ma:contentTypeDescription="" ma:contentTypeScope="" ma:versionID="d422ff509df10b08251fb7781ceb3c04">
  <xsd:schema xmlns:xsd="http://www.w3.org/2001/XMLSchema" xmlns:xs="http://www.w3.org/2001/XMLSchema" xmlns:p="http://schemas.microsoft.com/office/2006/metadata/properties" xmlns:ns1="http://schemas.microsoft.com/sharepoint/v3" xmlns:ns2="0f563589-9cf9-4143-b1eb-fb0534803d38" xmlns:ns3="a3f3b895-a12d-40ed-bbf9-82c550ef3149" targetNamespace="http://schemas.microsoft.com/office/2006/metadata/properties" ma:root="true" ma:fieldsID="b9307cc4adc37f0fa01b330308e53d22" ns1:_="" ns2:_="" ns3:_="">
    <xsd:import namespace="http://schemas.microsoft.com/sharepoint/v3"/>
    <xsd:import namespace="0f563589-9cf9-4143-b1eb-fb0534803d38"/>
    <xsd:import namespace="a3f3b895-a12d-40ed-bbf9-82c550ef3149"/>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TaxKeywordTaxHTField" minOccurs="0"/>
                <xsd:element ref="ns1:_dlc_Exempt" minOccurs="0"/>
                <xsd:element ref="ns3:mad6820d043c45bdbfaec06364038ba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fe985234-3f4f-4a88-8988-bc112778147b}" ma:internalName="TaxCatchAll" ma:showField="CatchAllData" ma:web="a3f3b895-a12d-40ed-bbf9-82c550ef31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e985234-3f4f-4a88-8988-bc112778147b}" ma:internalName="TaxCatchAllLabel" ma:readOnly="true" ma:showField="CatchAllDataLabel" ma:web="a3f3b895-a12d-40ed-bbf9-82c550ef3149">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Document Tags" ma:readOnly="false"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f3b895-a12d-40ed-bbf9-82c550ef3149" elementFormDefault="qualified">
    <xsd:import namespace="http://schemas.microsoft.com/office/2006/documentManagement/types"/>
    <xsd:import namespace="http://schemas.microsoft.com/office/infopath/2007/PartnerControls"/>
    <xsd:element name="mad6820d043c45bdbfaec06364038ba1" ma:index="16" nillable="true" ma:taxonomy="true" ma:internalName="mad6820d043c45bdbfaec06364038ba1" ma:taxonomyFieldName="Recommendation_x0020_number_x002F_s" ma:displayName="Recommendation number/s" ma:default="" ma:fieldId="{6ad6820d-043c-45bd-bfae-c06364038ba1}" ma:taxonomyMulti="true" ma:sspId="77b7a547-5880-464f-83f8-cefe583c3af4" ma:termSetId="364ed899-a317-44ff-a4aa-42ab0aab413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haredContentType xmlns="Microsoft.SharePoint.Taxonomy.ContentTypeSync" SourceId="77b7a547-5880-464f-83f8-cefe583c3af4" ContentTypeId="0x010100BCBF50F8A60B9C40BFC256C0F7AAB54B" PreviousValue="false"/>
</file>

<file path=customXml/item7.xml><?xml version="1.0" encoding="utf-8"?>
<p:properties xmlns:p="http://schemas.microsoft.com/office/2006/metadata/properties" xmlns:xsi="http://www.w3.org/2001/XMLSchema-instance" xmlns:pc="http://schemas.microsoft.com/office/infopath/2007/PartnerControls">
  <documentManagement>
    <TaxCatchAll xmlns="0f563589-9cf9-4143-b1eb-fb0534803d38">
      <Value>4</Value>
      <Value>6</Value>
    </TaxCatchAll>
    <mad6820d043c45bdbfaec06364038ba1 xmlns="a3f3b895-a12d-40ed-bbf9-82c550ef3149">
      <Terms xmlns="http://schemas.microsoft.com/office/infopath/2007/PartnerControls">
        <TermInfo xmlns="http://schemas.microsoft.com/office/infopath/2007/PartnerControls">
          <TermName xmlns="http://schemas.microsoft.com/office/infopath/2007/PartnerControls">RC 7.1.2</TermName>
          <TermId xmlns="http://schemas.microsoft.com/office/infopath/2007/PartnerControls">19d2b10b-3a7d-4475-a25a-4ab7a64b7c69</TermId>
        </TermInfo>
      </Terms>
    </mad6820d043c45bdbfaec06364038ba1>
    <TaxKeywordTaxHTField xmlns="0f563589-9cf9-4143-b1eb-fb0534803d38">
      <Terms xmlns="http://schemas.microsoft.com/office/infopath/2007/PartnerControls"/>
    </TaxKeywordTaxHTField>
    <_dlc_DocId xmlns="0f563589-9cf9-4143-b1eb-fb0534803d38">2019A6EXK24D-1318288622-281</_dlc_DocId>
    <_dlc_DocIdUrl xmlns="0f563589-9cf9-4143-b1eb-fb0534803d38">
      <Url>http://tweb/sites/fsr/redress/_layouts/15/DocIdRedir.aspx?ID=2019A6EXK24D-1318288622-281</Url>
      <Description>2019A6EXK24D-1318288622-281</Description>
    </_dlc_DocIdUrl>
  </documentManagement>
</p:properti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B5F73-B5E8-4C07-8FAF-6BC8DDDD16DC}">
  <ds:schemaRefs>
    <ds:schemaRef ds:uri="http://schemas.microsoft.com/sharepoint/events"/>
  </ds:schemaRefs>
</ds:datastoreItem>
</file>

<file path=customXml/itemProps2.xml><?xml version="1.0" encoding="utf-8"?>
<ds:datastoreItem xmlns:ds="http://schemas.openxmlformats.org/officeDocument/2006/customXml" ds:itemID="{E72B394B-A4BD-48F3-9126-F8D437607FE0}">
  <ds:schemaRefs>
    <ds:schemaRef ds:uri="http://schemas.microsoft.com/sharepoint/v3/contenttype/forms"/>
  </ds:schemaRefs>
</ds:datastoreItem>
</file>

<file path=customXml/itemProps3.xml><?xml version="1.0" encoding="utf-8"?>
<ds:datastoreItem xmlns:ds="http://schemas.openxmlformats.org/officeDocument/2006/customXml" ds:itemID="{C657FE9C-95A2-4AB6-84F5-9F42FD790460}">
  <ds:schemaRefs>
    <ds:schemaRef ds:uri="office.server.policy"/>
  </ds:schemaRefs>
</ds:datastoreItem>
</file>

<file path=customXml/itemProps4.xml><?xml version="1.0" encoding="utf-8"?>
<ds:datastoreItem xmlns:ds="http://schemas.openxmlformats.org/officeDocument/2006/customXml" ds:itemID="{08EA2794-2789-4031-BFB4-3D584D238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a3f3b895-a12d-40ed-bbf9-82c550ef31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8118622-F8D5-4050-BC6B-9E175B5DEACC}">
  <ds:schemaRefs>
    <ds:schemaRef ds:uri="http://schemas.microsoft.com/office/2006/metadata/customXsn"/>
  </ds:schemaRefs>
</ds:datastoreItem>
</file>

<file path=customXml/itemProps6.xml><?xml version="1.0" encoding="utf-8"?>
<ds:datastoreItem xmlns:ds="http://schemas.openxmlformats.org/officeDocument/2006/customXml" ds:itemID="{F73E91B1-1B9D-4AEF-A6E7-5D15D30674A8}">
  <ds:schemaRefs>
    <ds:schemaRef ds:uri="Microsoft.SharePoint.Taxonomy.ContentTypeSync"/>
  </ds:schemaRefs>
</ds:datastoreItem>
</file>

<file path=customXml/itemProps7.xml><?xml version="1.0" encoding="utf-8"?>
<ds:datastoreItem xmlns:ds="http://schemas.openxmlformats.org/officeDocument/2006/customXml" ds:itemID="{3E586426-8097-42DF-A9BF-36CA32767312}">
  <ds:schemaRefs>
    <ds:schemaRef ds:uri="http://purl.org/dc/dcmitype/"/>
    <ds:schemaRef ds:uri="a3f3b895-a12d-40ed-bbf9-82c550ef3149"/>
    <ds:schemaRef ds:uri="http://schemas.microsoft.com/sharepoint/v3"/>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0f563589-9cf9-4143-b1eb-fb0534803d38"/>
    <ds:schemaRef ds:uri="http://schemas.microsoft.com/office/2006/metadata/properties"/>
    <ds:schemaRef ds:uri="http://purl.org/dc/terms/"/>
  </ds:schemaRefs>
</ds:datastoreItem>
</file>

<file path=customXml/itemProps8.xml><?xml version="1.0" encoding="utf-8"?>
<ds:datastoreItem xmlns:ds="http://schemas.openxmlformats.org/officeDocument/2006/customXml" ds:itemID="{F4AE2BFB-6CA6-46F8-BDE4-144226115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5</TotalTime>
  <Pages>26</Pages>
  <Words>9043</Words>
  <Characters>51550</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01102019  WD PP CSLR Consolidated for Comment ASIC</vt:lpstr>
    </vt:vector>
  </TitlesOfParts>
  <Company>Australian Government - The Treasury</Company>
  <LinksUpToDate>false</LinksUpToDate>
  <CharactersWithSpaces>60473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01102019  WD PP CSLR Consolidated for Comment ASIC</dc:title>
  <dc:subject/>
  <dc:creator>Lee, John</dc:creator>
  <cp:keywords/>
  <dc:description/>
  <cp:lastModifiedBy>Lyon, Christopher</cp:lastModifiedBy>
  <cp:revision>3</cp:revision>
  <cp:lastPrinted>2019-12-20T00:14:00Z</cp:lastPrinted>
  <dcterms:created xsi:type="dcterms:W3CDTF">2019-12-20T00:13:00Z</dcterms:created>
  <dcterms:modified xsi:type="dcterms:W3CDTF">2019-12-20T00:19:00Z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0x010100BCBF50F8A60B9C40BFC256C0F7AAB54B00C81BF210190AB64590C7FB729413019E00CBF44E4A21838E499C540592A45CE1B5</vt:lpwstr>
  </property>
  <property fmtid="{D5CDD505-2E9C-101B-9397-08002B2CF9AE}" pid="4" name="Year">
    <vt:lpwstr>9;#2019|fac49237-82f5-4c09-aacf-ce167c0248d8</vt:lpwstr>
  </property>
  <property fmtid="{D5CDD505-2E9C-101B-9397-08002B2CF9AE}" pid="5" name="Order">
    <vt:r8>15200</vt:r8>
  </property>
  <property fmtid="{D5CDD505-2E9C-101B-9397-08002B2CF9AE}" pid="6" name="SecurityClassification">
    <vt:lpwstr>6;#Sensitive|19fd2cb8-3e97-4464-ae71-8c2c2095d028</vt:lpwstr>
  </property>
  <property fmtid="{D5CDD505-2E9C-101B-9397-08002B2CF9AE}" pid="7" name="RecordPoint_WorkflowType">
    <vt:lpwstr>ActiveSubmitStub</vt:lpwstr>
  </property>
  <property fmtid="{D5CDD505-2E9C-101B-9397-08002B2CF9AE}" pid="8" name="RecordPoint_ActiveItemListId">
    <vt:lpwstr>{d544373f-c53c-49c2-bcab-c11e981ae0a7}</vt:lpwstr>
  </property>
  <property fmtid="{D5CDD505-2E9C-101B-9397-08002B2CF9AE}" pid="9" name="RecordPoint_ActiveItemUniqueId">
    <vt:lpwstr>{0fcb915b-b589-4285-a814-dbdf88d5fb5f}</vt:lpwstr>
  </property>
  <property fmtid="{D5CDD505-2E9C-101B-9397-08002B2CF9AE}" pid="10" name="RecordPoint_ActiveItemWebId">
    <vt:lpwstr>{8d1a62af-197b-4c89-8785-e00646f71ff6}</vt:lpwstr>
  </property>
  <property fmtid="{D5CDD505-2E9C-101B-9397-08002B2CF9AE}" pid="11" name="RecordPoint_ActiveItemSiteId">
    <vt:lpwstr>{e80b9be7-78a6-4b88-96c9-008e4a2afebe}</vt:lpwstr>
  </property>
  <property fmtid="{D5CDD505-2E9C-101B-9397-08002B2CF9AE}" pid="12" name="RecordPoint_SubmissionCompleted">
    <vt:lpwstr>2019-10-09T14:13:04.6763359+11:00</vt:lpwstr>
  </property>
  <property fmtid="{D5CDD505-2E9C-101B-9397-08002B2CF9AE}" pid="13" name="Recommendation number/s">
    <vt:lpwstr>6;#RC 7.1.2|19d2b10b-3a7d-4475-a25a-4ab7a64b7c69</vt:lpwstr>
  </property>
  <property fmtid="{D5CDD505-2E9C-101B-9397-08002B2CF9AE}" pid="14" name="TaxKeyword">
    <vt:lpwstr/>
  </property>
  <property fmtid="{D5CDD505-2E9C-101B-9397-08002B2CF9AE}" pid="15" name="lb508a4dc5e84436a0fe496b536466aa">
    <vt:lpwstr>TSY RA-9072 - Retain as national archives|d71911a4-1e32-4fc6-834f-26c4fc33e217</vt:lpwstr>
  </property>
  <property fmtid="{D5CDD505-2E9C-101B-9397-08002B2CF9AE}" pid="16" name="TSYRecordClass">
    <vt:lpwstr>4;#TSY RA-9072 - Retain as national archives|d71911a4-1e32-4fc6-834f-26c4fc33e217</vt:lpwstr>
  </property>
  <property fmtid="{D5CDD505-2E9C-101B-9397-08002B2CF9AE}" pid="17" name="WorkingDocStatus">
    <vt:lpwstr/>
  </property>
  <property fmtid="{D5CDD505-2E9C-101B-9397-08002B2CF9AE}" pid="18" name="_dlc_DocIdItemGuid">
    <vt:lpwstr>6ebedc48-fe38-42dd-987d-cf4cc0f77710</vt:lpwstr>
  </property>
  <property fmtid="{D5CDD505-2E9C-101B-9397-08002B2CF9AE}" pid="19" name="_AdHocReviewCycleID">
    <vt:i4>1383477940</vt:i4>
  </property>
  <property fmtid="{D5CDD505-2E9C-101B-9397-08002B2CF9AE}" pid="20" name="_EmailSubject">
    <vt:lpwstr>Communications and Parliamentary Division out of office / contacts during closedown [SEC=UNCLASSIFIED]</vt:lpwstr>
  </property>
  <property fmtid="{D5CDD505-2E9C-101B-9397-08002B2CF9AE}" pid="21" name="_AuthorEmail">
    <vt:lpwstr>Christopher.Lyon@TREASURY.GOV.AU</vt:lpwstr>
  </property>
  <property fmtid="{D5CDD505-2E9C-101B-9397-08002B2CF9AE}" pid="22" name="_AuthorEmailDisplayName">
    <vt:lpwstr>Lyon, Christopher</vt:lpwstr>
  </property>
  <property fmtid="{D5CDD505-2E9C-101B-9397-08002B2CF9AE}" pid="23" name="_PreviousAdHocReviewCycleID">
    <vt:i4>-816033575</vt:i4>
  </property>
</Properties>
</file>