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7"/>
      </w:tblGrid>
      <w:tr w:rsidR="00FE1A3A" w:rsidRPr="00FE1A3A" w14:paraId="3123F777" w14:textId="77777777" w:rsidTr="00FE1A3A">
        <w:tc>
          <w:tcPr>
            <w:tcW w:w="7087" w:type="dxa"/>
            <w:shd w:val="clear" w:color="auto" w:fill="auto"/>
          </w:tcPr>
          <w:p w14:paraId="69695754" w14:textId="77777777" w:rsidR="00FE1A3A" w:rsidRPr="00FE1A3A" w:rsidRDefault="00FE1A3A" w:rsidP="00FE1A3A">
            <w:pPr>
              <w:jc w:val="center"/>
              <w:rPr>
                <w:b/>
                <w:sz w:val="26"/>
              </w:rPr>
            </w:pPr>
            <w:r w:rsidRPr="00FE1A3A">
              <w:rPr>
                <w:b/>
                <w:sz w:val="26"/>
              </w:rPr>
              <w:t>EXPOSURE DRAFT</w:t>
            </w:r>
          </w:p>
          <w:p w14:paraId="09482E46" w14:textId="77777777" w:rsidR="00FE1A3A" w:rsidRPr="00FE1A3A" w:rsidRDefault="00FE1A3A" w:rsidP="00FE1A3A">
            <w:pPr>
              <w:rPr>
                <w:b/>
                <w:sz w:val="20"/>
              </w:rPr>
            </w:pPr>
          </w:p>
        </w:tc>
      </w:tr>
    </w:tbl>
    <w:p w14:paraId="4BD9675F" w14:textId="77777777" w:rsidR="00FE1A3A" w:rsidRPr="00FE1A3A" w:rsidRDefault="00FE1A3A" w:rsidP="00FE1A3A">
      <w:pPr>
        <w:rPr>
          <w:sz w:val="32"/>
          <w:szCs w:val="32"/>
        </w:rPr>
      </w:pPr>
    </w:p>
    <w:p w14:paraId="6E5F8ADD" w14:textId="77777777" w:rsidR="00664C63" w:rsidRPr="00FE1A3A" w:rsidRDefault="00664C63" w:rsidP="00FE1A3A">
      <w:pPr>
        <w:rPr>
          <w:sz w:val="32"/>
          <w:szCs w:val="32"/>
        </w:rPr>
      </w:pPr>
      <w:r w:rsidRPr="00FE1A3A">
        <w:rPr>
          <w:sz w:val="32"/>
          <w:szCs w:val="32"/>
        </w:rPr>
        <w:t>Inserts for</w:t>
      </w:r>
    </w:p>
    <w:p w14:paraId="625F3AF1" w14:textId="77777777" w:rsidR="00664C63" w:rsidRPr="00FE1A3A" w:rsidRDefault="00170A85" w:rsidP="00FE1A3A">
      <w:pPr>
        <w:pStyle w:val="ShortT"/>
      </w:pPr>
      <w:r w:rsidRPr="00FE1A3A">
        <w:t>Treasury Laws Amendment (</w:t>
      </w:r>
      <w:r w:rsidR="00621DB4" w:rsidRPr="00FE1A3A">
        <w:t xml:space="preserve">Measures for </w:t>
      </w:r>
      <w:r w:rsidR="00A848AA" w:rsidRPr="00FE1A3A">
        <w:t>Consultation</w:t>
      </w:r>
      <w:r w:rsidRPr="00FE1A3A">
        <w:t>) Bill 2019: hybrid mismatch rules</w:t>
      </w:r>
    </w:p>
    <w:p w14:paraId="7A6516B9" w14:textId="77777777" w:rsidR="00664C63" w:rsidRPr="00FE1A3A" w:rsidRDefault="00664C63" w:rsidP="00FE1A3A">
      <w:pPr>
        <w:jc w:val="center"/>
      </w:pPr>
    </w:p>
    <w:p w14:paraId="1325BBFC" w14:textId="77777777" w:rsidR="00664C63" w:rsidRPr="00FE1A3A" w:rsidRDefault="00664C63" w:rsidP="00FE1A3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664C63" w:rsidRPr="00FE1A3A" w14:paraId="61F84EA5" w14:textId="77777777" w:rsidTr="00BA1C0E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29A960EE" w14:textId="77777777" w:rsidR="00664C63" w:rsidRPr="00FE1A3A" w:rsidRDefault="00664C63" w:rsidP="00FE1A3A">
            <w:pPr>
              <w:pStyle w:val="TableHeading"/>
            </w:pPr>
            <w:r w:rsidRPr="00FE1A3A">
              <w:t>Commencement information</w:t>
            </w:r>
          </w:p>
        </w:tc>
      </w:tr>
      <w:tr w:rsidR="00664C63" w:rsidRPr="00FE1A3A" w14:paraId="79060AFE" w14:textId="77777777" w:rsidTr="00BA1C0E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EDF506" w14:textId="77777777" w:rsidR="00664C63" w:rsidRPr="00FE1A3A" w:rsidRDefault="00664C63" w:rsidP="00FE1A3A">
            <w:pPr>
              <w:pStyle w:val="TableHeading"/>
            </w:pPr>
            <w:r w:rsidRPr="00FE1A3A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DD9BED" w14:textId="77777777" w:rsidR="00664C63" w:rsidRPr="00FE1A3A" w:rsidRDefault="00664C63" w:rsidP="00FE1A3A">
            <w:pPr>
              <w:pStyle w:val="TableHeading"/>
            </w:pPr>
            <w:r w:rsidRPr="00FE1A3A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B3CE81" w14:textId="77777777" w:rsidR="00664C63" w:rsidRPr="00FE1A3A" w:rsidRDefault="00664C63" w:rsidP="00FE1A3A">
            <w:pPr>
              <w:pStyle w:val="TableHeading"/>
            </w:pPr>
            <w:r w:rsidRPr="00FE1A3A">
              <w:t>Column 3</w:t>
            </w:r>
          </w:p>
        </w:tc>
      </w:tr>
      <w:tr w:rsidR="00664C63" w:rsidRPr="00FE1A3A" w14:paraId="33F8F04D" w14:textId="77777777" w:rsidTr="00BA1C0E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7E0B432" w14:textId="77777777" w:rsidR="00664C63" w:rsidRPr="00FE1A3A" w:rsidRDefault="00664C63" w:rsidP="00FE1A3A">
            <w:pPr>
              <w:pStyle w:val="TableHeading"/>
            </w:pPr>
            <w:r w:rsidRPr="00FE1A3A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26DE12C" w14:textId="77777777" w:rsidR="00664C63" w:rsidRPr="00FE1A3A" w:rsidRDefault="00664C63" w:rsidP="00FE1A3A">
            <w:pPr>
              <w:pStyle w:val="TableHeading"/>
            </w:pPr>
            <w:r w:rsidRPr="00FE1A3A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C6403F7" w14:textId="77777777" w:rsidR="00664C63" w:rsidRPr="00FE1A3A" w:rsidRDefault="00664C63" w:rsidP="00FE1A3A">
            <w:pPr>
              <w:pStyle w:val="TableHeading"/>
            </w:pPr>
            <w:r w:rsidRPr="00FE1A3A">
              <w:t>Date/Details</w:t>
            </w:r>
          </w:p>
        </w:tc>
      </w:tr>
      <w:tr w:rsidR="00664C63" w:rsidRPr="00FE1A3A" w14:paraId="3EF1D1FB" w14:textId="77777777" w:rsidTr="00BA1C0E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0279515" w14:textId="77777777" w:rsidR="00664C63" w:rsidRPr="00FE1A3A" w:rsidRDefault="00664C63" w:rsidP="00FE1A3A">
            <w:pPr>
              <w:pStyle w:val="Tabletext"/>
            </w:pPr>
            <w:r w:rsidRPr="00FE1A3A">
              <w:t xml:space="preserve">1.  </w:t>
            </w:r>
            <w:r w:rsidR="00701679" w:rsidRPr="00FE1A3A">
              <w:t>Schedule #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98F4209" w14:textId="77777777" w:rsidR="00664C63" w:rsidRPr="00FE1A3A" w:rsidRDefault="00C45B59" w:rsidP="00FE1A3A">
            <w:pPr>
              <w:pStyle w:val="Tabletext"/>
            </w:pPr>
            <w:r w:rsidRPr="00FE1A3A">
              <w:rPr>
                <w:lang w:eastAsia="en-US"/>
              </w:rPr>
              <w:t>The first 1</w:t>
            </w:r>
            <w:r w:rsidR="00FE1A3A" w:rsidRPr="00FE1A3A">
              <w:rPr>
                <w:lang w:eastAsia="en-US"/>
              </w:rPr>
              <w:t> </w:t>
            </w:r>
            <w:r w:rsidRPr="00FE1A3A">
              <w:rPr>
                <w:lang w:eastAsia="en-US"/>
              </w:rPr>
              <w:t>January, 1</w:t>
            </w:r>
            <w:r w:rsidR="00FE1A3A" w:rsidRPr="00FE1A3A">
              <w:rPr>
                <w:lang w:eastAsia="en-US"/>
              </w:rPr>
              <w:t> </w:t>
            </w:r>
            <w:r w:rsidRPr="00FE1A3A">
              <w:rPr>
                <w:lang w:eastAsia="en-US"/>
              </w:rPr>
              <w:t>April, 1</w:t>
            </w:r>
            <w:r w:rsidR="00FE1A3A" w:rsidRPr="00FE1A3A">
              <w:rPr>
                <w:lang w:eastAsia="en-US"/>
              </w:rPr>
              <w:t> </w:t>
            </w:r>
            <w:r w:rsidRPr="00FE1A3A">
              <w:rPr>
                <w:lang w:eastAsia="en-US"/>
              </w:rPr>
              <w:t>July or 1</w:t>
            </w:r>
            <w:r w:rsidR="00FE1A3A" w:rsidRPr="00FE1A3A">
              <w:rPr>
                <w:lang w:eastAsia="en-US"/>
              </w:rPr>
              <w:t> </w:t>
            </w:r>
            <w:r w:rsidRPr="00FE1A3A">
              <w:rPr>
                <w:lang w:eastAsia="en-US"/>
              </w:rPr>
              <w:t>October to occur after 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7E53367" w14:textId="77777777" w:rsidR="00664C63" w:rsidRPr="00FE1A3A" w:rsidRDefault="00664C63" w:rsidP="00FE1A3A">
            <w:pPr>
              <w:pStyle w:val="Tabletext"/>
            </w:pPr>
          </w:p>
        </w:tc>
      </w:tr>
    </w:tbl>
    <w:p w14:paraId="5E1162AC" w14:textId="77777777" w:rsidR="0033411C" w:rsidRPr="00FE1A3A" w:rsidRDefault="00C45B59" w:rsidP="00FE1A3A">
      <w:pPr>
        <w:pStyle w:val="ActHead6"/>
        <w:pageBreakBefore/>
      </w:pPr>
      <w:bookmarkStart w:id="0" w:name="_Toc24097873"/>
      <w:bookmarkStart w:id="1" w:name="opcAmSched"/>
      <w:bookmarkStart w:id="2" w:name="opcCurrentFind"/>
      <w:r w:rsidRPr="00FE1A3A">
        <w:rPr>
          <w:rStyle w:val="CharAmSchNo"/>
        </w:rPr>
        <w:lastRenderedPageBreak/>
        <w:t>Schedule #</w:t>
      </w:r>
      <w:r w:rsidRPr="00FE1A3A">
        <w:t>—</w:t>
      </w:r>
      <w:r w:rsidRPr="00FE1A3A">
        <w:rPr>
          <w:rStyle w:val="CharAmSchText"/>
        </w:rPr>
        <w:t>Hybrid mismatch rules</w:t>
      </w:r>
      <w:bookmarkEnd w:id="0"/>
    </w:p>
    <w:p w14:paraId="5C034E2E" w14:textId="77777777" w:rsidR="006270F9" w:rsidRPr="00FE1A3A" w:rsidRDefault="006270F9" w:rsidP="00FE1A3A">
      <w:pPr>
        <w:pStyle w:val="ActHead7"/>
      </w:pPr>
      <w:bookmarkStart w:id="3" w:name="_Toc24097874"/>
      <w:bookmarkEnd w:id="1"/>
      <w:bookmarkEnd w:id="2"/>
      <w:r w:rsidRPr="00FE1A3A">
        <w:rPr>
          <w:rStyle w:val="CharAmPartNo"/>
        </w:rPr>
        <w:t>Part</w:t>
      </w:r>
      <w:r w:rsidR="00FE1A3A" w:rsidRPr="00FE1A3A">
        <w:rPr>
          <w:rStyle w:val="CharAmPartNo"/>
        </w:rPr>
        <w:t> </w:t>
      </w:r>
      <w:r w:rsidRPr="00FE1A3A">
        <w:rPr>
          <w:rStyle w:val="CharAmPartNo"/>
        </w:rPr>
        <w:t>1</w:t>
      </w:r>
      <w:r w:rsidRPr="00FE1A3A">
        <w:t>—</w:t>
      </w:r>
      <w:r w:rsidRPr="00FE1A3A">
        <w:rPr>
          <w:rStyle w:val="CharAmPartText"/>
        </w:rPr>
        <w:t>MEC groups</w:t>
      </w:r>
      <w:bookmarkEnd w:id="3"/>
    </w:p>
    <w:p w14:paraId="05DB118F" w14:textId="77777777" w:rsidR="006270F9" w:rsidRPr="00FE1A3A" w:rsidRDefault="006270F9" w:rsidP="00FE1A3A">
      <w:pPr>
        <w:pStyle w:val="ActHead9"/>
        <w:rPr>
          <w:i w:val="0"/>
        </w:rPr>
      </w:pPr>
      <w:bookmarkStart w:id="4" w:name="_Toc24097875"/>
      <w:r w:rsidRPr="00FE1A3A">
        <w:t>Income Tax Assessment Act 1997</w:t>
      </w:r>
      <w:bookmarkEnd w:id="4"/>
    </w:p>
    <w:p w14:paraId="403D3C11" w14:textId="77777777" w:rsidR="00C45B59" w:rsidRPr="00FE1A3A" w:rsidRDefault="001C65C7" w:rsidP="00FE1A3A">
      <w:pPr>
        <w:pStyle w:val="ItemHead"/>
      </w:pPr>
      <w:r w:rsidRPr="00FE1A3A">
        <w:t>1</w:t>
      </w:r>
      <w:r w:rsidR="00C45B59" w:rsidRPr="00FE1A3A">
        <w:t xml:space="preserve">  Subsection</w:t>
      </w:r>
      <w:r w:rsidR="00FE1A3A" w:rsidRPr="00FE1A3A">
        <w:t> </w:t>
      </w:r>
      <w:r w:rsidR="00C45B59" w:rsidRPr="00FE1A3A">
        <w:t>832</w:t>
      </w:r>
      <w:r w:rsidR="00FE1A3A">
        <w:noBreakHyphen/>
      </w:r>
      <w:r w:rsidR="00BA1C0E" w:rsidRPr="00FE1A3A">
        <w:t>3</w:t>
      </w:r>
      <w:r w:rsidR="00C45B59" w:rsidRPr="00FE1A3A">
        <w:t>0(2) (note)</w:t>
      </w:r>
    </w:p>
    <w:p w14:paraId="08363CF5" w14:textId="77777777" w:rsidR="003D2515" w:rsidRPr="00FE1A3A" w:rsidRDefault="003D2515" w:rsidP="00FE1A3A">
      <w:pPr>
        <w:pStyle w:val="Item"/>
      </w:pPr>
      <w:r w:rsidRPr="00FE1A3A">
        <w:t>Omit “a member of a consolidated group”, substitute “a subsidiary member of a consolidated group or MEC group”.</w:t>
      </w:r>
    </w:p>
    <w:p w14:paraId="23CD423F" w14:textId="77777777" w:rsidR="00C45B59" w:rsidRPr="00FE1A3A" w:rsidRDefault="001C65C7" w:rsidP="00FE1A3A">
      <w:pPr>
        <w:pStyle w:val="ItemHead"/>
      </w:pPr>
      <w:r w:rsidRPr="00FE1A3A">
        <w:t>2</w:t>
      </w:r>
      <w:r w:rsidR="00C45B59" w:rsidRPr="00FE1A3A">
        <w:t xml:space="preserve">  Subsection</w:t>
      </w:r>
      <w:r w:rsidR="00FE1A3A" w:rsidRPr="00FE1A3A">
        <w:t> </w:t>
      </w:r>
      <w:r w:rsidR="00C45B59" w:rsidRPr="00FE1A3A">
        <w:t>832</w:t>
      </w:r>
      <w:r w:rsidR="00FE1A3A">
        <w:noBreakHyphen/>
      </w:r>
      <w:r w:rsidR="00C45B59" w:rsidRPr="00FE1A3A">
        <w:t>325(1) (note 2)</w:t>
      </w:r>
    </w:p>
    <w:p w14:paraId="14732A0E" w14:textId="77777777" w:rsidR="003D2515" w:rsidRPr="00FE1A3A" w:rsidRDefault="003D2515" w:rsidP="00FE1A3A">
      <w:pPr>
        <w:pStyle w:val="Item"/>
      </w:pPr>
      <w:r w:rsidRPr="00FE1A3A">
        <w:t>Omit “a member of a consolidated group”, substitute “a subsidiary member of a consolidated group or MEC group”.</w:t>
      </w:r>
    </w:p>
    <w:p w14:paraId="21211349" w14:textId="77777777" w:rsidR="00C45B59" w:rsidRPr="00FE1A3A" w:rsidRDefault="001C65C7" w:rsidP="00FE1A3A">
      <w:pPr>
        <w:pStyle w:val="ItemHead"/>
      </w:pPr>
      <w:r w:rsidRPr="00FE1A3A">
        <w:t>3</w:t>
      </w:r>
      <w:r w:rsidR="00C45B59" w:rsidRPr="00FE1A3A">
        <w:t xml:space="preserve">  Subparagraph 832</w:t>
      </w:r>
      <w:r w:rsidR="00FE1A3A">
        <w:noBreakHyphen/>
      </w:r>
      <w:r w:rsidR="00C45B59" w:rsidRPr="00FE1A3A">
        <w:t>410(2)(b)(ii)</w:t>
      </w:r>
    </w:p>
    <w:p w14:paraId="0CED93D7" w14:textId="77777777" w:rsidR="00C45B59" w:rsidRPr="00FE1A3A" w:rsidRDefault="00C45B59" w:rsidP="00FE1A3A">
      <w:pPr>
        <w:pStyle w:val="Item"/>
      </w:pPr>
      <w:r w:rsidRPr="00FE1A3A">
        <w:t>After “</w:t>
      </w:r>
      <w:r w:rsidR="00FE1A3A" w:rsidRPr="00FE1A3A">
        <w:rPr>
          <w:position w:val="6"/>
          <w:sz w:val="16"/>
        </w:rPr>
        <w:t>*</w:t>
      </w:r>
      <w:r w:rsidRPr="00FE1A3A">
        <w:t xml:space="preserve">consolidated group”, insert “or </w:t>
      </w:r>
      <w:r w:rsidR="00FE1A3A" w:rsidRPr="00FE1A3A">
        <w:rPr>
          <w:position w:val="6"/>
          <w:sz w:val="16"/>
        </w:rPr>
        <w:t>*</w:t>
      </w:r>
      <w:r w:rsidRPr="00FE1A3A">
        <w:t>MEC group”.</w:t>
      </w:r>
    </w:p>
    <w:p w14:paraId="114D5B0D" w14:textId="77777777" w:rsidR="00C45B59" w:rsidRPr="00FE1A3A" w:rsidRDefault="001C65C7" w:rsidP="00FE1A3A">
      <w:pPr>
        <w:pStyle w:val="ItemHead"/>
      </w:pPr>
      <w:r w:rsidRPr="00FE1A3A">
        <w:t>4</w:t>
      </w:r>
      <w:r w:rsidR="00C45B59" w:rsidRPr="00FE1A3A">
        <w:t xml:space="preserve">  Subparagraph 832</w:t>
      </w:r>
      <w:r w:rsidR="00FE1A3A">
        <w:noBreakHyphen/>
      </w:r>
      <w:r w:rsidR="00C45B59" w:rsidRPr="00FE1A3A">
        <w:t>550(c)(ii)</w:t>
      </w:r>
    </w:p>
    <w:p w14:paraId="5FAAC12F" w14:textId="77777777" w:rsidR="00C45B59" w:rsidRPr="00FE1A3A" w:rsidRDefault="00C45B59" w:rsidP="00FE1A3A">
      <w:pPr>
        <w:pStyle w:val="Item"/>
      </w:pPr>
      <w:r w:rsidRPr="00FE1A3A">
        <w:t>After “</w:t>
      </w:r>
      <w:r w:rsidR="00FE1A3A" w:rsidRPr="00FE1A3A">
        <w:rPr>
          <w:position w:val="6"/>
          <w:sz w:val="16"/>
        </w:rPr>
        <w:t>*</w:t>
      </w:r>
      <w:r w:rsidRPr="00FE1A3A">
        <w:t xml:space="preserve">consolidated group”, insert “or </w:t>
      </w:r>
      <w:r w:rsidR="00FE1A3A" w:rsidRPr="00FE1A3A">
        <w:rPr>
          <w:position w:val="6"/>
          <w:sz w:val="16"/>
        </w:rPr>
        <w:t>*</w:t>
      </w:r>
      <w:r w:rsidRPr="00FE1A3A">
        <w:t>MEC group”.</w:t>
      </w:r>
    </w:p>
    <w:p w14:paraId="34C22282" w14:textId="77777777" w:rsidR="00D72EAC" w:rsidRPr="00FE1A3A" w:rsidRDefault="001C65C7" w:rsidP="00FE1A3A">
      <w:pPr>
        <w:pStyle w:val="Transitional"/>
      </w:pPr>
      <w:r w:rsidRPr="00FE1A3A">
        <w:t>5</w:t>
      </w:r>
      <w:r w:rsidR="00D72EAC" w:rsidRPr="00FE1A3A">
        <w:t xml:space="preserve">  Application</w:t>
      </w:r>
    </w:p>
    <w:p w14:paraId="16B2A76D" w14:textId="77777777" w:rsidR="00D72EAC" w:rsidRPr="00FE1A3A" w:rsidRDefault="00D72EAC" w:rsidP="00FE1A3A">
      <w:pPr>
        <w:pStyle w:val="Item"/>
      </w:pPr>
      <w:r w:rsidRPr="00FE1A3A">
        <w:t>The amendments made by this Part apply to assessments for income years starting on or after 1</w:t>
      </w:r>
      <w:r w:rsidR="00FE1A3A" w:rsidRPr="00FE1A3A">
        <w:t> </w:t>
      </w:r>
      <w:r w:rsidRPr="00FE1A3A">
        <w:t>January 2019.</w:t>
      </w:r>
    </w:p>
    <w:p w14:paraId="5ECDBE0A" w14:textId="77777777" w:rsidR="006270F9" w:rsidRPr="00FE1A3A" w:rsidRDefault="006270F9" w:rsidP="00FE1A3A">
      <w:pPr>
        <w:pStyle w:val="ActHead7"/>
        <w:pageBreakBefore/>
      </w:pPr>
      <w:bookmarkStart w:id="5" w:name="_Toc24097876"/>
      <w:r w:rsidRPr="00FE1A3A">
        <w:rPr>
          <w:rStyle w:val="CharAmPartNo"/>
        </w:rPr>
        <w:lastRenderedPageBreak/>
        <w:t>Part</w:t>
      </w:r>
      <w:r w:rsidR="00FE1A3A" w:rsidRPr="00FE1A3A">
        <w:rPr>
          <w:rStyle w:val="CharAmPartNo"/>
        </w:rPr>
        <w:t> </w:t>
      </w:r>
      <w:r w:rsidRPr="00FE1A3A">
        <w:rPr>
          <w:rStyle w:val="CharAmPartNo"/>
        </w:rPr>
        <w:t>2</w:t>
      </w:r>
      <w:r w:rsidRPr="00FE1A3A">
        <w:t>—</w:t>
      </w:r>
      <w:r w:rsidRPr="00FE1A3A">
        <w:rPr>
          <w:rStyle w:val="CharAmPartText"/>
        </w:rPr>
        <w:t xml:space="preserve">State and </w:t>
      </w:r>
      <w:r w:rsidR="003D2515" w:rsidRPr="00FE1A3A">
        <w:rPr>
          <w:rStyle w:val="CharAmPartText"/>
        </w:rPr>
        <w:t>municipal</w:t>
      </w:r>
      <w:r w:rsidRPr="00FE1A3A">
        <w:rPr>
          <w:rStyle w:val="CharAmPartText"/>
        </w:rPr>
        <w:t xml:space="preserve"> foreign taxes</w:t>
      </w:r>
      <w:bookmarkEnd w:id="5"/>
    </w:p>
    <w:p w14:paraId="16005D60" w14:textId="77777777" w:rsidR="006270F9" w:rsidRPr="00FE1A3A" w:rsidRDefault="006270F9" w:rsidP="00FE1A3A">
      <w:pPr>
        <w:pStyle w:val="ActHead9"/>
        <w:rPr>
          <w:i w:val="0"/>
        </w:rPr>
      </w:pPr>
      <w:bookmarkStart w:id="6" w:name="_Toc24097877"/>
      <w:r w:rsidRPr="00FE1A3A">
        <w:t>Income Tax Assessment Act 1997</w:t>
      </w:r>
      <w:bookmarkEnd w:id="6"/>
    </w:p>
    <w:p w14:paraId="270AFA40" w14:textId="77777777" w:rsidR="00F31B89" w:rsidRPr="00FE1A3A" w:rsidRDefault="001C65C7" w:rsidP="00FE1A3A">
      <w:pPr>
        <w:pStyle w:val="ItemHead"/>
      </w:pPr>
      <w:r w:rsidRPr="00FE1A3A">
        <w:t>6</w:t>
      </w:r>
      <w:r w:rsidR="00F31B89" w:rsidRPr="00FE1A3A">
        <w:t xml:space="preserve">  Subparagraph 832</w:t>
      </w:r>
      <w:r w:rsidR="00FE1A3A">
        <w:noBreakHyphen/>
      </w:r>
      <w:r w:rsidR="00F31B89" w:rsidRPr="00FE1A3A">
        <w:t>110(5)(b)(i)</w:t>
      </w:r>
    </w:p>
    <w:p w14:paraId="6B2F42F0" w14:textId="77777777" w:rsidR="00F31B89" w:rsidRPr="00FE1A3A" w:rsidRDefault="00F31B89" w:rsidP="00FE1A3A">
      <w:pPr>
        <w:pStyle w:val="Item"/>
      </w:pPr>
      <w:r w:rsidRPr="00FE1A3A">
        <w:t xml:space="preserve">Omit “(except </w:t>
      </w:r>
      <w:r w:rsidR="00FE1A3A" w:rsidRPr="00FE1A3A">
        <w:rPr>
          <w:position w:val="6"/>
          <w:sz w:val="16"/>
        </w:rPr>
        <w:t>*</w:t>
      </w:r>
      <w:r w:rsidRPr="00FE1A3A">
        <w:t xml:space="preserve">credit absorption tax, </w:t>
      </w:r>
      <w:r w:rsidR="00FE1A3A" w:rsidRPr="00FE1A3A">
        <w:rPr>
          <w:position w:val="6"/>
          <w:sz w:val="16"/>
        </w:rPr>
        <w:t>*</w:t>
      </w:r>
      <w:r w:rsidRPr="00FE1A3A">
        <w:t>unitary tax or a withholding</w:t>
      </w:r>
      <w:r w:rsidR="00FE1A3A">
        <w:noBreakHyphen/>
      </w:r>
      <w:r w:rsidRPr="00FE1A3A">
        <w:t>type tax)”, substitute “</w:t>
      </w:r>
      <w:r w:rsidR="006D1C87" w:rsidRPr="00FE1A3A">
        <w:t>(except a tax covered by subsection</w:t>
      </w:r>
      <w:r w:rsidR="00FE1A3A" w:rsidRPr="00FE1A3A">
        <w:t> </w:t>
      </w:r>
      <w:r w:rsidR="006D1C87" w:rsidRPr="00FE1A3A">
        <w:t>832</w:t>
      </w:r>
      <w:r w:rsidR="00FE1A3A">
        <w:noBreakHyphen/>
      </w:r>
      <w:r w:rsidR="006D1C87" w:rsidRPr="00FE1A3A">
        <w:t>130(7))</w:t>
      </w:r>
      <w:r w:rsidRPr="00FE1A3A">
        <w:t>”.</w:t>
      </w:r>
    </w:p>
    <w:p w14:paraId="0F27DB4A" w14:textId="77777777" w:rsidR="00F31B89" w:rsidRPr="00FE1A3A" w:rsidRDefault="001C65C7" w:rsidP="00FE1A3A">
      <w:pPr>
        <w:pStyle w:val="ItemHead"/>
      </w:pPr>
      <w:r w:rsidRPr="00FE1A3A">
        <w:t>7</w:t>
      </w:r>
      <w:r w:rsidR="00F31B89" w:rsidRPr="00FE1A3A">
        <w:t xml:space="preserve">  Subsection</w:t>
      </w:r>
      <w:r w:rsidR="00FE1A3A" w:rsidRPr="00FE1A3A">
        <w:t> </w:t>
      </w:r>
      <w:r w:rsidR="00F31B89" w:rsidRPr="00FE1A3A">
        <w:t>832</w:t>
      </w:r>
      <w:r w:rsidR="00FE1A3A">
        <w:noBreakHyphen/>
      </w:r>
      <w:r w:rsidR="00F31B89" w:rsidRPr="00FE1A3A">
        <w:t>120(</w:t>
      </w:r>
      <w:r w:rsidR="003D2515" w:rsidRPr="00FE1A3A">
        <w:t>1</w:t>
      </w:r>
      <w:r w:rsidR="00F31B89" w:rsidRPr="00FE1A3A">
        <w:t>)</w:t>
      </w:r>
    </w:p>
    <w:p w14:paraId="07146128" w14:textId="77777777" w:rsidR="006D1C87" w:rsidRPr="00FE1A3A" w:rsidRDefault="006D1C87" w:rsidP="00FE1A3A">
      <w:pPr>
        <w:pStyle w:val="Item"/>
      </w:pPr>
      <w:r w:rsidRPr="00FE1A3A">
        <w:t xml:space="preserve">Omit “(except </w:t>
      </w:r>
      <w:r w:rsidR="00FE1A3A" w:rsidRPr="00FE1A3A">
        <w:rPr>
          <w:position w:val="6"/>
          <w:sz w:val="16"/>
        </w:rPr>
        <w:t>*</w:t>
      </w:r>
      <w:r w:rsidRPr="00FE1A3A">
        <w:t xml:space="preserve">credit absorption tax, </w:t>
      </w:r>
      <w:r w:rsidR="00FE1A3A" w:rsidRPr="00FE1A3A">
        <w:rPr>
          <w:position w:val="6"/>
          <w:sz w:val="16"/>
        </w:rPr>
        <w:t>*</w:t>
      </w:r>
      <w:r w:rsidRPr="00FE1A3A">
        <w:t>unitary tax or a withholding</w:t>
      </w:r>
      <w:r w:rsidR="00FE1A3A">
        <w:noBreakHyphen/>
      </w:r>
      <w:r w:rsidRPr="00FE1A3A">
        <w:t>type tax)”, substitute “(except a tax covered by subsection</w:t>
      </w:r>
      <w:r w:rsidR="00FE1A3A" w:rsidRPr="00FE1A3A">
        <w:t> </w:t>
      </w:r>
      <w:r w:rsidRPr="00FE1A3A">
        <w:t>832</w:t>
      </w:r>
      <w:r w:rsidR="00FE1A3A">
        <w:noBreakHyphen/>
      </w:r>
      <w:r w:rsidRPr="00FE1A3A">
        <w:t>130(7))”.</w:t>
      </w:r>
    </w:p>
    <w:p w14:paraId="33DFE2A5" w14:textId="77777777" w:rsidR="00F31B89" w:rsidRPr="00FE1A3A" w:rsidRDefault="001C65C7" w:rsidP="00FE1A3A">
      <w:pPr>
        <w:pStyle w:val="ItemHead"/>
      </w:pPr>
      <w:r w:rsidRPr="00FE1A3A">
        <w:t>8</w:t>
      </w:r>
      <w:r w:rsidR="00F31B89" w:rsidRPr="00FE1A3A">
        <w:t xml:space="preserve">  Paragraph 832</w:t>
      </w:r>
      <w:r w:rsidR="00FE1A3A">
        <w:noBreakHyphen/>
      </w:r>
      <w:r w:rsidR="00F31B89" w:rsidRPr="00FE1A3A">
        <w:t>120(3)(b)</w:t>
      </w:r>
    </w:p>
    <w:p w14:paraId="2F06A6BD" w14:textId="77777777" w:rsidR="006D1C87" w:rsidRPr="00FE1A3A" w:rsidRDefault="006D1C87" w:rsidP="00FE1A3A">
      <w:pPr>
        <w:pStyle w:val="Item"/>
      </w:pPr>
      <w:r w:rsidRPr="00FE1A3A">
        <w:t xml:space="preserve">Omit “(except </w:t>
      </w:r>
      <w:r w:rsidR="00FE1A3A" w:rsidRPr="00FE1A3A">
        <w:rPr>
          <w:position w:val="6"/>
          <w:sz w:val="16"/>
        </w:rPr>
        <w:t>*</w:t>
      </w:r>
      <w:r w:rsidRPr="00FE1A3A">
        <w:t xml:space="preserve">credit absorption tax, </w:t>
      </w:r>
      <w:r w:rsidR="00FE1A3A" w:rsidRPr="00FE1A3A">
        <w:rPr>
          <w:position w:val="6"/>
          <w:sz w:val="16"/>
        </w:rPr>
        <w:t>*</w:t>
      </w:r>
      <w:r w:rsidRPr="00FE1A3A">
        <w:t>unitary tax or a withholding</w:t>
      </w:r>
      <w:r w:rsidR="00FE1A3A">
        <w:noBreakHyphen/>
      </w:r>
      <w:r w:rsidRPr="00FE1A3A">
        <w:t>type tax)”, substitute “(except a tax covered by subsection</w:t>
      </w:r>
      <w:r w:rsidR="00FE1A3A" w:rsidRPr="00FE1A3A">
        <w:t> </w:t>
      </w:r>
      <w:r w:rsidRPr="00FE1A3A">
        <w:t>832</w:t>
      </w:r>
      <w:r w:rsidR="00FE1A3A">
        <w:noBreakHyphen/>
      </w:r>
      <w:r w:rsidRPr="00FE1A3A">
        <w:t>130(7))”.</w:t>
      </w:r>
    </w:p>
    <w:p w14:paraId="2D376F7C" w14:textId="77777777" w:rsidR="00F31B89" w:rsidRPr="00FE1A3A" w:rsidRDefault="001C65C7" w:rsidP="00FE1A3A">
      <w:pPr>
        <w:pStyle w:val="ItemHead"/>
      </w:pPr>
      <w:r w:rsidRPr="00FE1A3A">
        <w:t>9</w:t>
      </w:r>
      <w:r w:rsidR="00F31B89" w:rsidRPr="00FE1A3A">
        <w:t xml:space="preserve">  Subsection</w:t>
      </w:r>
      <w:r w:rsidR="00FE1A3A" w:rsidRPr="00FE1A3A">
        <w:t> </w:t>
      </w:r>
      <w:r w:rsidR="00F31B89" w:rsidRPr="00FE1A3A">
        <w:t>832</w:t>
      </w:r>
      <w:r w:rsidR="00FE1A3A">
        <w:noBreakHyphen/>
      </w:r>
      <w:r w:rsidR="00F31B89" w:rsidRPr="00FE1A3A">
        <w:t>130(1)</w:t>
      </w:r>
    </w:p>
    <w:p w14:paraId="42BCC52F" w14:textId="77777777" w:rsidR="006D1C87" w:rsidRPr="00FE1A3A" w:rsidRDefault="006D1C87" w:rsidP="00FE1A3A">
      <w:pPr>
        <w:pStyle w:val="Item"/>
      </w:pPr>
      <w:r w:rsidRPr="00FE1A3A">
        <w:t xml:space="preserve">Omit “(except </w:t>
      </w:r>
      <w:r w:rsidR="00FE1A3A" w:rsidRPr="00FE1A3A">
        <w:rPr>
          <w:position w:val="6"/>
          <w:sz w:val="16"/>
        </w:rPr>
        <w:t>*</w:t>
      </w:r>
      <w:r w:rsidRPr="00FE1A3A">
        <w:t xml:space="preserve">credit absorption tax, </w:t>
      </w:r>
      <w:r w:rsidR="00FE1A3A" w:rsidRPr="00FE1A3A">
        <w:rPr>
          <w:position w:val="6"/>
          <w:sz w:val="16"/>
        </w:rPr>
        <w:t>*</w:t>
      </w:r>
      <w:r w:rsidRPr="00FE1A3A">
        <w:t>unitary tax or a withholding</w:t>
      </w:r>
      <w:r w:rsidR="00FE1A3A">
        <w:noBreakHyphen/>
      </w:r>
      <w:r w:rsidRPr="00FE1A3A">
        <w:t xml:space="preserve">type tax)”, substitute “(except a tax covered by </w:t>
      </w:r>
      <w:r w:rsidR="00FE1A3A" w:rsidRPr="00FE1A3A">
        <w:t>subsection (</w:t>
      </w:r>
      <w:r w:rsidRPr="00FE1A3A">
        <w:t>7))”.</w:t>
      </w:r>
    </w:p>
    <w:p w14:paraId="5EE56D72" w14:textId="77777777" w:rsidR="00F31B89" w:rsidRPr="00FE1A3A" w:rsidRDefault="001C65C7" w:rsidP="00FE1A3A">
      <w:pPr>
        <w:pStyle w:val="ItemHead"/>
      </w:pPr>
      <w:r w:rsidRPr="00FE1A3A">
        <w:t>10</w:t>
      </w:r>
      <w:r w:rsidR="00F31B89" w:rsidRPr="00FE1A3A">
        <w:t xml:space="preserve">  Subsection</w:t>
      </w:r>
      <w:r w:rsidR="00FE1A3A" w:rsidRPr="00FE1A3A">
        <w:t> </w:t>
      </w:r>
      <w:r w:rsidR="00F31B89" w:rsidRPr="00FE1A3A">
        <w:t>832</w:t>
      </w:r>
      <w:r w:rsidR="00FE1A3A">
        <w:noBreakHyphen/>
      </w:r>
      <w:r w:rsidR="00F31B89" w:rsidRPr="00FE1A3A">
        <w:t>130(3)</w:t>
      </w:r>
    </w:p>
    <w:p w14:paraId="22A4924C" w14:textId="77777777" w:rsidR="006D1C87" w:rsidRPr="00FE1A3A" w:rsidRDefault="006D1C87" w:rsidP="00FE1A3A">
      <w:pPr>
        <w:pStyle w:val="Item"/>
      </w:pPr>
      <w:r w:rsidRPr="00FE1A3A">
        <w:t xml:space="preserve">Omit “(except </w:t>
      </w:r>
      <w:r w:rsidR="00FE1A3A" w:rsidRPr="00FE1A3A">
        <w:rPr>
          <w:position w:val="6"/>
          <w:sz w:val="16"/>
        </w:rPr>
        <w:t>*</w:t>
      </w:r>
      <w:r w:rsidRPr="00FE1A3A">
        <w:t xml:space="preserve">credit absorption tax, </w:t>
      </w:r>
      <w:r w:rsidR="00FE1A3A" w:rsidRPr="00FE1A3A">
        <w:rPr>
          <w:position w:val="6"/>
          <w:sz w:val="16"/>
        </w:rPr>
        <w:t>*</w:t>
      </w:r>
      <w:r w:rsidRPr="00FE1A3A">
        <w:t>unitary tax or a withholding</w:t>
      </w:r>
      <w:r w:rsidR="00FE1A3A">
        <w:noBreakHyphen/>
      </w:r>
      <w:r w:rsidRPr="00FE1A3A">
        <w:t xml:space="preserve">type tax)”, substitute “(except a tax covered by </w:t>
      </w:r>
      <w:r w:rsidR="00FE1A3A" w:rsidRPr="00FE1A3A">
        <w:t>subsection (</w:t>
      </w:r>
      <w:r w:rsidRPr="00FE1A3A">
        <w:t>7))”.</w:t>
      </w:r>
    </w:p>
    <w:p w14:paraId="1E8D25F5" w14:textId="77777777" w:rsidR="00F31B89" w:rsidRPr="00FE1A3A" w:rsidRDefault="001C65C7" w:rsidP="00FE1A3A">
      <w:pPr>
        <w:pStyle w:val="ItemHead"/>
      </w:pPr>
      <w:r w:rsidRPr="00FE1A3A">
        <w:t>11</w:t>
      </w:r>
      <w:r w:rsidR="00F31B89" w:rsidRPr="00FE1A3A">
        <w:t xml:space="preserve">  Subsection</w:t>
      </w:r>
      <w:r w:rsidR="00FE1A3A" w:rsidRPr="00FE1A3A">
        <w:t> </w:t>
      </w:r>
      <w:r w:rsidR="00F31B89" w:rsidRPr="00FE1A3A">
        <w:t>832</w:t>
      </w:r>
      <w:r w:rsidR="00FE1A3A">
        <w:noBreakHyphen/>
      </w:r>
      <w:r w:rsidR="00F31B89" w:rsidRPr="00FE1A3A">
        <w:t>130(4)</w:t>
      </w:r>
    </w:p>
    <w:p w14:paraId="27F5F242" w14:textId="77777777" w:rsidR="006D1C87" w:rsidRPr="00FE1A3A" w:rsidRDefault="006D1C87" w:rsidP="00FE1A3A">
      <w:pPr>
        <w:pStyle w:val="Item"/>
      </w:pPr>
      <w:r w:rsidRPr="00FE1A3A">
        <w:t xml:space="preserve">Omit “(except </w:t>
      </w:r>
      <w:r w:rsidR="00FE1A3A" w:rsidRPr="00FE1A3A">
        <w:rPr>
          <w:position w:val="6"/>
          <w:sz w:val="16"/>
        </w:rPr>
        <w:t>*</w:t>
      </w:r>
      <w:r w:rsidRPr="00FE1A3A">
        <w:t xml:space="preserve">credit absorption tax, </w:t>
      </w:r>
      <w:r w:rsidR="00FE1A3A" w:rsidRPr="00FE1A3A">
        <w:rPr>
          <w:position w:val="6"/>
          <w:sz w:val="16"/>
        </w:rPr>
        <w:t>*</w:t>
      </w:r>
      <w:r w:rsidRPr="00FE1A3A">
        <w:t>unitary tax or a withholding</w:t>
      </w:r>
      <w:r w:rsidR="00FE1A3A">
        <w:noBreakHyphen/>
      </w:r>
      <w:r w:rsidRPr="00FE1A3A">
        <w:t xml:space="preserve">type tax)”, substitute “(except a tax covered by </w:t>
      </w:r>
      <w:r w:rsidR="00FE1A3A" w:rsidRPr="00FE1A3A">
        <w:t>subsection (</w:t>
      </w:r>
      <w:r w:rsidRPr="00FE1A3A">
        <w:t>7))”.</w:t>
      </w:r>
    </w:p>
    <w:p w14:paraId="215BA80B" w14:textId="77777777" w:rsidR="00F31B89" w:rsidRPr="00FE1A3A" w:rsidRDefault="001C65C7" w:rsidP="00FE1A3A">
      <w:pPr>
        <w:pStyle w:val="ItemHead"/>
      </w:pPr>
      <w:r w:rsidRPr="00FE1A3A">
        <w:t>12</w:t>
      </w:r>
      <w:r w:rsidR="00F31B89" w:rsidRPr="00FE1A3A">
        <w:t xml:space="preserve">  Paragraph 832</w:t>
      </w:r>
      <w:r w:rsidR="00FE1A3A">
        <w:noBreakHyphen/>
      </w:r>
      <w:r w:rsidR="00F31B89" w:rsidRPr="00FE1A3A">
        <w:t>130(6)(b)</w:t>
      </w:r>
    </w:p>
    <w:p w14:paraId="544A6E35" w14:textId="77777777" w:rsidR="006D1C87" w:rsidRPr="00FE1A3A" w:rsidRDefault="006D1C87" w:rsidP="00FE1A3A">
      <w:pPr>
        <w:pStyle w:val="Item"/>
      </w:pPr>
      <w:r w:rsidRPr="00FE1A3A">
        <w:t xml:space="preserve">Omit “(except </w:t>
      </w:r>
      <w:r w:rsidR="00FE1A3A" w:rsidRPr="00FE1A3A">
        <w:rPr>
          <w:position w:val="6"/>
          <w:sz w:val="16"/>
        </w:rPr>
        <w:t>*</w:t>
      </w:r>
      <w:r w:rsidRPr="00FE1A3A">
        <w:t xml:space="preserve">credit absorption tax, </w:t>
      </w:r>
      <w:r w:rsidR="00FE1A3A" w:rsidRPr="00FE1A3A">
        <w:rPr>
          <w:position w:val="6"/>
          <w:sz w:val="16"/>
        </w:rPr>
        <w:t>*</w:t>
      </w:r>
      <w:r w:rsidRPr="00FE1A3A">
        <w:t>unitary tax or a withholding</w:t>
      </w:r>
      <w:r w:rsidR="00FE1A3A">
        <w:noBreakHyphen/>
      </w:r>
      <w:r w:rsidRPr="00FE1A3A">
        <w:t xml:space="preserve">type tax)”, substitute “(except a tax covered by </w:t>
      </w:r>
      <w:r w:rsidR="00FE1A3A" w:rsidRPr="00FE1A3A">
        <w:t>subsection (</w:t>
      </w:r>
      <w:r w:rsidRPr="00FE1A3A">
        <w:t>7))”.</w:t>
      </w:r>
    </w:p>
    <w:p w14:paraId="4672DAA5" w14:textId="77777777" w:rsidR="00F31B89" w:rsidRPr="00FE1A3A" w:rsidRDefault="001C65C7" w:rsidP="00FE1A3A">
      <w:pPr>
        <w:pStyle w:val="ItemHead"/>
      </w:pPr>
      <w:r w:rsidRPr="00FE1A3A">
        <w:t>13</w:t>
      </w:r>
      <w:r w:rsidR="00F31B89" w:rsidRPr="00FE1A3A">
        <w:t xml:space="preserve">  At the end of section</w:t>
      </w:r>
      <w:r w:rsidR="00FE1A3A" w:rsidRPr="00FE1A3A">
        <w:t> </w:t>
      </w:r>
      <w:r w:rsidR="00F31B89" w:rsidRPr="00FE1A3A">
        <w:t>832</w:t>
      </w:r>
      <w:r w:rsidR="00FE1A3A">
        <w:noBreakHyphen/>
      </w:r>
      <w:r w:rsidR="00F31B89" w:rsidRPr="00FE1A3A">
        <w:t>130</w:t>
      </w:r>
    </w:p>
    <w:p w14:paraId="3F3ABB4A" w14:textId="77777777" w:rsidR="00F31B89" w:rsidRPr="00FE1A3A" w:rsidRDefault="00F31B89" w:rsidP="00FE1A3A">
      <w:pPr>
        <w:pStyle w:val="Item"/>
      </w:pPr>
      <w:r w:rsidRPr="00FE1A3A">
        <w:t>Add:</w:t>
      </w:r>
    </w:p>
    <w:p w14:paraId="4B2FED6F" w14:textId="77777777" w:rsidR="00F31B89" w:rsidRPr="00FE1A3A" w:rsidRDefault="00F31B89" w:rsidP="00FE1A3A">
      <w:pPr>
        <w:pStyle w:val="SubsectionHead"/>
      </w:pPr>
      <w:r w:rsidRPr="00FE1A3A">
        <w:t>Certain foreign taxes disregarded</w:t>
      </w:r>
      <w:r w:rsidR="003C1FA4" w:rsidRPr="00FE1A3A">
        <w:t xml:space="preserve"> in this Division</w:t>
      </w:r>
    </w:p>
    <w:p w14:paraId="08B49637" w14:textId="77777777" w:rsidR="00F31B89" w:rsidRPr="00FE1A3A" w:rsidRDefault="00F31B89" w:rsidP="00FE1A3A">
      <w:pPr>
        <w:pStyle w:val="subsection"/>
      </w:pPr>
      <w:r w:rsidRPr="00FE1A3A">
        <w:tab/>
        <w:t>(7)</w:t>
      </w:r>
      <w:r w:rsidRPr="00FE1A3A">
        <w:tab/>
        <w:t>This subsection covers each of the following:</w:t>
      </w:r>
    </w:p>
    <w:p w14:paraId="12F37C1F" w14:textId="77777777" w:rsidR="00F31B89" w:rsidRPr="00FE1A3A" w:rsidRDefault="00F31B89" w:rsidP="00FE1A3A">
      <w:pPr>
        <w:pStyle w:val="paragraph"/>
      </w:pPr>
      <w:r w:rsidRPr="00FE1A3A">
        <w:tab/>
        <w:t>(a)</w:t>
      </w:r>
      <w:r w:rsidRPr="00FE1A3A">
        <w:tab/>
      </w:r>
      <w:r w:rsidR="00FE1A3A" w:rsidRPr="00FE1A3A">
        <w:rPr>
          <w:position w:val="6"/>
          <w:sz w:val="16"/>
        </w:rPr>
        <w:t>*</w:t>
      </w:r>
      <w:r w:rsidRPr="00FE1A3A">
        <w:t>credit absorption tax;</w:t>
      </w:r>
    </w:p>
    <w:p w14:paraId="21ED7752" w14:textId="77777777" w:rsidR="00F31B89" w:rsidRPr="00FE1A3A" w:rsidRDefault="00F31B89" w:rsidP="00FE1A3A">
      <w:pPr>
        <w:pStyle w:val="paragraph"/>
      </w:pPr>
      <w:r w:rsidRPr="00FE1A3A">
        <w:tab/>
        <w:t>(b)</w:t>
      </w:r>
      <w:r w:rsidRPr="00FE1A3A">
        <w:tab/>
      </w:r>
      <w:r w:rsidR="00FE1A3A" w:rsidRPr="00FE1A3A">
        <w:rPr>
          <w:position w:val="6"/>
          <w:sz w:val="16"/>
        </w:rPr>
        <w:t>*</w:t>
      </w:r>
      <w:r w:rsidRPr="00FE1A3A">
        <w:t>unitary tax;</w:t>
      </w:r>
    </w:p>
    <w:p w14:paraId="2E075843" w14:textId="77777777" w:rsidR="00F31B89" w:rsidRPr="00FE1A3A" w:rsidRDefault="00F31B89" w:rsidP="00FE1A3A">
      <w:pPr>
        <w:pStyle w:val="paragraph"/>
      </w:pPr>
      <w:r w:rsidRPr="00FE1A3A">
        <w:lastRenderedPageBreak/>
        <w:tab/>
        <w:t>(c)</w:t>
      </w:r>
      <w:r w:rsidRPr="00FE1A3A">
        <w:tab/>
        <w:t>withholding</w:t>
      </w:r>
      <w:r w:rsidR="00FE1A3A">
        <w:noBreakHyphen/>
      </w:r>
      <w:r w:rsidRPr="00FE1A3A">
        <w:t>type tax;</w:t>
      </w:r>
    </w:p>
    <w:p w14:paraId="6AD1C327" w14:textId="77777777" w:rsidR="00F31B89" w:rsidRPr="00FE1A3A" w:rsidRDefault="00F31B89" w:rsidP="00FE1A3A">
      <w:pPr>
        <w:pStyle w:val="paragraph"/>
      </w:pPr>
      <w:r w:rsidRPr="00FE1A3A">
        <w:tab/>
        <w:t>(d)</w:t>
      </w:r>
      <w:r w:rsidRPr="00FE1A3A">
        <w:tab/>
        <w:t>municipal tax;</w:t>
      </w:r>
    </w:p>
    <w:p w14:paraId="0C388D95" w14:textId="77777777" w:rsidR="00F31B89" w:rsidRPr="00FE1A3A" w:rsidRDefault="00F31B89" w:rsidP="00FE1A3A">
      <w:pPr>
        <w:pStyle w:val="paragraph"/>
      </w:pPr>
      <w:r w:rsidRPr="00FE1A3A">
        <w:tab/>
        <w:t>(e)</w:t>
      </w:r>
      <w:r w:rsidRPr="00FE1A3A">
        <w:tab/>
        <w:t>in the case of a federal foreign country—a State tax.</w:t>
      </w:r>
    </w:p>
    <w:p w14:paraId="709C3B82" w14:textId="77777777" w:rsidR="006D1C87" w:rsidRPr="00FE1A3A" w:rsidRDefault="006D1C87" w:rsidP="00FE1A3A">
      <w:pPr>
        <w:pStyle w:val="notetext"/>
      </w:pPr>
      <w:r w:rsidRPr="00FE1A3A">
        <w:t>Note:</w:t>
      </w:r>
      <w:r w:rsidRPr="00FE1A3A">
        <w:tab/>
        <w:t xml:space="preserve">The definitions of </w:t>
      </w:r>
      <w:r w:rsidRPr="00FE1A3A">
        <w:rPr>
          <w:b/>
          <w:i/>
        </w:rPr>
        <w:t>credit absorption tax</w:t>
      </w:r>
      <w:r w:rsidRPr="00FE1A3A">
        <w:t xml:space="preserve"> and </w:t>
      </w:r>
      <w:r w:rsidRPr="00FE1A3A">
        <w:rPr>
          <w:b/>
          <w:i/>
        </w:rPr>
        <w:t>unitary tax</w:t>
      </w:r>
      <w:r w:rsidRPr="00FE1A3A">
        <w:t xml:space="preserve"> are in section</w:t>
      </w:r>
      <w:r w:rsidR="00FE1A3A" w:rsidRPr="00FE1A3A">
        <w:t> </w:t>
      </w:r>
      <w:r w:rsidRPr="00FE1A3A">
        <w:t>770</w:t>
      </w:r>
      <w:r w:rsidR="00FE1A3A">
        <w:noBreakHyphen/>
      </w:r>
      <w:r w:rsidRPr="00FE1A3A">
        <w:t>15.</w:t>
      </w:r>
    </w:p>
    <w:p w14:paraId="34A3D4C7" w14:textId="77777777" w:rsidR="00F31B89" w:rsidRPr="00FE1A3A" w:rsidRDefault="001C65C7" w:rsidP="00FE1A3A">
      <w:pPr>
        <w:pStyle w:val="ItemHead"/>
      </w:pPr>
      <w:r w:rsidRPr="00FE1A3A">
        <w:t>14</w:t>
      </w:r>
      <w:r w:rsidR="00F31B89" w:rsidRPr="00FE1A3A">
        <w:t xml:space="preserve">  Paragraph 832</w:t>
      </w:r>
      <w:r w:rsidR="00FE1A3A">
        <w:noBreakHyphen/>
      </w:r>
      <w:r w:rsidR="00F31B89" w:rsidRPr="00FE1A3A">
        <w:t>235(2)(b)</w:t>
      </w:r>
    </w:p>
    <w:p w14:paraId="0C269529" w14:textId="77777777" w:rsidR="006D1C87" w:rsidRPr="00FE1A3A" w:rsidRDefault="006D1C87" w:rsidP="00FE1A3A">
      <w:pPr>
        <w:pStyle w:val="Item"/>
      </w:pPr>
      <w:r w:rsidRPr="00FE1A3A">
        <w:t xml:space="preserve">Omit “(except </w:t>
      </w:r>
      <w:r w:rsidR="00FE1A3A" w:rsidRPr="00FE1A3A">
        <w:rPr>
          <w:position w:val="6"/>
          <w:sz w:val="16"/>
        </w:rPr>
        <w:t>*</w:t>
      </w:r>
      <w:r w:rsidRPr="00FE1A3A">
        <w:t xml:space="preserve">credit absorption tax, </w:t>
      </w:r>
      <w:r w:rsidR="00FE1A3A" w:rsidRPr="00FE1A3A">
        <w:rPr>
          <w:position w:val="6"/>
          <w:sz w:val="16"/>
        </w:rPr>
        <w:t>*</w:t>
      </w:r>
      <w:r w:rsidRPr="00FE1A3A">
        <w:t>unitary tax or a withholding</w:t>
      </w:r>
      <w:r w:rsidR="00FE1A3A">
        <w:noBreakHyphen/>
      </w:r>
      <w:r w:rsidRPr="00FE1A3A">
        <w:t>type tax)”, substitute “(except a tax covered by subsection</w:t>
      </w:r>
      <w:r w:rsidR="00FE1A3A" w:rsidRPr="00FE1A3A">
        <w:t> </w:t>
      </w:r>
      <w:r w:rsidRPr="00FE1A3A">
        <w:t>832</w:t>
      </w:r>
      <w:r w:rsidR="00FE1A3A">
        <w:noBreakHyphen/>
      </w:r>
      <w:r w:rsidRPr="00FE1A3A">
        <w:t>130(7))”.</w:t>
      </w:r>
    </w:p>
    <w:p w14:paraId="3F350895" w14:textId="77777777" w:rsidR="00F31B89" w:rsidRPr="00FE1A3A" w:rsidRDefault="001C65C7" w:rsidP="00FE1A3A">
      <w:pPr>
        <w:pStyle w:val="ItemHead"/>
      </w:pPr>
      <w:r w:rsidRPr="00FE1A3A">
        <w:t>15</w:t>
      </w:r>
      <w:r w:rsidR="00F31B89" w:rsidRPr="00FE1A3A">
        <w:t xml:space="preserve">  Paragraph 832</w:t>
      </w:r>
      <w:r w:rsidR="00FE1A3A">
        <w:noBreakHyphen/>
      </w:r>
      <w:r w:rsidR="00F31B89" w:rsidRPr="00FE1A3A">
        <w:t>325(1)(b)</w:t>
      </w:r>
    </w:p>
    <w:p w14:paraId="709708EE" w14:textId="77777777" w:rsidR="006D1C87" w:rsidRPr="00FE1A3A" w:rsidRDefault="006D1C87" w:rsidP="00FE1A3A">
      <w:pPr>
        <w:pStyle w:val="Item"/>
      </w:pPr>
      <w:r w:rsidRPr="00FE1A3A">
        <w:t xml:space="preserve">Omit “(except </w:t>
      </w:r>
      <w:r w:rsidR="00FE1A3A" w:rsidRPr="00FE1A3A">
        <w:rPr>
          <w:position w:val="6"/>
          <w:sz w:val="16"/>
        </w:rPr>
        <w:t>*</w:t>
      </w:r>
      <w:r w:rsidRPr="00FE1A3A">
        <w:t xml:space="preserve">credit absorption tax, </w:t>
      </w:r>
      <w:r w:rsidR="00FE1A3A" w:rsidRPr="00FE1A3A">
        <w:rPr>
          <w:position w:val="6"/>
          <w:sz w:val="16"/>
        </w:rPr>
        <w:t>*</w:t>
      </w:r>
      <w:r w:rsidRPr="00FE1A3A">
        <w:t>unitary tax or a withholding</w:t>
      </w:r>
      <w:r w:rsidR="00FE1A3A">
        <w:noBreakHyphen/>
      </w:r>
      <w:r w:rsidRPr="00FE1A3A">
        <w:t>type tax)”, substitute “(except a tax covered by subsection</w:t>
      </w:r>
      <w:r w:rsidR="00FE1A3A" w:rsidRPr="00FE1A3A">
        <w:t> </w:t>
      </w:r>
      <w:r w:rsidRPr="00FE1A3A">
        <w:t>832</w:t>
      </w:r>
      <w:r w:rsidR="00FE1A3A">
        <w:noBreakHyphen/>
      </w:r>
      <w:r w:rsidRPr="00FE1A3A">
        <w:t>130(7))”.</w:t>
      </w:r>
    </w:p>
    <w:p w14:paraId="6D3E7344" w14:textId="77777777" w:rsidR="00F31B89" w:rsidRPr="00FE1A3A" w:rsidRDefault="001C65C7" w:rsidP="00FE1A3A">
      <w:pPr>
        <w:pStyle w:val="ItemHead"/>
      </w:pPr>
      <w:r w:rsidRPr="00FE1A3A">
        <w:t>16</w:t>
      </w:r>
      <w:r w:rsidR="00F31B89" w:rsidRPr="00FE1A3A">
        <w:t xml:space="preserve">  Paragraph 832</w:t>
      </w:r>
      <w:r w:rsidR="00FE1A3A">
        <w:noBreakHyphen/>
      </w:r>
      <w:r w:rsidR="00F31B89" w:rsidRPr="00FE1A3A">
        <w:t>325(2)(b)</w:t>
      </w:r>
    </w:p>
    <w:p w14:paraId="0FD8EB9F" w14:textId="77777777" w:rsidR="006D1C87" w:rsidRPr="00FE1A3A" w:rsidRDefault="006D1C87" w:rsidP="00FE1A3A">
      <w:pPr>
        <w:pStyle w:val="Item"/>
      </w:pPr>
      <w:r w:rsidRPr="00FE1A3A">
        <w:t xml:space="preserve">Omit “(except </w:t>
      </w:r>
      <w:r w:rsidR="00FE1A3A" w:rsidRPr="00FE1A3A">
        <w:rPr>
          <w:position w:val="6"/>
          <w:sz w:val="16"/>
        </w:rPr>
        <w:t>*</w:t>
      </w:r>
      <w:r w:rsidRPr="00FE1A3A">
        <w:t xml:space="preserve">credit absorption tax, </w:t>
      </w:r>
      <w:r w:rsidR="00FE1A3A" w:rsidRPr="00FE1A3A">
        <w:rPr>
          <w:position w:val="6"/>
          <w:sz w:val="16"/>
        </w:rPr>
        <w:t>*</w:t>
      </w:r>
      <w:r w:rsidRPr="00FE1A3A">
        <w:t>unitary tax or a withholding</w:t>
      </w:r>
      <w:r w:rsidR="00FE1A3A">
        <w:noBreakHyphen/>
      </w:r>
      <w:r w:rsidRPr="00FE1A3A">
        <w:t>type tax)”, substitute “(except a tax covered by subsection</w:t>
      </w:r>
      <w:r w:rsidR="00FE1A3A" w:rsidRPr="00FE1A3A">
        <w:t> </w:t>
      </w:r>
      <w:r w:rsidRPr="00FE1A3A">
        <w:t>832</w:t>
      </w:r>
      <w:r w:rsidR="00FE1A3A">
        <w:noBreakHyphen/>
      </w:r>
      <w:r w:rsidRPr="00FE1A3A">
        <w:t>130(7))”.</w:t>
      </w:r>
    </w:p>
    <w:p w14:paraId="0FD3E63E" w14:textId="77777777" w:rsidR="00F31B89" w:rsidRPr="00FE1A3A" w:rsidRDefault="001C65C7" w:rsidP="00FE1A3A">
      <w:pPr>
        <w:pStyle w:val="ItemHead"/>
      </w:pPr>
      <w:r w:rsidRPr="00FE1A3A">
        <w:t>17</w:t>
      </w:r>
      <w:r w:rsidR="00F31B89" w:rsidRPr="00FE1A3A">
        <w:t xml:space="preserve">  Paragraph 832</w:t>
      </w:r>
      <w:r w:rsidR="00FE1A3A">
        <w:noBreakHyphen/>
      </w:r>
      <w:r w:rsidR="00F31B89" w:rsidRPr="00FE1A3A">
        <w:t>480(4)(b)</w:t>
      </w:r>
    </w:p>
    <w:p w14:paraId="4F3483D5" w14:textId="77777777" w:rsidR="006D1C87" w:rsidRPr="00FE1A3A" w:rsidRDefault="006D1C87" w:rsidP="00FE1A3A">
      <w:pPr>
        <w:pStyle w:val="Item"/>
      </w:pPr>
      <w:r w:rsidRPr="00FE1A3A">
        <w:t xml:space="preserve">Omit “(except </w:t>
      </w:r>
      <w:r w:rsidR="00FE1A3A" w:rsidRPr="00FE1A3A">
        <w:rPr>
          <w:position w:val="6"/>
          <w:sz w:val="16"/>
        </w:rPr>
        <w:t>*</w:t>
      </w:r>
      <w:r w:rsidRPr="00FE1A3A">
        <w:t xml:space="preserve">credit absorption tax, </w:t>
      </w:r>
      <w:r w:rsidR="00FE1A3A" w:rsidRPr="00FE1A3A">
        <w:rPr>
          <w:position w:val="6"/>
          <w:sz w:val="16"/>
        </w:rPr>
        <w:t>*</w:t>
      </w:r>
      <w:r w:rsidRPr="00FE1A3A">
        <w:t>unitary tax or a withholding</w:t>
      </w:r>
      <w:r w:rsidR="00FE1A3A">
        <w:noBreakHyphen/>
      </w:r>
      <w:r w:rsidRPr="00FE1A3A">
        <w:t>type tax)”, substitute “(except a tax covered by subsection</w:t>
      </w:r>
      <w:r w:rsidR="00FE1A3A" w:rsidRPr="00FE1A3A">
        <w:t> </w:t>
      </w:r>
      <w:r w:rsidRPr="00FE1A3A">
        <w:t>832</w:t>
      </w:r>
      <w:r w:rsidR="00FE1A3A">
        <w:noBreakHyphen/>
      </w:r>
      <w:r w:rsidRPr="00FE1A3A">
        <w:t>130(7))”.</w:t>
      </w:r>
    </w:p>
    <w:p w14:paraId="2CB25BC5" w14:textId="77777777" w:rsidR="00F31B89" w:rsidRPr="00FE1A3A" w:rsidRDefault="001C65C7" w:rsidP="00FE1A3A">
      <w:pPr>
        <w:pStyle w:val="ItemHead"/>
      </w:pPr>
      <w:r w:rsidRPr="00FE1A3A">
        <w:t>18</w:t>
      </w:r>
      <w:r w:rsidR="00F31B89" w:rsidRPr="00FE1A3A">
        <w:t xml:space="preserve">  Subparagraph 832</w:t>
      </w:r>
      <w:r w:rsidR="00FE1A3A">
        <w:noBreakHyphen/>
      </w:r>
      <w:r w:rsidR="00F31B89" w:rsidRPr="00FE1A3A">
        <w:t>485(4)(a)(ii)</w:t>
      </w:r>
    </w:p>
    <w:p w14:paraId="517762CA" w14:textId="77777777" w:rsidR="006D1C87" w:rsidRPr="00FE1A3A" w:rsidRDefault="006D1C87" w:rsidP="00FE1A3A">
      <w:pPr>
        <w:pStyle w:val="Item"/>
      </w:pPr>
      <w:r w:rsidRPr="00FE1A3A">
        <w:t xml:space="preserve">Omit “(except </w:t>
      </w:r>
      <w:r w:rsidR="00FE1A3A" w:rsidRPr="00FE1A3A">
        <w:rPr>
          <w:position w:val="6"/>
          <w:sz w:val="16"/>
        </w:rPr>
        <w:t>*</w:t>
      </w:r>
      <w:r w:rsidRPr="00FE1A3A">
        <w:t xml:space="preserve">credit absorption tax, </w:t>
      </w:r>
      <w:r w:rsidR="00FE1A3A" w:rsidRPr="00FE1A3A">
        <w:rPr>
          <w:position w:val="6"/>
          <w:sz w:val="16"/>
        </w:rPr>
        <w:t>*</w:t>
      </w:r>
      <w:r w:rsidRPr="00FE1A3A">
        <w:t>unitary tax or a withholding</w:t>
      </w:r>
      <w:r w:rsidR="00FE1A3A">
        <w:noBreakHyphen/>
      </w:r>
      <w:r w:rsidRPr="00FE1A3A">
        <w:t>type tax)”, substitute “(except a tax covered by subsection</w:t>
      </w:r>
      <w:r w:rsidR="00FE1A3A" w:rsidRPr="00FE1A3A">
        <w:t> </w:t>
      </w:r>
      <w:r w:rsidRPr="00FE1A3A">
        <w:t>832</w:t>
      </w:r>
      <w:r w:rsidR="00FE1A3A">
        <w:noBreakHyphen/>
      </w:r>
      <w:r w:rsidRPr="00FE1A3A">
        <w:t>130(7))”.</w:t>
      </w:r>
    </w:p>
    <w:p w14:paraId="6C15D17F" w14:textId="77777777" w:rsidR="00F31B89" w:rsidRPr="00FE1A3A" w:rsidRDefault="001C65C7" w:rsidP="00FE1A3A">
      <w:pPr>
        <w:pStyle w:val="ItemHead"/>
      </w:pPr>
      <w:r w:rsidRPr="00FE1A3A">
        <w:t>19</w:t>
      </w:r>
      <w:r w:rsidR="00F31B89" w:rsidRPr="00FE1A3A">
        <w:t xml:space="preserve">  Subparagraphs</w:t>
      </w:r>
      <w:r w:rsidR="00FE1A3A" w:rsidRPr="00FE1A3A">
        <w:t> </w:t>
      </w:r>
      <w:r w:rsidR="00F31B89" w:rsidRPr="00FE1A3A">
        <w:t>832</w:t>
      </w:r>
      <w:r w:rsidR="00FE1A3A">
        <w:noBreakHyphen/>
      </w:r>
      <w:r w:rsidR="00F31B89" w:rsidRPr="00FE1A3A">
        <w:t>555(9)(b)(i) and (ii)</w:t>
      </w:r>
    </w:p>
    <w:p w14:paraId="1C12E77B" w14:textId="77777777" w:rsidR="006D1C87" w:rsidRPr="00FE1A3A" w:rsidRDefault="006D1C87" w:rsidP="00FE1A3A">
      <w:pPr>
        <w:pStyle w:val="Item"/>
      </w:pPr>
      <w:r w:rsidRPr="00FE1A3A">
        <w:t xml:space="preserve">Omit “(except </w:t>
      </w:r>
      <w:r w:rsidR="00FE1A3A" w:rsidRPr="00FE1A3A">
        <w:rPr>
          <w:position w:val="6"/>
          <w:sz w:val="16"/>
        </w:rPr>
        <w:t>*</w:t>
      </w:r>
      <w:r w:rsidRPr="00FE1A3A">
        <w:t xml:space="preserve">credit absorption tax, </w:t>
      </w:r>
      <w:r w:rsidR="00FE1A3A" w:rsidRPr="00FE1A3A">
        <w:rPr>
          <w:position w:val="6"/>
          <w:sz w:val="16"/>
        </w:rPr>
        <w:t>*</w:t>
      </w:r>
      <w:r w:rsidRPr="00FE1A3A">
        <w:t>unitary tax or a withholding</w:t>
      </w:r>
      <w:r w:rsidR="00FE1A3A">
        <w:noBreakHyphen/>
      </w:r>
      <w:r w:rsidRPr="00FE1A3A">
        <w:t>type tax)”, substitute “(except a tax covered by subsection</w:t>
      </w:r>
      <w:r w:rsidR="00FE1A3A" w:rsidRPr="00FE1A3A">
        <w:t> </w:t>
      </w:r>
      <w:r w:rsidRPr="00FE1A3A">
        <w:t>832</w:t>
      </w:r>
      <w:r w:rsidR="00FE1A3A">
        <w:noBreakHyphen/>
      </w:r>
      <w:r w:rsidRPr="00FE1A3A">
        <w:t>130(7))”.</w:t>
      </w:r>
    </w:p>
    <w:p w14:paraId="1C47145B" w14:textId="77777777" w:rsidR="00F31B89" w:rsidRPr="00FE1A3A" w:rsidRDefault="001C65C7" w:rsidP="00FE1A3A">
      <w:pPr>
        <w:pStyle w:val="ItemHead"/>
      </w:pPr>
      <w:r w:rsidRPr="00FE1A3A">
        <w:t>20</w:t>
      </w:r>
      <w:r w:rsidR="00F31B89" w:rsidRPr="00FE1A3A">
        <w:t xml:space="preserve">  Paragraph 832</w:t>
      </w:r>
      <w:r w:rsidR="00FE1A3A">
        <w:noBreakHyphen/>
      </w:r>
      <w:r w:rsidR="00F31B89" w:rsidRPr="00FE1A3A">
        <w:t>625(4)(d)</w:t>
      </w:r>
    </w:p>
    <w:p w14:paraId="6DE4A326" w14:textId="77777777" w:rsidR="006D1C87" w:rsidRPr="00FE1A3A" w:rsidRDefault="006D1C87" w:rsidP="00FE1A3A">
      <w:pPr>
        <w:pStyle w:val="Item"/>
      </w:pPr>
      <w:r w:rsidRPr="00FE1A3A">
        <w:t xml:space="preserve">Omit “(except </w:t>
      </w:r>
      <w:r w:rsidR="00FE1A3A" w:rsidRPr="00FE1A3A">
        <w:rPr>
          <w:position w:val="6"/>
          <w:sz w:val="16"/>
        </w:rPr>
        <w:t>*</w:t>
      </w:r>
      <w:r w:rsidRPr="00FE1A3A">
        <w:t xml:space="preserve">credit absorption tax, </w:t>
      </w:r>
      <w:r w:rsidR="00FE1A3A" w:rsidRPr="00FE1A3A">
        <w:rPr>
          <w:position w:val="6"/>
          <w:sz w:val="16"/>
        </w:rPr>
        <w:t>*</w:t>
      </w:r>
      <w:r w:rsidRPr="00FE1A3A">
        <w:t>unitary tax or a withholding</w:t>
      </w:r>
      <w:r w:rsidR="00FE1A3A">
        <w:noBreakHyphen/>
      </w:r>
      <w:r w:rsidRPr="00FE1A3A">
        <w:t>type tax)”, substitute “(except a tax covered by subsection</w:t>
      </w:r>
      <w:r w:rsidR="00FE1A3A" w:rsidRPr="00FE1A3A">
        <w:t> </w:t>
      </w:r>
      <w:r w:rsidRPr="00FE1A3A">
        <w:t>832</w:t>
      </w:r>
      <w:r w:rsidR="00FE1A3A">
        <w:noBreakHyphen/>
      </w:r>
      <w:r w:rsidRPr="00FE1A3A">
        <w:t>130(7))”.</w:t>
      </w:r>
    </w:p>
    <w:p w14:paraId="7753DC91" w14:textId="77777777" w:rsidR="00D72EAC" w:rsidRPr="00FE1A3A" w:rsidRDefault="001C65C7" w:rsidP="00FE1A3A">
      <w:pPr>
        <w:pStyle w:val="Transitional"/>
      </w:pPr>
      <w:r w:rsidRPr="00FE1A3A">
        <w:t>21</w:t>
      </w:r>
      <w:r w:rsidR="00D72EAC" w:rsidRPr="00FE1A3A">
        <w:t xml:space="preserve">  Application</w:t>
      </w:r>
    </w:p>
    <w:p w14:paraId="674198F0" w14:textId="77777777" w:rsidR="00D72EAC" w:rsidRPr="00FE1A3A" w:rsidRDefault="00D72EAC" w:rsidP="00FE1A3A">
      <w:pPr>
        <w:pStyle w:val="Item"/>
      </w:pPr>
      <w:r w:rsidRPr="00FE1A3A">
        <w:t>The amendments made by this Part apply to assessments for income years starting on or after 1</w:t>
      </w:r>
      <w:r w:rsidR="00FE1A3A" w:rsidRPr="00FE1A3A">
        <w:t> </w:t>
      </w:r>
      <w:r w:rsidRPr="00FE1A3A">
        <w:t>January 2019.</w:t>
      </w:r>
    </w:p>
    <w:p w14:paraId="5A952F8A" w14:textId="77777777" w:rsidR="00F31B89" w:rsidRPr="00FE1A3A" w:rsidRDefault="003E2905" w:rsidP="00FE1A3A">
      <w:pPr>
        <w:pStyle w:val="ActHead7"/>
        <w:pageBreakBefore/>
      </w:pPr>
      <w:bookmarkStart w:id="7" w:name="_Toc24097878"/>
      <w:r w:rsidRPr="00FE1A3A">
        <w:rPr>
          <w:rStyle w:val="CharAmPartNo"/>
        </w:rPr>
        <w:lastRenderedPageBreak/>
        <w:t>Part</w:t>
      </w:r>
      <w:r w:rsidR="00FE1A3A" w:rsidRPr="00FE1A3A">
        <w:rPr>
          <w:rStyle w:val="CharAmPartNo"/>
        </w:rPr>
        <w:t> </w:t>
      </w:r>
      <w:r w:rsidRPr="00FE1A3A">
        <w:rPr>
          <w:rStyle w:val="CharAmPartNo"/>
        </w:rPr>
        <w:t>3</w:t>
      </w:r>
      <w:r w:rsidRPr="00FE1A3A">
        <w:t>—</w:t>
      </w:r>
      <w:r w:rsidR="007F34F9" w:rsidRPr="00FE1A3A">
        <w:rPr>
          <w:rStyle w:val="CharAmPartText"/>
        </w:rPr>
        <w:t>Entities</w:t>
      </w:r>
      <w:bookmarkEnd w:id="7"/>
    </w:p>
    <w:p w14:paraId="284DA0BE" w14:textId="77777777" w:rsidR="003E2905" w:rsidRPr="00FE1A3A" w:rsidRDefault="003E2905" w:rsidP="00FE1A3A">
      <w:pPr>
        <w:pStyle w:val="ActHead9"/>
        <w:rPr>
          <w:i w:val="0"/>
        </w:rPr>
      </w:pPr>
      <w:bookmarkStart w:id="8" w:name="_Toc24097879"/>
      <w:r w:rsidRPr="00FE1A3A">
        <w:t>Income Tax Assessment Act 1997</w:t>
      </w:r>
      <w:bookmarkEnd w:id="8"/>
    </w:p>
    <w:p w14:paraId="451C6A2C" w14:textId="77777777" w:rsidR="00EF0804" w:rsidRPr="00FE1A3A" w:rsidRDefault="001C65C7" w:rsidP="00FE1A3A">
      <w:pPr>
        <w:pStyle w:val="ItemHead"/>
      </w:pPr>
      <w:r w:rsidRPr="00FE1A3A">
        <w:t>22</w:t>
      </w:r>
      <w:r w:rsidR="00EF0804" w:rsidRPr="00FE1A3A">
        <w:t xml:space="preserve">  Section</w:t>
      </w:r>
      <w:r w:rsidR="00FE1A3A" w:rsidRPr="00FE1A3A">
        <w:t> </w:t>
      </w:r>
      <w:r w:rsidR="00EF0804" w:rsidRPr="00FE1A3A">
        <w:t>832</w:t>
      </w:r>
      <w:r w:rsidR="00FE1A3A">
        <w:noBreakHyphen/>
      </w:r>
      <w:r w:rsidR="00EF0804" w:rsidRPr="00FE1A3A">
        <w:t>30</w:t>
      </w:r>
    </w:p>
    <w:p w14:paraId="6E21E8F5" w14:textId="77777777" w:rsidR="00EF0804" w:rsidRPr="00FE1A3A" w:rsidRDefault="00EF0804" w:rsidP="00FE1A3A">
      <w:pPr>
        <w:pStyle w:val="Item"/>
      </w:pPr>
      <w:r w:rsidRPr="00FE1A3A">
        <w:t xml:space="preserve">Repeal the </w:t>
      </w:r>
      <w:r w:rsidR="002750AF" w:rsidRPr="00FE1A3A">
        <w:t>section</w:t>
      </w:r>
      <w:r w:rsidRPr="00FE1A3A">
        <w:t>, substitute:</w:t>
      </w:r>
    </w:p>
    <w:p w14:paraId="25F2EA14" w14:textId="77777777" w:rsidR="00742C70" w:rsidRPr="00FE1A3A" w:rsidRDefault="00EF0804" w:rsidP="00FE1A3A">
      <w:pPr>
        <w:pStyle w:val="ActHead5"/>
      </w:pPr>
      <w:bookmarkStart w:id="9" w:name="_Toc24097880"/>
      <w:r w:rsidRPr="00FE1A3A">
        <w:rPr>
          <w:rStyle w:val="CharSectno"/>
        </w:rPr>
        <w:t>832</w:t>
      </w:r>
      <w:r w:rsidR="00FE1A3A" w:rsidRPr="00FE1A3A">
        <w:rPr>
          <w:rStyle w:val="CharSectno"/>
        </w:rPr>
        <w:noBreakHyphen/>
      </w:r>
      <w:r w:rsidRPr="00FE1A3A">
        <w:rPr>
          <w:rStyle w:val="CharSectno"/>
        </w:rPr>
        <w:t>30</w:t>
      </w:r>
      <w:r w:rsidRPr="00FE1A3A">
        <w:t xml:space="preserve">  </w:t>
      </w:r>
      <w:r w:rsidR="003C51FD" w:rsidRPr="00FE1A3A">
        <w:t xml:space="preserve">How this Division applies to </w:t>
      </w:r>
      <w:r w:rsidR="00742C70" w:rsidRPr="00FE1A3A">
        <w:t>entit</w:t>
      </w:r>
      <w:r w:rsidR="00EE1092" w:rsidRPr="00FE1A3A">
        <w:t>ies</w:t>
      </w:r>
      <w:bookmarkEnd w:id="9"/>
    </w:p>
    <w:p w14:paraId="730ACA78" w14:textId="77777777" w:rsidR="00790361" w:rsidRPr="00FE1A3A" w:rsidRDefault="00790361" w:rsidP="00FE1A3A">
      <w:pPr>
        <w:pStyle w:val="SubsectionHead"/>
      </w:pPr>
      <w:r w:rsidRPr="00FE1A3A">
        <w:t>Identifying payments between entities etc.</w:t>
      </w:r>
    </w:p>
    <w:p w14:paraId="00064932" w14:textId="77777777" w:rsidR="00D72EAC" w:rsidRPr="00FE1A3A" w:rsidRDefault="00375D52" w:rsidP="00FE1A3A">
      <w:pPr>
        <w:pStyle w:val="subsection"/>
      </w:pPr>
      <w:r w:rsidRPr="00FE1A3A">
        <w:tab/>
        <w:t>(1)</w:t>
      </w:r>
      <w:r w:rsidRPr="00FE1A3A">
        <w:tab/>
      </w:r>
      <w:r w:rsidR="00D72EAC" w:rsidRPr="00FE1A3A">
        <w:t>In determining for the purposes of this Division whether an entity makes or receives a payment, the following are to be disregarded:</w:t>
      </w:r>
    </w:p>
    <w:p w14:paraId="0C32B059" w14:textId="77777777" w:rsidR="00D72EAC" w:rsidRPr="00FE1A3A" w:rsidRDefault="00D72EAC" w:rsidP="00FE1A3A">
      <w:pPr>
        <w:pStyle w:val="paragraph"/>
      </w:pPr>
      <w:r w:rsidRPr="00FE1A3A">
        <w:tab/>
        <w:t>(a)</w:t>
      </w:r>
      <w:r w:rsidRPr="00FE1A3A">
        <w:tab/>
        <w:t>subsection</w:t>
      </w:r>
      <w:r w:rsidR="00FE1A3A" w:rsidRPr="00FE1A3A">
        <w:t> </w:t>
      </w:r>
      <w:r w:rsidRPr="00FE1A3A">
        <w:t>701</w:t>
      </w:r>
      <w:r w:rsidR="00FE1A3A">
        <w:noBreakHyphen/>
      </w:r>
      <w:r w:rsidRPr="00FE1A3A">
        <w:t>1(1) (the single entity rule);</w:t>
      </w:r>
    </w:p>
    <w:p w14:paraId="0FA40E1E" w14:textId="77777777" w:rsidR="00D72EAC" w:rsidRPr="00FE1A3A" w:rsidRDefault="00D72EAC" w:rsidP="00FE1A3A">
      <w:pPr>
        <w:pStyle w:val="paragraph"/>
      </w:pPr>
      <w:r w:rsidRPr="00FE1A3A">
        <w:tab/>
        <w:t>(b)</w:t>
      </w:r>
      <w:r w:rsidRPr="00FE1A3A">
        <w:tab/>
        <w:t>Part</w:t>
      </w:r>
      <w:r w:rsidR="00FE1A3A" w:rsidRPr="00FE1A3A">
        <w:t> </w:t>
      </w:r>
      <w:r w:rsidRPr="00FE1A3A">
        <w:t xml:space="preserve">IIIB of the </w:t>
      </w:r>
      <w:r w:rsidRPr="00FE1A3A">
        <w:rPr>
          <w:i/>
        </w:rPr>
        <w:t>Income Tax Assessment Act 1936</w:t>
      </w:r>
      <w:r w:rsidRPr="00FE1A3A">
        <w:t>;</w:t>
      </w:r>
    </w:p>
    <w:p w14:paraId="23BE567B" w14:textId="77777777" w:rsidR="00D72EAC" w:rsidRPr="00FE1A3A" w:rsidRDefault="00D72EAC" w:rsidP="00FE1A3A">
      <w:pPr>
        <w:pStyle w:val="paragraph"/>
      </w:pPr>
      <w:r w:rsidRPr="00FE1A3A">
        <w:tab/>
        <w:t>(c)</w:t>
      </w:r>
      <w:r w:rsidRPr="00FE1A3A">
        <w:tab/>
        <w:t>any law of a foreign country that, for the purposes of a foreign tax, treats a different entity as having made the payment, or disregards the payment.</w:t>
      </w:r>
    </w:p>
    <w:p w14:paraId="58087C33" w14:textId="77777777" w:rsidR="00D72EAC" w:rsidRPr="00FE1A3A" w:rsidRDefault="00D72EAC" w:rsidP="00FE1A3A">
      <w:pPr>
        <w:pStyle w:val="notetext"/>
      </w:pPr>
      <w:r w:rsidRPr="00FE1A3A">
        <w:t>Note 1:</w:t>
      </w:r>
      <w:r w:rsidRPr="00FE1A3A">
        <w:tab/>
        <w:t xml:space="preserve">As a consequence of </w:t>
      </w:r>
      <w:r w:rsidR="00FE1A3A" w:rsidRPr="00FE1A3A">
        <w:t>paragraph (</w:t>
      </w:r>
      <w:r w:rsidR="00790361" w:rsidRPr="00FE1A3A">
        <w:t>1</w:t>
      </w:r>
      <w:r w:rsidRPr="00FE1A3A">
        <w:t>)(a), a member of a consolidated group may be a hybrid payer under section</w:t>
      </w:r>
      <w:r w:rsidR="00FE1A3A" w:rsidRPr="00FE1A3A">
        <w:t> </w:t>
      </w:r>
      <w:r w:rsidRPr="00FE1A3A">
        <w:t>832</w:t>
      </w:r>
      <w:r w:rsidR="00FE1A3A">
        <w:noBreakHyphen/>
      </w:r>
      <w:r w:rsidRPr="00FE1A3A">
        <w:t>320 or a deducting hybrid under section</w:t>
      </w:r>
      <w:r w:rsidR="00FE1A3A" w:rsidRPr="00FE1A3A">
        <w:t> </w:t>
      </w:r>
      <w:r w:rsidRPr="00FE1A3A">
        <w:t>832</w:t>
      </w:r>
      <w:r w:rsidR="00FE1A3A">
        <w:noBreakHyphen/>
      </w:r>
      <w:r w:rsidRPr="00FE1A3A">
        <w:t>550 (it cannot be a reverse hybrid because of subparagraph</w:t>
      </w:r>
      <w:r w:rsidR="00FE1A3A" w:rsidRPr="00FE1A3A">
        <w:t> </w:t>
      </w:r>
      <w:r w:rsidRPr="00FE1A3A">
        <w:t>832</w:t>
      </w:r>
      <w:r w:rsidR="00FE1A3A">
        <w:noBreakHyphen/>
      </w:r>
      <w:r w:rsidRPr="00FE1A3A">
        <w:t>410(2)(b)(ii)).</w:t>
      </w:r>
    </w:p>
    <w:p w14:paraId="58919E25" w14:textId="77777777" w:rsidR="00D72EAC" w:rsidRPr="00FE1A3A" w:rsidRDefault="00D72EAC" w:rsidP="00FE1A3A">
      <w:pPr>
        <w:pStyle w:val="notetext"/>
      </w:pPr>
      <w:r w:rsidRPr="00FE1A3A">
        <w:t>Note 2:</w:t>
      </w:r>
      <w:r w:rsidRPr="00FE1A3A">
        <w:tab/>
        <w:t>Part</w:t>
      </w:r>
      <w:r w:rsidR="00FE1A3A" w:rsidRPr="00FE1A3A">
        <w:t> </w:t>
      </w:r>
      <w:r w:rsidRPr="00FE1A3A">
        <w:t xml:space="preserve">IIIB of the </w:t>
      </w:r>
      <w:r w:rsidRPr="00FE1A3A">
        <w:rPr>
          <w:i/>
        </w:rPr>
        <w:t>Income Tax Assessment Act 1936</w:t>
      </w:r>
      <w:r w:rsidRPr="00FE1A3A">
        <w:t xml:space="preserve"> (which is about Australian branches of foreign banks) is disregarded because it is separately modified to deal with hybrid mismatches: see Division</w:t>
      </w:r>
      <w:r w:rsidR="00FE1A3A" w:rsidRPr="00FE1A3A">
        <w:t> </w:t>
      </w:r>
      <w:r w:rsidRPr="00FE1A3A">
        <w:t>5 of that Part.</w:t>
      </w:r>
    </w:p>
    <w:p w14:paraId="656CE7AD" w14:textId="77777777" w:rsidR="00790361" w:rsidRPr="00FE1A3A" w:rsidRDefault="00790361" w:rsidP="00FE1A3A">
      <w:pPr>
        <w:pStyle w:val="subsection"/>
      </w:pPr>
      <w:r w:rsidRPr="00FE1A3A">
        <w:tab/>
        <w:t>(2)</w:t>
      </w:r>
      <w:r w:rsidRPr="00FE1A3A">
        <w:tab/>
        <w:t xml:space="preserve">In </w:t>
      </w:r>
      <w:r w:rsidR="00E20811" w:rsidRPr="00FE1A3A">
        <w:t xml:space="preserve">addition, in </w:t>
      </w:r>
      <w:r w:rsidRPr="00FE1A3A">
        <w:t>the case of a trust or partnership, the trust or partnership</w:t>
      </w:r>
      <w:r w:rsidR="00E20811" w:rsidRPr="00FE1A3A">
        <w:t xml:space="preserve">, instead of a trustee or partner, </w:t>
      </w:r>
      <w:r w:rsidRPr="00FE1A3A">
        <w:t>is taken</w:t>
      </w:r>
      <w:r w:rsidR="00E20811" w:rsidRPr="00FE1A3A">
        <w:t xml:space="preserve">, </w:t>
      </w:r>
      <w:r w:rsidRPr="00FE1A3A">
        <w:t>for the purposes of this Division</w:t>
      </w:r>
      <w:r w:rsidR="00E20811" w:rsidRPr="00FE1A3A">
        <w:t>, to do the following things</w:t>
      </w:r>
      <w:r w:rsidRPr="00FE1A3A">
        <w:t>:</w:t>
      </w:r>
    </w:p>
    <w:p w14:paraId="1E00C9D1" w14:textId="77777777" w:rsidR="00790361" w:rsidRPr="00FE1A3A" w:rsidRDefault="00790361" w:rsidP="00FE1A3A">
      <w:pPr>
        <w:pStyle w:val="paragraph"/>
      </w:pPr>
      <w:r w:rsidRPr="00FE1A3A">
        <w:tab/>
        <w:t>(a)</w:t>
      </w:r>
      <w:r w:rsidRPr="00FE1A3A">
        <w:tab/>
        <w:t>make or receive a payment;</w:t>
      </w:r>
    </w:p>
    <w:p w14:paraId="1F4B14F8" w14:textId="77777777" w:rsidR="00790361" w:rsidRPr="00FE1A3A" w:rsidRDefault="00790361" w:rsidP="00FE1A3A">
      <w:pPr>
        <w:pStyle w:val="paragraph"/>
      </w:pPr>
      <w:r w:rsidRPr="00FE1A3A">
        <w:tab/>
        <w:t>(b)</w:t>
      </w:r>
      <w:r w:rsidRPr="00FE1A3A">
        <w:tab/>
        <w:t>hold, acquire or dispose of an asset, interest or other property;</w:t>
      </w:r>
    </w:p>
    <w:p w14:paraId="1E7030DB" w14:textId="77777777" w:rsidR="00790361" w:rsidRPr="00FE1A3A" w:rsidRDefault="00790361" w:rsidP="00FE1A3A">
      <w:pPr>
        <w:pStyle w:val="paragraph"/>
      </w:pPr>
      <w:r w:rsidRPr="00FE1A3A">
        <w:tab/>
        <w:t>(c)</w:t>
      </w:r>
      <w:r w:rsidRPr="00FE1A3A">
        <w:tab/>
        <w:t xml:space="preserve">enter into or carry out a </w:t>
      </w:r>
      <w:r w:rsidR="00FE1A3A" w:rsidRPr="00FE1A3A">
        <w:rPr>
          <w:position w:val="6"/>
          <w:sz w:val="16"/>
        </w:rPr>
        <w:t>*</w:t>
      </w:r>
      <w:r w:rsidRPr="00FE1A3A">
        <w:t>scheme or a part of a scheme.</w:t>
      </w:r>
    </w:p>
    <w:p w14:paraId="510F1554" w14:textId="77777777" w:rsidR="00790361" w:rsidRPr="00FE1A3A" w:rsidRDefault="00790361" w:rsidP="00FE1A3A">
      <w:pPr>
        <w:pStyle w:val="SubsectionHead"/>
      </w:pPr>
      <w:r w:rsidRPr="00FE1A3A">
        <w:t>Identifying income or profits of entities</w:t>
      </w:r>
    </w:p>
    <w:p w14:paraId="4AB21434" w14:textId="77777777" w:rsidR="00790361" w:rsidRPr="00FE1A3A" w:rsidRDefault="00790361" w:rsidP="00FE1A3A">
      <w:pPr>
        <w:pStyle w:val="subsection"/>
      </w:pPr>
      <w:r w:rsidRPr="00FE1A3A">
        <w:tab/>
        <w:t>(</w:t>
      </w:r>
      <w:r w:rsidR="00E20811" w:rsidRPr="00FE1A3A">
        <w:t>3</w:t>
      </w:r>
      <w:r w:rsidRPr="00FE1A3A">
        <w:t>)</w:t>
      </w:r>
      <w:r w:rsidRPr="00FE1A3A">
        <w:tab/>
        <w:t xml:space="preserve">For the purposes of this Division, things recognised in accordance with </w:t>
      </w:r>
      <w:r w:rsidR="00FE1A3A" w:rsidRPr="00FE1A3A">
        <w:t>subsection (</w:t>
      </w:r>
      <w:r w:rsidRPr="00FE1A3A">
        <w:t>1) or (2) as being done by an entity are to be taken into account in identifying the income or profits of the entit</w:t>
      </w:r>
      <w:r w:rsidR="00677058" w:rsidRPr="00FE1A3A">
        <w:t>y</w:t>
      </w:r>
      <w:r w:rsidRPr="00FE1A3A">
        <w:t>.</w:t>
      </w:r>
    </w:p>
    <w:p w14:paraId="2CBDDCD1" w14:textId="77777777" w:rsidR="00790361" w:rsidRPr="00FE1A3A" w:rsidRDefault="00790361" w:rsidP="00FE1A3A">
      <w:pPr>
        <w:pStyle w:val="SubsectionHead"/>
      </w:pPr>
      <w:r w:rsidRPr="00FE1A3A">
        <w:lastRenderedPageBreak/>
        <w:t>Assessable income and deductions</w:t>
      </w:r>
    </w:p>
    <w:p w14:paraId="0ACD142C" w14:textId="77777777" w:rsidR="00790361" w:rsidRPr="00FE1A3A" w:rsidRDefault="00E20811" w:rsidP="00FE1A3A">
      <w:pPr>
        <w:pStyle w:val="subsection"/>
      </w:pPr>
      <w:r w:rsidRPr="00FE1A3A">
        <w:tab/>
        <w:t>(4</w:t>
      </w:r>
      <w:r w:rsidR="00790361" w:rsidRPr="00FE1A3A">
        <w:t>)</w:t>
      </w:r>
      <w:r w:rsidR="00790361" w:rsidRPr="00FE1A3A">
        <w:tab/>
        <w:t xml:space="preserve">A reference in this Division to an amount being included in the assessable income of an entity, or being allowable, or not allowable, as a deduction to an entity, is taken in the case of a trust or partnership in respect of which </w:t>
      </w:r>
      <w:r w:rsidR="00FE1A3A" w:rsidRPr="00FE1A3A">
        <w:rPr>
          <w:position w:val="6"/>
          <w:sz w:val="16"/>
        </w:rPr>
        <w:t>*</w:t>
      </w:r>
      <w:r w:rsidR="00790361" w:rsidRPr="00FE1A3A">
        <w:t>net income is being calculated to be a reference to an amount that is included, allowable or not allowable, as the case requires, in determining that net income.</w:t>
      </w:r>
    </w:p>
    <w:p w14:paraId="788B9214" w14:textId="77777777" w:rsidR="00790361" w:rsidRPr="00FE1A3A" w:rsidRDefault="00790361" w:rsidP="00FE1A3A">
      <w:pPr>
        <w:pStyle w:val="SubsectionHead"/>
      </w:pPr>
      <w:r w:rsidRPr="00FE1A3A">
        <w:t>This section does not make a non</w:t>
      </w:r>
      <w:r w:rsidR="00FE1A3A">
        <w:noBreakHyphen/>
      </w:r>
      <w:r w:rsidRPr="00FE1A3A">
        <w:t>legal person a taxpayer</w:t>
      </w:r>
    </w:p>
    <w:p w14:paraId="1D700F04" w14:textId="77777777" w:rsidR="00790361" w:rsidRPr="00FE1A3A" w:rsidRDefault="00790361" w:rsidP="00FE1A3A">
      <w:pPr>
        <w:pStyle w:val="subsection"/>
      </w:pPr>
      <w:r w:rsidRPr="00FE1A3A">
        <w:tab/>
        <w:t>(</w:t>
      </w:r>
      <w:r w:rsidR="00E20811" w:rsidRPr="00FE1A3A">
        <w:t>5</w:t>
      </w:r>
      <w:r w:rsidRPr="00FE1A3A">
        <w:t>)</w:t>
      </w:r>
      <w:r w:rsidRPr="00FE1A3A">
        <w:tab/>
        <w:t xml:space="preserve">Nothing in this section affects whether or not an entity is a </w:t>
      </w:r>
      <w:r w:rsidR="00FE1A3A" w:rsidRPr="00FE1A3A">
        <w:rPr>
          <w:position w:val="6"/>
          <w:sz w:val="16"/>
        </w:rPr>
        <w:t>*</w:t>
      </w:r>
      <w:r w:rsidRPr="00FE1A3A">
        <w:t>liable entity (see section</w:t>
      </w:r>
      <w:r w:rsidR="00FE1A3A" w:rsidRPr="00FE1A3A">
        <w:t> </w:t>
      </w:r>
      <w:r w:rsidRPr="00FE1A3A">
        <w:t>832</w:t>
      </w:r>
      <w:r w:rsidR="00FE1A3A">
        <w:noBreakHyphen/>
      </w:r>
      <w:r w:rsidRPr="00FE1A3A">
        <w:t>325).</w:t>
      </w:r>
    </w:p>
    <w:p w14:paraId="6EFCC8C5" w14:textId="77777777" w:rsidR="00790361" w:rsidRPr="00FE1A3A" w:rsidRDefault="00790361" w:rsidP="00FE1A3A">
      <w:pPr>
        <w:pStyle w:val="notetext"/>
      </w:pPr>
      <w:r w:rsidRPr="00FE1A3A">
        <w:t>Note:</w:t>
      </w:r>
      <w:r w:rsidRPr="00FE1A3A">
        <w:tab/>
        <w:t>A trust that is not a member of a consolidated group or MEC group can only be a deducting hybrid if the trust itself is a liable entity in a country other than Australia: see paragraph</w:t>
      </w:r>
      <w:r w:rsidR="00FE1A3A" w:rsidRPr="00FE1A3A">
        <w:t> </w:t>
      </w:r>
      <w:r w:rsidRPr="00FE1A3A">
        <w:t>832</w:t>
      </w:r>
      <w:r w:rsidR="00FE1A3A">
        <w:noBreakHyphen/>
      </w:r>
      <w:r w:rsidRPr="00FE1A3A">
        <w:t>550(c).</w:t>
      </w:r>
    </w:p>
    <w:p w14:paraId="72AF0FDF" w14:textId="77777777" w:rsidR="00790361" w:rsidRPr="00FE1A3A" w:rsidRDefault="00790361" w:rsidP="00FE1A3A">
      <w:pPr>
        <w:pStyle w:val="SubsectionHead"/>
      </w:pPr>
      <w:r w:rsidRPr="00FE1A3A">
        <w:t>This section does not affect the interpretation of other provisions</w:t>
      </w:r>
    </w:p>
    <w:p w14:paraId="4100C3D7" w14:textId="77777777" w:rsidR="00790361" w:rsidRPr="00FE1A3A" w:rsidRDefault="00E20811" w:rsidP="00FE1A3A">
      <w:pPr>
        <w:pStyle w:val="subsection"/>
      </w:pPr>
      <w:r w:rsidRPr="00FE1A3A">
        <w:tab/>
        <w:t>(6</w:t>
      </w:r>
      <w:r w:rsidR="00790361" w:rsidRPr="00FE1A3A">
        <w:t>)</w:t>
      </w:r>
      <w:r w:rsidR="00790361" w:rsidRPr="00FE1A3A">
        <w:tab/>
        <w:t>Nothing in this section limits, by implication, any other provision of this Act.</w:t>
      </w:r>
    </w:p>
    <w:p w14:paraId="5565E340" w14:textId="77777777" w:rsidR="005F35EC" w:rsidRPr="00FE1A3A" w:rsidRDefault="001C65C7" w:rsidP="00FE1A3A">
      <w:pPr>
        <w:pStyle w:val="ItemHead"/>
      </w:pPr>
      <w:r w:rsidRPr="00FE1A3A">
        <w:t>23</w:t>
      </w:r>
      <w:r w:rsidR="005F35EC" w:rsidRPr="00FE1A3A">
        <w:t xml:space="preserve">  Subsection</w:t>
      </w:r>
      <w:r w:rsidR="00FE1A3A" w:rsidRPr="00FE1A3A">
        <w:t> </w:t>
      </w:r>
      <w:r w:rsidR="005F35EC" w:rsidRPr="00FE1A3A">
        <w:t>832</w:t>
      </w:r>
      <w:r w:rsidR="00FE1A3A">
        <w:noBreakHyphen/>
      </w:r>
      <w:r w:rsidR="005F35EC" w:rsidRPr="00FE1A3A">
        <w:t>320(1) (note)</w:t>
      </w:r>
    </w:p>
    <w:p w14:paraId="40CBE76A" w14:textId="77777777" w:rsidR="005F35EC" w:rsidRPr="00FE1A3A" w:rsidRDefault="005F35EC" w:rsidP="00FE1A3A">
      <w:pPr>
        <w:pStyle w:val="Item"/>
      </w:pPr>
      <w:r w:rsidRPr="00FE1A3A">
        <w:t>Before “identified”, insert “generally”.</w:t>
      </w:r>
    </w:p>
    <w:p w14:paraId="6979AD30" w14:textId="77777777" w:rsidR="005F35EC" w:rsidRPr="00FE1A3A" w:rsidRDefault="001C65C7" w:rsidP="00FE1A3A">
      <w:pPr>
        <w:pStyle w:val="ItemHead"/>
      </w:pPr>
      <w:r w:rsidRPr="00FE1A3A">
        <w:t>24</w:t>
      </w:r>
      <w:r w:rsidR="005F35EC" w:rsidRPr="00FE1A3A">
        <w:t xml:space="preserve">  Subsections</w:t>
      </w:r>
      <w:r w:rsidR="00FE1A3A" w:rsidRPr="00FE1A3A">
        <w:t> </w:t>
      </w:r>
      <w:r w:rsidR="005F35EC" w:rsidRPr="00FE1A3A">
        <w:t>832</w:t>
      </w:r>
      <w:r w:rsidR="00FE1A3A">
        <w:noBreakHyphen/>
      </w:r>
      <w:r w:rsidR="005F35EC" w:rsidRPr="00FE1A3A">
        <w:t>325(1) and (2) (note 1)</w:t>
      </w:r>
    </w:p>
    <w:p w14:paraId="7BF608EA" w14:textId="77777777" w:rsidR="005F35EC" w:rsidRPr="00FE1A3A" w:rsidRDefault="005F35EC" w:rsidP="00FE1A3A">
      <w:pPr>
        <w:pStyle w:val="Item"/>
      </w:pPr>
      <w:r w:rsidRPr="00FE1A3A">
        <w:t>Before “identified”, insert “generally”.</w:t>
      </w:r>
    </w:p>
    <w:p w14:paraId="28C0EA3A" w14:textId="77777777" w:rsidR="009053EE" w:rsidRPr="00FE1A3A" w:rsidRDefault="001C65C7" w:rsidP="00FE1A3A">
      <w:pPr>
        <w:pStyle w:val="ItemHead"/>
      </w:pPr>
      <w:r w:rsidRPr="00FE1A3A">
        <w:t>25</w:t>
      </w:r>
      <w:r w:rsidR="009053EE" w:rsidRPr="00FE1A3A">
        <w:t xml:space="preserve">  At the end of subsection</w:t>
      </w:r>
      <w:r w:rsidR="00FE1A3A" w:rsidRPr="00FE1A3A">
        <w:t> </w:t>
      </w:r>
      <w:r w:rsidR="009053EE" w:rsidRPr="00FE1A3A">
        <w:t>832</w:t>
      </w:r>
      <w:r w:rsidR="00FE1A3A">
        <w:noBreakHyphen/>
      </w:r>
      <w:r w:rsidR="009053EE" w:rsidRPr="00FE1A3A">
        <w:t>325(2) (after note 2)</w:t>
      </w:r>
    </w:p>
    <w:p w14:paraId="0BE6783C" w14:textId="77777777" w:rsidR="009053EE" w:rsidRPr="00FE1A3A" w:rsidRDefault="009053EE" w:rsidP="00FE1A3A">
      <w:pPr>
        <w:pStyle w:val="Item"/>
      </w:pPr>
      <w:r w:rsidRPr="00FE1A3A">
        <w:t>Add:</w:t>
      </w:r>
    </w:p>
    <w:p w14:paraId="239F3C03" w14:textId="77777777" w:rsidR="009053EE" w:rsidRPr="00FE1A3A" w:rsidRDefault="009053EE" w:rsidP="00FE1A3A">
      <w:pPr>
        <w:pStyle w:val="notetext"/>
      </w:pPr>
      <w:r w:rsidRPr="00FE1A3A">
        <w:t>Note 3:</w:t>
      </w:r>
      <w:r w:rsidRPr="00FE1A3A">
        <w:tab/>
        <w:t>Another example is a test entity that is a trust</w:t>
      </w:r>
      <w:r w:rsidR="00237042" w:rsidRPr="00FE1A3A">
        <w:t xml:space="preserve"> to which </w:t>
      </w:r>
      <w:r w:rsidR="00ED7F2B" w:rsidRPr="00FE1A3A">
        <w:t>Division</w:t>
      </w:r>
      <w:r w:rsidR="00FE1A3A" w:rsidRPr="00FE1A3A">
        <w:t> </w:t>
      </w:r>
      <w:r w:rsidR="00ED7F2B" w:rsidRPr="00FE1A3A">
        <w:t>6 of Part</w:t>
      </w:r>
      <w:r w:rsidR="00FE1A3A" w:rsidRPr="00FE1A3A">
        <w:t> </w:t>
      </w:r>
      <w:r w:rsidR="00ED7F2B" w:rsidRPr="00FE1A3A">
        <w:t xml:space="preserve">III of the </w:t>
      </w:r>
      <w:r w:rsidR="00ED7F2B" w:rsidRPr="00FE1A3A">
        <w:rPr>
          <w:i/>
        </w:rPr>
        <w:t>Income Tax Assessment Act 1936</w:t>
      </w:r>
      <w:r w:rsidR="00237042" w:rsidRPr="00FE1A3A">
        <w:rPr>
          <w:i/>
        </w:rPr>
        <w:t xml:space="preserve"> </w:t>
      </w:r>
      <w:r w:rsidR="00237042" w:rsidRPr="00FE1A3A">
        <w:t>applies</w:t>
      </w:r>
      <w:r w:rsidR="00552810" w:rsidRPr="00FE1A3A">
        <w:t xml:space="preserve">. </w:t>
      </w:r>
      <w:r w:rsidR="00453F12" w:rsidRPr="00FE1A3A">
        <w:t xml:space="preserve">Each </w:t>
      </w:r>
      <w:r w:rsidRPr="00FE1A3A">
        <w:t>beneficiary who is presently entitled to a share of the income of the trust and who is not under any legal disability, and the trustee of the t</w:t>
      </w:r>
      <w:r w:rsidR="00552810" w:rsidRPr="00FE1A3A">
        <w:t>rust, are liable entities in respect of the income or profits</w:t>
      </w:r>
      <w:r w:rsidR="00453F12" w:rsidRPr="00FE1A3A">
        <w:t xml:space="preserve"> of </w:t>
      </w:r>
      <w:r w:rsidR="00ED7F2B" w:rsidRPr="00FE1A3A">
        <w:t>the</w:t>
      </w:r>
      <w:r w:rsidR="00453F12" w:rsidRPr="00FE1A3A">
        <w:t xml:space="preserve"> trust.</w:t>
      </w:r>
    </w:p>
    <w:p w14:paraId="2ECE0AFE" w14:textId="77777777" w:rsidR="005F35EC" w:rsidRPr="00FE1A3A" w:rsidRDefault="001C65C7" w:rsidP="00FE1A3A">
      <w:pPr>
        <w:pStyle w:val="ItemHead"/>
      </w:pPr>
      <w:r w:rsidRPr="00FE1A3A">
        <w:t>26</w:t>
      </w:r>
      <w:r w:rsidR="005F35EC" w:rsidRPr="00FE1A3A">
        <w:t xml:space="preserve">  Subsection</w:t>
      </w:r>
      <w:r w:rsidR="00FE1A3A" w:rsidRPr="00FE1A3A">
        <w:t> </w:t>
      </w:r>
      <w:r w:rsidR="005F35EC" w:rsidRPr="00FE1A3A">
        <w:t>832</w:t>
      </w:r>
      <w:r w:rsidR="00FE1A3A">
        <w:noBreakHyphen/>
      </w:r>
      <w:r w:rsidR="005F35EC" w:rsidRPr="00FE1A3A">
        <w:t>410(1) (note)</w:t>
      </w:r>
    </w:p>
    <w:p w14:paraId="31888C30" w14:textId="77777777" w:rsidR="005F35EC" w:rsidRPr="00FE1A3A" w:rsidRDefault="005F35EC" w:rsidP="00FE1A3A">
      <w:pPr>
        <w:pStyle w:val="Item"/>
      </w:pPr>
      <w:r w:rsidRPr="00FE1A3A">
        <w:t>Before “identified”, insert “generally”.</w:t>
      </w:r>
    </w:p>
    <w:p w14:paraId="5E76E613" w14:textId="77777777" w:rsidR="00D72EAC" w:rsidRPr="00FE1A3A" w:rsidRDefault="001C65C7" w:rsidP="00FE1A3A">
      <w:pPr>
        <w:pStyle w:val="Transitional"/>
      </w:pPr>
      <w:r w:rsidRPr="00FE1A3A">
        <w:t>27</w:t>
      </w:r>
      <w:r w:rsidR="00D72EAC" w:rsidRPr="00FE1A3A">
        <w:t xml:space="preserve">  Application</w:t>
      </w:r>
    </w:p>
    <w:p w14:paraId="1265628A" w14:textId="77777777" w:rsidR="00D72EAC" w:rsidRPr="00FE1A3A" w:rsidRDefault="00D72EAC" w:rsidP="00FE1A3A">
      <w:pPr>
        <w:pStyle w:val="Item"/>
      </w:pPr>
      <w:r w:rsidRPr="00FE1A3A">
        <w:t>The amendments made by this Part apply to assessments for income years starting on or after 1</w:t>
      </w:r>
      <w:r w:rsidR="00FE1A3A" w:rsidRPr="00FE1A3A">
        <w:t> </w:t>
      </w:r>
      <w:r w:rsidRPr="00FE1A3A">
        <w:t>January 2019.</w:t>
      </w:r>
    </w:p>
    <w:p w14:paraId="5681F05E" w14:textId="77777777" w:rsidR="00E74068" w:rsidRPr="00FE1A3A" w:rsidRDefault="00E74068" w:rsidP="00FE1A3A">
      <w:pPr>
        <w:pStyle w:val="ActHead7"/>
        <w:pageBreakBefore/>
      </w:pPr>
      <w:bookmarkStart w:id="10" w:name="_Toc24097881"/>
      <w:r w:rsidRPr="00FE1A3A">
        <w:rPr>
          <w:rStyle w:val="CharAmPartNo"/>
        </w:rPr>
        <w:lastRenderedPageBreak/>
        <w:t>Part</w:t>
      </w:r>
      <w:r w:rsidR="00FE1A3A" w:rsidRPr="00FE1A3A">
        <w:rPr>
          <w:rStyle w:val="CharAmPartNo"/>
        </w:rPr>
        <w:t> </w:t>
      </w:r>
      <w:r w:rsidRPr="00FE1A3A">
        <w:rPr>
          <w:rStyle w:val="CharAmPartNo"/>
        </w:rPr>
        <w:t>4</w:t>
      </w:r>
      <w:r w:rsidRPr="00FE1A3A">
        <w:t>—</w:t>
      </w:r>
      <w:r w:rsidRPr="00FE1A3A">
        <w:rPr>
          <w:rStyle w:val="CharAmPartText"/>
        </w:rPr>
        <w:t>Dual inclusion income</w:t>
      </w:r>
      <w:bookmarkEnd w:id="10"/>
    </w:p>
    <w:p w14:paraId="51EF34BE" w14:textId="77777777" w:rsidR="00E74068" w:rsidRPr="00FE1A3A" w:rsidRDefault="00E74068" w:rsidP="00FE1A3A">
      <w:pPr>
        <w:pStyle w:val="ActHead9"/>
        <w:rPr>
          <w:i w:val="0"/>
        </w:rPr>
      </w:pPr>
      <w:bookmarkStart w:id="11" w:name="_Toc24097882"/>
      <w:r w:rsidRPr="00FE1A3A">
        <w:t>Income Tax Assessment Act 1997</w:t>
      </w:r>
      <w:bookmarkEnd w:id="11"/>
    </w:p>
    <w:p w14:paraId="60C73AC2" w14:textId="77777777" w:rsidR="00314E8F" w:rsidRPr="00FE1A3A" w:rsidRDefault="001C65C7" w:rsidP="00FE1A3A">
      <w:pPr>
        <w:pStyle w:val="ItemHead"/>
      </w:pPr>
      <w:r w:rsidRPr="00FE1A3A">
        <w:t>28</w:t>
      </w:r>
      <w:r w:rsidR="00314E8F" w:rsidRPr="00FE1A3A">
        <w:t xml:space="preserve">  Paragraph 832</w:t>
      </w:r>
      <w:r w:rsidR="00FE1A3A">
        <w:noBreakHyphen/>
      </w:r>
      <w:r w:rsidR="00314E8F" w:rsidRPr="00FE1A3A">
        <w:t>680(4)(b)</w:t>
      </w:r>
    </w:p>
    <w:p w14:paraId="5626073B" w14:textId="77777777" w:rsidR="00314E8F" w:rsidRPr="00FE1A3A" w:rsidRDefault="00314E8F" w:rsidP="00FE1A3A">
      <w:pPr>
        <w:pStyle w:val="Item"/>
      </w:pPr>
      <w:r w:rsidRPr="00FE1A3A">
        <w:t>Omit “at a time”.</w:t>
      </w:r>
    </w:p>
    <w:p w14:paraId="0BF04BB6" w14:textId="77777777" w:rsidR="007E3C86" w:rsidRPr="00FE1A3A" w:rsidRDefault="001C65C7" w:rsidP="00FE1A3A">
      <w:pPr>
        <w:pStyle w:val="ItemHead"/>
      </w:pPr>
      <w:r w:rsidRPr="00FE1A3A">
        <w:t>29</w:t>
      </w:r>
      <w:r w:rsidR="00885C1B" w:rsidRPr="00FE1A3A">
        <w:t xml:space="preserve">  Paragraph</w:t>
      </w:r>
      <w:r w:rsidR="00BE7A51" w:rsidRPr="00FE1A3A">
        <w:t>s</w:t>
      </w:r>
      <w:r w:rsidR="00885C1B" w:rsidRPr="00FE1A3A">
        <w:t xml:space="preserve"> 832</w:t>
      </w:r>
      <w:r w:rsidR="00FE1A3A">
        <w:noBreakHyphen/>
      </w:r>
      <w:r w:rsidR="00885C1B" w:rsidRPr="00FE1A3A">
        <w:t>680(4)</w:t>
      </w:r>
      <w:r w:rsidR="00651B5E" w:rsidRPr="00FE1A3A">
        <w:t xml:space="preserve">(c), </w:t>
      </w:r>
      <w:r w:rsidR="00885C1B" w:rsidRPr="00FE1A3A">
        <w:t>(</w:t>
      </w:r>
      <w:r w:rsidR="00C035D5" w:rsidRPr="00FE1A3A">
        <w:t>d</w:t>
      </w:r>
      <w:r w:rsidR="00885C1B" w:rsidRPr="00FE1A3A">
        <w:t>)</w:t>
      </w:r>
      <w:r w:rsidR="00651B5E" w:rsidRPr="00FE1A3A">
        <w:t xml:space="preserve"> and (e)</w:t>
      </w:r>
    </w:p>
    <w:p w14:paraId="1C954076" w14:textId="77777777" w:rsidR="00885C1B" w:rsidRPr="00FE1A3A" w:rsidRDefault="00885C1B" w:rsidP="00FE1A3A">
      <w:pPr>
        <w:pStyle w:val="Item"/>
      </w:pPr>
      <w:r w:rsidRPr="00FE1A3A">
        <w:t>Repeal the paragraph</w:t>
      </w:r>
      <w:r w:rsidR="00BE7A51" w:rsidRPr="00FE1A3A">
        <w:t>s</w:t>
      </w:r>
      <w:r w:rsidRPr="00FE1A3A">
        <w:t>, substitute:</w:t>
      </w:r>
    </w:p>
    <w:p w14:paraId="24D6C350" w14:textId="77777777" w:rsidR="00BE7A51" w:rsidRPr="00FE1A3A" w:rsidRDefault="00BE7A51" w:rsidP="00FE1A3A">
      <w:pPr>
        <w:pStyle w:val="paragraph"/>
      </w:pPr>
      <w:r w:rsidRPr="00FE1A3A">
        <w:tab/>
        <w:t>(c)</w:t>
      </w:r>
      <w:r w:rsidRPr="00FE1A3A">
        <w:tab/>
        <w:t>it is reasonable to conclude that:</w:t>
      </w:r>
    </w:p>
    <w:p w14:paraId="5E0FA2BC" w14:textId="77777777" w:rsidR="00BE7A51" w:rsidRPr="00FE1A3A" w:rsidRDefault="00BE7A51" w:rsidP="00FE1A3A">
      <w:pPr>
        <w:pStyle w:val="paragraphsub"/>
      </w:pPr>
      <w:r w:rsidRPr="00FE1A3A">
        <w:tab/>
        <w:t>(i)</w:t>
      </w:r>
      <w:r w:rsidRPr="00FE1A3A">
        <w:tab/>
        <w:t xml:space="preserve">the payment was funded by an amount of income or profits of the other member (the </w:t>
      </w:r>
      <w:r w:rsidRPr="00FE1A3A">
        <w:rPr>
          <w:b/>
          <w:i/>
        </w:rPr>
        <w:t>funding income or profits</w:t>
      </w:r>
      <w:r w:rsidRPr="00FE1A3A">
        <w:t>); and</w:t>
      </w:r>
    </w:p>
    <w:p w14:paraId="18E2FBDD" w14:textId="77777777" w:rsidR="00BE7A51" w:rsidRPr="00FE1A3A" w:rsidRDefault="00BE7A51" w:rsidP="00FE1A3A">
      <w:pPr>
        <w:pStyle w:val="paragraphsub"/>
      </w:pPr>
      <w:r w:rsidRPr="00FE1A3A">
        <w:tab/>
        <w:t>(ii)</w:t>
      </w:r>
      <w:r w:rsidRPr="00FE1A3A">
        <w:tab/>
        <w:t xml:space="preserve">an outcome mentioned in </w:t>
      </w:r>
      <w:r w:rsidR="00FE1A3A" w:rsidRPr="00FE1A3A">
        <w:t>subsection (</w:t>
      </w:r>
      <w:r w:rsidRPr="00FE1A3A">
        <w:t xml:space="preserve">1) arose for the funding income or profits in the country mentioned in </w:t>
      </w:r>
      <w:r w:rsidR="00FE1A3A" w:rsidRPr="00FE1A3A">
        <w:t>paragraph (</w:t>
      </w:r>
      <w:r w:rsidRPr="00FE1A3A">
        <w:t xml:space="preserve">a) of this </w:t>
      </w:r>
      <w:r w:rsidR="00FE1A3A" w:rsidRPr="00FE1A3A">
        <w:t>subsection (</w:t>
      </w:r>
      <w:r w:rsidR="00651B5E" w:rsidRPr="00FE1A3A">
        <w:t xml:space="preserve">including as a result of a previous operation of </w:t>
      </w:r>
      <w:r w:rsidR="00FE1A3A" w:rsidRPr="00FE1A3A">
        <w:t>subsection (</w:t>
      </w:r>
      <w:r w:rsidR="00651B5E" w:rsidRPr="00FE1A3A">
        <w:t>5))</w:t>
      </w:r>
      <w:r w:rsidRPr="00FE1A3A">
        <w:t>; and</w:t>
      </w:r>
    </w:p>
    <w:p w14:paraId="56E50089" w14:textId="77777777" w:rsidR="00BE7A51" w:rsidRPr="00FE1A3A" w:rsidRDefault="00BE7A51" w:rsidP="00FE1A3A">
      <w:pPr>
        <w:pStyle w:val="paragraph"/>
      </w:pPr>
      <w:r w:rsidRPr="00FE1A3A">
        <w:tab/>
        <w:t>(d)</w:t>
      </w:r>
      <w:r w:rsidRPr="00FE1A3A">
        <w:tab/>
        <w:t xml:space="preserve">the funding income or profits were not </w:t>
      </w:r>
      <w:r w:rsidR="00FE1A3A" w:rsidRPr="00FE1A3A">
        <w:rPr>
          <w:position w:val="6"/>
          <w:sz w:val="16"/>
        </w:rPr>
        <w:t>*</w:t>
      </w:r>
      <w:r w:rsidRPr="00FE1A3A">
        <w:t>dual inclusion income in the country.</w:t>
      </w:r>
    </w:p>
    <w:p w14:paraId="2A526AE7" w14:textId="77777777" w:rsidR="00314E8F" w:rsidRPr="00FE1A3A" w:rsidRDefault="00314E8F" w:rsidP="00FE1A3A">
      <w:pPr>
        <w:pStyle w:val="notetext"/>
      </w:pPr>
      <w:r w:rsidRPr="00FE1A3A">
        <w:t>Note:</w:t>
      </w:r>
      <w:r w:rsidRPr="00FE1A3A">
        <w:tab/>
        <w:t xml:space="preserve">Because </w:t>
      </w:r>
      <w:r w:rsidR="00FE1A3A" w:rsidRPr="00FE1A3A">
        <w:t>subparagraph (</w:t>
      </w:r>
      <w:r w:rsidRPr="00FE1A3A">
        <w:t xml:space="preserve">c)(ii) recognises a tax outcome that arises through a previous operation of </w:t>
      </w:r>
      <w:r w:rsidR="00FE1A3A" w:rsidRPr="00FE1A3A">
        <w:t>subsection (</w:t>
      </w:r>
      <w:r w:rsidRPr="00FE1A3A">
        <w:t>5), the tax outcome can effectively be passed through a chain of payments.</w:t>
      </w:r>
    </w:p>
    <w:p w14:paraId="36DBDF4F" w14:textId="77777777" w:rsidR="005D034A" w:rsidRPr="00FE1A3A" w:rsidRDefault="001C65C7" w:rsidP="00FE1A3A">
      <w:pPr>
        <w:pStyle w:val="ItemHead"/>
      </w:pPr>
      <w:r w:rsidRPr="00FE1A3A">
        <w:t>30</w:t>
      </w:r>
      <w:r w:rsidR="005D034A" w:rsidRPr="00FE1A3A">
        <w:t xml:space="preserve">  Subsection</w:t>
      </w:r>
      <w:r w:rsidR="00FE1A3A" w:rsidRPr="00FE1A3A">
        <w:t> </w:t>
      </w:r>
      <w:r w:rsidR="005D034A" w:rsidRPr="00FE1A3A">
        <w:t>832</w:t>
      </w:r>
      <w:r w:rsidR="00FE1A3A">
        <w:noBreakHyphen/>
      </w:r>
      <w:r w:rsidR="005D034A" w:rsidRPr="00FE1A3A">
        <w:t>680(5)</w:t>
      </w:r>
    </w:p>
    <w:p w14:paraId="2C12A6CD" w14:textId="77777777" w:rsidR="005D034A" w:rsidRPr="00FE1A3A" w:rsidRDefault="005D034A" w:rsidP="00FE1A3A">
      <w:pPr>
        <w:pStyle w:val="Item"/>
      </w:pPr>
      <w:r w:rsidRPr="00FE1A3A">
        <w:t>Repeal the subsection, substitute:</w:t>
      </w:r>
    </w:p>
    <w:p w14:paraId="6295DCCA" w14:textId="77777777" w:rsidR="00651B5E" w:rsidRPr="00FE1A3A" w:rsidRDefault="00651B5E" w:rsidP="00FE1A3A">
      <w:pPr>
        <w:pStyle w:val="subsection"/>
      </w:pPr>
      <w:r w:rsidRPr="00FE1A3A">
        <w:tab/>
        <w:t>(5)</w:t>
      </w:r>
      <w:r w:rsidRPr="00FE1A3A">
        <w:tab/>
        <w:t xml:space="preserve">The outcome mentioned in </w:t>
      </w:r>
      <w:r w:rsidR="00FE1A3A" w:rsidRPr="00FE1A3A">
        <w:t>subparagraph (</w:t>
      </w:r>
      <w:r w:rsidRPr="00FE1A3A">
        <w:t>4)(c)(ii) is taken to have arisen for the on</w:t>
      </w:r>
      <w:r w:rsidR="00FE1A3A">
        <w:noBreakHyphen/>
      </w:r>
      <w:r w:rsidRPr="00FE1A3A">
        <w:t>payment amount in the income year, or foreign tax period (as the case requires) in which the payment was received, for the purposes of:</w:t>
      </w:r>
    </w:p>
    <w:p w14:paraId="2A4414D0" w14:textId="77777777" w:rsidR="00BE7A51" w:rsidRPr="00FE1A3A" w:rsidRDefault="00BE7A51" w:rsidP="00FE1A3A">
      <w:pPr>
        <w:pStyle w:val="paragraph"/>
      </w:pPr>
      <w:r w:rsidRPr="00FE1A3A">
        <w:tab/>
        <w:t>(a)</w:t>
      </w:r>
      <w:r w:rsidRPr="00FE1A3A">
        <w:tab/>
        <w:t>this section;</w:t>
      </w:r>
      <w:r w:rsidR="00EB4425" w:rsidRPr="00FE1A3A">
        <w:t xml:space="preserve"> and</w:t>
      </w:r>
    </w:p>
    <w:p w14:paraId="10DF4AD4" w14:textId="77777777" w:rsidR="00BE7A51" w:rsidRPr="00FE1A3A" w:rsidRDefault="00BE7A51" w:rsidP="00FE1A3A">
      <w:pPr>
        <w:pStyle w:val="paragraph"/>
      </w:pPr>
      <w:r w:rsidRPr="00FE1A3A">
        <w:tab/>
        <w:t>(b)</w:t>
      </w:r>
      <w:r w:rsidRPr="00FE1A3A">
        <w:tab/>
        <w:t>sections</w:t>
      </w:r>
      <w:r w:rsidR="00FE1A3A" w:rsidRPr="00FE1A3A">
        <w:t> </w:t>
      </w:r>
      <w:r w:rsidRPr="00FE1A3A">
        <w:t>832</w:t>
      </w:r>
      <w:r w:rsidR="00FE1A3A">
        <w:noBreakHyphen/>
      </w:r>
      <w:r w:rsidRPr="00FE1A3A">
        <w:t>330 and 832</w:t>
      </w:r>
      <w:r w:rsidR="00FE1A3A">
        <w:noBreakHyphen/>
      </w:r>
      <w:r w:rsidRPr="00FE1A3A">
        <w:t>335 (about neutralising amounts and adjustments for hybrid payer mismatches);</w:t>
      </w:r>
      <w:r w:rsidR="00EB4425" w:rsidRPr="00FE1A3A">
        <w:t xml:space="preserve"> and</w:t>
      </w:r>
    </w:p>
    <w:p w14:paraId="614663A2" w14:textId="77777777" w:rsidR="00BE7A51" w:rsidRPr="00FE1A3A" w:rsidRDefault="00BE7A51" w:rsidP="00FE1A3A">
      <w:pPr>
        <w:pStyle w:val="paragraph"/>
      </w:pPr>
      <w:r w:rsidRPr="00FE1A3A">
        <w:tab/>
        <w:t>(c)</w:t>
      </w:r>
      <w:r w:rsidRPr="00FE1A3A">
        <w:tab/>
        <w:t>sections</w:t>
      </w:r>
      <w:r w:rsidR="00FE1A3A" w:rsidRPr="00FE1A3A">
        <w:t> </w:t>
      </w:r>
      <w:r w:rsidRPr="00FE1A3A">
        <w:t>832</w:t>
      </w:r>
      <w:r w:rsidR="00FE1A3A">
        <w:noBreakHyphen/>
      </w:r>
      <w:r w:rsidRPr="00FE1A3A">
        <w:t>560 and 832</w:t>
      </w:r>
      <w:r w:rsidR="00FE1A3A">
        <w:noBreakHyphen/>
      </w:r>
      <w:r w:rsidRPr="00FE1A3A">
        <w:t>565 (about neutralising amounts and adjustments for deducting hybrid mismatches).</w:t>
      </w:r>
    </w:p>
    <w:p w14:paraId="646915AA" w14:textId="77777777" w:rsidR="00D72EAC" w:rsidRPr="00FE1A3A" w:rsidRDefault="001C65C7" w:rsidP="00FE1A3A">
      <w:pPr>
        <w:pStyle w:val="Transitional"/>
      </w:pPr>
      <w:r w:rsidRPr="00FE1A3A">
        <w:t>31</w:t>
      </w:r>
      <w:r w:rsidR="00D72EAC" w:rsidRPr="00FE1A3A">
        <w:t xml:space="preserve">  Application</w:t>
      </w:r>
    </w:p>
    <w:p w14:paraId="2E711677" w14:textId="77777777" w:rsidR="00D72EAC" w:rsidRPr="00FE1A3A" w:rsidRDefault="00D72EAC" w:rsidP="00FE1A3A">
      <w:pPr>
        <w:pStyle w:val="Item"/>
      </w:pPr>
      <w:r w:rsidRPr="00FE1A3A">
        <w:t>The amendments made by this Part apply to assessments for income years starting on or after 1</w:t>
      </w:r>
      <w:r w:rsidR="00FE1A3A" w:rsidRPr="00FE1A3A">
        <w:t> </w:t>
      </w:r>
      <w:r w:rsidRPr="00FE1A3A">
        <w:t>January 2019.</w:t>
      </w:r>
    </w:p>
    <w:p w14:paraId="4377A8CC" w14:textId="77777777" w:rsidR="00B530A3" w:rsidRPr="00FE1A3A" w:rsidRDefault="00B530A3" w:rsidP="00FE1A3A">
      <w:pPr>
        <w:pStyle w:val="ActHead7"/>
      </w:pPr>
      <w:bookmarkStart w:id="12" w:name="_Toc24097883"/>
      <w:r w:rsidRPr="00FE1A3A">
        <w:rPr>
          <w:rStyle w:val="CharAmPartNo"/>
        </w:rPr>
        <w:lastRenderedPageBreak/>
        <w:t>Part</w:t>
      </w:r>
      <w:r w:rsidR="00FE1A3A" w:rsidRPr="00FE1A3A">
        <w:rPr>
          <w:rStyle w:val="CharAmPartNo"/>
        </w:rPr>
        <w:t> </w:t>
      </w:r>
      <w:r w:rsidR="009C002B" w:rsidRPr="00FE1A3A">
        <w:rPr>
          <w:rStyle w:val="CharAmPartNo"/>
        </w:rPr>
        <w:t>5</w:t>
      </w:r>
      <w:r w:rsidRPr="00FE1A3A">
        <w:t>—</w:t>
      </w:r>
      <w:r w:rsidRPr="00FE1A3A">
        <w:rPr>
          <w:rStyle w:val="CharAmPartText"/>
        </w:rPr>
        <w:t>Hybrid entities integrity rule</w:t>
      </w:r>
      <w:bookmarkEnd w:id="12"/>
    </w:p>
    <w:p w14:paraId="60938495" w14:textId="77777777" w:rsidR="00B530A3" w:rsidRPr="00FE1A3A" w:rsidRDefault="00B530A3" w:rsidP="00FE1A3A">
      <w:pPr>
        <w:pStyle w:val="ActHead9"/>
        <w:rPr>
          <w:i w:val="0"/>
        </w:rPr>
      </w:pPr>
      <w:bookmarkStart w:id="13" w:name="_Toc24097884"/>
      <w:r w:rsidRPr="00FE1A3A">
        <w:t>Income Tax Assessment Act 1997</w:t>
      </w:r>
      <w:bookmarkEnd w:id="13"/>
    </w:p>
    <w:p w14:paraId="1652263E" w14:textId="77777777" w:rsidR="00B530A3" w:rsidRPr="00FE1A3A" w:rsidRDefault="001C65C7" w:rsidP="00FE1A3A">
      <w:pPr>
        <w:pStyle w:val="ItemHead"/>
      </w:pPr>
      <w:r w:rsidRPr="00FE1A3A">
        <w:t>32</w:t>
      </w:r>
      <w:r w:rsidR="00B530A3" w:rsidRPr="00FE1A3A">
        <w:t xml:space="preserve">  After subsection</w:t>
      </w:r>
      <w:r w:rsidR="00FE1A3A" w:rsidRPr="00FE1A3A">
        <w:t> </w:t>
      </w:r>
      <w:r w:rsidR="00B530A3" w:rsidRPr="00FE1A3A">
        <w:t>832</w:t>
      </w:r>
      <w:r w:rsidR="00FE1A3A">
        <w:noBreakHyphen/>
      </w:r>
      <w:r w:rsidR="00B530A3" w:rsidRPr="00FE1A3A">
        <w:t>240(2)</w:t>
      </w:r>
    </w:p>
    <w:p w14:paraId="6891D164" w14:textId="77777777" w:rsidR="00B530A3" w:rsidRPr="00FE1A3A" w:rsidRDefault="00B530A3" w:rsidP="00FE1A3A">
      <w:pPr>
        <w:pStyle w:val="Item"/>
      </w:pPr>
      <w:r w:rsidRPr="00FE1A3A">
        <w:t>Insert:</w:t>
      </w:r>
    </w:p>
    <w:p w14:paraId="3D1AE45C" w14:textId="77777777" w:rsidR="00B530A3" w:rsidRPr="00FE1A3A" w:rsidRDefault="00B530A3" w:rsidP="00FE1A3A">
      <w:pPr>
        <w:pStyle w:val="subsection"/>
      </w:pPr>
      <w:r w:rsidRPr="00FE1A3A">
        <w:tab/>
        <w:t>(2A)</w:t>
      </w:r>
      <w:r w:rsidRPr="00FE1A3A">
        <w:tab/>
      </w:r>
      <w:r w:rsidR="00FE1A3A" w:rsidRPr="00FE1A3A">
        <w:t>Subsection (</w:t>
      </w:r>
      <w:r w:rsidRPr="00FE1A3A">
        <w:t>2) does not apply if, on the assumption that subsections</w:t>
      </w:r>
      <w:r w:rsidR="00FE1A3A" w:rsidRPr="00FE1A3A">
        <w:t> </w:t>
      </w:r>
      <w:r w:rsidRPr="00FE1A3A">
        <w:t>832</w:t>
      </w:r>
      <w:r w:rsidR="00FE1A3A">
        <w:noBreakHyphen/>
      </w:r>
      <w:r w:rsidRPr="00FE1A3A">
        <w:t>180(2) and 832</w:t>
      </w:r>
      <w:r w:rsidR="00FE1A3A">
        <w:noBreakHyphen/>
      </w:r>
      <w:r w:rsidRPr="00FE1A3A">
        <w:t>725(6) were disregarded, no amount would have been allowable as a deduction in respect of the payment because of subsection</w:t>
      </w:r>
      <w:r w:rsidR="00FE1A3A" w:rsidRPr="00FE1A3A">
        <w:t> </w:t>
      </w:r>
      <w:r w:rsidRPr="00FE1A3A">
        <w:t>832</w:t>
      </w:r>
      <w:r w:rsidR="00FE1A3A">
        <w:noBreakHyphen/>
      </w:r>
      <w:r w:rsidRPr="00FE1A3A">
        <w:t>725(3).</w:t>
      </w:r>
    </w:p>
    <w:p w14:paraId="4BB78100" w14:textId="77777777" w:rsidR="00B530A3" w:rsidRPr="00FE1A3A" w:rsidRDefault="001C65C7" w:rsidP="00FE1A3A">
      <w:pPr>
        <w:pStyle w:val="ItemHead"/>
      </w:pPr>
      <w:r w:rsidRPr="00FE1A3A">
        <w:t>33</w:t>
      </w:r>
      <w:r w:rsidR="00B530A3" w:rsidRPr="00FE1A3A">
        <w:t xml:space="preserve">  After subsection</w:t>
      </w:r>
      <w:r w:rsidR="00FE1A3A" w:rsidRPr="00FE1A3A">
        <w:t> </w:t>
      </w:r>
      <w:r w:rsidR="00B530A3" w:rsidRPr="00FE1A3A">
        <w:t>832</w:t>
      </w:r>
      <w:r w:rsidR="00FE1A3A">
        <w:noBreakHyphen/>
      </w:r>
      <w:r w:rsidR="00B530A3" w:rsidRPr="00FE1A3A">
        <w:t>565(2)</w:t>
      </w:r>
    </w:p>
    <w:p w14:paraId="59DCC633" w14:textId="77777777" w:rsidR="00B530A3" w:rsidRPr="00FE1A3A" w:rsidRDefault="00B530A3" w:rsidP="00FE1A3A">
      <w:pPr>
        <w:pStyle w:val="Item"/>
      </w:pPr>
      <w:r w:rsidRPr="00FE1A3A">
        <w:t>Insert:</w:t>
      </w:r>
    </w:p>
    <w:p w14:paraId="05AC6D45" w14:textId="77777777" w:rsidR="00B530A3" w:rsidRPr="00FE1A3A" w:rsidRDefault="00B530A3" w:rsidP="00FE1A3A">
      <w:pPr>
        <w:pStyle w:val="subsection"/>
      </w:pPr>
      <w:r w:rsidRPr="00FE1A3A">
        <w:tab/>
        <w:t>(2A)</w:t>
      </w:r>
      <w:r w:rsidRPr="00FE1A3A">
        <w:tab/>
      </w:r>
      <w:r w:rsidR="00FE1A3A" w:rsidRPr="00FE1A3A">
        <w:t>Subsection (</w:t>
      </w:r>
      <w:r w:rsidRPr="00FE1A3A">
        <w:t>2) does not apply if:</w:t>
      </w:r>
    </w:p>
    <w:p w14:paraId="42E8A245" w14:textId="77777777" w:rsidR="00B530A3" w:rsidRPr="00FE1A3A" w:rsidRDefault="00B530A3" w:rsidP="00FE1A3A">
      <w:pPr>
        <w:pStyle w:val="paragraph"/>
      </w:pPr>
      <w:r w:rsidRPr="00FE1A3A">
        <w:tab/>
        <w:t>(a)</w:t>
      </w:r>
      <w:r w:rsidRPr="00FE1A3A">
        <w:tab/>
        <w:t>the amount that was not allowable as a deduction under section</w:t>
      </w:r>
      <w:r w:rsidR="00FE1A3A" w:rsidRPr="00FE1A3A">
        <w:t> </w:t>
      </w:r>
      <w:r w:rsidRPr="00FE1A3A">
        <w:t>832</w:t>
      </w:r>
      <w:r w:rsidR="00FE1A3A">
        <w:noBreakHyphen/>
      </w:r>
      <w:r w:rsidRPr="00FE1A3A">
        <w:t>530 relates to a payment; and</w:t>
      </w:r>
    </w:p>
    <w:p w14:paraId="71A5FF5D" w14:textId="77777777" w:rsidR="00B530A3" w:rsidRPr="00FE1A3A" w:rsidRDefault="00B530A3" w:rsidP="00FE1A3A">
      <w:pPr>
        <w:pStyle w:val="paragraph"/>
      </w:pPr>
      <w:r w:rsidRPr="00FE1A3A">
        <w:tab/>
        <w:t>(b)</w:t>
      </w:r>
      <w:r w:rsidRPr="00FE1A3A">
        <w:tab/>
        <w:t>on the assumption that subsection</w:t>
      </w:r>
      <w:r w:rsidR="00FE1A3A" w:rsidRPr="00FE1A3A">
        <w:t> </w:t>
      </w:r>
      <w:r w:rsidRPr="00FE1A3A">
        <w:t>832</w:t>
      </w:r>
      <w:r w:rsidR="00FE1A3A">
        <w:noBreakHyphen/>
      </w:r>
      <w:r w:rsidRPr="00FE1A3A">
        <w:t>530(2) were disregarded, no amount would have been allowable as a deduction in respect of the payment because of subsection</w:t>
      </w:r>
      <w:r w:rsidR="00FE1A3A" w:rsidRPr="00FE1A3A">
        <w:t> </w:t>
      </w:r>
      <w:r w:rsidRPr="00FE1A3A">
        <w:t>832</w:t>
      </w:r>
      <w:r w:rsidR="00FE1A3A">
        <w:noBreakHyphen/>
      </w:r>
      <w:r w:rsidRPr="00FE1A3A">
        <w:t>725(3).</w:t>
      </w:r>
    </w:p>
    <w:p w14:paraId="08428BDF" w14:textId="77777777" w:rsidR="00B530A3" w:rsidRPr="00FE1A3A" w:rsidRDefault="001C65C7" w:rsidP="00FE1A3A">
      <w:pPr>
        <w:pStyle w:val="ItemHead"/>
      </w:pPr>
      <w:r w:rsidRPr="00FE1A3A">
        <w:t>34</w:t>
      </w:r>
      <w:r w:rsidR="00B530A3" w:rsidRPr="00FE1A3A">
        <w:t xml:space="preserve">  Section</w:t>
      </w:r>
      <w:r w:rsidR="00FE1A3A" w:rsidRPr="00FE1A3A">
        <w:t> </w:t>
      </w:r>
      <w:r w:rsidR="00B530A3" w:rsidRPr="00FE1A3A">
        <w:t>832</w:t>
      </w:r>
      <w:r w:rsidR="00FE1A3A">
        <w:noBreakHyphen/>
      </w:r>
      <w:r w:rsidR="00B530A3" w:rsidRPr="00FE1A3A">
        <w:t>720</w:t>
      </w:r>
    </w:p>
    <w:p w14:paraId="7BFCB1DD" w14:textId="77777777" w:rsidR="00B530A3" w:rsidRPr="00FE1A3A" w:rsidRDefault="00B530A3" w:rsidP="00FE1A3A">
      <w:pPr>
        <w:pStyle w:val="Item"/>
      </w:pPr>
      <w:r w:rsidRPr="00FE1A3A">
        <w:t xml:space="preserve">Omit “an Australian deduction of an entity (the </w:t>
      </w:r>
      <w:r w:rsidRPr="00FE1A3A">
        <w:rPr>
          <w:b/>
          <w:i/>
        </w:rPr>
        <w:t>paying entity</w:t>
      </w:r>
      <w:r w:rsidRPr="00FE1A3A">
        <w:t xml:space="preserve">) for a payment of interest (or a payment of a similar character)”, substitute “an Australian deduction for a payment of interest (or a payment of a similar character) made by an entity (the </w:t>
      </w:r>
      <w:r w:rsidRPr="00FE1A3A">
        <w:rPr>
          <w:b/>
          <w:i/>
        </w:rPr>
        <w:t>paying entity</w:t>
      </w:r>
      <w:r w:rsidRPr="00FE1A3A">
        <w:t>)”.</w:t>
      </w:r>
    </w:p>
    <w:p w14:paraId="284072E8" w14:textId="77777777" w:rsidR="00B530A3" w:rsidRPr="00FE1A3A" w:rsidRDefault="001C65C7" w:rsidP="00FE1A3A">
      <w:pPr>
        <w:pStyle w:val="ItemHead"/>
      </w:pPr>
      <w:r w:rsidRPr="00FE1A3A">
        <w:t>35</w:t>
      </w:r>
      <w:r w:rsidR="00B530A3" w:rsidRPr="00FE1A3A">
        <w:t xml:space="preserve">  Section</w:t>
      </w:r>
      <w:r w:rsidR="00FE1A3A" w:rsidRPr="00FE1A3A">
        <w:t> </w:t>
      </w:r>
      <w:r w:rsidR="00B530A3" w:rsidRPr="00FE1A3A">
        <w:t>832</w:t>
      </w:r>
      <w:r w:rsidR="00FE1A3A">
        <w:noBreakHyphen/>
      </w:r>
      <w:r w:rsidR="00B530A3" w:rsidRPr="00FE1A3A">
        <w:t>720</w:t>
      </w:r>
    </w:p>
    <w:p w14:paraId="4B84FF6E" w14:textId="77777777" w:rsidR="00B530A3" w:rsidRPr="00FE1A3A" w:rsidRDefault="00B530A3" w:rsidP="00FE1A3A">
      <w:pPr>
        <w:pStyle w:val="Item"/>
      </w:pPr>
      <w:r w:rsidRPr="00FE1A3A">
        <w:t>Omit “a purpose of enabling a deduction to be obtained in respect of the payment, or”, substitute “a purpose of enabling a deduction to be obtained in respect of the payment, and”.</w:t>
      </w:r>
    </w:p>
    <w:p w14:paraId="4847EDEF" w14:textId="77777777" w:rsidR="00B530A3" w:rsidRPr="00FE1A3A" w:rsidRDefault="001C65C7" w:rsidP="00FE1A3A">
      <w:pPr>
        <w:pStyle w:val="ItemHead"/>
      </w:pPr>
      <w:r w:rsidRPr="00FE1A3A">
        <w:t>36</w:t>
      </w:r>
      <w:r w:rsidR="00B530A3" w:rsidRPr="00FE1A3A">
        <w:t xml:space="preserve">  Paragraph 832</w:t>
      </w:r>
      <w:r w:rsidR="00FE1A3A">
        <w:noBreakHyphen/>
      </w:r>
      <w:r w:rsidR="00B530A3" w:rsidRPr="00FE1A3A">
        <w:t>725(1)(e)</w:t>
      </w:r>
    </w:p>
    <w:p w14:paraId="0A7FD4E6" w14:textId="77777777" w:rsidR="00B530A3" w:rsidRPr="00FE1A3A" w:rsidRDefault="00B530A3" w:rsidP="00FE1A3A">
      <w:pPr>
        <w:pStyle w:val="Item"/>
      </w:pPr>
      <w:r w:rsidRPr="00FE1A3A">
        <w:t>Omit “the paying entity”, substitute “an entity”.</w:t>
      </w:r>
    </w:p>
    <w:p w14:paraId="651744AF" w14:textId="77777777" w:rsidR="00B530A3" w:rsidRPr="00FE1A3A" w:rsidRDefault="001C65C7" w:rsidP="00FE1A3A">
      <w:pPr>
        <w:pStyle w:val="ItemHead"/>
      </w:pPr>
      <w:r w:rsidRPr="00FE1A3A">
        <w:t>37</w:t>
      </w:r>
      <w:r w:rsidR="00B530A3" w:rsidRPr="00FE1A3A">
        <w:t xml:space="preserve">  Subsection</w:t>
      </w:r>
      <w:r w:rsidR="00FE1A3A" w:rsidRPr="00FE1A3A">
        <w:t> </w:t>
      </w:r>
      <w:r w:rsidR="00B530A3" w:rsidRPr="00FE1A3A">
        <w:t>832</w:t>
      </w:r>
      <w:r w:rsidR="00FE1A3A">
        <w:noBreakHyphen/>
      </w:r>
      <w:r w:rsidR="00B530A3" w:rsidRPr="00FE1A3A">
        <w:t>725(3)</w:t>
      </w:r>
    </w:p>
    <w:p w14:paraId="48B2D234" w14:textId="77777777" w:rsidR="00B530A3" w:rsidRPr="00FE1A3A" w:rsidRDefault="00B530A3" w:rsidP="00FE1A3A">
      <w:pPr>
        <w:pStyle w:val="Item"/>
      </w:pPr>
      <w:r w:rsidRPr="00FE1A3A">
        <w:t>Repeal the subsection, substitute:</w:t>
      </w:r>
    </w:p>
    <w:p w14:paraId="0F36EC8F" w14:textId="77777777" w:rsidR="00B530A3" w:rsidRPr="00FE1A3A" w:rsidRDefault="00B530A3" w:rsidP="00FE1A3A">
      <w:pPr>
        <w:pStyle w:val="subsection"/>
      </w:pPr>
      <w:r w:rsidRPr="00FE1A3A">
        <w:lastRenderedPageBreak/>
        <w:tab/>
        <w:t>(3)</w:t>
      </w:r>
      <w:r w:rsidRPr="00FE1A3A">
        <w:tab/>
        <w:t xml:space="preserve">The entity mentioned in </w:t>
      </w:r>
      <w:r w:rsidR="00FE1A3A" w:rsidRPr="00FE1A3A">
        <w:t>paragraph (</w:t>
      </w:r>
      <w:r w:rsidRPr="00FE1A3A">
        <w:t>1)(e) is not entitled to the deduction mentioned in that paragraph.</w:t>
      </w:r>
    </w:p>
    <w:p w14:paraId="491DF15B" w14:textId="77777777" w:rsidR="00B530A3" w:rsidRPr="00FE1A3A" w:rsidRDefault="001C65C7" w:rsidP="00FE1A3A">
      <w:pPr>
        <w:pStyle w:val="ItemHead"/>
      </w:pPr>
      <w:r w:rsidRPr="00FE1A3A">
        <w:t>38</w:t>
      </w:r>
      <w:r w:rsidR="00B530A3" w:rsidRPr="00FE1A3A">
        <w:t xml:space="preserve">  Subsection</w:t>
      </w:r>
      <w:r w:rsidR="00FE1A3A" w:rsidRPr="00FE1A3A">
        <w:t> </w:t>
      </w:r>
      <w:r w:rsidR="00B530A3" w:rsidRPr="00FE1A3A">
        <w:t>832</w:t>
      </w:r>
      <w:r w:rsidR="00FE1A3A">
        <w:noBreakHyphen/>
      </w:r>
      <w:r w:rsidR="00B530A3" w:rsidRPr="00FE1A3A">
        <w:t>725(6)</w:t>
      </w:r>
    </w:p>
    <w:p w14:paraId="1CC10DDF" w14:textId="77777777" w:rsidR="00B530A3" w:rsidRPr="00FE1A3A" w:rsidRDefault="00B530A3" w:rsidP="00FE1A3A">
      <w:pPr>
        <w:pStyle w:val="Item"/>
      </w:pPr>
      <w:r w:rsidRPr="00FE1A3A">
        <w:t xml:space="preserve">Omit “a </w:t>
      </w:r>
      <w:r w:rsidR="00FE1A3A" w:rsidRPr="00FE1A3A">
        <w:rPr>
          <w:position w:val="6"/>
          <w:sz w:val="16"/>
        </w:rPr>
        <w:t>*</w:t>
      </w:r>
      <w:r w:rsidRPr="00FE1A3A">
        <w:t>deducting hybrid mismatch”.</w:t>
      </w:r>
    </w:p>
    <w:p w14:paraId="353DE760" w14:textId="77777777" w:rsidR="00B530A3" w:rsidRPr="00FE1A3A" w:rsidRDefault="001C65C7" w:rsidP="00FE1A3A">
      <w:pPr>
        <w:pStyle w:val="ItemHead"/>
      </w:pPr>
      <w:r w:rsidRPr="00FE1A3A">
        <w:t>39</w:t>
      </w:r>
      <w:r w:rsidR="00B530A3" w:rsidRPr="00FE1A3A">
        <w:t xml:space="preserve">  At the end of section</w:t>
      </w:r>
      <w:r w:rsidR="00FE1A3A" w:rsidRPr="00FE1A3A">
        <w:t> </w:t>
      </w:r>
      <w:r w:rsidR="00B530A3" w:rsidRPr="00FE1A3A">
        <w:t>832</w:t>
      </w:r>
      <w:r w:rsidR="00FE1A3A">
        <w:noBreakHyphen/>
      </w:r>
      <w:r w:rsidR="00B530A3" w:rsidRPr="00FE1A3A">
        <w:t>725</w:t>
      </w:r>
    </w:p>
    <w:p w14:paraId="22E20CAB" w14:textId="77777777" w:rsidR="00B530A3" w:rsidRPr="00FE1A3A" w:rsidRDefault="00B530A3" w:rsidP="00FE1A3A">
      <w:pPr>
        <w:pStyle w:val="Item"/>
      </w:pPr>
      <w:r w:rsidRPr="00FE1A3A">
        <w:t>Add:</w:t>
      </w:r>
    </w:p>
    <w:p w14:paraId="550CB7D7" w14:textId="77777777" w:rsidR="00B530A3" w:rsidRPr="00FE1A3A" w:rsidRDefault="00B530A3" w:rsidP="00FE1A3A">
      <w:pPr>
        <w:pStyle w:val="subsection"/>
      </w:pPr>
      <w:r w:rsidRPr="00FE1A3A">
        <w:tab/>
        <w:t>(7)</w:t>
      </w:r>
      <w:r w:rsidRPr="00FE1A3A">
        <w:tab/>
      </w:r>
      <w:r w:rsidR="00FE1A3A" w:rsidRPr="00FE1A3A">
        <w:t>Subsection (</w:t>
      </w:r>
      <w:r w:rsidRPr="00FE1A3A">
        <w:t>3) does not apply to the extent that an amount to which the payment relates was not allowable as a deduction under subsection</w:t>
      </w:r>
      <w:r w:rsidR="00FE1A3A" w:rsidRPr="00FE1A3A">
        <w:t> </w:t>
      </w:r>
      <w:r w:rsidRPr="00FE1A3A">
        <w:t>832</w:t>
      </w:r>
      <w:r w:rsidR="00FE1A3A">
        <w:noBreakHyphen/>
      </w:r>
      <w:r w:rsidRPr="00FE1A3A">
        <w:t>530(2).</w:t>
      </w:r>
    </w:p>
    <w:p w14:paraId="63F58407" w14:textId="77777777" w:rsidR="00B530A3" w:rsidRPr="00FE1A3A" w:rsidRDefault="001C65C7" w:rsidP="00FE1A3A">
      <w:pPr>
        <w:pStyle w:val="Transitional"/>
      </w:pPr>
      <w:r w:rsidRPr="00FE1A3A">
        <w:t>40</w:t>
      </w:r>
      <w:r w:rsidR="00B530A3" w:rsidRPr="00FE1A3A">
        <w:t xml:space="preserve">  Application</w:t>
      </w:r>
    </w:p>
    <w:p w14:paraId="5CD6E0F9" w14:textId="77777777" w:rsidR="00B530A3" w:rsidRPr="00FE1A3A" w:rsidRDefault="00B530A3" w:rsidP="00FE1A3A">
      <w:pPr>
        <w:pStyle w:val="Item"/>
      </w:pPr>
      <w:r w:rsidRPr="00FE1A3A">
        <w:t>The amendments made by this Part apply to assessments for income years starting on or after 2</w:t>
      </w:r>
      <w:r w:rsidR="00FE1A3A" w:rsidRPr="00FE1A3A">
        <w:t> </w:t>
      </w:r>
      <w:r w:rsidRPr="00FE1A3A">
        <w:t>April 2019.</w:t>
      </w:r>
    </w:p>
    <w:p w14:paraId="3A81A7E5" w14:textId="77777777" w:rsidR="00E74068" w:rsidRPr="00FE1A3A" w:rsidRDefault="00E74068" w:rsidP="00FE1A3A">
      <w:pPr>
        <w:pStyle w:val="ActHead7"/>
        <w:pageBreakBefore/>
      </w:pPr>
      <w:bookmarkStart w:id="14" w:name="_Toc24097885"/>
      <w:r w:rsidRPr="00FE1A3A">
        <w:rPr>
          <w:rStyle w:val="CharAmPartNo"/>
        </w:rPr>
        <w:lastRenderedPageBreak/>
        <w:t>Part</w:t>
      </w:r>
      <w:r w:rsidR="00FE1A3A" w:rsidRPr="00FE1A3A">
        <w:rPr>
          <w:rStyle w:val="CharAmPartNo"/>
        </w:rPr>
        <w:t> </w:t>
      </w:r>
      <w:r w:rsidR="00B70AEC" w:rsidRPr="00FE1A3A">
        <w:rPr>
          <w:rStyle w:val="CharAmPartNo"/>
        </w:rPr>
        <w:t>6</w:t>
      </w:r>
      <w:r w:rsidRPr="00FE1A3A">
        <w:t>—</w:t>
      </w:r>
      <w:r w:rsidRPr="00FE1A3A">
        <w:rPr>
          <w:rStyle w:val="CharAmPartText"/>
        </w:rPr>
        <w:t>Foreign income tax deductions for regulatory capital</w:t>
      </w:r>
      <w:bookmarkEnd w:id="14"/>
    </w:p>
    <w:p w14:paraId="1B12C433" w14:textId="77777777" w:rsidR="00E74068" w:rsidRPr="00FE1A3A" w:rsidRDefault="00E74068" w:rsidP="00FE1A3A">
      <w:pPr>
        <w:pStyle w:val="ActHead9"/>
        <w:rPr>
          <w:i w:val="0"/>
        </w:rPr>
      </w:pPr>
      <w:bookmarkStart w:id="15" w:name="_Toc24097886"/>
      <w:r w:rsidRPr="00FE1A3A">
        <w:t>Income Tax Assessment Act 1997</w:t>
      </w:r>
      <w:bookmarkEnd w:id="15"/>
    </w:p>
    <w:p w14:paraId="39FDA15C" w14:textId="77777777" w:rsidR="00F225EA" w:rsidRPr="00FE1A3A" w:rsidRDefault="001C65C7" w:rsidP="00FE1A3A">
      <w:pPr>
        <w:pStyle w:val="ItemHead"/>
      </w:pPr>
      <w:r w:rsidRPr="00FE1A3A">
        <w:t>41</w:t>
      </w:r>
      <w:r w:rsidR="00F225EA" w:rsidRPr="00FE1A3A">
        <w:t xml:space="preserve">  Section</w:t>
      </w:r>
      <w:r w:rsidR="00FE1A3A" w:rsidRPr="00FE1A3A">
        <w:t> </w:t>
      </w:r>
      <w:r w:rsidR="00F225EA" w:rsidRPr="00FE1A3A">
        <w:t>207</w:t>
      </w:r>
      <w:r w:rsidR="00FE1A3A">
        <w:noBreakHyphen/>
      </w:r>
      <w:r w:rsidR="00F225EA" w:rsidRPr="00FE1A3A">
        <w:t>158</w:t>
      </w:r>
    </w:p>
    <w:p w14:paraId="52240F2D" w14:textId="77777777" w:rsidR="00F225EA" w:rsidRPr="00FE1A3A" w:rsidRDefault="00F225EA" w:rsidP="00FE1A3A">
      <w:pPr>
        <w:pStyle w:val="Item"/>
      </w:pPr>
      <w:r w:rsidRPr="00FE1A3A">
        <w:t>Repeal the section, substitute:</w:t>
      </w:r>
    </w:p>
    <w:p w14:paraId="4C67197F" w14:textId="77777777" w:rsidR="00F225EA" w:rsidRPr="00FE1A3A" w:rsidRDefault="00F225EA" w:rsidP="00FE1A3A">
      <w:pPr>
        <w:pStyle w:val="ActHead5"/>
      </w:pPr>
      <w:bookmarkStart w:id="16" w:name="_Toc24097887"/>
      <w:r w:rsidRPr="00FE1A3A">
        <w:rPr>
          <w:rStyle w:val="CharSectno"/>
        </w:rPr>
        <w:t>207</w:t>
      </w:r>
      <w:r w:rsidR="00FE1A3A" w:rsidRPr="00FE1A3A">
        <w:rPr>
          <w:rStyle w:val="CharSectno"/>
        </w:rPr>
        <w:noBreakHyphen/>
      </w:r>
      <w:r w:rsidRPr="00FE1A3A">
        <w:rPr>
          <w:rStyle w:val="CharSectno"/>
        </w:rPr>
        <w:t>158</w:t>
      </w:r>
      <w:r w:rsidRPr="00FE1A3A">
        <w:t xml:space="preserve">  Distributions entitled to a foreign income tax deduction</w:t>
      </w:r>
      <w:bookmarkEnd w:id="16"/>
    </w:p>
    <w:p w14:paraId="2A4A0969" w14:textId="77777777" w:rsidR="00F225EA" w:rsidRPr="00FE1A3A" w:rsidRDefault="00F225EA" w:rsidP="00FE1A3A">
      <w:pPr>
        <w:pStyle w:val="subsection"/>
      </w:pPr>
      <w:r w:rsidRPr="00FE1A3A">
        <w:tab/>
        <w:t>(1)</w:t>
      </w:r>
      <w:r w:rsidRPr="00FE1A3A">
        <w:tab/>
        <w:t xml:space="preserve">This section applies to a </w:t>
      </w:r>
      <w:r w:rsidR="00FE1A3A" w:rsidRPr="00FE1A3A">
        <w:rPr>
          <w:position w:val="6"/>
          <w:sz w:val="16"/>
        </w:rPr>
        <w:t>*</w:t>
      </w:r>
      <w:r w:rsidRPr="00FE1A3A">
        <w:t>franked distribution if:</w:t>
      </w:r>
    </w:p>
    <w:p w14:paraId="7557C6AD" w14:textId="77777777" w:rsidR="00F225EA" w:rsidRPr="00FE1A3A" w:rsidRDefault="00F225EA" w:rsidP="00FE1A3A">
      <w:pPr>
        <w:pStyle w:val="paragraph"/>
      </w:pPr>
      <w:r w:rsidRPr="00FE1A3A">
        <w:tab/>
        <w:t>(a)</w:t>
      </w:r>
      <w:r w:rsidRPr="00FE1A3A">
        <w:tab/>
        <w:t xml:space="preserve">all or part of the distribution gives rise to a </w:t>
      </w:r>
      <w:r w:rsidR="00FE1A3A" w:rsidRPr="00FE1A3A">
        <w:rPr>
          <w:position w:val="6"/>
          <w:sz w:val="16"/>
        </w:rPr>
        <w:t>*</w:t>
      </w:r>
      <w:r w:rsidRPr="00FE1A3A">
        <w:t>foreign income tax deduction; and</w:t>
      </w:r>
    </w:p>
    <w:p w14:paraId="436DCA44" w14:textId="77777777" w:rsidR="00F225EA" w:rsidRPr="00FE1A3A" w:rsidRDefault="00F225EA" w:rsidP="00FE1A3A">
      <w:pPr>
        <w:pStyle w:val="paragraph"/>
      </w:pPr>
      <w:r w:rsidRPr="00FE1A3A">
        <w:tab/>
        <w:t>(b)</w:t>
      </w:r>
      <w:r w:rsidRPr="00FE1A3A">
        <w:tab/>
        <w:t xml:space="preserve">the distribution is not made in respect of a </w:t>
      </w:r>
      <w:r w:rsidR="00FE1A3A" w:rsidRPr="00FE1A3A">
        <w:rPr>
          <w:position w:val="6"/>
          <w:sz w:val="16"/>
        </w:rPr>
        <w:t>*</w:t>
      </w:r>
      <w:r w:rsidRPr="00FE1A3A">
        <w:t>non</w:t>
      </w:r>
      <w:r w:rsidR="00FE1A3A">
        <w:noBreakHyphen/>
      </w:r>
      <w:r w:rsidRPr="00FE1A3A">
        <w:t xml:space="preserve">share equity interest to which the exception in </w:t>
      </w:r>
      <w:r w:rsidR="00FE1A3A" w:rsidRPr="00FE1A3A">
        <w:t>subsection (</w:t>
      </w:r>
      <w:r w:rsidRPr="00FE1A3A">
        <w:t>2) applies.</w:t>
      </w:r>
    </w:p>
    <w:p w14:paraId="65F57070" w14:textId="77777777" w:rsidR="00F225EA" w:rsidRPr="00FE1A3A" w:rsidRDefault="00F225EA" w:rsidP="00FE1A3A">
      <w:pPr>
        <w:pStyle w:val="SubsectionHead"/>
      </w:pPr>
      <w:r w:rsidRPr="00FE1A3A">
        <w:t>Exception for distributions made under certain regulatory capital instruments</w:t>
      </w:r>
    </w:p>
    <w:p w14:paraId="13E75B72" w14:textId="77777777" w:rsidR="00F225EA" w:rsidRPr="00FE1A3A" w:rsidRDefault="00F225EA" w:rsidP="00FE1A3A">
      <w:pPr>
        <w:pStyle w:val="subsection"/>
      </w:pPr>
      <w:r w:rsidRPr="00FE1A3A">
        <w:tab/>
        <w:t>(2)</w:t>
      </w:r>
      <w:r w:rsidRPr="00FE1A3A">
        <w:tab/>
        <w:t xml:space="preserve">The exception in this subsection applies to a </w:t>
      </w:r>
      <w:r w:rsidR="00FE1A3A" w:rsidRPr="00FE1A3A">
        <w:rPr>
          <w:position w:val="6"/>
          <w:sz w:val="16"/>
        </w:rPr>
        <w:t>*</w:t>
      </w:r>
      <w:r w:rsidRPr="00FE1A3A">
        <w:t>non</w:t>
      </w:r>
      <w:r w:rsidR="00FE1A3A">
        <w:noBreakHyphen/>
      </w:r>
      <w:r w:rsidRPr="00FE1A3A">
        <w:t>share equity interest if:</w:t>
      </w:r>
    </w:p>
    <w:p w14:paraId="2DABE754" w14:textId="77777777" w:rsidR="00F225EA" w:rsidRPr="00FE1A3A" w:rsidRDefault="00F225EA" w:rsidP="00FE1A3A">
      <w:pPr>
        <w:pStyle w:val="paragraph"/>
      </w:pPr>
      <w:r w:rsidRPr="00FE1A3A">
        <w:tab/>
        <w:t>(a)</w:t>
      </w:r>
      <w:r w:rsidRPr="00FE1A3A">
        <w:tab/>
        <w:t>the interest forms part</w:t>
      </w:r>
      <w:r w:rsidRPr="00FE1A3A">
        <w:rPr>
          <w:i/>
        </w:rPr>
        <w:t xml:space="preserve"> </w:t>
      </w:r>
      <w:r w:rsidRPr="00FE1A3A">
        <w:t>(either on a solo or consolidated</w:t>
      </w:r>
      <w:r w:rsidR="00314E8F" w:rsidRPr="00FE1A3A">
        <w:t xml:space="preserve"> basis) </w:t>
      </w:r>
      <w:r w:rsidRPr="00FE1A3A">
        <w:t xml:space="preserve">of the Additional Tier 1 capital of an </w:t>
      </w:r>
      <w:r w:rsidR="00FE1A3A" w:rsidRPr="00FE1A3A">
        <w:rPr>
          <w:position w:val="6"/>
          <w:sz w:val="16"/>
        </w:rPr>
        <w:t>*</w:t>
      </w:r>
      <w:r w:rsidRPr="00FE1A3A">
        <w:t xml:space="preserve">ADI, </w:t>
      </w:r>
      <w:r w:rsidR="00FE1A3A" w:rsidRPr="00FE1A3A">
        <w:rPr>
          <w:position w:val="6"/>
          <w:sz w:val="16"/>
        </w:rPr>
        <w:t>*</w:t>
      </w:r>
      <w:r w:rsidRPr="00FE1A3A">
        <w:t xml:space="preserve">general insurance company or </w:t>
      </w:r>
      <w:r w:rsidR="00FE1A3A" w:rsidRPr="00FE1A3A">
        <w:rPr>
          <w:position w:val="6"/>
          <w:sz w:val="16"/>
        </w:rPr>
        <w:t>*</w:t>
      </w:r>
      <w:r w:rsidRPr="00FE1A3A">
        <w:t xml:space="preserve">life insurance company for the purposes of the applicable prudential standards (see </w:t>
      </w:r>
      <w:r w:rsidR="00FE1A3A" w:rsidRPr="00FE1A3A">
        <w:t>subsection (</w:t>
      </w:r>
      <w:r w:rsidRPr="00FE1A3A">
        <w:t>3)); and</w:t>
      </w:r>
    </w:p>
    <w:p w14:paraId="36D63CDC" w14:textId="77777777" w:rsidR="00F225EA" w:rsidRPr="00FE1A3A" w:rsidRDefault="00F225EA" w:rsidP="00FE1A3A">
      <w:pPr>
        <w:pStyle w:val="paragraph"/>
      </w:pPr>
      <w:r w:rsidRPr="00FE1A3A">
        <w:tab/>
        <w:t>(b)</w:t>
      </w:r>
      <w:r w:rsidRPr="00FE1A3A">
        <w:tab/>
        <w:t xml:space="preserve">the ADI, general insurance company or life insurance company </w:t>
      </w:r>
      <w:r w:rsidR="00C947BE" w:rsidRPr="00FE1A3A">
        <w:t xml:space="preserve">notifies the Commissioner that the ADI, general insurance company or life insurance company will </w:t>
      </w:r>
      <w:r w:rsidRPr="00FE1A3A">
        <w:t xml:space="preserve">not claim any amount of a </w:t>
      </w:r>
      <w:r w:rsidR="00FE1A3A" w:rsidRPr="00FE1A3A">
        <w:rPr>
          <w:position w:val="6"/>
          <w:sz w:val="16"/>
        </w:rPr>
        <w:t>*</w:t>
      </w:r>
      <w:r w:rsidRPr="00FE1A3A">
        <w:t>foreign income tax deduction to which distributions on the interest give rise.</w:t>
      </w:r>
    </w:p>
    <w:p w14:paraId="53E9985D" w14:textId="77777777" w:rsidR="00F225EA" w:rsidRPr="00FE1A3A" w:rsidRDefault="00F225EA" w:rsidP="00FE1A3A">
      <w:pPr>
        <w:pStyle w:val="subsection"/>
      </w:pPr>
      <w:r w:rsidRPr="00FE1A3A">
        <w:tab/>
        <w:t>(3)</w:t>
      </w:r>
      <w:r w:rsidRPr="00FE1A3A">
        <w:tab/>
        <w:t xml:space="preserve">For the purposes of </w:t>
      </w:r>
      <w:r w:rsidR="00FE1A3A" w:rsidRPr="00FE1A3A">
        <w:t>paragraph (</w:t>
      </w:r>
      <w:r w:rsidRPr="00FE1A3A">
        <w:t>2)(a), the applicable prudential standards are:</w:t>
      </w:r>
    </w:p>
    <w:p w14:paraId="43871CD3" w14:textId="77777777" w:rsidR="00F225EA" w:rsidRPr="00FE1A3A" w:rsidRDefault="00F225EA" w:rsidP="00FE1A3A">
      <w:pPr>
        <w:pStyle w:val="paragraph"/>
      </w:pPr>
      <w:r w:rsidRPr="00FE1A3A">
        <w:tab/>
        <w:t>(a)</w:t>
      </w:r>
      <w:r w:rsidRPr="00FE1A3A">
        <w:tab/>
        <w:t xml:space="preserve">for an </w:t>
      </w:r>
      <w:r w:rsidR="00FE1A3A" w:rsidRPr="00FE1A3A">
        <w:rPr>
          <w:position w:val="6"/>
          <w:sz w:val="16"/>
        </w:rPr>
        <w:t>*</w:t>
      </w:r>
      <w:r w:rsidRPr="00FE1A3A">
        <w:t xml:space="preserve">ADI—the </w:t>
      </w:r>
      <w:r w:rsidR="00FE1A3A" w:rsidRPr="00FE1A3A">
        <w:rPr>
          <w:position w:val="6"/>
          <w:sz w:val="16"/>
        </w:rPr>
        <w:t>*</w:t>
      </w:r>
      <w:r w:rsidRPr="00FE1A3A">
        <w:t>prudential standards;</w:t>
      </w:r>
    </w:p>
    <w:p w14:paraId="316999DA" w14:textId="77777777" w:rsidR="00F225EA" w:rsidRPr="00FE1A3A" w:rsidRDefault="00F225EA" w:rsidP="00FE1A3A">
      <w:pPr>
        <w:pStyle w:val="paragraph"/>
      </w:pPr>
      <w:r w:rsidRPr="00FE1A3A">
        <w:tab/>
        <w:t>(b)</w:t>
      </w:r>
      <w:r w:rsidRPr="00FE1A3A">
        <w:tab/>
        <w:t xml:space="preserve">for a </w:t>
      </w:r>
      <w:r w:rsidR="00FE1A3A" w:rsidRPr="00FE1A3A">
        <w:rPr>
          <w:position w:val="6"/>
          <w:sz w:val="16"/>
        </w:rPr>
        <w:t>*</w:t>
      </w:r>
      <w:r w:rsidRPr="00FE1A3A">
        <w:t xml:space="preserve">general insurance company—prudential standards determined by </w:t>
      </w:r>
      <w:r w:rsidR="00FE1A3A" w:rsidRPr="00FE1A3A">
        <w:rPr>
          <w:position w:val="6"/>
          <w:sz w:val="16"/>
        </w:rPr>
        <w:t>*</w:t>
      </w:r>
      <w:r w:rsidRPr="00FE1A3A">
        <w:t>APRA and in force under section</w:t>
      </w:r>
      <w:r w:rsidR="00FE1A3A" w:rsidRPr="00FE1A3A">
        <w:t> </w:t>
      </w:r>
      <w:r w:rsidRPr="00FE1A3A">
        <w:t xml:space="preserve">32 of the </w:t>
      </w:r>
      <w:r w:rsidRPr="00FE1A3A">
        <w:rPr>
          <w:i/>
        </w:rPr>
        <w:t>Insurance Act 1973</w:t>
      </w:r>
      <w:r w:rsidRPr="00FE1A3A">
        <w:t>;</w:t>
      </w:r>
    </w:p>
    <w:p w14:paraId="3B4019CF" w14:textId="77777777" w:rsidR="00F225EA" w:rsidRPr="00FE1A3A" w:rsidRDefault="00F225EA" w:rsidP="00FE1A3A">
      <w:pPr>
        <w:pStyle w:val="paragraph"/>
      </w:pPr>
      <w:r w:rsidRPr="00FE1A3A">
        <w:tab/>
        <w:t>(c)</w:t>
      </w:r>
      <w:r w:rsidRPr="00FE1A3A">
        <w:tab/>
        <w:t xml:space="preserve">for a </w:t>
      </w:r>
      <w:r w:rsidR="00FE1A3A" w:rsidRPr="00FE1A3A">
        <w:rPr>
          <w:position w:val="6"/>
          <w:sz w:val="16"/>
        </w:rPr>
        <w:t>*</w:t>
      </w:r>
      <w:r w:rsidRPr="00FE1A3A">
        <w:t>life insurance company—prudential standards determined by APRA and in force under section</w:t>
      </w:r>
      <w:r w:rsidR="00FE1A3A" w:rsidRPr="00FE1A3A">
        <w:t> </w:t>
      </w:r>
      <w:r w:rsidRPr="00FE1A3A">
        <w:t xml:space="preserve">230A of the </w:t>
      </w:r>
      <w:r w:rsidRPr="00FE1A3A">
        <w:rPr>
          <w:i/>
        </w:rPr>
        <w:t>Life Insurance Act 1995</w:t>
      </w:r>
      <w:r w:rsidRPr="00FE1A3A">
        <w:t>.</w:t>
      </w:r>
    </w:p>
    <w:p w14:paraId="252AFD55" w14:textId="77777777" w:rsidR="00F225EA" w:rsidRPr="00FE1A3A" w:rsidRDefault="00F225EA" w:rsidP="00FE1A3A">
      <w:pPr>
        <w:pStyle w:val="subsection"/>
      </w:pPr>
      <w:r w:rsidRPr="00FE1A3A">
        <w:lastRenderedPageBreak/>
        <w:tab/>
        <w:t>(4)</w:t>
      </w:r>
      <w:r w:rsidRPr="00FE1A3A">
        <w:tab/>
        <w:t xml:space="preserve">A </w:t>
      </w:r>
      <w:r w:rsidR="00C947BE" w:rsidRPr="00FE1A3A">
        <w:t>notification</w:t>
      </w:r>
      <w:r w:rsidRPr="00FE1A3A">
        <w:t xml:space="preserve"> under </w:t>
      </w:r>
      <w:r w:rsidR="00FE1A3A" w:rsidRPr="00FE1A3A">
        <w:t>paragraph (</w:t>
      </w:r>
      <w:r w:rsidRPr="00FE1A3A">
        <w:t>2)(b) must be made:</w:t>
      </w:r>
    </w:p>
    <w:p w14:paraId="7D456544" w14:textId="77777777" w:rsidR="00F225EA" w:rsidRPr="00FE1A3A" w:rsidRDefault="00F225EA" w:rsidP="00FE1A3A">
      <w:pPr>
        <w:pStyle w:val="paragraph"/>
      </w:pPr>
      <w:r w:rsidRPr="00FE1A3A">
        <w:tab/>
        <w:t>(a)</w:t>
      </w:r>
      <w:r w:rsidRPr="00FE1A3A">
        <w:tab/>
        <w:t xml:space="preserve">in the </w:t>
      </w:r>
      <w:r w:rsidR="00FE1A3A" w:rsidRPr="00FE1A3A">
        <w:rPr>
          <w:position w:val="6"/>
          <w:sz w:val="16"/>
        </w:rPr>
        <w:t>*</w:t>
      </w:r>
      <w:r w:rsidRPr="00FE1A3A">
        <w:t>approved form; and</w:t>
      </w:r>
    </w:p>
    <w:p w14:paraId="6A4AD52A" w14:textId="77777777" w:rsidR="00F225EA" w:rsidRPr="00FE1A3A" w:rsidRDefault="00F225EA" w:rsidP="00FE1A3A">
      <w:pPr>
        <w:pStyle w:val="paragraph"/>
      </w:pPr>
      <w:r w:rsidRPr="00FE1A3A">
        <w:tab/>
        <w:t>(b)</w:t>
      </w:r>
      <w:r w:rsidRPr="00FE1A3A">
        <w:tab/>
        <w:t>on or before:</w:t>
      </w:r>
    </w:p>
    <w:p w14:paraId="53E0A903" w14:textId="77777777" w:rsidR="00F225EA" w:rsidRPr="00FE1A3A" w:rsidRDefault="00F225EA" w:rsidP="00FE1A3A">
      <w:pPr>
        <w:pStyle w:val="paragraphsub"/>
      </w:pPr>
      <w:r w:rsidRPr="00FE1A3A">
        <w:tab/>
        <w:t>(i)</w:t>
      </w:r>
      <w:r w:rsidRPr="00FE1A3A">
        <w:tab/>
        <w:t xml:space="preserve">the day by which the </w:t>
      </w:r>
      <w:r w:rsidR="00FE1A3A" w:rsidRPr="00FE1A3A">
        <w:rPr>
          <w:position w:val="6"/>
          <w:sz w:val="16"/>
        </w:rPr>
        <w:t>*</w:t>
      </w:r>
      <w:r w:rsidRPr="00FE1A3A">
        <w:t xml:space="preserve">distribution statement is required to be given for the first </w:t>
      </w:r>
      <w:r w:rsidR="00FE1A3A" w:rsidRPr="00FE1A3A">
        <w:rPr>
          <w:position w:val="6"/>
          <w:sz w:val="16"/>
        </w:rPr>
        <w:t>*</w:t>
      </w:r>
      <w:r w:rsidRPr="00FE1A3A">
        <w:t xml:space="preserve">frankable distribution made in respect of the </w:t>
      </w:r>
      <w:r w:rsidR="00FE1A3A" w:rsidRPr="00FE1A3A">
        <w:rPr>
          <w:position w:val="6"/>
          <w:sz w:val="16"/>
        </w:rPr>
        <w:t>*</w:t>
      </w:r>
      <w:r w:rsidRPr="00FE1A3A">
        <w:t>non</w:t>
      </w:r>
      <w:r w:rsidR="00FE1A3A">
        <w:noBreakHyphen/>
      </w:r>
      <w:r w:rsidRPr="00FE1A3A">
        <w:t>share equity interest; or</w:t>
      </w:r>
    </w:p>
    <w:p w14:paraId="6CC0C27C" w14:textId="77777777" w:rsidR="00F225EA" w:rsidRPr="00FE1A3A" w:rsidRDefault="00F225EA" w:rsidP="00FE1A3A">
      <w:pPr>
        <w:pStyle w:val="paragraphsub"/>
      </w:pPr>
      <w:r w:rsidRPr="00FE1A3A">
        <w:tab/>
        <w:t>(ii)</w:t>
      </w:r>
      <w:r w:rsidRPr="00FE1A3A">
        <w:tab/>
        <w:t>a later day allowed by the Commissioner.</w:t>
      </w:r>
    </w:p>
    <w:p w14:paraId="39F20C8D" w14:textId="77777777" w:rsidR="00F225EA" w:rsidRPr="00FE1A3A" w:rsidRDefault="00F225EA" w:rsidP="00FE1A3A">
      <w:pPr>
        <w:pStyle w:val="notetext"/>
      </w:pPr>
      <w:r w:rsidRPr="00FE1A3A">
        <w:t>Note:</w:t>
      </w:r>
      <w:r w:rsidRPr="00FE1A3A">
        <w:tab/>
        <w:t>For when a distribution statement is required to be given, see Subdivision</w:t>
      </w:r>
      <w:r w:rsidR="00FE1A3A" w:rsidRPr="00FE1A3A">
        <w:t> </w:t>
      </w:r>
      <w:r w:rsidRPr="00FE1A3A">
        <w:t>202</w:t>
      </w:r>
      <w:r w:rsidR="00FE1A3A">
        <w:noBreakHyphen/>
      </w:r>
      <w:r w:rsidRPr="00FE1A3A">
        <w:t>E.</w:t>
      </w:r>
    </w:p>
    <w:p w14:paraId="15D860A8" w14:textId="77777777" w:rsidR="00F225EA" w:rsidRPr="00FE1A3A" w:rsidRDefault="00F225EA" w:rsidP="00FE1A3A">
      <w:pPr>
        <w:pStyle w:val="subsection"/>
      </w:pPr>
      <w:r w:rsidRPr="00FE1A3A">
        <w:tab/>
        <w:t>(5)</w:t>
      </w:r>
      <w:r w:rsidRPr="00FE1A3A">
        <w:tab/>
        <w:t xml:space="preserve">A choice under </w:t>
      </w:r>
      <w:r w:rsidR="00FE1A3A" w:rsidRPr="00FE1A3A">
        <w:t>paragraph (</w:t>
      </w:r>
      <w:r w:rsidRPr="00FE1A3A">
        <w:t>2)(b) cannot be revoked.</w:t>
      </w:r>
    </w:p>
    <w:p w14:paraId="2900C1EF" w14:textId="77777777" w:rsidR="00F225EA" w:rsidRPr="00FE1A3A" w:rsidRDefault="001C65C7" w:rsidP="00FE1A3A">
      <w:pPr>
        <w:pStyle w:val="Transitional"/>
      </w:pPr>
      <w:r w:rsidRPr="00FE1A3A">
        <w:t>42</w:t>
      </w:r>
      <w:r w:rsidR="00F225EA" w:rsidRPr="00FE1A3A">
        <w:t xml:space="preserve">  Transitional provision—interests already on issue</w:t>
      </w:r>
    </w:p>
    <w:p w14:paraId="1D1CAA72" w14:textId="77777777" w:rsidR="00F225EA" w:rsidRPr="00FE1A3A" w:rsidRDefault="00F225EA" w:rsidP="00FE1A3A">
      <w:pPr>
        <w:pStyle w:val="Subitem"/>
      </w:pPr>
      <w:r w:rsidRPr="00FE1A3A">
        <w:tab/>
        <w:t>In determining for the purposes of subparagraph</w:t>
      </w:r>
      <w:r w:rsidR="00FE1A3A" w:rsidRPr="00FE1A3A">
        <w:t> </w:t>
      </w:r>
      <w:r w:rsidRPr="00FE1A3A">
        <w:t>207</w:t>
      </w:r>
      <w:r w:rsidR="00FE1A3A">
        <w:noBreakHyphen/>
      </w:r>
      <w:r w:rsidRPr="00FE1A3A">
        <w:t xml:space="preserve">158(4)(b)(i) of the </w:t>
      </w:r>
      <w:r w:rsidRPr="00FE1A3A">
        <w:rPr>
          <w:i/>
        </w:rPr>
        <w:t>Income Tax Assessment Act 1997</w:t>
      </w:r>
      <w:r w:rsidRPr="00FE1A3A">
        <w:t>, as inserted by this Part, whether a distribution is the first frankable distribution made in respect of a non</w:t>
      </w:r>
      <w:r w:rsidR="00FE1A3A">
        <w:noBreakHyphen/>
      </w:r>
      <w:r w:rsidRPr="00FE1A3A">
        <w:t>share equity interest, have regard only to distributions made:</w:t>
      </w:r>
    </w:p>
    <w:p w14:paraId="6FC388DD" w14:textId="77777777" w:rsidR="00F225EA" w:rsidRPr="00FE1A3A" w:rsidRDefault="00F225EA" w:rsidP="00FE1A3A">
      <w:pPr>
        <w:pStyle w:val="paragraph"/>
      </w:pPr>
      <w:r w:rsidRPr="00FE1A3A">
        <w:tab/>
        <w:t>(a)</w:t>
      </w:r>
      <w:r w:rsidRPr="00FE1A3A">
        <w:tab/>
        <w:t xml:space="preserve">unless </w:t>
      </w:r>
      <w:r w:rsidR="00FE1A3A" w:rsidRPr="00FE1A3A">
        <w:t>paragraph (</w:t>
      </w:r>
      <w:r w:rsidRPr="00FE1A3A">
        <w:t>b) applies—on or after the day this Act receives the Royal Assent; or</w:t>
      </w:r>
    </w:p>
    <w:p w14:paraId="3B6681FE" w14:textId="77777777" w:rsidR="00F225EA" w:rsidRPr="00FE1A3A" w:rsidRDefault="00F225EA" w:rsidP="00FE1A3A">
      <w:pPr>
        <w:pStyle w:val="paragraph"/>
      </w:pPr>
      <w:r w:rsidRPr="00FE1A3A">
        <w:tab/>
        <w:t>(b)</w:t>
      </w:r>
      <w:r w:rsidRPr="00FE1A3A">
        <w:tab/>
        <w:t>if subitem</w:t>
      </w:r>
      <w:r w:rsidR="00FE1A3A" w:rsidRPr="00FE1A3A">
        <w:t> </w:t>
      </w:r>
      <w:r w:rsidRPr="00FE1A3A">
        <w:t>10(2) of Schedule</w:t>
      </w:r>
      <w:r w:rsidR="00FE1A3A" w:rsidRPr="00FE1A3A">
        <w:t> </w:t>
      </w:r>
      <w:r w:rsidRPr="00FE1A3A">
        <w:t xml:space="preserve">2 to the </w:t>
      </w:r>
      <w:r w:rsidRPr="00FE1A3A">
        <w:rPr>
          <w:i/>
        </w:rPr>
        <w:t>Treasury Laws Amendment (Tax Integrity and Other Measures No.</w:t>
      </w:r>
      <w:r w:rsidR="00FE1A3A" w:rsidRPr="00FE1A3A">
        <w:rPr>
          <w:i/>
        </w:rPr>
        <w:t> </w:t>
      </w:r>
      <w:r w:rsidRPr="00FE1A3A">
        <w:rPr>
          <w:i/>
        </w:rPr>
        <w:t>2) Act 2018</w:t>
      </w:r>
      <w:r w:rsidRPr="00FE1A3A">
        <w:t xml:space="preserve"> applies in relation to the interest—on or after the later of:</w:t>
      </w:r>
    </w:p>
    <w:p w14:paraId="6695C2EA" w14:textId="77777777" w:rsidR="00F225EA" w:rsidRPr="00FE1A3A" w:rsidRDefault="00F225EA" w:rsidP="00FE1A3A">
      <w:pPr>
        <w:pStyle w:val="paragraphsub"/>
      </w:pPr>
      <w:r w:rsidRPr="00FE1A3A">
        <w:tab/>
        <w:t>(i)</w:t>
      </w:r>
      <w:r w:rsidRPr="00FE1A3A">
        <w:tab/>
        <w:t xml:space="preserve">the first scheduled call date referred to in </w:t>
      </w:r>
      <w:r w:rsidR="00FE1A3A" w:rsidRPr="00FE1A3A">
        <w:t>paragraph (</w:t>
      </w:r>
      <w:r w:rsidRPr="00FE1A3A">
        <w:t>b) of that subitem; and</w:t>
      </w:r>
    </w:p>
    <w:p w14:paraId="1A637C74" w14:textId="77777777" w:rsidR="00F225EA" w:rsidRPr="00FE1A3A" w:rsidRDefault="00F225EA" w:rsidP="00FE1A3A">
      <w:pPr>
        <w:pStyle w:val="paragraphsub"/>
      </w:pPr>
      <w:r w:rsidRPr="00FE1A3A">
        <w:tab/>
        <w:t>(ii)</w:t>
      </w:r>
      <w:r w:rsidRPr="00FE1A3A">
        <w:tab/>
        <w:t>the day this Act receives the Royal Assent.</w:t>
      </w:r>
    </w:p>
    <w:p w14:paraId="75AA21C3" w14:textId="77777777" w:rsidR="00F225EA" w:rsidRPr="00FE1A3A" w:rsidRDefault="001C65C7" w:rsidP="00FE1A3A">
      <w:pPr>
        <w:pStyle w:val="Transitional"/>
      </w:pPr>
      <w:r w:rsidRPr="00FE1A3A">
        <w:t>43</w:t>
      </w:r>
      <w:r w:rsidR="00F225EA" w:rsidRPr="00FE1A3A">
        <w:t xml:space="preserve">  Application provision</w:t>
      </w:r>
    </w:p>
    <w:p w14:paraId="1ADE3BD0" w14:textId="77777777" w:rsidR="00F225EA" w:rsidRPr="00FE1A3A" w:rsidRDefault="00F225EA" w:rsidP="00BE0FC3">
      <w:pPr>
        <w:pStyle w:val="Subitem"/>
      </w:pPr>
      <w:r w:rsidRPr="00FE1A3A">
        <w:tab/>
        <w:t>The amendments made by this Part apply in relation to distributions made on or after 1</w:t>
      </w:r>
      <w:r w:rsidR="00FE1A3A" w:rsidRPr="00FE1A3A">
        <w:t> </w:t>
      </w:r>
      <w:r w:rsidRPr="00FE1A3A">
        <w:t>January 2019.</w:t>
      </w:r>
    </w:p>
    <w:sectPr w:rsidR="00F225EA" w:rsidRPr="00FE1A3A" w:rsidSect="00FE1A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794" w:right="2409" w:bottom="4252" w:left="2409" w:header="720" w:footer="3402" w:gutter="0"/>
      <w:lnNumType w:countBy="1" w:distance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8DA74E" w14:textId="77777777" w:rsidR="00A372F7" w:rsidRDefault="00A372F7" w:rsidP="00664C63">
      <w:pPr>
        <w:spacing w:line="240" w:lineRule="auto"/>
      </w:pPr>
      <w:r>
        <w:separator/>
      </w:r>
    </w:p>
  </w:endnote>
  <w:endnote w:type="continuationSeparator" w:id="0">
    <w:p w14:paraId="3A02E7C8" w14:textId="77777777" w:rsidR="00A372F7" w:rsidRDefault="00A372F7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F1629" w14:textId="77777777" w:rsidR="00664C63" w:rsidRPr="00BB4623" w:rsidRDefault="00664C63" w:rsidP="00FE1A3A">
    <w:pPr>
      <w:pBdr>
        <w:top w:val="single" w:sz="6" w:space="1" w:color="auto"/>
      </w:pBdr>
      <w:spacing w:before="120"/>
      <w:jc w:val="right"/>
      <w:rPr>
        <w:sz w:val="18"/>
      </w:rPr>
    </w:pPr>
  </w:p>
  <w:p w14:paraId="7D21C5A8" w14:textId="77777777" w:rsidR="00664C63" w:rsidRPr="00BB4623" w:rsidRDefault="00F5076A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="00664C63"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="00FE1A3A">
      <w:rPr>
        <w:i/>
        <w:noProof/>
        <w:sz w:val="18"/>
      </w:rPr>
      <w:t>11</w:t>
    </w:r>
    <w:r w:rsidRPr="00BB4623">
      <w:rPr>
        <w:i/>
        <w:sz w:val="18"/>
      </w:rPr>
      <w:fldChar w:fldCharType="end"/>
    </w:r>
  </w:p>
  <w:p w14:paraId="13A8C907" w14:textId="77777777" w:rsidR="00664C63" w:rsidRPr="00BB4623" w:rsidRDefault="00664C63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A61B" w14:textId="77777777" w:rsidR="0095602D" w:rsidRDefault="00FE1A3A" w:rsidP="00FE1A3A">
    <w:pPr>
      <w:pBdr>
        <w:top w:val="single" w:sz="6" w:space="1" w:color="auto"/>
      </w:pBdr>
      <w:spacing w:before="120"/>
      <w:rPr>
        <w:sz w:val="18"/>
      </w:rPr>
    </w:pP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64F06E0" wp14:editId="10C78450">
              <wp:simplePos x="0" y="0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0075" cy="400050"/>
              <wp:effectExtent l="0" t="0" r="9525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02425F" w14:textId="77777777" w:rsidR="00FE1A3A" w:rsidRPr="00FE1A3A" w:rsidRDefault="00FE1A3A" w:rsidP="00FE1A3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0;margin-top:766.75pt;width:347.25pt;height:31.5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" stroked="f" strokeweight=".5pt">
              <v:path arrowok="t"/>
              <v:textbox>
                <w:txbxContent>
                  <w:p w:rsidR="00FE1A3A" w:rsidRPr="00FE1A3A" w:rsidRDefault="00FE1A3A" w:rsidP="00FE1A3A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12BA8BC" wp14:editId="12F50C91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9DF3E5" w14:textId="39F982AB" w:rsidR="00FE1A3A" w:rsidRPr="00FE1A3A" w:rsidRDefault="00FE1A3A" w:rsidP="00FE1A3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2BA8B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0;margin-top:793.7pt;width:347.25pt;height:31.5pt;z-index:-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" stroked="f" strokeweight=".5pt">
              <v:path arrowok="t"/>
              <v:textbox>
                <w:txbxContent>
                  <w:p w14:paraId="0B9DF3E5" w14:textId="39F982AB" w:rsidR="00FE1A3A" w:rsidRPr="00FE1A3A" w:rsidRDefault="00FE1A3A" w:rsidP="00FE1A3A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7087"/>
    </w:tblGrid>
    <w:tr w:rsidR="0095602D" w:rsidRPr="00B3608C" w14:paraId="54E73718" w14:textId="77777777" w:rsidTr="00A91C76">
      <w:trPr>
        <w:trHeight w:val="280"/>
      </w:trPr>
      <w:tc>
        <w:tcPr>
          <w:tcW w:w="7087" w:type="dxa"/>
        </w:tcPr>
        <w:p w14:paraId="71BF59DC" w14:textId="35C29F87" w:rsidR="0095602D" w:rsidRPr="00B3608C" w:rsidRDefault="0095602D" w:rsidP="00A91C76">
          <w:pPr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 w:rsidR="006842AF">
            <w:rPr>
              <w:i/>
              <w:noProof/>
              <w:sz w:val="18"/>
            </w:rPr>
            <w:t>2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95602D" w:rsidRPr="00B3608C" w14:paraId="4965FF04" w14:textId="77777777" w:rsidTr="00A91C76">
      <w:tc>
        <w:tcPr>
          <w:tcW w:w="7087" w:type="dxa"/>
        </w:tcPr>
        <w:p w14:paraId="45397C65" w14:textId="77777777" w:rsidR="0095602D" w:rsidRPr="00B3608C" w:rsidRDefault="0095602D" w:rsidP="00A91C76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14:paraId="68F50B80" w14:textId="77777777" w:rsidR="00B3608C" w:rsidRPr="00BB4623" w:rsidRDefault="00B3608C" w:rsidP="00B3608C">
    <w:pPr>
      <w:pStyle w:val="Tabletext"/>
      <w:spacing w:befor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A89CB" w14:textId="77777777" w:rsidR="00664C63" w:rsidRPr="00BB4623" w:rsidRDefault="00664C63" w:rsidP="00FE1A3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588F98" w14:textId="77777777" w:rsidR="00A372F7" w:rsidRDefault="00A372F7" w:rsidP="00664C63">
      <w:pPr>
        <w:spacing w:line="240" w:lineRule="auto"/>
      </w:pPr>
      <w:r>
        <w:separator/>
      </w:r>
    </w:p>
  </w:footnote>
  <w:footnote w:type="continuationSeparator" w:id="0">
    <w:p w14:paraId="0EDC4B4C" w14:textId="77777777" w:rsidR="00A372F7" w:rsidRDefault="00A372F7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DABD3" w14:textId="77777777" w:rsidR="00664C63" w:rsidRPr="00BB4623" w:rsidRDefault="00664C63" w:rsidP="00664C63">
    <w:pPr>
      <w:rPr>
        <w:sz w:val="24"/>
      </w:rPr>
    </w:pPr>
  </w:p>
  <w:p w14:paraId="6085795E" w14:textId="77777777" w:rsidR="00664C63" w:rsidRPr="00BB4623" w:rsidRDefault="00664C63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7" w:name="_GoBack"/>
  <w:bookmarkEnd w:id="17"/>
  <w:p w14:paraId="12003CC3" w14:textId="77777777" w:rsidR="00664C63" w:rsidRPr="00BB4623" w:rsidRDefault="00FE1A3A" w:rsidP="00664C63">
    <w:pPr>
      <w:jc w:val="right"/>
      <w:rPr>
        <w:sz w:val="24"/>
      </w:rPr>
    </w:pPr>
    <w:r>
      <w:rPr>
        <w:noProof/>
        <w:sz w:val="24"/>
        <w:lang w:eastAsia="en-A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79AE1B6" wp14:editId="5BD1AE93">
              <wp:simplePos x="0" y="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0075" cy="400050"/>
              <wp:effectExtent l="0" t="0" r="952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EFC91A" w14:textId="77777777" w:rsidR="00FE1A3A" w:rsidRPr="00FE1A3A" w:rsidRDefault="00FE1A3A" w:rsidP="00FE1A3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0;margin-top:34.9pt;width:347.25pt;height:31.5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" stroked="f" strokeweight=".5pt">
              <v:path arrowok="t"/>
              <v:textbox>
                <w:txbxContent>
                  <w:p w:rsidR="00FE1A3A" w:rsidRPr="00FE1A3A" w:rsidRDefault="00FE1A3A" w:rsidP="00FE1A3A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24"/>
        <w:lang w:eastAsia="en-A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62324BB" wp14:editId="5D44DFEA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984607" w14:textId="48033101" w:rsidR="00FE1A3A" w:rsidRPr="00FE1A3A" w:rsidRDefault="00FE1A3A" w:rsidP="00FE1A3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2324B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0;margin-top:11.3pt;width:347.25pt;height:31.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" stroked="f" strokeweight=".5pt">
              <v:path arrowok="t"/>
              <v:textbox>
                <w:txbxContent>
                  <w:p w14:paraId="2D984607" w14:textId="48033101" w:rsidR="00FE1A3A" w:rsidRPr="00FE1A3A" w:rsidRDefault="00FE1A3A" w:rsidP="00FE1A3A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2E27AFA0" w14:textId="77777777" w:rsidR="00664C63" w:rsidRPr="00BB4623" w:rsidRDefault="00664C63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1DC81" w14:textId="77777777" w:rsidR="00664C63" w:rsidRPr="00BB4623" w:rsidRDefault="00664C63" w:rsidP="00664C63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removePersonalInformation/>
  <w:removeDateAndTime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9E83C20A-3A4D-4606-8709-B607DBFB2849}"/>
    <w:docVar w:name="dgnword-eventsink" w:val="617180280"/>
  </w:docVars>
  <w:rsids>
    <w:rsidRoot w:val="00170A85"/>
    <w:rsid w:val="000136AF"/>
    <w:rsid w:val="00014B9A"/>
    <w:rsid w:val="00026C15"/>
    <w:rsid w:val="00053A67"/>
    <w:rsid w:val="00055D20"/>
    <w:rsid w:val="00057025"/>
    <w:rsid w:val="000614BF"/>
    <w:rsid w:val="0006504E"/>
    <w:rsid w:val="00073C5A"/>
    <w:rsid w:val="00087033"/>
    <w:rsid w:val="0009184B"/>
    <w:rsid w:val="000C74F9"/>
    <w:rsid w:val="000D05EF"/>
    <w:rsid w:val="000D3899"/>
    <w:rsid w:val="000E5973"/>
    <w:rsid w:val="000F1D64"/>
    <w:rsid w:val="000F21C1"/>
    <w:rsid w:val="000F4126"/>
    <w:rsid w:val="001016D1"/>
    <w:rsid w:val="0010240E"/>
    <w:rsid w:val="0010745C"/>
    <w:rsid w:val="0011206D"/>
    <w:rsid w:val="00123369"/>
    <w:rsid w:val="00125585"/>
    <w:rsid w:val="00126788"/>
    <w:rsid w:val="00154D9F"/>
    <w:rsid w:val="00166C2F"/>
    <w:rsid w:val="00170A85"/>
    <w:rsid w:val="00172F31"/>
    <w:rsid w:val="00182C9A"/>
    <w:rsid w:val="00182FAF"/>
    <w:rsid w:val="0018435F"/>
    <w:rsid w:val="001939E1"/>
    <w:rsid w:val="00195382"/>
    <w:rsid w:val="001A316B"/>
    <w:rsid w:val="001B0F61"/>
    <w:rsid w:val="001C65C7"/>
    <w:rsid w:val="001C69C4"/>
    <w:rsid w:val="001D5995"/>
    <w:rsid w:val="001E12E2"/>
    <w:rsid w:val="001E3590"/>
    <w:rsid w:val="001E7407"/>
    <w:rsid w:val="001F6522"/>
    <w:rsid w:val="00204F03"/>
    <w:rsid w:val="0021250A"/>
    <w:rsid w:val="002277A0"/>
    <w:rsid w:val="0023265C"/>
    <w:rsid w:val="00237042"/>
    <w:rsid w:val="00240749"/>
    <w:rsid w:val="00267688"/>
    <w:rsid w:val="002750AF"/>
    <w:rsid w:val="00296415"/>
    <w:rsid w:val="00297ECB"/>
    <w:rsid w:val="002B033B"/>
    <w:rsid w:val="002C085A"/>
    <w:rsid w:val="002D043A"/>
    <w:rsid w:val="002E7C50"/>
    <w:rsid w:val="002F08B3"/>
    <w:rsid w:val="003034CB"/>
    <w:rsid w:val="00313C6F"/>
    <w:rsid w:val="00314E8F"/>
    <w:rsid w:val="0033411C"/>
    <w:rsid w:val="00334771"/>
    <w:rsid w:val="003415D3"/>
    <w:rsid w:val="00342322"/>
    <w:rsid w:val="00351960"/>
    <w:rsid w:val="00352B0F"/>
    <w:rsid w:val="00361B32"/>
    <w:rsid w:val="00364C24"/>
    <w:rsid w:val="003656F6"/>
    <w:rsid w:val="00372826"/>
    <w:rsid w:val="00374C64"/>
    <w:rsid w:val="00375D52"/>
    <w:rsid w:val="003878C9"/>
    <w:rsid w:val="003A7284"/>
    <w:rsid w:val="003B0F1E"/>
    <w:rsid w:val="003C1FA4"/>
    <w:rsid w:val="003C51FD"/>
    <w:rsid w:val="003D0317"/>
    <w:rsid w:val="003D0BFE"/>
    <w:rsid w:val="003D2515"/>
    <w:rsid w:val="003D5700"/>
    <w:rsid w:val="003D6BF7"/>
    <w:rsid w:val="003E2905"/>
    <w:rsid w:val="003F60D2"/>
    <w:rsid w:val="00402376"/>
    <w:rsid w:val="004043EE"/>
    <w:rsid w:val="0040616D"/>
    <w:rsid w:val="004116CD"/>
    <w:rsid w:val="004168B4"/>
    <w:rsid w:val="00424CA9"/>
    <w:rsid w:val="00427D10"/>
    <w:rsid w:val="00432832"/>
    <w:rsid w:val="004424F6"/>
    <w:rsid w:val="0044291A"/>
    <w:rsid w:val="00451E0B"/>
    <w:rsid w:val="004536E8"/>
    <w:rsid w:val="00453F12"/>
    <w:rsid w:val="00456B5B"/>
    <w:rsid w:val="004915BD"/>
    <w:rsid w:val="00496F97"/>
    <w:rsid w:val="004C3DF0"/>
    <w:rsid w:val="004E3680"/>
    <w:rsid w:val="00503058"/>
    <w:rsid w:val="0050762A"/>
    <w:rsid w:val="005104CE"/>
    <w:rsid w:val="00513EB0"/>
    <w:rsid w:val="0051670F"/>
    <w:rsid w:val="00516B8D"/>
    <w:rsid w:val="00522ACE"/>
    <w:rsid w:val="00537FBC"/>
    <w:rsid w:val="00543850"/>
    <w:rsid w:val="00552810"/>
    <w:rsid w:val="00570EC2"/>
    <w:rsid w:val="00573C27"/>
    <w:rsid w:val="00584052"/>
    <w:rsid w:val="00584811"/>
    <w:rsid w:val="00593AA6"/>
    <w:rsid w:val="00594161"/>
    <w:rsid w:val="00594749"/>
    <w:rsid w:val="005A6F34"/>
    <w:rsid w:val="005B4067"/>
    <w:rsid w:val="005C3F41"/>
    <w:rsid w:val="005C5800"/>
    <w:rsid w:val="005D034A"/>
    <w:rsid w:val="005D4DEA"/>
    <w:rsid w:val="005E2C91"/>
    <w:rsid w:val="005F35EC"/>
    <w:rsid w:val="00600219"/>
    <w:rsid w:val="00603502"/>
    <w:rsid w:val="006039C5"/>
    <w:rsid w:val="00607E70"/>
    <w:rsid w:val="00611C2E"/>
    <w:rsid w:val="00621DB4"/>
    <w:rsid w:val="006270F9"/>
    <w:rsid w:val="006378A9"/>
    <w:rsid w:val="006444FB"/>
    <w:rsid w:val="00647067"/>
    <w:rsid w:val="0065106B"/>
    <w:rsid w:val="00651B5E"/>
    <w:rsid w:val="006527A6"/>
    <w:rsid w:val="00656AF6"/>
    <w:rsid w:val="00661583"/>
    <w:rsid w:val="00664C63"/>
    <w:rsid w:val="00677058"/>
    <w:rsid w:val="00677CC2"/>
    <w:rsid w:val="00681A4A"/>
    <w:rsid w:val="00683DF2"/>
    <w:rsid w:val="006842AF"/>
    <w:rsid w:val="0069207B"/>
    <w:rsid w:val="006A36A6"/>
    <w:rsid w:val="006B1E5B"/>
    <w:rsid w:val="006B3A7B"/>
    <w:rsid w:val="006B51F1"/>
    <w:rsid w:val="006C0840"/>
    <w:rsid w:val="006C7F8C"/>
    <w:rsid w:val="006D1C87"/>
    <w:rsid w:val="006D3764"/>
    <w:rsid w:val="006E338D"/>
    <w:rsid w:val="006E7F23"/>
    <w:rsid w:val="006F2A3D"/>
    <w:rsid w:val="00700B2C"/>
    <w:rsid w:val="00701679"/>
    <w:rsid w:val="00713084"/>
    <w:rsid w:val="007173B8"/>
    <w:rsid w:val="00731E00"/>
    <w:rsid w:val="00732A85"/>
    <w:rsid w:val="00742C70"/>
    <w:rsid w:val="007440B7"/>
    <w:rsid w:val="0075226A"/>
    <w:rsid w:val="007627F4"/>
    <w:rsid w:val="007715C9"/>
    <w:rsid w:val="00774EDD"/>
    <w:rsid w:val="007757EC"/>
    <w:rsid w:val="00776A2A"/>
    <w:rsid w:val="00780345"/>
    <w:rsid w:val="007845BF"/>
    <w:rsid w:val="00790361"/>
    <w:rsid w:val="00795FCE"/>
    <w:rsid w:val="007A659A"/>
    <w:rsid w:val="007B081F"/>
    <w:rsid w:val="007B51D4"/>
    <w:rsid w:val="007B6AD1"/>
    <w:rsid w:val="007C7325"/>
    <w:rsid w:val="007D01F2"/>
    <w:rsid w:val="007E3C86"/>
    <w:rsid w:val="007E4CC8"/>
    <w:rsid w:val="007F34F9"/>
    <w:rsid w:val="00822374"/>
    <w:rsid w:val="00830495"/>
    <w:rsid w:val="00830815"/>
    <w:rsid w:val="0084400A"/>
    <w:rsid w:val="00856A31"/>
    <w:rsid w:val="008754D0"/>
    <w:rsid w:val="0088076D"/>
    <w:rsid w:val="00883892"/>
    <w:rsid w:val="0088435E"/>
    <w:rsid w:val="00885C1B"/>
    <w:rsid w:val="00886153"/>
    <w:rsid w:val="008A6470"/>
    <w:rsid w:val="008C24BA"/>
    <w:rsid w:val="008D0EE0"/>
    <w:rsid w:val="008E05CA"/>
    <w:rsid w:val="008E07D0"/>
    <w:rsid w:val="008E498F"/>
    <w:rsid w:val="009053EE"/>
    <w:rsid w:val="0092385B"/>
    <w:rsid w:val="0092588A"/>
    <w:rsid w:val="00931D9C"/>
    <w:rsid w:val="00932377"/>
    <w:rsid w:val="00932FA3"/>
    <w:rsid w:val="0094164C"/>
    <w:rsid w:val="009471D7"/>
    <w:rsid w:val="0095602D"/>
    <w:rsid w:val="009620C2"/>
    <w:rsid w:val="00973554"/>
    <w:rsid w:val="00990E8E"/>
    <w:rsid w:val="009B6615"/>
    <w:rsid w:val="009C002B"/>
    <w:rsid w:val="009C22DE"/>
    <w:rsid w:val="009D0753"/>
    <w:rsid w:val="009E443A"/>
    <w:rsid w:val="00A02A8A"/>
    <w:rsid w:val="00A120DD"/>
    <w:rsid w:val="00A231E2"/>
    <w:rsid w:val="00A25627"/>
    <w:rsid w:val="00A372F7"/>
    <w:rsid w:val="00A415B9"/>
    <w:rsid w:val="00A442D2"/>
    <w:rsid w:val="00A4513E"/>
    <w:rsid w:val="00A62063"/>
    <w:rsid w:val="00A64912"/>
    <w:rsid w:val="00A704BB"/>
    <w:rsid w:val="00A70A74"/>
    <w:rsid w:val="00A8340E"/>
    <w:rsid w:val="00A848AA"/>
    <w:rsid w:val="00A9351B"/>
    <w:rsid w:val="00A97216"/>
    <w:rsid w:val="00AA5445"/>
    <w:rsid w:val="00AA6126"/>
    <w:rsid w:val="00AB5A90"/>
    <w:rsid w:val="00AD27B3"/>
    <w:rsid w:val="00AD5641"/>
    <w:rsid w:val="00AE48DE"/>
    <w:rsid w:val="00AE5308"/>
    <w:rsid w:val="00AE59F7"/>
    <w:rsid w:val="00AE6678"/>
    <w:rsid w:val="00AE7BD7"/>
    <w:rsid w:val="00B0275E"/>
    <w:rsid w:val="00B057B2"/>
    <w:rsid w:val="00B05DED"/>
    <w:rsid w:val="00B066CA"/>
    <w:rsid w:val="00B0746F"/>
    <w:rsid w:val="00B10C61"/>
    <w:rsid w:val="00B201C8"/>
    <w:rsid w:val="00B23185"/>
    <w:rsid w:val="00B26413"/>
    <w:rsid w:val="00B27BD0"/>
    <w:rsid w:val="00B30BBF"/>
    <w:rsid w:val="00B33B3C"/>
    <w:rsid w:val="00B340B6"/>
    <w:rsid w:val="00B3608C"/>
    <w:rsid w:val="00B372A6"/>
    <w:rsid w:val="00B429C2"/>
    <w:rsid w:val="00B45922"/>
    <w:rsid w:val="00B530A3"/>
    <w:rsid w:val="00B55342"/>
    <w:rsid w:val="00B61C25"/>
    <w:rsid w:val="00B70AEC"/>
    <w:rsid w:val="00B70E56"/>
    <w:rsid w:val="00BA1C0E"/>
    <w:rsid w:val="00BC093B"/>
    <w:rsid w:val="00BC30F2"/>
    <w:rsid w:val="00BD1655"/>
    <w:rsid w:val="00BE0FC3"/>
    <w:rsid w:val="00BE719A"/>
    <w:rsid w:val="00BE720A"/>
    <w:rsid w:val="00BE7A51"/>
    <w:rsid w:val="00BF23AC"/>
    <w:rsid w:val="00C035D5"/>
    <w:rsid w:val="00C2250E"/>
    <w:rsid w:val="00C42BF8"/>
    <w:rsid w:val="00C45B59"/>
    <w:rsid w:val="00C50043"/>
    <w:rsid w:val="00C53114"/>
    <w:rsid w:val="00C61ED9"/>
    <w:rsid w:val="00C63204"/>
    <w:rsid w:val="00C72106"/>
    <w:rsid w:val="00C723B9"/>
    <w:rsid w:val="00C7573B"/>
    <w:rsid w:val="00C77D10"/>
    <w:rsid w:val="00C81BFB"/>
    <w:rsid w:val="00C947BE"/>
    <w:rsid w:val="00CB0EA8"/>
    <w:rsid w:val="00CC7A09"/>
    <w:rsid w:val="00CE52EB"/>
    <w:rsid w:val="00CF0BB2"/>
    <w:rsid w:val="00CF4975"/>
    <w:rsid w:val="00D13441"/>
    <w:rsid w:val="00D204B5"/>
    <w:rsid w:val="00D3213F"/>
    <w:rsid w:val="00D374CE"/>
    <w:rsid w:val="00D40252"/>
    <w:rsid w:val="00D54B56"/>
    <w:rsid w:val="00D550AA"/>
    <w:rsid w:val="00D70DFB"/>
    <w:rsid w:val="00D72EAC"/>
    <w:rsid w:val="00D766DF"/>
    <w:rsid w:val="00D811FC"/>
    <w:rsid w:val="00D9284D"/>
    <w:rsid w:val="00D94FB9"/>
    <w:rsid w:val="00DB1612"/>
    <w:rsid w:val="00DB28A3"/>
    <w:rsid w:val="00DB2DD3"/>
    <w:rsid w:val="00DD15EB"/>
    <w:rsid w:val="00DD1D29"/>
    <w:rsid w:val="00DD314D"/>
    <w:rsid w:val="00DE0CD3"/>
    <w:rsid w:val="00DE1DCB"/>
    <w:rsid w:val="00DF433F"/>
    <w:rsid w:val="00DF6051"/>
    <w:rsid w:val="00E05704"/>
    <w:rsid w:val="00E1363F"/>
    <w:rsid w:val="00E20811"/>
    <w:rsid w:val="00E23497"/>
    <w:rsid w:val="00E25CC7"/>
    <w:rsid w:val="00E27466"/>
    <w:rsid w:val="00E4085C"/>
    <w:rsid w:val="00E54CAB"/>
    <w:rsid w:val="00E74068"/>
    <w:rsid w:val="00E74DC7"/>
    <w:rsid w:val="00E81D7D"/>
    <w:rsid w:val="00E85CB9"/>
    <w:rsid w:val="00E94998"/>
    <w:rsid w:val="00EA3AA4"/>
    <w:rsid w:val="00EB4425"/>
    <w:rsid w:val="00ED1A6C"/>
    <w:rsid w:val="00ED7F2B"/>
    <w:rsid w:val="00EE1092"/>
    <w:rsid w:val="00EE6DCC"/>
    <w:rsid w:val="00EF0804"/>
    <w:rsid w:val="00EF2E3A"/>
    <w:rsid w:val="00F0132A"/>
    <w:rsid w:val="00F078DC"/>
    <w:rsid w:val="00F10976"/>
    <w:rsid w:val="00F225EA"/>
    <w:rsid w:val="00F309DF"/>
    <w:rsid w:val="00F30B30"/>
    <w:rsid w:val="00F31B89"/>
    <w:rsid w:val="00F5076A"/>
    <w:rsid w:val="00F64392"/>
    <w:rsid w:val="00F71234"/>
    <w:rsid w:val="00F74871"/>
    <w:rsid w:val="00F76EC2"/>
    <w:rsid w:val="00F8103A"/>
    <w:rsid w:val="00FA3991"/>
    <w:rsid w:val="00FA7107"/>
    <w:rsid w:val="00FA7B21"/>
    <w:rsid w:val="00FE1A3A"/>
    <w:rsid w:val="00FF0CED"/>
    <w:rsid w:val="00FF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395B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E1A3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5B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5B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5B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5B5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5B5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5B5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5B5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5B5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5B5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E1A3A"/>
  </w:style>
  <w:style w:type="paragraph" w:customStyle="1" w:styleId="OPCParaBase">
    <w:name w:val="OPCParaBase"/>
    <w:qFormat/>
    <w:rsid w:val="00FE1A3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E1A3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E1A3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E1A3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E1A3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E1A3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E1A3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E1A3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E1A3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E1A3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E1A3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E1A3A"/>
  </w:style>
  <w:style w:type="paragraph" w:customStyle="1" w:styleId="Blocks">
    <w:name w:val="Blocks"/>
    <w:aliases w:val="bb"/>
    <w:basedOn w:val="OPCParaBase"/>
    <w:qFormat/>
    <w:rsid w:val="00FE1A3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E1A3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E1A3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E1A3A"/>
    <w:rPr>
      <w:i/>
    </w:rPr>
  </w:style>
  <w:style w:type="paragraph" w:customStyle="1" w:styleId="BoxList">
    <w:name w:val="BoxList"/>
    <w:aliases w:val="bl"/>
    <w:basedOn w:val="BoxText"/>
    <w:qFormat/>
    <w:rsid w:val="00FE1A3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E1A3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E1A3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E1A3A"/>
    <w:pPr>
      <w:ind w:left="1985" w:hanging="851"/>
    </w:pPr>
  </w:style>
  <w:style w:type="character" w:customStyle="1" w:styleId="CharAmPartNo">
    <w:name w:val="CharAmPartNo"/>
    <w:basedOn w:val="OPCCharBase"/>
    <w:qFormat/>
    <w:rsid w:val="00FE1A3A"/>
  </w:style>
  <w:style w:type="character" w:customStyle="1" w:styleId="CharAmPartText">
    <w:name w:val="CharAmPartText"/>
    <w:basedOn w:val="OPCCharBase"/>
    <w:qFormat/>
    <w:rsid w:val="00FE1A3A"/>
  </w:style>
  <w:style w:type="character" w:customStyle="1" w:styleId="CharAmSchNo">
    <w:name w:val="CharAmSchNo"/>
    <w:basedOn w:val="OPCCharBase"/>
    <w:qFormat/>
    <w:rsid w:val="00FE1A3A"/>
  </w:style>
  <w:style w:type="character" w:customStyle="1" w:styleId="CharAmSchText">
    <w:name w:val="CharAmSchText"/>
    <w:basedOn w:val="OPCCharBase"/>
    <w:qFormat/>
    <w:rsid w:val="00FE1A3A"/>
  </w:style>
  <w:style w:type="character" w:customStyle="1" w:styleId="CharBoldItalic">
    <w:name w:val="CharBoldItalic"/>
    <w:basedOn w:val="OPCCharBase"/>
    <w:uiPriority w:val="1"/>
    <w:qFormat/>
    <w:rsid w:val="00FE1A3A"/>
    <w:rPr>
      <w:b/>
      <w:i/>
    </w:rPr>
  </w:style>
  <w:style w:type="character" w:customStyle="1" w:styleId="CharChapNo">
    <w:name w:val="CharChapNo"/>
    <w:basedOn w:val="OPCCharBase"/>
    <w:uiPriority w:val="1"/>
    <w:qFormat/>
    <w:rsid w:val="00FE1A3A"/>
  </w:style>
  <w:style w:type="character" w:customStyle="1" w:styleId="CharChapText">
    <w:name w:val="CharChapText"/>
    <w:basedOn w:val="OPCCharBase"/>
    <w:uiPriority w:val="1"/>
    <w:qFormat/>
    <w:rsid w:val="00FE1A3A"/>
  </w:style>
  <w:style w:type="character" w:customStyle="1" w:styleId="CharDivNo">
    <w:name w:val="CharDivNo"/>
    <w:basedOn w:val="OPCCharBase"/>
    <w:uiPriority w:val="1"/>
    <w:qFormat/>
    <w:rsid w:val="00FE1A3A"/>
  </w:style>
  <w:style w:type="character" w:customStyle="1" w:styleId="CharDivText">
    <w:name w:val="CharDivText"/>
    <w:basedOn w:val="OPCCharBase"/>
    <w:uiPriority w:val="1"/>
    <w:qFormat/>
    <w:rsid w:val="00FE1A3A"/>
  </w:style>
  <w:style w:type="character" w:customStyle="1" w:styleId="CharItalic">
    <w:name w:val="CharItalic"/>
    <w:basedOn w:val="OPCCharBase"/>
    <w:uiPriority w:val="1"/>
    <w:qFormat/>
    <w:rsid w:val="00FE1A3A"/>
    <w:rPr>
      <w:i/>
    </w:rPr>
  </w:style>
  <w:style w:type="character" w:customStyle="1" w:styleId="CharPartNo">
    <w:name w:val="CharPartNo"/>
    <w:basedOn w:val="OPCCharBase"/>
    <w:uiPriority w:val="1"/>
    <w:qFormat/>
    <w:rsid w:val="00FE1A3A"/>
  </w:style>
  <w:style w:type="character" w:customStyle="1" w:styleId="CharPartText">
    <w:name w:val="CharPartText"/>
    <w:basedOn w:val="OPCCharBase"/>
    <w:uiPriority w:val="1"/>
    <w:qFormat/>
    <w:rsid w:val="00FE1A3A"/>
  </w:style>
  <w:style w:type="character" w:customStyle="1" w:styleId="CharSectno">
    <w:name w:val="CharSectno"/>
    <w:basedOn w:val="OPCCharBase"/>
    <w:qFormat/>
    <w:rsid w:val="00FE1A3A"/>
  </w:style>
  <w:style w:type="character" w:customStyle="1" w:styleId="CharSubdNo">
    <w:name w:val="CharSubdNo"/>
    <w:basedOn w:val="OPCCharBase"/>
    <w:uiPriority w:val="1"/>
    <w:qFormat/>
    <w:rsid w:val="00FE1A3A"/>
  </w:style>
  <w:style w:type="character" w:customStyle="1" w:styleId="CharSubdText">
    <w:name w:val="CharSubdText"/>
    <w:basedOn w:val="OPCCharBase"/>
    <w:uiPriority w:val="1"/>
    <w:qFormat/>
    <w:rsid w:val="00FE1A3A"/>
  </w:style>
  <w:style w:type="paragraph" w:customStyle="1" w:styleId="CTA--">
    <w:name w:val="CTA --"/>
    <w:basedOn w:val="OPCParaBase"/>
    <w:next w:val="Normal"/>
    <w:rsid w:val="00FE1A3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E1A3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E1A3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E1A3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E1A3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E1A3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E1A3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E1A3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E1A3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E1A3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E1A3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E1A3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E1A3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E1A3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E1A3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E1A3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E1A3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E1A3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E1A3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E1A3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E1A3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E1A3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E1A3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E1A3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link w:val="ItemChar"/>
    <w:rsid w:val="00FE1A3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FE1A3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E1A3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E1A3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E1A3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E1A3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E1A3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E1A3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E1A3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E1A3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E1A3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FE1A3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E1A3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E1A3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E1A3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E1A3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E1A3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E1A3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E1A3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E1A3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E1A3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E1A3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E1A3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E1A3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E1A3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E1A3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E1A3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E1A3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E1A3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E1A3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E1A3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E1A3A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FE1A3A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E1A3A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E1A3A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E1A3A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FE1A3A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FE1A3A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E1A3A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FE1A3A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E1A3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E1A3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E1A3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E1A3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E1A3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E1A3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E1A3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E1A3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E1A3A"/>
    <w:rPr>
      <w:sz w:val="16"/>
    </w:rPr>
  </w:style>
  <w:style w:type="table" w:customStyle="1" w:styleId="CFlag">
    <w:name w:val="CFlag"/>
    <w:basedOn w:val="TableNormal"/>
    <w:uiPriority w:val="99"/>
    <w:rsid w:val="00FE1A3A"/>
    <w:rPr>
      <w:rFonts w:eastAsia="Times New Roman" w:cs="Times New Roman"/>
      <w:lang w:eastAsia="en-AU"/>
    </w:rPr>
    <w:tblPr/>
  </w:style>
  <w:style w:type="paragraph" w:customStyle="1" w:styleId="CompiledActNo">
    <w:name w:val="CompiledActNo"/>
    <w:basedOn w:val="OPCParaBase"/>
    <w:next w:val="Normal"/>
    <w:rsid w:val="00FE1A3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E1A3A"/>
    <w:rPr>
      <w:i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FE1A3A"/>
    <w:pPr>
      <w:spacing w:before="120"/>
    </w:pPr>
  </w:style>
  <w:style w:type="paragraph" w:customStyle="1" w:styleId="Paragraphsub-sub-sub">
    <w:name w:val="Paragraph(sub-sub-sub)"/>
    <w:aliases w:val="aaaa"/>
    <w:basedOn w:val="OPCParaBase"/>
    <w:rsid w:val="00FE1A3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FE1A3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E1A3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E1A3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1A3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E1A3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E1A3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E1A3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E1A3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E1A3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E1A3A"/>
  </w:style>
  <w:style w:type="character" w:customStyle="1" w:styleId="CharSubPartNoCASA">
    <w:name w:val="CharSubPartNo(CASA)"/>
    <w:basedOn w:val="OPCCharBase"/>
    <w:uiPriority w:val="1"/>
    <w:rsid w:val="00FE1A3A"/>
  </w:style>
  <w:style w:type="paragraph" w:customStyle="1" w:styleId="ENoteTTIndentHeadingSub">
    <w:name w:val="ENoteTTIndentHeadingSub"/>
    <w:aliases w:val="enTTHis"/>
    <w:basedOn w:val="OPCParaBase"/>
    <w:rsid w:val="00FE1A3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E1A3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E1A3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E1A3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E1A3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85CB9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E1A3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E1A3A"/>
    <w:rPr>
      <w:sz w:val="22"/>
    </w:rPr>
  </w:style>
  <w:style w:type="paragraph" w:customStyle="1" w:styleId="SOTextNote">
    <w:name w:val="SO TextNote"/>
    <w:aliases w:val="sont"/>
    <w:basedOn w:val="SOText"/>
    <w:qFormat/>
    <w:rsid w:val="00FE1A3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E1A3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E1A3A"/>
    <w:rPr>
      <w:sz w:val="22"/>
    </w:rPr>
  </w:style>
  <w:style w:type="paragraph" w:customStyle="1" w:styleId="FileName">
    <w:name w:val="FileName"/>
    <w:basedOn w:val="Normal"/>
    <w:rsid w:val="00FE1A3A"/>
  </w:style>
  <w:style w:type="paragraph" w:customStyle="1" w:styleId="TableHeading">
    <w:name w:val="TableHeading"/>
    <w:aliases w:val="th"/>
    <w:basedOn w:val="OPCParaBase"/>
    <w:next w:val="Tabletext"/>
    <w:rsid w:val="00FE1A3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E1A3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E1A3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E1A3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E1A3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E1A3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E1A3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E1A3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E1A3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E1A3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E1A3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E1A3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NotesHeading1">
    <w:name w:val="NotesHeading 1"/>
    <w:basedOn w:val="OPCParaBase"/>
    <w:next w:val="Normal"/>
    <w:rsid w:val="00FE1A3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E1A3A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FE1A3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E1A3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EndNotespara">
    <w:name w:val="EndNotes(para)"/>
    <w:aliases w:val="eta"/>
    <w:basedOn w:val="OPCParaBase"/>
    <w:next w:val="EndNotessubpara"/>
    <w:rsid w:val="00FE1A3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E1A3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E1A3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E1A3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E1A3A"/>
    <w:pPr>
      <w:spacing w:before="60" w:line="240" w:lineRule="auto"/>
    </w:pPr>
    <w:rPr>
      <w:rFonts w:cs="Arial"/>
      <w:sz w:val="20"/>
      <w:szCs w:val="22"/>
    </w:rPr>
  </w:style>
  <w:style w:type="table" w:styleId="TableGrid">
    <w:name w:val="Table Grid"/>
    <w:basedOn w:val="TableNormal"/>
    <w:uiPriority w:val="59"/>
    <w:rsid w:val="00FE1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nsitional">
    <w:name w:val="Transitional"/>
    <w:aliases w:val="tr"/>
    <w:basedOn w:val="ItemHead"/>
    <w:next w:val="Item"/>
    <w:rsid w:val="00FE1A3A"/>
  </w:style>
  <w:style w:type="character" w:customStyle="1" w:styleId="Heading1Char">
    <w:name w:val="Heading 1 Char"/>
    <w:basedOn w:val="DefaultParagraphFont"/>
    <w:link w:val="Heading1"/>
    <w:uiPriority w:val="9"/>
    <w:rsid w:val="00C45B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5B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5B5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5B5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5B5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5B5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5B5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5B5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5B5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31B89"/>
    <w:rPr>
      <w:rFonts w:eastAsia="Times New Roman" w:cs="Times New Roman"/>
      <w:sz w:val="22"/>
      <w:lang w:eastAsia="en-AU"/>
    </w:rPr>
  </w:style>
  <w:style w:type="character" w:customStyle="1" w:styleId="paragraphChar">
    <w:name w:val="paragraph Char"/>
    <w:aliases w:val="a Char"/>
    <w:link w:val="paragraph"/>
    <w:rsid w:val="00F31B89"/>
    <w:rPr>
      <w:rFonts w:eastAsia="Times New Roman" w:cs="Times New Roman"/>
      <w:sz w:val="22"/>
      <w:lang w:eastAsia="en-AU"/>
    </w:rPr>
  </w:style>
  <w:style w:type="character" w:customStyle="1" w:styleId="ActHead5Char">
    <w:name w:val="ActHead 5 Char"/>
    <w:aliases w:val="s Char"/>
    <w:link w:val="ActHead5"/>
    <w:rsid w:val="00F225EA"/>
    <w:rPr>
      <w:rFonts w:eastAsia="Times New Roman" w:cs="Times New Roman"/>
      <w:b/>
      <w:kern w:val="28"/>
      <w:sz w:val="24"/>
      <w:lang w:eastAsia="en-AU"/>
    </w:rPr>
  </w:style>
  <w:style w:type="character" w:customStyle="1" w:styleId="notetextChar">
    <w:name w:val="note(text) Char"/>
    <w:aliases w:val="n Char"/>
    <w:link w:val="notetext"/>
    <w:rsid w:val="00F225EA"/>
    <w:rPr>
      <w:rFonts w:eastAsia="Times New Roman" w:cs="Times New Roman"/>
      <w:sz w:val="18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8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8AA"/>
    <w:rPr>
      <w:rFonts w:ascii="Tahoma" w:hAnsi="Tahoma" w:cs="Tahoma"/>
      <w:sz w:val="16"/>
      <w:szCs w:val="16"/>
    </w:rPr>
  </w:style>
  <w:style w:type="character" w:customStyle="1" w:styleId="ItemHeadChar">
    <w:name w:val="ItemHead Char"/>
    <w:aliases w:val="ih Char"/>
    <w:basedOn w:val="DefaultParagraphFont"/>
    <w:link w:val="ItemHead"/>
    <w:rsid w:val="00B530A3"/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ItemChar">
    <w:name w:val="Item Char"/>
    <w:aliases w:val="i Char"/>
    <w:basedOn w:val="DefaultParagraphFont"/>
    <w:link w:val="Item"/>
    <w:rsid w:val="00B530A3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2018</Words>
  <Characters>11508</Characters>
  <Application>Microsoft Office Word</Application>
  <DocSecurity>2</DocSecurity>
  <PresentationFormat/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2019-12-04T05:45:00Z</dcterms:created>
  <dcterms:modified xsi:type="dcterms:W3CDTF">2019-12-04T05:50:00Z</dcterms:modified>
  <cp:category/>
  <cp:contentStatus/>
  <dc:language/>
  <cp:version/>
</cp:coreProperties>
</file>