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D62F2" w14:textId="77777777" w:rsidR="001149CE" w:rsidRDefault="001149CE" w:rsidP="00C3452B">
      <w:pPr>
        <w:pStyle w:val="Baseparagraphcentred"/>
      </w:pPr>
      <w:bookmarkStart w:id="0" w:name="_GoBack"/>
      <w:bookmarkEnd w:id="0"/>
    </w:p>
    <w:p w14:paraId="77C1EC15" w14:textId="77777777" w:rsidR="001149CE" w:rsidRDefault="001149CE" w:rsidP="00C3452B">
      <w:pPr>
        <w:pStyle w:val="Baseparagraphcentred"/>
      </w:pPr>
    </w:p>
    <w:p w14:paraId="4E6489C7" w14:textId="77777777" w:rsidR="001149CE" w:rsidRDefault="001149CE" w:rsidP="00C3452B">
      <w:pPr>
        <w:pStyle w:val="Baseparagraphcentred"/>
      </w:pPr>
    </w:p>
    <w:p w14:paraId="33504807" w14:textId="77777777" w:rsidR="001149CE" w:rsidRDefault="001149CE" w:rsidP="00C3452B">
      <w:pPr>
        <w:pStyle w:val="Baseparagraphcentred"/>
      </w:pPr>
    </w:p>
    <w:p w14:paraId="5886D2B4" w14:textId="77777777" w:rsidR="001149CE" w:rsidRDefault="001149CE" w:rsidP="00C3452B">
      <w:pPr>
        <w:pStyle w:val="Baseparagraphcentred"/>
      </w:pPr>
    </w:p>
    <w:p w14:paraId="1D2AE5C1" w14:textId="77777777" w:rsidR="001149CE" w:rsidRDefault="001149CE" w:rsidP="00C3452B">
      <w:pPr>
        <w:pStyle w:val="Baseparagraphcentred"/>
      </w:pPr>
    </w:p>
    <w:p w14:paraId="5EDDC83E" w14:textId="77777777" w:rsidR="001149CE" w:rsidRDefault="001149CE" w:rsidP="00C3452B">
      <w:pPr>
        <w:pStyle w:val="Baseparagraphcentred"/>
      </w:pPr>
    </w:p>
    <w:p w14:paraId="0D287D9F" w14:textId="77777777" w:rsidR="001149CE" w:rsidRDefault="001149CE" w:rsidP="00C3452B">
      <w:pPr>
        <w:pStyle w:val="Baseparagraphcentred"/>
      </w:pPr>
    </w:p>
    <w:p w14:paraId="56E12010" w14:textId="4974492F" w:rsidR="00C3452B" w:rsidRDefault="00C3452B" w:rsidP="00C3452B">
      <w:pPr>
        <w:pStyle w:val="Baseparagraphcentred"/>
      </w:pPr>
    </w:p>
    <w:p w14:paraId="1597EB6B" w14:textId="77777777" w:rsidR="00C3452B" w:rsidRDefault="00C3452B" w:rsidP="00C3452B">
      <w:pPr>
        <w:pStyle w:val="Baseparagraphcentred"/>
      </w:pPr>
    </w:p>
    <w:p w14:paraId="002F270A" w14:textId="6EB24B40" w:rsidR="0019339C" w:rsidRDefault="00D22588" w:rsidP="0019339C">
      <w:pPr>
        <w:pStyle w:val="BillName"/>
      </w:pPr>
      <w:bookmarkStart w:id="1" w:name="BillName"/>
      <w:bookmarkEnd w:id="1"/>
      <w:r>
        <w:t xml:space="preserve">National Consumer Credit Protection Amendment </w:t>
      </w:r>
      <w:r w:rsidR="00EC1ED0">
        <w:t xml:space="preserve">(Supporting Economic Recovery) </w:t>
      </w:r>
      <w:r>
        <w:t>Bill 2020</w:t>
      </w:r>
    </w:p>
    <w:p w14:paraId="2BF962D5" w14:textId="77777777" w:rsidR="00C3452B" w:rsidRDefault="00C3452B" w:rsidP="00C3452B">
      <w:pPr>
        <w:pStyle w:val="Baseparagraphcentred"/>
      </w:pPr>
    </w:p>
    <w:p w14:paraId="195141B3" w14:textId="77777777" w:rsidR="00C3452B" w:rsidRDefault="00C3452B" w:rsidP="00C3452B">
      <w:pPr>
        <w:pStyle w:val="Baseparagraphcentred"/>
      </w:pPr>
    </w:p>
    <w:p w14:paraId="5D523A5B" w14:textId="77777777" w:rsidR="00C3452B" w:rsidRDefault="00C3452B" w:rsidP="00C3452B">
      <w:pPr>
        <w:pStyle w:val="Baseparagraphcentred"/>
      </w:pPr>
    </w:p>
    <w:p w14:paraId="36959617" w14:textId="77777777" w:rsidR="00C3452B" w:rsidRDefault="00C3452B" w:rsidP="00C3452B">
      <w:pPr>
        <w:pStyle w:val="Baseparagraphcentred"/>
      </w:pPr>
    </w:p>
    <w:p w14:paraId="126D2EC9" w14:textId="77777777" w:rsidR="001149CE" w:rsidRDefault="001149CE" w:rsidP="00C3452B">
      <w:pPr>
        <w:pStyle w:val="Baseparagraphcentred"/>
      </w:pPr>
      <w:r>
        <w:t>EXPOSURE DRAFT EXPLANATORY MATERIALS</w:t>
      </w:r>
    </w:p>
    <w:p w14:paraId="11C342F7" w14:textId="51FA827F" w:rsidR="00C3452B" w:rsidRDefault="00C3452B" w:rsidP="00C3452B">
      <w:pPr>
        <w:pStyle w:val="Baseparagraphcentred"/>
      </w:pPr>
    </w:p>
    <w:p w14:paraId="0AECC990" w14:textId="77777777" w:rsidR="00C3452B" w:rsidRDefault="00C3452B" w:rsidP="00C3452B">
      <w:pPr>
        <w:pStyle w:val="Baseparagraphcentred"/>
      </w:pPr>
    </w:p>
    <w:p w14:paraId="38FD45E5" w14:textId="77777777" w:rsidR="00C3452B" w:rsidRDefault="00C3452B" w:rsidP="00C3452B">
      <w:pPr>
        <w:pStyle w:val="Baseparagraphcentred"/>
      </w:pPr>
    </w:p>
    <w:p w14:paraId="7D9CF0E1" w14:textId="77777777" w:rsidR="001149CE" w:rsidRDefault="001149CE" w:rsidP="00C3452B">
      <w:pPr>
        <w:pStyle w:val="ParaCentredNoSpacing"/>
      </w:pPr>
    </w:p>
    <w:p w14:paraId="5EF70D9B" w14:textId="77777777" w:rsidR="001149CE" w:rsidRDefault="001149CE" w:rsidP="00C3452B">
      <w:pPr>
        <w:pStyle w:val="ParaCentredNoSpacing"/>
      </w:pPr>
    </w:p>
    <w:p w14:paraId="6A2EB8E4" w14:textId="0EC96367" w:rsidR="00C3452B" w:rsidRDefault="00C3452B" w:rsidP="00C3452B">
      <w:pPr>
        <w:pStyle w:val="ParaCentredNoSpacing"/>
      </w:pPr>
    </w:p>
    <w:p w14:paraId="1D77DFAB" w14:textId="77777777" w:rsidR="00C3452B" w:rsidRDefault="00C3452B" w:rsidP="00C3452B"/>
    <w:p w14:paraId="69B011A8" w14:textId="77777777" w:rsidR="00C3452B" w:rsidRDefault="00C3452B" w:rsidP="00C3452B">
      <w:pPr>
        <w:sectPr w:rsidR="00C3452B" w:rsidSect="007434EB">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567" w:right="1134" w:bottom="567" w:left="1134" w:header="709" w:footer="709" w:gutter="0"/>
          <w:cols w:space="708"/>
          <w:titlePg/>
          <w:docGrid w:linePitch="360"/>
        </w:sectPr>
      </w:pPr>
    </w:p>
    <w:p w14:paraId="22A23C90" w14:textId="77777777" w:rsidR="00C3452B" w:rsidRPr="003E0794" w:rsidRDefault="00C3452B" w:rsidP="00C3452B">
      <w:pPr>
        <w:pStyle w:val="TOCHeading"/>
      </w:pPr>
      <w:r w:rsidRPr="003E0794">
        <w:lastRenderedPageBreak/>
        <w:t>Table of contents</w:t>
      </w:r>
    </w:p>
    <w:p w14:paraId="36A1949E" w14:textId="6023FDD9" w:rsidR="001149CE"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149CE">
        <w:t>Glossary</w:t>
      </w:r>
      <w:r w:rsidR="001149CE">
        <w:tab/>
      </w:r>
      <w:r w:rsidR="001149CE">
        <w:fldChar w:fldCharType="begin"/>
      </w:r>
      <w:r w:rsidR="001149CE">
        <w:instrText xml:space="preserve"> PAGEREF _Toc54771361 \h </w:instrText>
      </w:r>
      <w:r w:rsidR="001149CE">
        <w:fldChar w:fldCharType="separate"/>
      </w:r>
      <w:r w:rsidR="00F93C80">
        <w:t>1</w:t>
      </w:r>
      <w:r w:rsidR="001149CE">
        <w:fldChar w:fldCharType="end"/>
      </w:r>
    </w:p>
    <w:p w14:paraId="6FCF4A1C" w14:textId="0A74C292" w:rsidR="001149CE" w:rsidRDefault="001149C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Changes to the responsible lending obligations</w:t>
      </w:r>
      <w:r>
        <w:rPr>
          <w:noProof/>
        </w:rPr>
        <w:tab/>
      </w:r>
      <w:r>
        <w:rPr>
          <w:noProof/>
        </w:rPr>
        <w:fldChar w:fldCharType="begin"/>
      </w:r>
      <w:r>
        <w:rPr>
          <w:noProof/>
        </w:rPr>
        <w:instrText xml:space="preserve"> PAGEREF _Toc54771362 \h </w:instrText>
      </w:r>
      <w:r>
        <w:rPr>
          <w:noProof/>
        </w:rPr>
      </w:r>
      <w:r>
        <w:rPr>
          <w:noProof/>
        </w:rPr>
        <w:fldChar w:fldCharType="separate"/>
      </w:r>
      <w:r w:rsidR="00F93C80">
        <w:rPr>
          <w:noProof/>
        </w:rPr>
        <w:t>3</w:t>
      </w:r>
      <w:r>
        <w:rPr>
          <w:noProof/>
        </w:rPr>
        <w:fldChar w:fldCharType="end"/>
      </w:r>
    </w:p>
    <w:p w14:paraId="7DE0F78E" w14:textId="61E20333" w:rsidR="00C3452B" w:rsidRDefault="00C3452B" w:rsidP="00C3452B">
      <w:pPr>
        <w:rPr>
          <w:rFonts w:ascii="Helvetica" w:hAnsi="Helvetica"/>
          <w:noProof/>
          <w:sz w:val="24"/>
        </w:rPr>
      </w:pPr>
      <w:r>
        <w:rPr>
          <w:rFonts w:ascii="Helvetica" w:hAnsi="Helvetica"/>
          <w:noProof/>
          <w:sz w:val="24"/>
        </w:rPr>
        <w:fldChar w:fldCharType="end"/>
      </w:r>
    </w:p>
    <w:p w14:paraId="3A860FAD" w14:textId="77777777" w:rsidR="00C3452B" w:rsidRDefault="00C3452B" w:rsidP="00C3452B">
      <w:pPr>
        <w:pStyle w:val="Hiddentext"/>
      </w:pPr>
    </w:p>
    <w:p w14:paraId="04E706BD" w14:textId="77777777" w:rsidR="00C3452B" w:rsidRDefault="00C3452B" w:rsidP="00C3452B">
      <w:pPr>
        <w:pStyle w:val="base-text-paragraphnonumbers"/>
        <w:sectPr w:rsidR="00C3452B" w:rsidSect="00C10AAF">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2DFA44EC" w14:textId="77777777" w:rsidR="00C3452B" w:rsidRPr="00567602" w:rsidRDefault="00C3452B" w:rsidP="00C3452B">
      <w:pPr>
        <w:pStyle w:val="Chapterheadingsubdocument"/>
      </w:pPr>
      <w:bookmarkStart w:id="26" w:name="_Toc54771361"/>
      <w:r w:rsidRPr="00567602">
        <w:rPr>
          <w:rStyle w:val="ChapterNameOnly"/>
        </w:rPr>
        <w:lastRenderedPageBreak/>
        <w:t>Glossary</w:t>
      </w:r>
      <w:bookmarkEnd w:id="26"/>
    </w:p>
    <w:p w14:paraId="7532D76A"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7F3246CB" w14:textId="77777777" w:rsidTr="00854FDE">
        <w:tc>
          <w:tcPr>
            <w:tcW w:w="2721" w:type="dxa"/>
          </w:tcPr>
          <w:p w14:paraId="3A7EFADD" w14:textId="77777777" w:rsidR="00C3452B" w:rsidRPr="00123D96" w:rsidRDefault="00C3452B" w:rsidP="005D680D">
            <w:pPr>
              <w:pStyle w:val="tableheaderwithintable"/>
            </w:pPr>
            <w:r w:rsidRPr="00123D96">
              <w:t>Abbreviation</w:t>
            </w:r>
          </w:p>
        </w:tc>
        <w:tc>
          <w:tcPr>
            <w:tcW w:w="3885" w:type="dxa"/>
          </w:tcPr>
          <w:p w14:paraId="346AC5C8" w14:textId="77777777" w:rsidR="00C3452B" w:rsidRPr="00123D96" w:rsidRDefault="00C3452B" w:rsidP="005D680D">
            <w:pPr>
              <w:pStyle w:val="tableheaderwithintable"/>
            </w:pPr>
            <w:r w:rsidRPr="00123D96">
              <w:t>Definition</w:t>
            </w:r>
          </w:p>
        </w:tc>
      </w:tr>
      <w:tr w:rsidR="00C3452B" w:rsidRPr="002C43E8" w14:paraId="3668474B" w14:textId="77777777" w:rsidTr="00854FDE">
        <w:tc>
          <w:tcPr>
            <w:tcW w:w="2721" w:type="dxa"/>
          </w:tcPr>
          <w:p w14:paraId="46D2E257" w14:textId="77777777" w:rsidR="00C3452B" w:rsidRPr="002C43E8" w:rsidRDefault="00854FDE" w:rsidP="005D680D">
            <w:pPr>
              <w:pStyle w:val="Glossarytabletext"/>
              <w:rPr>
                <w:lang w:val="en-US" w:eastAsia="en-US"/>
              </w:rPr>
            </w:pPr>
            <w:bookmarkStart w:id="27" w:name="GlossaryTableStart"/>
            <w:bookmarkEnd w:id="27"/>
            <w:r w:rsidRPr="007732D2">
              <w:t>ADI</w:t>
            </w:r>
          </w:p>
        </w:tc>
        <w:tc>
          <w:tcPr>
            <w:tcW w:w="3885" w:type="dxa"/>
          </w:tcPr>
          <w:p w14:paraId="2342028B" w14:textId="77777777" w:rsidR="00C3452B" w:rsidRPr="002C43E8" w:rsidRDefault="00854FDE" w:rsidP="005D680D">
            <w:pPr>
              <w:pStyle w:val="Glossarytabletext"/>
              <w:rPr>
                <w:lang w:val="en-US" w:eastAsia="en-US"/>
              </w:rPr>
            </w:pPr>
            <w:r w:rsidRPr="001E3ABF">
              <w:t>A</w:t>
            </w:r>
            <w:r>
              <w:t>uthorised Deposit-taking Institution</w:t>
            </w:r>
          </w:p>
        </w:tc>
      </w:tr>
      <w:tr w:rsidR="00AC2CC4" w:rsidRPr="002C43E8" w14:paraId="2A562054" w14:textId="77777777" w:rsidTr="00854FDE">
        <w:tc>
          <w:tcPr>
            <w:tcW w:w="2721" w:type="dxa"/>
          </w:tcPr>
          <w:p w14:paraId="36D8BAF4" w14:textId="261D1C30" w:rsidR="00AC2CC4" w:rsidRPr="007732D2" w:rsidRDefault="00AC2CC4" w:rsidP="005D680D">
            <w:pPr>
              <w:pStyle w:val="Glossarytabletext"/>
            </w:pPr>
            <w:r>
              <w:t>AFCA</w:t>
            </w:r>
          </w:p>
        </w:tc>
        <w:tc>
          <w:tcPr>
            <w:tcW w:w="3885" w:type="dxa"/>
          </w:tcPr>
          <w:p w14:paraId="33890373" w14:textId="406CCF4B" w:rsidR="00AC2CC4" w:rsidRPr="001E3ABF" w:rsidRDefault="00AC2CC4" w:rsidP="005D680D">
            <w:pPr>
              <w:pStyle w:val="Glossarytabletext"/>
            </w:pPr>
            <w:r>
              <w:t>Australian Financial Complaints Authority</w:t>
            </w:r>
          </w:p>
        </w:tc>
      </w:tr>
      <w:tr w:rsidR="00854FDE" w:rsidRPr="002C43E8" w14:paraId="50264BDC" w14:textId="77777777" w:rsidTr="00854FDE">
        <w:tc>
          <w:tcPr>
            <w:tcW w:w="2721" w:type="dxa"/>
          </w:tcPr>
          <w:p w14:paraId="5983D5F2" w14:textId="77777777" w:rsidR="00854FDE" w:rsidRPr="007732D2" w:rsidRDefault="00854FDE" w:rsidP="005D680D">
            <w:pPr>
              <w:pStyle w:val="Glossarytabletext"/>
            </w:pPr>
            <w:r>
              <w:t>APRA</w:t>
            </w:r>
          </w:p>
        </w:tc>
        <w:tc>
          <w:tcPr>
            <w:tcW w:w="3885" w:type="dxa"/>
          </w:tcPr>
          <w:p w14:paraId="31B38C9E" w14:textId="77777777" w:rsidR="00854FDE" w:rsidRPr="001E3ABF" w:rsidRDefault="00854FDE" w:rsidP="005D680D">
            <w:pPr>
              <w:pStyle w:val="Glossarytabletext"/>
            </w:pPr>
            <w:r w:rsidRPr="007732D2">
              <w:t>A</w:t>
            </w:r>
            <w:r>
              <w:t>ustralian </w:t>
            </w:r>
            <w:r w:rsidRPr="007732D2">
              <w:t>P</w:t>
            </w:r>
            <w:r>
              <w:t xml:space="preserve">rudential </w:t>
            </w:r>
            <w:r w:rsidRPr="007732D2">
              <w:t>R</w:t>
            </w:r>
            <w:r>
              <w:t>egulation Authority</w:t>
            </w:r>
          </w:p>
        </w:tc>
      </w:tr>
      <w:tr w:rsidR="00476C56" w:rsidRPr="002C43E8" w14:paraId="5FFC1641" w14:textId="77777777" w:rsidTr="00854FDE">
        <w:tc>
          <w:tcPr>
            <w:tcW w:w="2721" w:type="dxa"/>
          </w:tcPr>
          <w:p w14:paraId="73763DB5" w14:textId="6FBC15AD" w:rsidR="00476C56" w:rsidRDefault="00476C56" w:rsidP="005D680D">
            <w:pPr>
              <w:pStyle w:val="Glossarytabletext"/>
            </w:pPr>
            <w:r>
              <w:t>ASIC</w:t>
            </w:r>
          </w:p>
        </w:tc>
        <w:tc>
          <w:tcPr>
            <w:tcW w:w="3885" w:type="dxa"/>
          </w:tcPr>
          <w:p w14:paraId="7E64757C" w14:textId="77777777" w:rsidR="001C1736" w:rsidRDefault="001C1736" w:rsidP="001C1736">
            <w:pPr>
              <w:pStyle w:val="Glossarytabletext"/>
            </w:pPr>
            <w:r>
              <w:t>Australian Securities and Investments</w:t>
            </w:r>
          </w:p>
          <w:p w14:paraId="1A2A333B" w14:textId="6EFC0E75" w:rsidR="00476C56" w:rsidRPr="007732D2" w:rsidRDefault="001C1736" w:rsidP="001C1736">
            <w:pPr>
              <w:pStyle w:val="Glossarytabletext"/>
            </w:pPr>
            <w:r>
              <w:t>Commission</w:t>
            </w:r>
          </w:p>
        </w:tc>
      </w:tr>
      <w:tr w:rsidR="0036732D" w:rsidRPr="002C43E8" w14:paraId="1ACB1BD8" w14:textId="77777777" w:rsidTr="00854FDE">
        <w:tc>
          <w:tcPr>
            <w:tcW w:w="2721" w:type="dxa"/>
          </w:tcPr>
          <w:p w14:paraId="72F893EB" w14:textId="6FB19DC2" w:rsidR="0036732D" w:rsidRDefault="0036732D" w:rsidP="005D680D">
            <w:pPr>
              <w:pStyle w:val="Glossarytabletext"/>
            </w:pPr>
            <w:r>
              <w:t xml:space="preserve">Bill </w:t>
            </w:r>
          </w:p>
        </w:tc>
        <w:tc>
          <w:tcPr>
            <w:tcW w:w="3885" w:type="dxa"/>
          </w:tcPr>
          <w:p w14:paraId="454FA072" w14:textId="3F192C85" w:rsidR="0036732D" w:rsidRDefault="0036732D" w:rsidP="001C1736">
            <w:pPr>
              <w:pStyle w:val="Glossarytabletext"/>
            </w:pPr>
            <w:r>
              <w:t xml:space="preserve">National Consumer Credit Protection Amendment </w:t>
            </w:r>
            <w:r w:rsidR="00EC1ED0">
              <w:t>(Supporting Economic Recovery)</w:t>
            </w:r>
            <w:r>
              <w:t xml:space="preserve"> Bill 2020</w:t>
            </w:r>
          </w:p>
        </w:tc>
      </w:tr>
      <w:tr w:rsidR="008B1E1D" w:rsidRPr="002C43E8" w14:paraId="318384F7" w14:textId="77777777" w:rsidTr="00854FDE">
        <w:tc>
          <w:tcPr>
            <w:tcW w:w="2721" w:type="dxa"/>
          </w:tcPr>
          <w:p w14:paraId="353EA6C6" w14:textId="2EC315CD" w:rsidR="008B1E1D" w:rsidRDefault="008B1E1D" w:rsidP="008B1E1D">
            <w:pPr>
              <w:pStyle w:val="Glossarytabletext"/>
            </w:pPr>
            <w:r>
              <w:rPr>
                <w:lang w:val="en-US" w:eastAsia="en-US"/>
              </w:rPr>
              <w:t xml:space="preserve">Credit Act </w:t>
            </w:r>
          </w:p>
        </w:tc>
        <w:tc>
          <w:tcPr>
            <w:tcW w:w="3885" w:type="dxa"/>
          </w:tcPr>
          <w:p w14:paraId="3F90CFDF" w14:textId="63BEEE26" w:rsidR="008B1E1D" w:rsidRDefault="008B1E1D" w:rsidP="008B1E1D">
            <w:pPr>
              <w:pStyle w:val="Glossarytabletext"/>
            </w:pPr>
            <w:r w:rsidRPr="00595201">
              <w:rPr>
                <w:i/>
              </w:rPr>
              <w:t>National Consumer Credit Protection Act 2009</w:t>
            </w:r>
          </w:p>
        </w:tc>
      </w:tr>
      <w:tr w:rsidR="00C3452B" w:rsidRPr="002C43E8" w14:paraId="06BA1488" w14:textId="77777777" w:rsidTr="00854FDE">
        <w:tc>
          <w:tcPr>
            <w:tcW w:w="2721" w:type="dxa"/>
          </w:tcPr>
          <w:p w14:paraId="6839152E" w14:textId="29073ECB" w:rsidR="00C3452B" w:rsidRPr="002C43E8" w:rsidRDefault="00EA4E86" w:rsidP="00885E7E">
            <w:pPr>
              <w:pStyle w:val="Glossarytabletext"/>
              <w:rPr>
                <w:lang w:val="en-US" w:eastAsia="en-US"/>
              </w:rPr>
            </w:pPr>
            <w:r>
              <w:t xml:space="preserve">Credit Regulations </w:t>
            </w:r>
          </w:p>
        </w:tc>
        <w:tc>
          <w:tcPr>
            <w:tcW w:w="3885" w:type="dxa"/>
          </w:tcPr>
          <w:p w14:paraId="70EE72E1" w14:textId="77777777" w:rsidR="00C3452B" w:rsidRPr="00476C56" w:rsidRDefault="00854FDE" w:rsidP="005D680D">
            <w:pPr>
              <w:pStyle w:val="Glossarytabletext"/>
              <w:rPr>
                <w:i/>
                <w:lang w:val="en-US" w:eastAsia="en-US"/>
              </w:rPr>
            </w:pPr>
            <w:r w:rsidRPr="0087420D">
              <w:rPr>
                <w:i/>
              </w:rPr>
              <w:t>National Consumer Credit Protection Regulations 2010</w:t>
            </w:r>
          </w:p>
        </w:tc>
      </w:tr>
      <w:tr w:rsidR="00C3452B" w:rsidRPr="002C43E8" w14:paraId="323FB334" w14:textId="77777777" w:rsidTr="00854FDE">
        <w:tc>
          <w:tcPr>
            <w:tcW w:w="2721" w:type="dxa"/>
          </w:tcPr>
          <w:p w14:paraId="7084BC37" w14:textId="77777777" w:rsidR="00C3452B" w:rsidRPr="002C43E8" w:rsidRDefault="00854FDE" w:rsidP="005D680D">
            <w:pPr>
              <w:pStyle w:val="Glossarytabletext"/>
              <w:rPr>
                <w:lang w:val="en-US" w:eastAsia="en-US"/>
              </w:rPr>
            </w:pPr>
            <w:r>
              <w:rPr>
                <w:lang w:val="en-US" w:eastAsia="en-US"/>
              </w:rPr>
              <w:t>RLOs</w:t>
            </w:r>
          </w:p>
        </w:tc>
        <w:tc>
          <w:tcPr>
            <w:tcW w:w="3885" w:type="dxa"/>
          </w:tcPr>
          <w:p w14:paraId="2F357E6C" w14:textId="77777777" w:rsidR="00C3452B" w:rsidRPr="002C43E8" w:rsidRDefault="00854FDE" w:rsidP="005D680D">
            <w:pPr>
              <w:pStyle w:val="Glossarytabletext"/>
              <w:rPr>
                <w:lang w:val="en-US" w:eastAsia="en-US"/>
              </w:rPr>
            </w:pPr>
            <w:r>
              <w:rPr>
                <w:lang w:val="en-US" w:eastAsia="en-US"/>
              </w:rPr>
              <w:t>Responsible lending obligations</w:t>
            </w:r>
          </w:p>
        </w:tc>
      </w:tr>
      <w:tr w:rsidR="00C3452B" w:rsidRPr="002C43E8" w14:paraId="70F7938A" w14:textId="77777777" w:rsidTr="00854FDE">
        <w:tc>
          <w:tcPr>
            <w:tcW w:w="2721" w:type="dxa"/>
          </w:tcPr>
          <w:p w14:paraId="50CA8DAF" w14:textId="0B3BDCD9" w:rsidR="00C3452B" w:rsidRPr="002C43E8" w:rsidRDefault="00BE3B27" w:rsidP="005D680D">
            <w:pPr>
              <w:pStyle w:val="Glossarytabletext"/>
              <w:rPr>
                <w:lang w:val="en-US" w:eastAsia="en-US"/>
              </w:rPr>
            </w:pPr>
            <w:r>
              <w:t>SACC</w:t>
            </w:r>
          </w:p>
        </w:tc>
        <w:tc>
          <w:tcPr>
            <w:tcW w:w="3885" w:type="dxa"/>
          </w:tcPr>
          <w:p w14:paraId="05AA4A78" w14:textId="52021B57" w:rsidR="00C3452B" w:rsidRPr="002C43E8" w:rsidRDefault="00BE3B27" w:rsidP="005D680D">
            <w:pPr>
              <w:pStyle w:val="Glossarytabletext"/>
              <w:rPr>
                <w:lang w:val="en-US" w:eastAsia="en-US"/>
              </w:rPr>
            </w:pPr>
            <w:r>
              <w:t>Small amount credit contract</w:t>
            </w:r>
          </w:p>
        </w:tc>
      </w:tr>
    </w:tbl>
    <w:p w14:paraId="64E40CF1" w14:textId="77777777" w:rsidR="00C3452B" w:rsidRDefault="00C3452B" w:rsidP="00C3452B"/>
    <w:p w14:paraId="1BD1647A" w14:textId="77777777" w:rsidR="00C3452B" w:rsidRDefault="00C3452B" w:rsidP="00C3452B"/>
    <w:p w14:paraId="125FFEF5" w14:textId="77777777" w:rsidR="00C3452B" w:rsidRDefault="00C3452B" w:rsidP="00C3452B">
      <w:pPr>
        <w:sectPr w:rsidR="00C3452B" w:rsidSect="00C10AAF">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0099190B" w14:textId="77777777" w:rsidR="00C3452B" w:rsidRDefault="00C3452B" w:rsidP="00C3452B">
      <w:pPr>
        <w:pStyle w:val="Hiddentext"/>
      </w:pPr>
      <w:bookmarkStart w:id="36" w:name="GeneralOutline"/>
      <w:bookmarkEnd w:id="36"/>
    </w:p>
    <w:p w14:paraId="4F1D93B4" w14:textId="20D848FA" w:rsidR="00C3452B" w:rsidRPr="007C2B20" w:rsidRDefault="00C3452B" w:rsidP="006E58E1">
      <w:pPr>
        <w:pStyle w:val="ChapterHeading"/>
        <w:numPr>
          <w:ilvl w:val="0"/>
          <w:numId w:val="4"/>
        </w:numPr>
      </w:pPr>
      <w:r w:rsidRPr="000C2A9D">
        <w:br/>
      </w:r>
      <w:bookmarkStart w:id="37" w:name="_Toc54771362"/>
      <w:r w:rsidR="00885E7E">
        <w:rPr>
          <w:rStyle w:val="ChapterNameOnly"/>
        </w:rPr>
        <w:t>Changes to the</w:t>
      </w:r>
      <w:r w:rsidR="00765E24" w:rsidRPr="00765E24">
        <w:rPr>
          <w:rStyle w:val="ChapterNameOnly"/>
        </w:rPr>
        <w:t xml:space="preserve"> responsible lending obligations</w:t>
      </w:r>
      <w:bookmarkEnd w:id="37"/>
    </w:p>
    <w:p w14:paraId="1EE89D05" w14:textId="415FEA90" w:rsidR="00490CC5" w:rsidRDefault="00C3452B" w:rsidP="00AD27A9">
      <w:pPr>
        <w:pStyle w:val="Heading2"/>
      </w:pPr>
      <w:r>
        <w:t>Outline of chapter</w:t>
      </w:r>
    </w:p>
    <w:p w14:paraId="3F08BF20" w14:textId="0ED3A709" w:rsidR="00490CC5" w:rsidRDefault="00490CC5" w:rsidP="00490CC5">
      <w:pPr>
        <w:pStyle w:val="base-text-paragraph"/>
        <w:numPr>
          <w:ilvl w:val="1"/>
          <w:numId w:val="19"/>
        </w:numPr>
      </w:pPr>
      <w:r w:rsidRPr="00490CC5">
        <w:t xml:space="preserve">Schedule </w:t>
      </w:r>
      <w:r w:rsidR="00281E93">
        <w:t>1</w:t>
      </w:r>
      <w:r w:rsidRPr="00490CC5">
        <w:t xml:space="preserve"> to the Bill will amend the Credit Act so that </w:t>
      </w:r>
      <w:r w:rsidR="00DA58D0">
        <w:t>RLOs</w:t>
      </w:r>
      <w:r w:rsidRPr="00490CC5">
        <w:t xml:space="preserve"> apply only to SACCs</w:t>
      </w:r>
      <w:r w:rsidR="00035510">
        <w:t>, SACC-equivalent loans by ADIs</w:t>
      </w:r>
      <w:r w:rsidRPr="00490CC5">
        <w:t xml:space="preserve"> and consumer leases </w:t>
      </w:r>
      <w:r w:rsidR="002D3D51">
        <w:t xml:space="preserve">beginning on </w:t>
      </w:r>
      <w:r w:rsidR="00DB57EB">
        <w:t>1 </w:t>
      </w:r>
      <w:r w:rsidRPr="00490CC5">
        <w:t>March</w:t>
      </w:r>
      <w:r w:rsidR="00390E55">
        <w:t> </w:t>
      </w:r>
      <w:r w:rsidR="00467434" w:rsidRPr="00490CC5">
        <w:t>202</w:t>
      </w:r>
      <w:r w:rsidR="00467434">
        <w:t>1</w:t>
      </w:r>
      <w:r w:rsidRPr="00490CC5">
        <w:t xml:space="preserve">. This forms part of the Government’s Consumer Credit Reforms aimed at </w:t>
      </w:r>
      <w:r w:rsidR="008C205C">
        <w:t xml:space="preserve">improving the flow of credit by </w:t>
      </w:r>
      <w:r w:rsidRPr="00490CC5">
        <w:t>reducing the time that it takes consumers and businesses to access credit so that consumers can continue to spend and business can invest and create jobs.</w:t>
      </w:r>
    </w:p>
    <w:p w14:paraId="05001FB1" w14:textId="061FF992" w:rsidR="009B0097" w:rsidRDefault="00CE04F3" w:rsidP="00490CC5">
      <w:pPr>
        <w:pStyle w:val="base-text-paragraph"/>
        <w:numPr>
          <w:ilvl w:val="1"/>
          <w:numId w:val="19"/>
        </w:numPr>
      </w:pPr>
      <w:r>
        <w:t>T</w:t>
      </w:r>
      <w:r w:rsidR="009B0097" w:rsidRPr="00663840">
        <w:t>he Bill forms a key part of the</w:t>
      </w:r>
      <w:r w:rsidR="007D75AE">
        <w:t xml:space="preserve"> Australian Government’s economic recovery plan in response to the current economic circumstances</w:t>
      </w:r>
      <w:r w:rsidR="008C205C">
        <w:t>, as the economy recovers from the COVID</w:t>
      </w:r>
      <w:r w:rsidR="008C205C">
        <w:noBreakHyphen/>
        <w:t>19 crisis</w:t>
      </w:r>
      <w:r w:rsidR="009B0097" w:rsidRPr="00663840">
        <w:t>.</w:t>
      </w:r>
    </w:p>
    <w:p w14:paraId="079F970A" w14:textId="073EECE8" w:rsidR="004A1E8C" w:rsidRDefault="004A1E8C" w:rsidP="004A1E8C">
      <w:pPr>
        <w:numPr>
          <w:ilvl w:val="1"/>
          <w:numId w:val="19"/>
        </w:numPr>
      </w:pPr>
      <w:r>
        <w:t xml:space="preserve">Schedule </w:t>
      </w:r>
      <w:r w:rsidR="008C205C">
        <w:t xml:space="preserve">1 </w:t>
      </w:r>
      <w:r>
        <w:t xml:space="preserve">to the Bill will </w:t>
      </w:r>
      <w:r w:rsidR="008C205C">
        <w:t xml:space="preserve">also </w:t>
      </w:r>
      <w:r>
        <w:t xml:space="preserve">amend the </w:t>
      </w:r>
      <w:r w:rsidR="00CE04F3">
        <w:t>Credit Act</w:t>
      </w:r>
      <w:r>
        <w:t xml:space="preserve"> to provide the Minister a power to determine standards, by legislative instrument, specifying requirements for a credit licensee’s systems, policies and processes in relation to certain non-ADI credit conduct.</w:t>
      </w:r>
    </w:p>
    <w:p w14:paraId="78FDA251" w14:textId="0FE8C52D" w:rsidR="00CC10AC" w:rsidRDefault="004A1E8C" w:rsidP="004A1E8C">
      <w:pPr>
        <w:numPr>
          <w:ilvl w:val="1"/>
          <w:numId w:val="19"/>
        </w:numPr>
      </w:pPr>
      <w:r>
        <w:t xml:space="preserve">These providers will be required to ensure that they have systems, polices and processes in place </w:t>
      </w:r>
      <w:r w:rsidR="008C205C">
        <w:t xml:space="preserve">that comply with </w:t>
      </w:r>
      <w:r>
        <w:t>the standard, and not repeatedly fail to apply those systems.</w:t>
      </w:r>
    </w:p>
    <w:p w14:paraId="3C3BF018" w14:textId="0123976D" w:rsidR="0043027E" w:rsidRPr="004974C7" w:rsidRDefault="0043027E" w:rsidP="006E58E1">
      <w:pPr>
        <w:pStyle w:val="base-text-paragraph"/>
        <w:numPr>
          <w:ilvl w:val="1"/>
          <w:numId w:val="19"/>
        </w:numPr>
      </w:pPr>
      <w:r w:rsidRPr="004974C7">
        <w:t>All legislative references in this Chapter</w:t>
      </w:r>
      <w:r>
        <w:t xml:space="preserve"> are to the Credit</w:t>
      </w:r>
      <w:r w:rsidRPr="004974C7">
        <w:t xml:space="preserve"> Act unless otherwise stated.</w:t>
      </w:r>
    </w:p>
    <w:p w14:paraId="627699DD" w14:textId="77777777" w:rsidR="009747EA" w:rsidRDefault="00C3452B" w:rsidP="009747EA">
      <w:pPr>
        <w:pStyle w:val="Heading2"/>
      </w:pPr>
      <w:r>
        <w:t>Context of amendments</w:t>
      </w:r>
    </w:p>
    <w:p w14:paraId="7AF9A89F" w14:textId="114F0483" w:rsidR="009747EA" w:rsidRDefault="009747EA" w:rsidP="001C5F46">
      <w:pPr>
        <w:pStyle w:val="base-text-paragraph"/>
        <w:numPr>
          <w:ilvl w:val="1"/>
          <w:numId w:val="19"/>
        </w:numPr>
      </w:pPr>
      <w:r>
        <w:t xml:space="preserve">In September 2020, the Government announced that it would undertake </w:t>
      </w:r>
      <w:r w:rsidR="00AA3B75">
        <w:t>c</w:t>
      </w:r>
      <w:r>
        <w:t xml:space="preserve">onsumer </w:t>
      </w:r>
      <w:r w:rsidR="00AA3B75">
        <w:t>c</w:t>
      </w:r>
      <w:r>
        <w:t xml:space="preserve">redit </w:t>
      </w:r>
      <w:r w:rsidR="00AA3B75">
        <w:t>r</w:t>
      </w:r>
      <w:r>
        <w:t xml:space="preserve">eforms aimed at </w:t>
      </w:r>
      <w:r w:rsidR="008C205C">
        <w:t xml:space="preserve">enabling the efficient flow of credit by </w:t>
      </w:r>
      <w:r>
        <w:t>reducing the time that it takes consumers and businesses to access credit so that consumers can continue to spend and business can invest and create jobs. This announcement included:</w:t>
      </w:r>
    </w:p>
    <w:p w14:paraId="56C6C6D5" w14:textId="1CACF6B6" w:rsidR="009747EA" w:rsidRDefault="00885E7E" w:rsidP="001C5F46">
      <w:pPr>
        <w:pStyle w:val="dotpoint"/>
        <w:numPr>
          <w:ilvl w:val="0"/>
          <w:numId w:val="6"/>
        </w:numPr>
        <w:ind w:hanging="284"/>
      </w:pPr>
      <w:r>
        <w:t>r</w:t>
      </w:r>
      <w:r w:rsidR="009747EA">
        <w:t xml:space="preserve">emoving </w:t>
      </w:r>
      <w:r w:rsidR="00A2199C">
        <w:t>RLOs</w:t>
      </w:r>
      <w:r w:rsidR="009747EA">
        <w:t xml:space="preserve"> from the Credit Act, with the exception of SACCs and consumer leases</w:t>
      </w:r>
      <w:r>
        <w:t xml:space="preserve">; </w:t>
      </w:r>
    </w:p>
    <w:p w14:paraId="22C6C8F3" w14:textId="4A2EFD2E" w:rsidR="009747EA" w:rsidRDefault="00885E7E" w:rsidP="001C5F46">
      <w:pPr>
        <w:pStyle w:val="dotpoint"/>
        <w:numPr>
          <w:ilvl w:val="0"/>
          <w:numId w:val="6"/>
        </w:numPr>
        <w:ind w:hanging="284"/>
      </w:pPr>
      <w:r>
        <w:t>r</w:t>
      </w:r>
      <w:r w:rsidR="009747EA">
        <w:t>emoving the ambiguity regarding the application of consumer lending laws to small business lending</w:t>
      </w:r>
      <w:r w:rsidR="00761E95">
        <w:t>; and</w:t>
      </w:r>
    </w:p>
    <w:p w14:paraId="0E350870" w14:textId="4772D753" w:rsidR="00761E95" w:rsidRDefault="00761E95" w:rsidP="001C5F46">
      <w:pPr>
        <w:pStyle w:val="dotpoint"/>
        <w:numPr>
          <w:ilvl w:val="0"/>
          <w:numId w:val="6"/>
        </w:numPr>
        <w:ind w:hanging="284"/>
      </w:pPr>
      <w:proofErr w:type="gramStart"/>
      <w:r>
        <w:lastRenderedPageBreak/>
        <w:t>implementing</w:t>
      </w:r>
      <w:proofErr w:type="gramEnd"/>
      <w:r>
        <w:t xml:space="preserve"> a new framework that would appropriately adopt key elements of APRA’s ADI lending </w:t>
      </w:r>
      <w:r w:rsidR="008C205C">
        <w:t xml:space="preserve">prudential </w:t>
      </w:r>
      <w:r>
        <w:t>standards to non-ADIs</w:t>
      </w:r>
      <w:r w:rsidR="004F6A76">
        <w:t xml:space="preserve"> (other than for SACCs</w:t>
      </w:r>
      <w:r w:rsidR="00BA04DE">
        <w:t xml:space="preserve"> and consumer leases</w:t>
      </w:r>
      <w:r w:rsidR="004F6A76">
        <w:t>)</w:t>
      </w:r>
      <w:r w:rsidR="008C205C">
        <w:t>, while ensuring ADIs continue to comply with APRA’s prudential standards</w:t>
      </w:r>
      <w:r>
        <w:t>.</w:t>
      </w:r>
    </w:p>
    <w:p w14:paraId="10B39023" w14:textId="0206B474" w:rsidR="005C45D7" w:rsidRDefault="005C45D7" w:rsidP="001C5F46">
      <w:pPr>
        <w:pStyle w:val="base-text-paragraph"/>
        <w:numPr>
          <w:ilvl w:val="1"/>
          <w:numId w:val="19"/>
        </w:numPr>
      </w:pPr>
      <w:r w:rsidRPr="00C1666B">
        <w:t>The Credit Act sets out a comprehensive national licensing</w:t>
      </w:r>
      <w:r w:rsidRPr="005C45D7">
        <w:t xml:space="preserve"> regime for persons who engage in credit activities (Chapter 2). This </w:t>
      </w:r>
      <w:r w:rsidR="00A271E7">
        <w:t>is</w:t>
      </w:r>
      <w:r w:rsidRPr="005C45D7">
        <w:t xml:space="preserve"> </w:t>
      </w:r>
      <w:r w:rsidR="00A271E7">
        <w:t>separate to</w:t>
      </w:r>
      <w:r w:rsidRPr="005C45D7">
        <w:t xml:space="preserve"> the </w:t>
      </w:r>
      <w:r w:rsidR="00FC3E59">
        <w:t>licensing</w:t>
      </w:r>
      <w:r w:rsidR="00FC3E59" w:rsidRPr="005C45D7">
        <w:t xml:space="preserve"> </w:t>
      </w:r>
      <w:r w:rsidRPr="005C45D7">
        <w:t xml:space="preserve">of financial services under the </w:t>
      </w:r>
      <w:r w:rsidRPr="0062569C">
        <w:rPr>
          <w:i/>
        </w:rPr>
        <w:t>Corporations</w:t>
      </w:r>
      <w:r w:rsidR="00AC38E4">
        <w:rPr>
          <w:i/>
        </w:rPr>
        <w:t> </w:t>
      </w:r>
      <w:r w:rsidRPr="0062569C">
        <w:rPr>
          <w:i/>
        </w:rPr>
        <w:t>Act</w:t>
      </w:r>
      <w:r w:rsidR="00AC38E4">
        <w:rPr>
          <w:i/>
        </w:rPr>
        <w:t> </w:t>
      </w:r>
      <w:r w:rsidRPr="0062569C">
        <w:rPr>
          <w:i/>
        </w:rPr>
        <w:t>2001</w:t>
      </w:r>
      <w:r w:rsidR="001A278C">
        <w:t>.</w:t>
      </w:r>
    </w:p>
    <w:p w14:paraId="126732DC" w14:textId="7BB84606" w:rsidR="00B42F12" w:rsidRPr="005C45D7" w:rsidRDefault="00B42F12" w:rsidP="005B57EF">
      <w:pPr>
        <w:pStyle w:val="Heading4"/>
      </w:pPr>
      <w:r w:rsidRPr="00B42F12">
        <w:t>Responsible lending obligations under the Credit Act</w:t>
      </w:r>
    </w:p>
    <w:p w14:paraId="3BDC206D" w14:textId="6089398F" w:rsidR="009747EA" w:rsidRDefault="001731E6" w:rsidP="001C5F46">
      <w:pPr>
        <w:pStyle w:val="base-text-paragraph"/>
        <w:numPr>
          <w:ilvl w:val="1"/>
          <w:numId w:val="19"/>
        </w:numPr>
      </w:pPr>
      <w:r>
        <w:t>T</w:t>
      </w:r>
      <w:r w:rsidR="004F6AFA">
        <w:t xml:space="preserve">he Credit Act includes </w:t>
      </w:r>
      <w:r w:rsidR="00EC5F48">
        <w:t>RLO</w:t>
      </w:r>
      <w:r w:rsidR="004F6AFA">
        <w:t>s</w:t>
      </w:r>
      <w:r w:rsidR="005C45D7" w:rsidRPr="005C45D7">
        <w:t xml:space="preserve"> </w:t>
      </w:r>
      <w:r w:rsidR="008C205C">
        <w:t xml:space="preserve">which are </w:t>
      </w:r>
      <w:r w:rsidR="005C45D7" w:rsidRPr="005C45D7">
        <w:t xml:space="preserve">imposed on all holders of </w:t>
      </w:r>
      <w:r w:rsidR="004F6AFA">
        <w:t>A</w:t>
      </w:r>
      <w:r w:rsidR="00EA1CC6">
        <w:t>ustralian credit licence</w:t>
      </w:r>
      <w:r w:rsidR="004F6AFA">
        <w:t>s</w:t>
      </w:r>
      <w:r w:rsidR="001A278C">
        <w:t xml:space="preserve"> </w:t>
      </w:r>
      <w:r w:rsidR="005C45D7" w:rsidRPr="005C45D7">
        <w:t>in relation to their dealings with consumers</w:t>
      </w:r>
      <w:r w:rsidR="004F6AFA">
        <w:t>. These</w:t>
      </w:r>
      <w:r w:rsidR="005C45D7" w:rsidRPr="005C45D7">
        <w:t xml:space="preserve"> are contained in Chapter 3 of the Credit Act. </w:t>
      </w:r>
    </w:p>
    <w:p w14:paraId="06D4CAB8" w14:textId="7558358B" w:rsidR="00D25EE4" w:rsidRPr="00D25EE4" w:rsidRDefault="00EC5F48" w:rsidP="001C5F46">
      <w:pPr>
        <w:pStyle w:val="base-text-paragraph"/>
        <w:numPr>
          <w:ilvl w:val="1"/>
          <w:numId w:val="19"/>
        </w:numPr>
      </w:pPr>
      <w:r w:rsidRPr="0062569C">
        <w:t xml:space="preserve">RLOs are </w:t>
      </w:r>
      <w:r w:rsidRPr="00564F12">
        <w:t>designed</w:t>
      </w:r>
      <w:r w:rsidRPr="0062569C">
        <w:t xml:space="preserve"> to </w:t>
      </w:r>
      <w:r w:rsidRPr="00564F12">
        <w:t>prevent</w:t>
      </w:r>
      <w:r w:rsidRPr="0062569C">
        <w:t xml:space="preserve"> the </w:t>
      </w:r>
      <w:r w:rsidR="00851263" w:rsidRPr="0062569C">
        <w:t>provision</w:t>
      </w:r>
      <w:r w:rsidRPr="0062569C">
        <w:t xml:space="preserve"> of unsuitable credi</w:t>
      </w:r>
      <w:r w:rsidRPr="0062569C" w:rsidDel="00C544F0">
        <w:t>t</w:t>
      </w:r>
      <w:r w:rsidR="00851263" w:rsidRPr="0062569C">
        <w:t xml:space="preserve"> to consumers</w:t>
      </w:r>
      <w:r w:rsidRPr="0062569C" w:rsidDel="00C544F0">
        <w:t xml:space="preserve">. </w:t>
      </w:r>
      <w:r w:rsidR="00564F12" w:rsidRPr="0062569C">
        <w:t xml:space="preserve">They </w:t>
      </w:r>
      <w:r w:rsidR="00564F12" w:rsidRPr="008D4986">
        <w:t>apply to consumer credit and do not apply to lending for predominantly business purposes.</w:t>
      </w:r>
      <w:r w:rsidR="006C24B5">
        <w:t xml:space="preserve"> Over time, the ‘one-size-fits-all’ and prescriptive nature of the RLOs has imposed burdensome and unnecessary processes on both lenders and borrowers.  </w:t>
      </w:r>
    </w:p>
    <w:p w14:paraId="18BD0BD1" w14:textId="56457FFC" w:rsidR="00390E55" w:rsidRDefault="005C45D7" w:rsidP="001C5F46">
      <w:pPr>
        <w:pStyle w:val="base-text-paragraph"/>
        <w:numPr>
          <w:ilvl w:val="1"/>
          <w:numId w:val="19"/>
        </w:numPr>
      </w:pPr>
      <w:r w:rsidRPr="005C45D7">
        <w:t>Broadly, the responsible lending conduct obligations</w:t>
      </w:r>
      <w:r w:rsidR="00B3521B">
        <w:t xml:space="preserve"> in Chapter</w:t>
      </w:r>
      <w:r w:rsidR="00F35671">
        <w:t> </w:t>
      </w:r>
      <w:r w:rsidR="00B3521B">
        <w:t>3 of the Credit Act</w:t>
      </w:r>
      <w:r w:rsidRPr="005C45D7">
        <w:t xml:space="preserve"> </w:t>
      </w:r>
      <w:r w:rsidR="008E243B">
        <w:t xml:space="preserve">impose </w:t>
      </w:r>
      <w:r w:rsidRPr="005C45D7">
        <w:t>expected standards of behaviour o</w:t>
      </w:r>
      <w:r w:rsidR="00507AC3">
        <w:t>n</w:t>
      </w:r>
      <w:r w:rsidRPr="005C45D7">
        <w:t xml:space="preserve"> licensees when they enter into </w:t>
      </w:r>
      <w:r w:rsidRPr="005B57EF">
        <w:t>consumer credit contracts</w:t>
      </w:r>
      <w:r w:rsidRPr="005C45D7">
        <w:t xml:space="preserve"> or consumer leases</w:t>
      </w:r>
      <w:r w:rsidR="00390E55">
        <w:t>,</w:t>
      </w:r>
      <w:r w:rsidRPr="005C45D7">
        <w:t xml:space="preserve"> where they suggest a credit contract or lease to a consumer, or assist a consumer to apply for a credit contract or lease.  </w:t>
      </w:r>
    </w:p>
    <w:p w14:paraId="7A49ED1C" w14:textId="5009840E" w:rsidR="00C8614A" w:rsidRDefault="00C8614A" w:rsidP="001C5F46">
      <w:pPr>
        <w:pStyle w:val="base-text-paragraph"/>
        <w:numPr>
          <w:ilvl w:val="1"/>
          <w:numId w:val="19"/>
        </w:numPr>
      </w:pPr>
      <w:r>
        <w:t>The key obligation on licensees is to ensure they do not provide a credit contract or lease to a consumer or suggest or assist a consumer to enter into a credit contract or lease that is unsuitable for them. This requires licensees to assess that the credit contract or lease is not unsuitable for the consumer’s requirements</w:t>
      </w:r>
      <w:r w:rsidR="00111563">
        <w:t xml:space="preserve"> and objectives</w:t>
      </w:r>
      <w:r>
        <w:t xml:space="preserve"> and that the consumer has the capacity to meet the financial obligations under the credit contract or lease.</w:t>
      </w:r>
    </w:p>
    <w:p w14:paraId="214D0CB4" w14:textId="7A353E4C" w:rsidR="00136205" w:rsidRDefault="00D76177" w:rsidP="001C5F46">
      <w:pPr>
        <w:pStyle w:val="base-text-paragraph"/>
        <w:numPr>
          <w:ilvl w:val="1"/>
          <w:numId w:val="19"/>
        </w:numPr>
      </w:pPr>
      <w:r w:rsidRPr="00D76177">
        <w:t xml:space="preserve">Currently, a </w:t>
      </w:r>
      <w:r w:rsidR="008D56CB">
        <w:t xml:space="preserve">credit </w:t>
      </w:r>
      <w:r w:rsidR="00111563">
        <w:t>licensee</w:t>
      </w:r>
      <w:r w:rsidRPr="00D76177">
        <w:t xml:space="preserve"> is required to undertake an assessment of the suitability of the consumer for the credit contract (or credit limit increase)</w:t>
      </w:r>
      <w:r w:rsidR="00111563">
        <w:t xml:space="preserve"> or lease</w:t>
      </w:r>
      <w:r w:rsidRPr="00D76177">
        <w:t>.</w:t>
      </w:r>
      <w:r w:rsidR="001B6674">
        <w:t xml:space="preserve"> </w:t>
      </w:r>
      <w:r w:rsidRPr="00D76177">
        <w:t>This assessment requires that reasonable inquiries be made about the consumer’s requirements, objectives and financial situation, and reasonable steps</w:t>
      </w:r>
      <w:r w:rsidR="008D56CB">
        <w:t xml:space="preserve"> be taken</w:t>
      </w:r>
      <w:r w:rsidRPr="00D76177">
        <w:t xml:space="preserve"> to verify the consumer’s financial situation.</w:t>
      </w:r>
    </w:p>
    <w:p w14:paraId="1A709CF6" w14:textId="66A96029" w:rsidR="008C205C" w:rsidRDefault="008C205C" w:rsidP="00216F5C">
      <w:pPr>
        <w:pStyle w:val="Heading4"/>
      </w:pPr>
      <w:r>
        <w:t>Prudential standards for ADI lending</w:t>
      </w:r>
    </w:p>
    <w:p w14:paraId="7AAAB870" w14:textId="49EBA8BA" w:rsidR="008C205C" w:rsidRDefault="008C205C" w:rsidP="008C205C">
      <w:pPr>
        <w:pStyle w:val="base-text-paragraph"/>
        <w:numPr>
          <w:ilvl w:val="1"/>
          <w:numId w:val="19"/>
        </w:numPr>
      </w:pPr>
      <w:r>
        <w:t>While both ADIs and non-ADIs are currently subject to the RLOs, ADIs must also comply with requirements under APRA’s prudential framework.</w:t>
      </w:r>
      <w:r w:rsidR="006C24B5">
        <w:t xml:space="preserve"> This has resulted in regulatory duplication for ADIs with little additional benefit to consumers.</w:t>
      </w:r>
    </w:p>
    <w:p w14:paraId="02729F65" w14:textId="41AA0F8F" w:rsidR="008C205C" w:rsidRDefault="008C205C" w:rsidP="008C205C">
      <w:pPr>
        <w:pStyle w:val="base-text-paragraph"/>
        <w:numPr>
          <w:ilvl w:val="1"/>
          <w:numId w:val="19"/>
        </w:numPr>
      </w:pPr>
      <w:r>
        <w:lastRenderedPageBreak/>
        <w:t xml:space="preserve">APRA’s prudential standards for ADIs ensure lenders have appropriate settings for managing risk to financial soundness throughout the life of loans. The credit risk management standards that ADIs are expected to meet include expectations of sound lending practices similar to the requirements under the RLOs. </w:t>
      </w:r>
      <w:r w:rsidR="006C24B5">
        <w:t>As part of these sound lending practices, APRA imposes serviceability requirements to ensure consumers can meet their obligations without substantial hardship.</w:t>
      </w:r>
    </w:p>
    <w:p w14:paraId="77FB2CAC" w14:textId="3AC1138D" w:rsidR="00C3452B" w:rsidRDefault="00C3452B" w:rsidP="00C3452B">
      <w:pPr>
        <w:pStyle w:val="Heading2"/>
      </w:pPr>
      <w:r>
        <w:t>Summary of new law</w:t>
      </w:r>
    </w:p>
    <w:p w14:paraId="79EDAC48" w14:textId="4D6DEFA3" w:rsidR="004B3360" w:rsidRDefault="005742D4" w:rsidP="001149CE">
      <w:pPr>
        <w:pStyle w:val="base-text-paragraph"/>
        <w:numPr>
          <w:ilvl w:val="1"/>
          <w:numId w:val="19"/>
        </w:numPr>
      </w:pPr>
      <w:r w:rsidRPr="0012793F">
        <w:t xml:space="preserve">Schedule </w:t>
      </w:r>
      <w:r w:rsidR="008B003F">
        <w:t>1</w:t>
      </w:r>
      <w:r w:rsidR="00ED7415">
        <w:t xml:space="preserve"> </w:t>
      </w:r>
      <w:r w:rsidRPr="0012793F">
        <w:t>to th</w:t>
      </w:r>
      <w:r w:rsidR="00507AC3">
        <w:t>e</w:t>
      </w:r>
      <w:r w:rsidR="00176E2C">
        <w:t xml:space="preserve"> Bill </w:t>
      </w:r>
      <w:r w:rsidR="00BA17CB">
        <w:t>amend</w:t>
      </w:r>
      <w:r w:rsidR="00176E2C">
        <w:t>s</w:t>
      </w:r>
      <w:r w:rsidR="00BA17CB">
        <w:t xml:space="preserve"> </w:t>
      </w:r>
      <w:r>
        <w:t>Chapter 3</w:t>
      </w:r>
      <w:r w:rsidR="00082FEC">
        <w:t xml:space="preserve"> </w:t>
      </w:r>
      <w:r w:rsidR="00C62670">
        <w:t xml:space="preserve">of the Credit Act </w:t>
      </w:r>
      <w:r>
        <w:t>so that</w:t>
      </w:r>
      <w:r w:rsidR="00082FEC">
        <w:t>,</w:t>
      </w:r>
      <w:r>
        <w:t xml:space="preserve"> </w:t>
      </w:r>
      <w:r w:rsidR="00DB3E13">
        <w:t xml:space="preserve">from </w:t>
      </w:r>
      <w:r w:rsidR="000D0DD4">
        <w:t xml:space="preserve">1 March </w:t>
      </w:r>
      <w:r w:rsidR="00B60825">
        <w:t>2021</w:t>
      </w:r>
      <w:r w:rsidR="00DB3E13">
        <w:t xml:space="preserve">, </w:t>
      </w:r>
      <w:r w:rsidR="00905924">
        <w:t>RLOs</w:t>
      </w:r>
      <w:r w:rsidR="00FB3965">
        <w:t xml:space="preserve"> apply only</w:t>
      </w:r>
      <w:r w:rsidR="007E1C40">
        <w:t xml:space="preserve"> to SACCs</w:t>
      </w:r>
      <w:r w:rsidR="00F507C1">
        <w:t>, SACC-equivalent loans provided by ADIs</w:t>
      </w:r>
      <w:r>
        <w:t xml:space="preserve"> and consumer leases.</w:t>
      </w:r>
      <w:r w:rsidR="004B3360">
        <w:t xml:space="preserve"> </w:t>
      </w:r>
    </w:p>
    <w:p w14:paraId="2DF73247" w14:textId="41F6ACA2" w:rsidR="00176E2C" w:rsidRDefault="00F873D9" w:rsidP="00EA1CC6">
      <w:pPr>
        <w:pStyle w:val="base-text-paragraph"/>
        <w:keepNext/>
        <w:keepLines/>
        <w:numPr>
          <w:ilvl w:val="1"/>
          <w:numId w:val="19"/>
        </w:numPr>
      </w:pPr>
      <w:r>
        <w:t xml:space="preserve">For all other credit, key </w:t>
      </w:r>
      <w:r w:rsidR="00176E2C">
        <w:t>changes will:</w:t>
      </w:r>
    </w:p>
    <w:p w14:paraId="7F50ABD3" w14:textId="361EEF61" w:rsidR="00176E2C" w:rsidRDefault="00082FEC" w:rsidP="004479D4">
      <w:pPr>
        <w:pStyle w:val="dotpoint2"/>
        <w:numPr>
          <w:ilvl w:val="0"/>
          <w:numId w:val="6"/>
        </w:numPr>
      </w:pPr>
      <w:r>
        <w:t>r</w:t>
      </w:r>
      <w:r w:rsidR="00BA17CB">
        <w:t xml:space="preserve">emove </w:t>
      </w:r>
      <w:r>
        <w:t xml:space="preserve">RLOs for </w:t>
      </w:r>
      <w:r w:rsidR="00BA17CB">
        <w:t xml:space="preserve">ADIs, reflecting that ADIs are subject </w:t>
      </w:r>
      <w:r w:rsidR="00274906">
        <w:t xml:space="preserve">to </w:t>
      </w:r>
      <w:r w:rsidR="00BA17CB">
        <w:t xml:space="preserve">a </w:t>
      </w:r>
      <w:r>
        <w:t>p</w:t>
      </w:r>
      <w:r w:rsidR="003942EC">
        <w:t>rudential regulatory</w:t>
      </w:r>
      <w:r>
        <w:t xml:space="preserve"> </w:t>
      </w:r>
      <w:r w:rsidR="00F873D9">
        <w:t xml:space="preserve">framework </w:t>
      </w:r>
      <w:r w:rsidR="004860AD">
        <w:t xml:space="preserve">under the </w:t>
      </w:r>
      <w:r w:rsidR="004860AD" w:rsidRPr="0087352D">
        <w:rPr>
          <w:i/>
        </w:rPr>
        <w:t>Banking</w:t>
      </w:r>
      <w:r w:rsidR="0087352D">
        <w:rPr>
          <w:i/>
        </w:rPr>
        <w:t> </w:t>
      </w:r>
      <w:r w:rsidR="004860AD" w:rsidRPr="0087352D">
        <w:rPr>
          <w:i/>
        </w:rPr>
        <w:t>Act 1959</w:t>
      </w:r>
      <w:r w:rsidR="00F873D9">
        <w:t>, including</w:t>
      </w:r>
      <w:r w:rsidR="004860AD" w:rsidRPr="001149CE">
        <w:t xml:space="preserve"> </w:t>
      </w:r>
      <w:r w:rsidR="00F873D9">
        <w:t xml:space="preserve">prudential </w:t>
      </w:r>
      <w:r w:rsidR="004860AD">
        <w:t xml:space="preserve">standards </w:t>
      </w:r>
      <w:r w:rsidR="004860AD" w:rsidRPr="00390558">
        <w:t>which</w:t>
      </w:r>
      <w:r w:rsidR="004860AD" w:rsidRPr="001149CE">
        <w:t xml:space="preserve"> </w:t>
      </w:r>
      <w:r w:rsidR="004860AD">
        <w:t>are</w:t>
      </w:r>
      <w:r w:rsidR="00BA17CB">
        <w:t xml:space="preserve"> enforced by APRA;</w:t>
      </w:r>
      <w:r w:rsidR="00AF62D9">
        <w:t xml:space="preserve"> and</w:t>
      </w:r>
    </w:p>
    <w:p w14:paraId="332FEF19" w14:textId="0D8F2539" w:rsidR="00BA17CB" w:rsidRDefault="003942EC" w:rsidP="004479D4">
      <w:pPr>
        <w:pStyle w:val="dotpoint2"/>
        <w:numPr>
          <w:ilvl w:val="0"/>
          <w:numId w:val="6"/>
        </w:numPr>
      </w:pPr>
      <w:proofErr w:type="gramStart"/>
      <w:r w:rsidRPr="00925B2A">
        <w:t>impose</w:t>
      </w:r>
      <w:proofErr w:type="gramEnd"/>
      <w:r w:rsidRPr="00925B2A">
        <w:t xml:space="preserve"> </w:t>
      </w:r>
      <w:r w:rsidR="000C3420" w:rsidRPr="00925B2A">
        <w:t>lending</w:t>
      </w:r>
      <w:r w:rsidR="000C3420">
        <w:t xml:space="preserve"> standards</w:t>
      </w:r>
      <w:r>
        <w:t xml:space="preserve"> for</w:t>
      </w:r>
      <w:r w:rsidR="00FB3965" w:rsidRPr="00FB3965">
        <w:t xml:space="preserve"> </w:t>
      </w:r>
      <w:r w:rsidR="00BA17CB">
        <w:t>non</w:t>
      </w:r>
      <w:r w:rsidR="004B3360">
        <w:t>-</w:t>
      </w:r>
      <w:r w:rsidR="00BA17CB">
        <w:t xml:space="preserve">ADIs, </w:t>
      </w:r>
      <w:r w:rsidR="007E0B72">
        <w:t xml:space="preserve">as part of the new </w:t>
      </w:r>
      <w:r w:rsidR="00312FED">
        <w:t xml:space="preserve">risk-based </w:t>
      </w:r>
      <w:r w:rsidR="007E0B72">
        <w:t xml:space="preserve">regulatory framework </w:t>
      </w:r>
      <w:r w:rsidR="00BA17CB">
        <w:t xml:space="preserve">for consumer </w:t>
      </w:r>
      <w:r w:rsidR="00312FED">
        <w:t>credit</w:t>
      </w:r>
      <w:r w:rsidR="00BA17CB">
        <w:t xml:space="preserve">, based on </w:t>
      </w:r>
      <w:r w:rsidR="00F873D9">
        <w:t>similar</w:t>
      </w:r>
      <w:r w:rsidR="00BA17CB">
        <w:t xml:space="preserve"> obligations </w:t>
      </w:r>
      <w:r w:rsidR="00F873D9">
        <w:t xml:space="preserve">to those </w:t>
      </w:r>
      <w:r w:rsidR="00312FED">
        <w:t xml:space="preserve">imposed on </w:t>
      </w:r>
      <w:r w:rsidR="00BA17CB">
        <w:t>ADIs.</w:t>
      </w:r>
    </w:p>
    <w:p w14:paraId="2EDD9E4F" w14:textId="4793A97D" w:rsidR="008B3D46" w:rsidRPr="00BA04DE" w:rsidRDefault="008B3D46" w:rsidP="001149CE">
      <w:pPr>
        <w:pStyle w:val="base-text-paragraph"/>
        <w:numPr>
          <w:ilvl w:val="1"/>
          <w:numId w:val="19"/>
        </w:numPr>
      </w:pPr>
      <w:r w:rsidRPr="007434EB">
        <w:t xml:space="preserve">To ensure appropriate consumer protections remain in place, the best </w:t>
      </w:r>
      <w:proofErr w:type="gramStart"/>
      <w:r w:rsidRPr="007434EB">
        <w:t>interests</w:t>
      </w:r>
      <w:proofErr w:type="gramEnd"/>
      <w:r w:rsidRPr="007434EB">
        <w:t xml:space="preserve"> obligations </w:t>
      </w:r>
      <w:r w:rsidR="00244D8C">
        <w:t>already legislated for</w:t>
      </w:r>
      <w:r w:rsidRPr="007434EB">
        <w:t xml:space="preserve"> mortgage brokers are extended to all credit assistance</w:t>
      </w:r>
      <w:r w:rsidR="00BA04DE">
        <w:t xml:space="preserve"> providers</w:t>
      </w:r>
      <w:r w:rsidRPr="00BA04DE">
        <w:t xml:space="preserve">. </w:t>
      </w:r>
    </w:p>
    <w:p w14:paraId="33ED9ADC" w14:textId="2172095B" w:rsidR="002C0FE9" w:rsidRPr="002C0FE9" w:rsidRDefault="002C0FE9" w:rsidP="001149CE">
      <w:pPr>
        <w:pStyle w:val="base-text-paragraph"/>
        <w:numPr>
          <w:ilvl w:val="1"/>
          <w:numId w:val="19"/>
        </w:numPr>
      </w:pPr>
      <w:r w:rsidRPr="002C0FE9">
        <w:t xml:space="preserve">Related amendments will be made to the </w:t>
      </w:r>
      <w:r w:rsidR="00FC3AFB">
        <w:t xml:space="preserve">Credit </w:t>
      </w:r>
      <w:r w:rsidRPr="002C0FE9">
        <w:t>Regulations</w:t>
      </w:r>
      <w:r w:rsidR="00A7587D">
        <w:t xml:space="preserve"> to limit or repeal certain provisions that are affected or made redundant by the removal of </w:t>
      </w:r>
      <w:r w:rsidR="007C53E6">
        <w:t>RLOs</w:t>
      </w:r>
      <w:r w:rsidR="00A7587D">
        <w:t xml:space="preserve"> for credit contracts other than SACCs and consumer leases</w:t>
      </w:r>
      <w:r w:rsidRPr="002C0FE9">
        <w:t>.</w:t>
      </w:r>
    </w:p>
    <w:p w14:paraId="315FBC63" w14:textId="06D9F994" w:rsidR="0061024C" w:rsidRPr="00967A79" w:rsidRDefault="0061024C" w:rsidP="00281E93">
      <w:pPr>
        <w:pStyle w:val="base-text-paragraph"/>
        <w:numPr>
          <w:ilvl w:val="1"/>
          <w:numId w:val="19"/>
        </w:numPr>
      </w:pPr>
      <w:r>
        <w:t xml:space="preserve">Schedule </w:t>
      </w:r>
      <w:r w:rsidR="00F873D9">
        <w:t xml:space="preserve">1 </w:t>
      </w:r>
      <w:r>
        <w:t>to th</w:t>
      </w:r>
      <w:r w:rsidR="00554409">
        <w:t>e</w:t>
      </w:r>
      <w:r>
        <w:t xml:space="preserve"> Bill will amend the Credit Act to allow the Minister to make standards, by way of legislative instrument, specifying requirements for a credit licensee’s systems, policies and processes relating to certain non-ADI credit conduct.</w:t>
      </w:r>
    </w:p>
    <w:p w14:paraId="40CAEEB1" w14:textId="12D9EF7C" w:rsidR="0061024C" w:rsidRPr="00F0687A" w:rsidRDefault="0061024C" w:rsidP="00281E93">
      <w:pPr>
        <w:pStyle w:val="base-text-paragraph"/>
        <w:numPr>
          <w:ilvl w:val="1"/>
          <w:numId w:val="19"/>
        </w:numPr>
      </w:pPr>
      <w:r w:rsidRPr="00F0687A">
        <w:t xml:space="preserve">These </w:t>
      </w:r>
      <w:r>
        <w:t>requirements</w:t>
      </w:r>
      <w:r w:rsidRPr="00F0687A">
        <w:t xml:space="preserve"> will be system</w:t>
      </w:r>
      <w:r w:rsidR="005702C7">
        <w:noBreakHyphen/>
      </w:r>
      <w:r w:rsidRPr="00F0687A">
        <w:t>level obligations rather than focusing on individual loans engaged in by licensees.</w:t>
      </w:r>
      <w:r w:rsidR="00A97783">
        <w:t xml:space="preserve"> </w:t>
      </w:r>
      <w:r w:rsidR="005702C7">
        <w:t xml:space="preserve">This </w:t>
      </w:r>
      <w:r w:rsidR="00BA04DE">
        <w:t>reflects the Government’s decision</w:t>
      </w:r>
      <w:r w:rsidR="005702C7">
        <w:t xml:space="preserve"> to move away from a prescriptive framework for lenders and borrowers and will support risk-based lending that is attuned to the needs and circumstances of the borrower and credit product.</w:t>
      </w:r>
    </w:p>
    <w:p w14:paraId="6E834533" w14:textId="77777777" w:rsidR="00C3452B" w:rsidRDefault="00C3452B" w:rsidP="00C3452B">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4"/>
      </w:tblGrid>
      <w:tr w:rsidR="00AF62D9" w:rsidRPr="004666B8" w14:paraId="3DFEF618" w14:textId="77777777" w:rsidTr="0046035F">
        <w:tc>
          <w:tcPr>
            <w:tcW w:w="3213" w:type="dxa"/>
          </w:tcPr>
          <w:p w14:paraId="3D02A64C" w14:textId="77777777" w:rsidR="00C3452B" w:rsidRPr="004666B8" w:rsidRDefault="00C3452B" w:rsidP="005D680D">
            <w:pPr>
              <w:pStyle w:val="tableheaderwithintable"/>
              <w:rPr>
                <w:lang w:val="en-US" w:eastAsia="en-US"/>
              </w:rPr>
            </w:pPr>
            <w:r w:rsidRPr="004666B8">
              <w:rPr>
                <w:lang w:val="en-US" w:eastAsia="en-US"/>
              </w:rPr>
              <w:t>New law</w:t>
            </w:r>
          </w:p>
        </w:tc>
        <w:tc>
          <w:tcPr>
            <w:tcW w:w="3204" w:type="dxa"/>
          </w:tcPr>
          <w:p w14:paraId="29B27353" w14:textId="77777777" w:rsidR="00C3452B" w:rsidRPr="004666B8" w:rsidRDefault="00C3452B" w:rsidP="005D680D">
            <w:pPr>
              <w:pStyle w:val="tableheaderwithintable"/>
              <w:rPr>
                <w:lang w:val="en-US" w:eastAsia="en-US"/>
              </w:rPr>
            </w:pPr>
            <w:r w:rsidRPr="004666B8">
              <w:rPr>
                <w:lang w:val="en-US" w:eastAsia="en-US"/>
              </w:rPr>
              <w:t>Current law</w:t>
            </w:r>
          </w:p>
        </w:tc>
      </w:tr>
      <w:tr w:rsidR="00364924" w:rsidRPr="004666B8" w14:paraId="01BEA2E8" w14:textId="77777777" w:rsidTr="00351E5B">
        <w:tc>
          <w:tcPr>
            <w:tcW w:w="6417" w:type="dxa"/>
            <w:gridSpan w:val="2"/>
          </w:tcPr>
          <w:p w14:paraId="15FC0E55" w14:textId="7D1731F9" w:rsidR="00364924" w:rsidRPr="00364924" w:rsidRDefault="00364924" w:rsidP="00226BC4">
            <w:pPr>
              <w:pStyle w:val="tabletext"/>
              <w:rPr>
                <w:b/>
                <w:lang w:val="en-US" w:eastAsia="en-US"/>
              </w:rPr>
            </w:pPr>
            <w:r w:rsidRPr="00364924">
              <w:rPr>
                <w:b/>
                <w:lang w:val="en-US" w:eastAsia="en-US"/>
              </w:rPr>
              <w:t>Responsible lending obligations</w:t>
            </w:r>
          </w:p>
        </w:tc>
      </w:tr>
      <w:tr w:rsidR="00AF62D9" w:rsidRPr="004666B8" w14:paraId="1AC487EC" w14:textId="77777777" w:rsidTr="00364924">
        <w:tc>
          <w:tcPr>
            <w:tcW w:w="3213" w:type="dxa"/>
          </w:tcPr>
          <w:p w14:paraId="7933C05F" w14:textId="3CC4B8B3" w:rsidR="00C3452B" w:rsidRPr="004666B8" w:rsidRDefault="000053A6" w:rsidP="00FC3AFB">
            <w:pPr>
              <w:pStyle w:val="tabletext"/>
              <w:rPr>
                <w:lang w:val="en-US" w:eastAsia="en-US"/>
              </w:rPr>
            </w:pPr>
            <w:r>
              <w:rPr>
                <w:lang w:val="en-US" w:eastAsia="en-US"/>
              </w:rPr>
              <w:t>Chapter 3 RLOs</w:t>
            </w:r>
            <w:r w:rsidR="00713F64">
              <w:rPr>
                <w:lang w:val="en-US" w:eastAsia="en-US"/>
              </w:rPr>
              <w:t xml:space="preserve"> will only apply </w:t>
            </w:r>
            <w:r w:rsidR="00713F64" w:rsidRPr="00713F64">
              <w:rPr>
                <w:lang w:val="en-US" w:eastAsia="en-US"/>
              </w:rPr>
              <w:t>to SACCs</w:t>
            </w:r>
            <w:r w:rsidR="00FC3AFB">
              <w:rPr>
                <w:lang w:val="en-US" w:eastAsia="en-US"/>
              </w:rPr>
              <w:t>, SACC-equivalent loans provided by ADIs</w:t>
            </w:r>
            <w:r w:rsidR="00713F64" w:rsidRPr="00713F64">
              <w:rPr>
                <w:lang w:val="en-US" w:eastAsia="en-US"/>
              </w:rPr>
              <w:t xml:space="preserve"> and consumer leases</w:t>
            </w:r>
            <w:r w:rsidR="00FB3965">
              <w:rPr>
                <w:lang w:val="en-US" w:eastAsia="en-US"/>
              </w:rPr>
              <w:t xml:space="preserve"> </w:t>
            </w:r>
            <w:r w:rsidR="00467E01">
              <w:rPr>
                <w:lang w:val="en-US" w:eastAsia="en-US"/>
              </w:rPr>
              <w:t>beginning on</w:t>
            </w:r>
            <w:r w:rsidR="004E7046">
              <w:rPr>
                <w:lang w:val="en-US" w:eastAsia="en-US"/>
              </w:rPr>
              <w:t xml:space="preserve"> </w:t>
            </w:r>
            <w:r w:rsidR="00FB3965">
              <w:rPr>
                <w:lang w:val="en-US" w:eastAsia="en-US"/>
              </w:rPr>
              <w:t>1</w:t>
            </w:r>
            <w:r>
              <w:rPr>
                <w:lang w:val="en-US" w:eastAsia="en-US"/>
              </w:rPr>
              <w:t> </w:t>
            </w:r>
            <w:r w:rsidR="00FB3965">
              <w:rPr>
                <w:lang w:val="en-US" w:eastAsia="en-US"/>
              </w:rPr>
              <w:t>March 2021</w:t>
            </w:r>
            <w:r w:rsidR="00713F64" w:rsidRPr="00713F64">
              <w:rPr>
                <w:lang w:val="en-US" w:eastAsia="en-US"/>
              </w:rPr>
              <w:t>.</w:t>
            </w:r>
            <w:r w:rsidR="003E35A7">
              <w:rPr>
                <w:lang w:val="en-US" w:eastAsia="en-US"/>
              </w:rPr>
              <w:t xml:space="preserve"> This is the case for both credit providers and credit assistance providers.</w:t>
            </w:r>
          </w:p>
        </w:tc>
        <w:tc>
          <w:tcPr>
            <w:tcW w:w="3204" w:type="dxa"/>
          </w:tcPr>
          <w:p w14:paraId="5167EB8E" w14:textId="76AFACF9" w:rsidR="00C3452B" w:rsidRPr="004666B8" w:rsidRDefault="00713F64" w:rsidP="00226BC4">
            <w:pPr>
              <w:pStyle w:val="tabletext"/>
              <w:rPr>
                <w:lang w:val="en-US" w:eastAsia="en-US"/>
              </w:rPr>
            </w:pPr>
            <w:r>
              <w:rPr>
                <w:lang w:val="en-US" w:eastAsia="en-US"/>
              </w:rPr>
              <w:t>Chapter 3</w:t>
            </w:r>
            <w:r w:rsidR="00B71599">
              <w:rPr>
                <w:lang w:val="en-US" w:eastAsia="en-US"/>
              </w:rPr>
              <w:t xml:space="preserve"> RLOs</w:t>
            </w:r>
            <w:r>
              <w:rPr>
                <w:lang w:val="en-US" w:eastAsia="en-US"/>
              </w:rPr>
              <w:t xml:space="preserve"> apply </w:t>
            </w:r>
            <w:r w:rsidR="00226BC4">
              <w:rPr>
                <w:lang w:val="en-US" w:eastAsia="en-US"/>
              </w:rPr>
              <w:t xml:space="preserve">to </w:t>
            </w:r>
            <w:r>
              <w:rPr>
                <w:lang w:val="en-US" w:eastAsia="en-US"/>
              </w:rPr>
              <w:t xml:space="preserve">all consumer </w:t>
            </w:r>
            <w:r w:rsidRPr="00E61EF3">
              <w:rPr>
                <w:lang w:val="en-US" w:eastAsia="en-US"/>
              </w:rPr>
              <w:t>credit contracts</w:t>
            </w:r>
            <w:r w:rsidR="00B71599" w:rsidRPr="00E61EF3">
              <w:rPr>
                <w:lang w:val="en-US" w:eastAsia="en-US"/>
              </w:rPr>
              <w:t>, consumer leases and SACCs</w:t>
            </w:r>
            <w:r w:rsidRPr="00E61EF3">
              <w:rPr>
                <w:lang w:val="en-US" w:eastAsia="en-US"/>
              </w:rPr>
              <w:t>.</w:t>
            </w:r>
            <w:r w:rsidR="003E35A7">
              <w:rPr>
                <w:lang w:val="en-US" w:eastAsia="en-US"/>
              </w:rPr>
              <w:t xml:space="preserve"> This is the case for both credit providers and credit assistance providers.</w:t>
            </w:r>
          </w:p>
        </w:tc>
      </w:tr>
      <w:tr w:rsidR="00AF62D9" w:rsidRPr="004666B8" w14:paraId="1FFF3A02" w14:textId="77777777" w:rsidTr="00364924">
        <w:tc>
          <w:tcPr>
            <w:tcW w:w="3213" w:type="dxa"/>
          </w:tcPr>
          <w:p w14:paraId="410878CA" w14:textId="3A01901C" w:rsidR="000053A6" w:rsidRDefault="004B3360" w:rsidP="000053A6">
            <w:pPr>
              <w:pStyle w:val="tabletext"/>
              <w:rPr>
                <w:lang w:val="en-US" w:eastAsia="en-US"/>
              </w:rPr>
            </w:pPr>
            <w:r w:rsidRPr="004B3360">
              <w:rPr>
                <w:lang w:val="en-US" w:eastAsia="en-US"/>
              </w:rPr>
              <w:t xml:space="preserve">ADIs </w:t>
            </w:r>
            <w:r>
              <w:rPr>
                <w:lang w:val="en-US" w:eastAsia="en-US"/>
              </w:rPr>
              <w:t>are no</w:t>
            </w:r>
            <w:r w:rsidR="000053A6">
              <w:rPr>
                <w:lang w:val="en-US" w:eastAsia="en-US"/>
              </w:rPr>
              <w:t>t</w:t>
            </w:r>
            <w:r>
              <w:rPr>
                <w:lang w:val="en-US" w:eastAsia="en-US"/>
              </w:rPr>
              <w:t xml:space="preserve"> subject to Chapter 3</w:t>
            </w:r>
            <w:r w:rsidR="0043027E">
              <w:rPr>
                <w:lang w:val="en-US" w:eastAsia="en-US"/>
              </w:rPr>
              <w:t xml:space="preserve"> RLOs</w:t>
            </w:r>
            <w:r w:rsidR="000053A6">
              <w:rPr>
                <w:lang w:val="en-US" w:eastAsia="en-US"/>
              </w:rPr>
              <w:t xml:space="preserve"> </w:t>
            </w:r>
            <w:r w:rsidR="005101CD">
              <w:rPr>
                <w:lang w:val="en-US" w:eastAsia="en-US"/>
              </w:rPr>
              <w:t>(other than for SACC</w:t>
            </w:r>
            <w:r w:rsidR="002F0C6D">
              <w:rPr>
                <w:lang w:val="en-US" w:eastAsia="en-US"/>
              </w:rPr>
              <w:t>-</w:t>
            </w:r>
            <w:r w:rsidR="005101CD">
              <w:rPr>
                <w:lang w:val="en-US" w:eastAsia="en-US"/>
              </w:rPr>
              <w:t xml:space="preserve">equivalent loans) </w:t>
            </w:r>
            <w:r w:rsidR="00467E01">
              <w:rPr>
                <w:lang w:val="en-US" w:eastAsia="en-US"/>
              </w:rPr>
              <w:t>beginning on</w:t>
            </w:r>
            <w:r w:rsidR="000053A6">
              <w:rPr>
                <w:lang w:val="en-US" w:eastAsia="en-US"/>
              </w:rPr>
              <w:t xml:space="preserve"> 1 March 2021</w:t>
            </w:r>
            <w:r w:rsidR="000053A6" w:rsidRPr="00713F64">
              <w:rPr>
                <w:lang w:val="en-US" w:eastAsia="en-US"/>
              </w:rPr>
              <w:t>.</w:t>
            </w:r>
            <w:r w:rsidR="0043027E">
              <w:rPr>
                <w:lang w:val="en-US" w:eastAsia="en-US"/>
              </w:rPr>
              <w:t xml:space="preserve"> </w:t>
            </w:r>
          </w:p>
          <w:p w14:paraId="009F1A57" w14:textId="2C9A40EC" w:rsidR="004B3360" w:rsidRDefault="000053A6" w:rsidP="000053A6">
            <w:pPr>
              <w:pStyle w:val="tabletext"/>
              <w:rPr>
                <w:lang w:val="en-US" w:eastAsia="en-US"/>
              </w:rPr>
            </w:pPr>
            <w:r>
              <w:rPr>
                <w:lang w:val="en-US" w:eastAsia="en-US"/>
              </w:rPr>
              <w:t>Existing prudential standards continue to apply.</w:t>
            </w:r>
          </w:p>
        </w:tc>
        <w:tc>
          <w:tcPr>
            <w:tcW w:w="3204" w:type="dxa"/>
          </w:tcPr>
          <w:p w14:paraId="72C23885" w14:textId="1DCDDD1D" w:rsidR="004B3360" w:rsidRDefault="004B3360" w:rsidP="00B71599">
            <w:pPr>
              <w:pStyle w:val="tabletext"/>
              <w:rPr>
                <w:lang w:val="en-US" w:eastAsia="en-US"/>
              </w:rPr>
            </w:pPr>
            <w:r w:rsidRPr="004B3360">
              <w:rPr>
                <w:lang w:val="en-US" w:eastAsia="en-US"/>
              </w:rPr>
              <w:t xml:space="preserve">ADIs </w:t>
            </w:r>
            <w:r>
              <w:rPr>
                <w:lang w:val="en-US" w:eastAsia="en-US"/>
              </w:rPr>
              <w:t>are subject to</w:t>
            </w:r>
            <w:r w:rsidR="00B71599">
              <w:rPr>
                <w:lang w:val="en-US" w:eastAsia="en-US"/>
              </w:rPr>
              <w:t xml:space="preserve"> </w:t>
            </w:r>
            <w:r w:rsidR="00B71599">
              <w:t xml:space="preserve">Chapter 3 </w:t>
            </w:r>
            <w:r w:rsidRPr="004B3360">
              <w:rPr>
                <w:lang w:val="en-US" w:eastAsia="en-US"/>
              </w:rPr>
              <w:t>RLOs</w:t>
            </w:r>
            <w:r>
              <w:rPr>
                <w:lang w:val="en-US" w:eastAsia="en-US"/>
              </w:rPr>
              <w:t xml:space="preserve"> and</w:t>
            </w:r>
            <w:r w:rsidRPr="004B3360">
              <w:rPr>
                <w:lang w:val="en-US" w:eastAsia="en-US"/>
              </w:rPr>
              <w:t xml:space="preserve"> a </w:t>
            </w:r>
            <w:r w:rsidR="000053A6" w:rsidRPr="004D2A3E">
              <w:rPr>
                <w:lang w:val="en-US" w:eastAsia="en-US"/>
              </w:rPr>
              <w:t xml:space="preserve">prudential </w:t>
            </w:r>
            <w:r w:rsidR="000053A6" w:rsidRPr="004D2A3E">
              <w:t>standard</w:t>
            </w:r>
            <w:r w:rsidR="00B71599" w:rsidRPr="004D2A3E">
              <w:t>s</w:t>
            </w:r>
            <w:r w:rsidR="000053A6">
              <w:t xml:space="preserve"> </w:t>
            </w:r>
            <w:r>
              <w:rPr>
                <w:lang w:val="en-US" w:eastAsia="en-US"/>
              </w:rPr>
              <w:t xml:space="preserve">regime set and enforced by APRA </w:t>
            </w:r>
            <w:r>
              <w:t xml:space="preserve">under the </w:t>
            </w:r>
            <w:r w:rsidRPr="006B54DD">
              <w:rPr>
                <w:i/>
              </w:rPr>
              <w:t>Banking Act 1959</w:t>
            </w:r>
            <w:r w:rsidR="000053A6">
              <w:t>.</w:t>
            </w:r>
          </w:p>
        </w:tc>
      </w:tr>
      <w:tr w:rsidR="004B3360" w:rsidRPr="004666B8" w14:paraId="7073E57F" w14:textId="77777777" w:rsidTr="00364924">
        <w:tc>
          <w:tcPr>
            <w:tcW w:w="3213" w:type="dxa"/>
          </w:tcPr>
          <w:p w14:paraId="24C0E981" w14:textId="381407C3" w:rsidR="000053A6" w:rsidRDefault="004B3360" w:rsidP="000053A6">
            <w:pPr>
              <w:pStyle w:val="tabletext"/>
            </w:pPr>
            <w:r>
              <w:t xml:space="preserve">Non-ADI </w:t>
            </w:r>
            <w:r w:rsidR="00BA2535">
              <w:t>credit conduct is</w:t>
            </w:r>
            <w:r>
              <w:t xml:space="preserve"> no</w:t>
            </w:r>
            <w:r w:rsidR="000053A6">
              <w:t>t</w:t>
            </w:r>
            <w:r>
              <w:t xml:space="preserve"> </w:t>
            </w:r>
            <w:r w:rsidR="000053A6">
              <w:t>s</w:t>
            </w:r>
            <w:r w:rsidR="006A1633">
              <w:t>ubject to Chapter 3 RLOs</w:t>
            </w:r>
            <w:r w:rsidR="000053A6">
              <w:t xml:space="preserve"> </w:t>
            </w:r>
            <w:r w:rsidR="000053A6">
              <w:rPr>
                <w:lang w:val="en-US" w:eastAsia="en-US"/>
              </w:rPr>
              <w:t>from 1 March 2021</w:t>
            </w:r>
            <w:r w:rsidR="00BA2535">
              <w:rPr>
                <w:lang w:val="en-US" w:eastAsia="en-US"/>
              </w:rPr>
              <w:t xml:space="preserve"> (this conduct does not include SACCs</w:t>
            </w:r>
            <w:r w:rsidR="005E6903">
              <w:rPr>
                <w:lang w:val="en-US" w:eastAsia="en-US"/>
              </w:rPr>
              <w:t xml:space="preserve"> and consumer leases</w:t>
            </w:r>
            <w:r w:rsidR="00BA2535">
              <w:rPr>
                <w:lang w:val="en-US" w:eastAsia="en-US"/>
              </w:rPr>
              <w:t>)</w:t>
            </w:r>
            <w:r w:rsidR="000053A6" w:rsidRPr="00713F64">
              <w:rPr>
                <w:lang w:val="en-US" w:eastAsia="en-US"/>
              </w:rPr>
              <w:t>.</w:t>
            </w:r>
          </w:p>
          <w:p w14:paraId="1D612F21" w14:textId="778C0EE5" w:rsidR="004B3360" w:rsidRPr="004B3360" w:rsidRDefault="006E58E1" w:rsidP="003B4F54">
            <w:pPr>
              <w:pStyle w:val="tabletext"/>
              <w:rPr>
                <w:lang w:val="en-US" w:eastAsia="en-US"/>
              </w:rPr>
            </w:pPr>
            <w:r>
              <w:rPr>
                <w:lang w:val="en-US" w:eastAsia="en-US"/>
              </w:rPr>
              <w:t>Non-</w:t>
            </w:r>
            <w:r w:rsidRPr="004B3360">
              <w:rPr>
                <w:lang w:val="en-US" w:eastAsia="en-US"/>
              </w:rPr>
              <w:t>ADI</w:t>
            </w:r>
            <w:r w:rsidR="00EA1F80">
              <w:rPr>
                <w:lang w:val="en-US" w:eastAsia="en-US"/>
              </w:rPr>
              <w:t xml:space="preserve"> credit conduct i</w:t>
            </w:r>
            <w:r w:rsidRPr="004B3360">
              <w:rPr>
                <w:lang w:val="en-US" w:eastAsia="en-US"/>
              </w:rPr>
              <w:t xml:space="preserve">s subject </w:t>
            </w:r>
            <w:r>
              <w:rPr>
                <w:lang w:val="en-US" w:eastAsia="en-US"/>
              </w:rPr>
              <w:t xml:space="preserve">to </w:t>
            </w:r>
            <w:r w:rsidR="00B743F8" w:rsidRPr="008A0BC3">
              <w:rPr>
                <w:b/>
                <w:i/>
              </w:rPr>
              <w:t>non-ADI credit standards</w:t>
            </w:r>
            <w:r w:rsidR="00B743F8" w:rsidDel="00B743F8">
              <w:t xml:space="preserve"> </w:t>
            </w:r>
            <w:r w:rsidR="003B4F54">
              <w:t>made by legislative instrument</w:t>
            </w:r>
            <w:r w:rsidR="000053A6" w:rsidRPr="000700D9">
              <w:rPr>
                <w:lang w:val="en-US" w:eastAsia="en-US"/>
              </w:rPr>
              <w:t>.</w:t>
            </w:r>
            <w:r w:rsidR="000053A6">
              <w:rPr>
                <w:lang w:val="en-US" w:eastAsia="en-US"/>
              </w:rPr>
              <w:t xml:space="preserve"> These will be</w:t>
            </w:r>
            <w:r w:rsidR="00175F39">
              <w:rPr>
                <w:lang w:val="en-US" w:eastAsia="en-US"/>
              </w:rPr>
              <w:t xml:space="preserve"> similar to</w:t>
            </w:r>
            <w:r w:rsidR="000053A6">
              <w:rPr>
                <w:lang w:val="en-US" w:eastAsia="en-US"/>
              </w:rPr>
              <w:t xml:space="preserve"> those imposed on ADIs.</w:t>
            </w:r>
          </w:p>
        </w:tc>
        <w:tc>
          <w:tcPr>
            <w:tcW w:w="3204" w:type="dxa"/>
          </w:tcPr>
          <w:p w14:paraId="3459B4A5" w14:textId="77777777" w:rsidR="004B3360" w:rsidRPr="004B3360" w:rsidRDefault="00841DD8" w:rsidP="00841DD8">
            <w:pPr>
              <w:pStyle w:val="tabletext"/>
              <w:rPr>
                <w:lang w:val="en-US" w:eastAsia="en-US"/>
              </w:rPr>
            </w:pPr>
            <w:r>
              <w:t>Non-ADIs are subject to Chapter 3 RLOs.</w:t>
            </w:r>
          </w:p>
        </w:tc>
      </w:tr>
      <w:tr w:rsidR="00F27175" w:rsidRPr="004666B8" w14:paraId="12D741D0" w14:textId="77777777" w:rsidTr="00934698">
        <w:tc>
          <w:tcPr>
            <w:tcW w:w="6417" w:type="dxa"/>
            <w:gridSpan w:val="2"/>
            <w:shd w:val="clear" w:color="auto" w:fill="auto"/>
          </w:tcPr>
          <w:p w14:paraId="0FD8FFBA" w14:textId="4E382629" w:rsidR="00F27175" w:rsidRPr="00032C6F" w:rsidRDefault="00032C6F" w:rsidP="00841DD8">
            <w:pPr>
              <w:pStyle w:val="tabletext"/>
              <w:rPr>
                <w:b/>
              </w:rPr>
            </w:pPr>
            <w:r w:rsidRPr="00032C6F">
              <w:rPr>
                <w:b/>
              </w:rPr>
              <w:t>Best interest</w:t>
            </w:r>
            <w:r w:rsidR="00E45A98">
              <w:rPr>
                <w:b/>
              </w:rPr>
              <w:t>s</w:t>
            </w:r>
            <w:r w:rsidRPr="00032C6F">
              <w:rPr>
                <w:b/>
              </w:rPr>
              <w:t xml:space="preserve"> obligations</w:t>
            </w:r>
          </w:p>
        </w:tc>
      </w:tr>
      <w:tr w:rsidR="008B3D46" w:rsidRPr="004666B8" w14:paraId="2AA84D76" w14:textId="77777777" w:rsidTr="006D3D79">
        <w:tc>
          <w:tcPr>
            <w:tcW w:w="3213" w:type="dxa"/>
            <w:shd w:val="clear" w:color="auto" w:fill="auto"/>
          </w:tcPr>
          <w:p w14:paraId="32EADDB5" w14:textId="28BEC58D" w:rsidR="008B3D46" w:rsidRPr="00B80E5F" w:rsidRDefault="008B3D46" w:rsidP="008B3D46">
            <w:pPr>
              <w:pStyle w:val="tabletext"/>
              <w:rPr>
                <w:highlight w:val="cyan"/>
              </w:rPr>
            </w:pPr>
            <w:r w:rsidRPr="006D3D79">
              <w:t xml:space="preserve">A best </w:t>
            </w:r>
            <w:proofErr w:type="gramStart"/>
            <w:r w:rsidRPr="006D3D79">
              <w:t>interest</w:t>
            </w:r>
            <w:r w:rsidR="00934698">
              <w:t>s</w:t>
            </w:r>
            <w:proofErr w:type="gramEnd"/>
            <w:r w:rsidRPr="006D3D79">
              <w:t xml:space="preserve"> duty and obligation to resolve conflicts </w:t>
            </w:r>
            <w:r w:rsidR="005E6903">
              <w:t>of interest</w:t>
            </w:r>
            <w:r w:rsidRPr="006D3D79">
              <w:t xml:space="preserve"> in the consumer’s favour apply to all credit assistance providers.</w:t>
            </w:r>
          </w:p>
        </w:tc>
        <w:tc>
          <w:tcPr>
            <w:tcW w:w="3204" w:type="dxa"/>
          </w:tcPr>
          <w:p w14:paraId="774845BD" w14:textId="756121F2" w:rsidR="008B3D46" w:rsidRPr="00B80E5F" w:rsidRDefault="008B3D46" w:rsidP="00841DD8">
            <w:pPr>
              <w:pStyle w:val="tabletext"/>
              <w:rPr>
                <w:highlight w:val="cyan"/>
              </w:rPr>
            </w:pPr>
            <w:r w:rsidRPr="006D3D79">
              <w:t xml:space="preserve">A best </w:t>
            </w:r>
            <w:proofErr w:type="gramStart"/>
            <w:r w:rsidRPr="006D3D79">
              <w:t>interest</w:t>
            </w:r>
            <w:r w:rsidR="00934698">
              <w:t>s</w:t>
            </w:r>
            <w:proofErr w:type="gramEnd"/>
            <w:r w:rsidRPr="006D3D79">
              <w:t xml:space="preserve"> duty and obligation to resolve conflicts </w:t>
            </w:r>
            <w:r w:rsidR="005E6903">
              <w:t>of interest</w:t>
            </w:r>
            <w:r w:rsidRPr="006D3D79">
              <w:t xml:space="preserve"> in the consumer’s favour</w:t>
            </w:r>
            <w:r w:rsidR="00F27175">
              <w:t xml:space="preserve"> is legislated to</w:t>
            </w:r>
            <w:r w:rsidRPr="006D3D79">
              <w:t xml:space="preserve"> appl</w:t>
            </w:r>
            <w:r w:rsidR="00F27175">
              <w:t>y</w:t>
            </w:r>
            <w:r w:rsidRPr="006D3D79">
              <w:t xml:space="preserve"> to mortgage brokers only.</w:t>
            </w:r>
          </w:p>
        </w:tc>
      </w:tr>
      <w:tr w:rsidR="00F62D76" w:rsidRPr="004666B8" w14:paraId="2F8CDD44" w14:textId="77777777" w:rsidTr="00761E95">
        <w:tc>
          <w:tcPr>
            <w:tcW w:w="6417" w:type="dxa"/>
            <w:gridSpan w:val="2"/>
          </w:tcPr>
          <w:p w14:paraId="433A52F2" w14:textId="188D9680" w:rsidR="00F62D76" w:rsidRDefault="00F62D76" w:rsidP="002F2616">
            <w:pPr>
              <w:pStyle w:val="tabletext"/>
            </w:pPr>
            <w:r>
              <w:rPr>
                <w:b/>
              </w:rPr>
              <w:t>New non-ADI credit standard</w:t>
            </w:r>
          </w:p>
        </w:tc>
      </w:tr>
      <w:tr w:rsidR="00F62D76" w:rsidRPr="004666B8" w14:paraId="702DCF7C" w14:textId="77777777" w:rsidTr="0046035F">
        <w:tc>
          <w:tcPr>
            <w:tcW w:w="3213" w:type="dxa"/>
          </w:tcPr>
          <w:p w14:paraId="3644763F" w14:textId="4F397845" w:rsidR="00F62D76" w:rsidRDefault="00AC2CC4" w:rsidP="002A060A">
            <w:pPr>
              <w:pStyle w:val="tabletext"/>
            </w:pPr>
            <w:r>
              <w:t xml:space="preserve">The Minister is able to make </w:t>
            </w:r>
            <w:r w:rsidRPr="008A0BC3">
              <w:rPr>
                <w:b/>
                <w:i/>
              </w:rPr>
              <w:t>non-ADI credit standards</w:t>
            </w:r>
            <w:r>
              <w:t>, by way of legislative instrument, specifying requirements for a credit licensee’s systems, policies and processes relating to certain</w:t>
            </w:r>
            <w:r w:rsidRPr="00AF77FF">
              <w:rPr>
                <w:b/>
              </w:rPr>
              <w:t xml:space="preserve"> </w:t>
            </w:r>
            <w:r w:rsidRPr="00197145">
              <w:t xml:space="preserve">non-ADI credit </w:t>
            </w:r>
            <w:r>
              <w:t>conduct</w:t>
            </w:r>
            <w:r w:rsidRPr="00197145">
              <w:t>.</w:t>
            </w:r>
          </w:p>
        </w:tc>
        <w:tc>
          <w:tcPr>
            <w:tcW w:w="3204" w:type="dxa"/>
          </w:tcPr>
          <w:p w14:paraId="7B791BD6" w14:textId="64D00955" w:rsidR="00F62D76" w:rsidRDefault="00F62D76" w:rsidP="002F2616">
            <w:pPr>
              <w:pStyle w:val="tabletext"/>
            </w:pPr>
            <w:r>
              <w:t>No equivalent</w:t>
            </w:r>
            <w:r w:rsidR="00084426">
              <w:t>.</w:t>
            </w:r>
          </w:p>
        </w:tc>
      </w:tr>
    </w:tbl>
    <w:p w14:paraId="5E15872D" w14:textId="72611133" w:rsidR="00C3452B" w:rsidRDefault="00C3452B" w:rsidP="00C3452B">
      <w:pPr>
        <w:pStyle w:val="Heading2"/>
      </w:pPr>
      <w:r>
        <w:t>Detailed explanation of new law</w:t>
      </w:r>
    </w:p>
    <w:p w14:paraId="1B945634" w14:textId="1851CAA1" w:rsidR="008F33AB" w:rsidRDefault="008F33AB" w:rsidP="001149CE">
      <w:pPr>
        <w:pStyle w:val="base-text-paragraph"/>
        <w:numPr>
          <w:ilvl w:val="1"/>
          <w:numId w:val="19"/>
        </w:numPr>
      </w:pPr>
      <w:r>
        <w:t xml:space="preserve">Schedule </w:t>
      </w:r>
      <w:r w:rsidR="008B003F">
        <w:t>1</w:t>
      </w:r>
      <w:r w:rsidRPr="008C02C9">
        <w:t xml:space="preserve"> to th</w:t>
      </w:r>
      <w:r w:rsidR="00F90F98">
        <w:t>e</w:t>
      </w:r>
      <w:r w:rsidRPr="008C02C9">
        <w:t xml:space="preserve"> Bill will amend Chapter 3 </w:t>
      </w:r>
      <w:r w:rsidR="004C374B">
        <w:t>of the Credit Act (</w:t>
      </w:r>
      <w:r w:rsidRPr="008C02C9">
        <w:t>Responsible Lending Conduct</w:t>
      </w:r>
      <w:r w:rsidR="004C374B">
        <w:t>)</w:t>
      </w:r>
      <w:r w:rsidRPr="008C02C9">
        <w:t xml:space="preserve"> so that</w:t>
      </w:r>
      <w:r w:rsidR="006B4D15">
        <w:t xml:space="preserve">, </w:t>
      </w:r>
      <w:r w:rsidR="00084426">
        <w:t>beginning on</w:t>
      </w:r>
      <w:r w:rsidR="006B4D15">
        <w:t xml:space="preserve"> 1 March 2021, </w:t>
      </w:r>
      <w:r>
        <w:lastRenderedPageBreak/>
        <w:t xml:space="preserve">RLOs will </w:t>
      </w:r>
      <w:r w:rsidR="006B4D15">
        <w:t xml:space="preserve">only </w:t>
      </w:r>
      <w:r>
        <w:t>apply to SACCs</w:t>
      </w:r>
      <w:r w:rsidR="008C592C">
        <w:t>, SACC-equivalent loans provided by ADIs</w:t>
      </w:r>
      <w:r>
        <w:t xml:space="preserve"> and consumer leases.</w:t>
      </w:r>
    </w:p>
    <w:p w14:paraId="6D6F2418" w14:textId="6233C760" w:rsidR="00CD388C" w:rsidRDefault="00CD388C" w:rsidP="00CD388C">
      <w:pPr>
        <w:pStyle w:val="Heading3"/>
      </w:pPr>
      <w:r>
        <w:t>Licensees that provide credit assistance in relation to credit contracts</w:t>
      </w:r>
    </w:p>
    <w:p w14:paraId="5B6D30C9" w14:textId="14D7481A" w:rsidR="00837DAA" w:rsidRDefault="00084426" w:rsidP="001149CE">
      <w:pPr>
        <w:pStyle w:val="base-text-paragraph"/>
        <w:numPr>
          <w:ilvl w:val="1"/>
          <w:numId w:val="19"/>
        </w:numPr>
      </w:pPr>
      <w:r>
        <w:t>Beginning on</w:t>
      </w:r>
      <w:r w:rsidR="00837DAA">
        <w:t xml:space="preserve"> </w:t>
      </w:r>
      <w:r w:rsidR="0010480A">
        <w:t xml:space="preserve">1 March 2021, </w:t>
      </w:r>
      <w:r w:rsidR="00837DAA">
        <w:t>the following obligation</w:t>
      </w:r>
      <w:r w:rsidR="001C63EC">
        <w:t>s</w:t>
      </w:r>
      <w:r w:rsidR="00837DAA">
        <w:t xml:space="preserve"> </w:t>
      </w:r>
      <w:r w:rsidR="009E0ABB">
        <w:t>in Part 3</w:t>
      </w:r>
      <w:r w:rsidR="00BB28F0">
        <w:t>-</w:t>
      </w:r>
      <w:r w:rsidR="009E0ABB">
        <w:t xml:space="preserve">1 of the Credit Act </w:t>
      </w:r>
      <w:r w:rsidR="00837DAA">
        <w:t xml:space="preserve">apply only to </w:t>
      </w:r>
      <w:r w:rsidR="002F2BA2">
        <w:t>l</w:t>
      </w:r>
      <w:r w:rsidR="002F2BA2" w:rsidRPr="002F2BA2">
        <w:t xml:space="preserve">icensees that provide credit assistance </w:t>
      </w:r>
      <w:r w:rsidR="002F2BA2">
        <w:t xml:space="preserve">in relation to </w:t>
      </w:r>
      <w:r w:rsidR="00837DAA">
        <w:t>SACCs</w:t>
      </w:r>
      <w:r w:rsidR="008C592C">
        <w:t xml:space="preserve"> and SACC-equivalent loans provided by ADIs</w:t>
      </w:r>
      <w:r w:rsidR="00837DAA">
        <w:t>:</w:t>
      </w:r>
    </w:p>
    <w:p w14:paraId="0C9B0706" w14:textId="113DCE0D" w:rsidR="00C43DF1" w:rsidRPr="00E61EF3" w:rsidRDefault="00F9723E" w:rsidP="00B55922">
      <w:pPr>
        <w:pStyle w:val="dotpoint2"/>
        <w:numPr>
          <w:ilvl w:val="0"/>
          <w:numId w:val="6"/>
        </w:numPr>
      </w:pPr>
      <w:r w:rsidRPr="00E61EF3">
        <w:t xml:space="preserve">section </w:t>
      </w:r>
      <w:r w:rsidR="00837DAA" w:rsidRPr="00E61EF3">
        <w:t>115: Obligations of credit assistance providers before providing credit assistance for credit contracts</w:t>
      </w:r>
    </w:p>
    <w:p w14:paraId="3EDD41B5" w14:textId="0CD257E5" w:rsidR="00837DAA" w:rsidRDefault="00F9723E" w:rsidP="00B55922">
      <w:pPr>
        <w:pStyle w:val="dotpoint2"/>
        <w:numPr>
          <w:ilvl w:val="0"/>
          <w:numId w:val="6"/>
        </w:numPr>
      </w:pPr>
      <w:r>
        <w:t xml:space="preserve">section </w:t>
      </w:r>
      <w:r w:rsidR="00837DAA">
        <w:t xml:space="preserve">116: </w:t>
      </w:r>
      <w:r w:rsidR="00837DAA" w:rsidRPr="00F849B1">
        <w:t>Preliminary assessment of unsuitability of the credit contract</w:t>
      </w:r>
    </w:p>
    <w:p w14:paraId="60483B93" w14:textId="35841C33" w:rsidR="00DD33A2" w:rsidRPr="001149CE" w:rsidRDefault="00F9723E" w:rsidP="00B55922">
      <w:pPr>
        <w:pStyle w:val="dotpoint2"/>
        <w:numPr>
          <w:ilvl w:val="0"/>
          <w:numId w:val="6"/>
        </w:numPr>
      </w:pPr>
      <w:r>
        <w:t xml:space="preserve">section </w:t>
      </w:r>
      <w:r w:rsidR="00837DAA">
        <w:t xml:space="preserve">117: </w:t>
      </w:r>
      <w:r w:rsidR="00837DAA" w:rsidRPr="00453318">
        <w:t>Reasonable inquiries etc. about the consumer</w:t>
      </w:r>
    </w:p>
    <w:p w14:paraId="75C096AD" w14:textId="0E45E7D4" w:rsidR="00C43DF1" w:rsidRPr="00D60DA5" w:rsidRDefault="00F9723E" w:rsidP="00B55922">
      <w:pPr>
        <w:pStyle w:val="dotpoint2"/>
        <w:numPr>
          <w:ilvl w:val="0"/>
          <w:numId w:val="6"/>
        </w:numPr>
      </w:pPr>
      <w:r>
        <w:t xml:space="preserve">section </w:t>
      </w:r>
      <w:r w:rsidR="00837DAA">
        <w:t xml:space="preserve">118: </w:t>
      </w:r>
      <w:r w:rsidR="00837DAA" w:rsidRPr="00453318">
        <w:t>When the credit contract must be assessed as unsuitable: entering contract or increasing the credit limit</w:t>
      </w:r>
    </w:p>
    <w:p w14:paraId="0EFD022B" w14:textId="48843187" w:rsidR="006674D4" w:rsidRPr="00D60DA5" w:rsidRDefault="00F9723E" w:rsidP="00B55922">
      <w:pPr>
        <w:pStyle w:val="dotpoint2"/>
        <w:numPr>
          <w:ilvl w:val="0"/>
          <w:numId w:val="6"/>
        </w:numPr>
      </w:pPr>
      <w:r>
        <w:t xml:space="preserve">section </w:t>
      </w:r>
      <w:r w:rsidR="00837DAA">
        <w:t xml:space="preserve">119: </w:t>
      </w:r>
      <w:r w:rsidR="00837DAA" w:rsidRPr="00453318">
        <w:t>When the credit contract must be assessed as unsuitable: remaining in credit contract</w:t>
      </w:r>
    </w:p>
    <w:p w14:paraId="54012272" w14:textId="50BEA876" w:rsidR="006674D4" w:rsidRDefault="00273BCB" w:rsidP="00B55922">
      <w:pPr>
        <w:pStyle w:val="dotpoint2"/>
        <w:numPr>
          <w:ilvl w:val="0"/>
          <w:numId w:val="6"/>
        </w:numPr>
      </w:pPr>
      <w:r>
        <w:t xml:space="preserve">section </w:t>
      </w:r>
      <w:r w:rsidR="00837DAA">
        <w:t xml:space="preserve">120: </w:t>
      </w:r>
      <w:r w:rsidR="00837DAA" w:rsidRPr="00453318">
        <w:t>Providing the consumer with the preliminary assessment</w:t>
      </w:r>
    </w:p>
    <w:p w14:paraId="73F11F3A" w14:textId="68C28FCB" w:rsidR="00837DAA" w:rsidRDefault="00273BCB" w:rsidP="00B55922">
      <w:pPr>
        <w:pStyle w:val="dotpoint2"/>
        <w:numPr>
          <w:ilvl w:val="0"/>
          <w:numId w:val="6"/>
        </w:numPr>
      </w:pPr>
      <w:r>
        <w:t xml:space="preserve">section </w:t>
      </w:r>
      <w:r w:rsidR="00837DAA">
        <w:t xml:space="preserve">123: </w:t>
      </w:r>
      <w:r w:rsidR="00837DAA" w:rsidRPr="00262CA2">
        <w:t>Prohibition on suggesting or assisting consumers to enter, or increase the credit limit under, unsuitable credit contracts</w:t>
      </w:r>
    </w:p>
    <w:p w14:paraId="0447D6FB" w14:textId="0161A6D5" w:rsidR="00837DAA" w:rsidRDefault="00273BCB" w:rsidP="00B55922">
      <w:pPr>
        <w:pStyle w:val="dotpoint2"/>
        <w:numPr>
          <w:ilvl w:val="0"/>
          <w:numId w:val="6"/>
        </w:numPr>
      </w:pPr>
      <w:proofErr w:type="gramStart"/>
      <w:r>
        <w:t>section</w:t>
      </w:r>
      <w:proofErr w:type="gramEnd"/>
      <w:r>
        <w:t xml:space="preserve"> </w:t>
      </w:r>
      <w:r w:rsidR="00837DAA">
        <w:t xml:space="preserve">124: </w:t>
      </w:r>
      <w:r w:rsidR="00837DAA" w:rsidRPr="00262CA2">
        <w:t>Prohibition on suggesting to consumers to remain in unsuitable credit contracts</w:t>
      </w:r>
      <w:r w:rsidR="005A2253">
        <w:t>.</w:t>
      </w:r>
    </w:p>
    <w:p w14:paraId="46EB745F" w14:textId="3669910A" w:rsidR="00DA7DFD" w:rsidRDefault="00FD26D2" w:rsidP="009240DB">
      <w:pPr>
        <w:pStyle w:val="base-text-paragraph"/>
        <w:numPr>
          <w:ilvl w:val="0"/>
          <w:numId w:val="0"/>
        </w:numPr>
        <w:autoSpaceDE w:val="0"/>
        <w:autoSpaceDN w:val="0"/>
        <w:adjustRightInd w:val="0"/>
        <w:spacing w:before="0" w:after="0"/>
        <w:ind w:left="1985"/>
        <w:rPr>
          <w:rStyle w:val="Referencingstyle"/>
        </w:rPr>
      </w:pPr>
      <w:r>
        <w:rPr>
          <w:rStyle w:val="Referencingstyle"/>
        </w:rPr>
        <w:t>[</w:t>
      </w:r>
      <w:r w:rsidR="00D61F34">
        <w:rPr>
          <w:rStyle w:val="Referencingstyle"/>
        </w:rPr>
        <w:t>Schedule</w:t>
      </w:r>
      <w:r w:rsidR="00D60DA5">
        <w:rPr>
          <w:rStyle w:val="Referencingstyle"/>
        </w:rPr>
        <w:t xml:space="preserve"> </w:t>
      </w:r>
      <w:r w:rsidR="008B003F">
        <w:rPr>
          <w:rStyle w:val="Referencingstyle"/>
        </w:rPr>
        <w:t>1</w:t>
      </w:r>
      <w:r w:rsidR="00D60DA5">
        <w:rPr>
          <w:rStyle w:val="Referencingstyle"/>
        </w:rPr>
        <w:t>,</w:t>
      </w:r>
      <w:r w:rsidR="00510BCE" w:rsidRPr="00510BCE">
        <w:t xml:space="preserve"> </w:t>
      </w:r>
      <w:r w:rsidR="00510BCE" w:rsidRPr="00510BCE">
        <w:rPr>
          <w:rStyle w:val="Referencingstyle"/>
        </w:rPr>
        <w:t>item</w:t>
      </w:r>
      <w:r w:rsidR="001D0864">
        <w:rPr>
          <w:rStyle w:val="Referencingstyle"/>
        </w:rPr>
        <w:t>s</w:t>
      </w:r>
      <w:r w:rsidR="00510BCE" w:rsidRPr="00510BCE">
        <w:rPr>
          <w:rStyle w:val="Referencingstyle"/>
        </w:rPr>
        <w:t xml:space="preserve"> 4, </w:t>
      </w:r>
      <w:r w:rsidR="009F7D22">
        <w:rPr>
          <w:rStyle w:val="Referencingstyle"/>
        </w:rPr>
        <w:t>7 to 22</w:t>
      </w:r>
      <w:r w:rsidR="001D0864">
        <w:rPr>
          <w:rStyle w:val="Referencingstyle"/>
        </w:rPr>
        <w:t xml:space="preserve"> and 2</w:t>
      </w:r>
      <w:r w:rsidR="009F7D22">
        <w:rPr>
          <w:rStyle w:val="Referencingstyle"/>
        </w:rPr>
        <w:t>4</w:t>
      </w:r>
      <w:r w:rsidR="001D0864">
        <w:rPr>
          <w:rStyle w:val="Referencingstyle"/>
        </w:rPr>
        <w:t xml:space="preserve"> to </w:t>
      </w:r>
      <w:r w:rsidR="009F7D22">
        <w:rPr>
          <w:rStyle w:val="Referencingstyle"/>
        </w:rPr>
        <w:t>31</w:t>
      </w:r>
      <w:r w:rsidR="00510BCE" w:rsidRPr="00510BCE">
        <w:rPr>
          <w:rStyle w:val="Referencingstyle"/>
        </w:rPr>
        <w:t xml:space="preserve">, </w:t>
      </w:r>
      <w:r w:rsidR="001D0864">
        <w:rPr>
          <w:rStyle w:val="Referencingstyle"/>
        </w:rPr>
        <w:t xml:space="preserve">sections </w:t>
      </w:r>
      <w:r w:rsidR="00510BCE" w:rsidRPr="00510BCE">
        <w:rPr>
          <w:rStyle w:val="Referencingstyle"/>
        </w:rPr>
        <w:t>113(2)(</w:t>
      </w:r>
      <w:proofErr w:type="spellStart"/>
      <w:r w:rsidR="00510BCE" w:rsidRPr="00510BCE">
        <w:rPr>
          <w:rStyle w:val="Referencingstyle"/>
        </w:rPr>
        <w:t>i</w:t>
      </w:r>
      <w:proofErr w:type="spellEnd"/>
      <w:r w:rsidR="00510BCE" w:rsidRPr="00510BCE">
        <w:rPr>
          <w:rStyle w:val="Referencingstyle"/>
        </w:rPr>
        <w:t>)</w:t>
      </w:r>
      <w:r w:rsidR="00510BCE">
        <w:rPr>
          <w:rStyle w:val="Referencingstyle"/>
        </w:rPr>
        <w:t>,</w:t>
      </w:r>
      <w:r w:rsidR="00510BCE" w:rsidRPr="00510BCE">
        <w:rPr>
          <w:rStyle w:val="Referencingstyle"/>
        </w:rPr>
        <w:t xml:space="preserve"> </w:t>
      </w:r>
      <w:r w:rsidR="009F7D22">
        <w:rPr>
          <w:rStyle w:val="Referencingstyle"/>
        </w:rPr>
        <w:t xml:space="preserve">115 (heading), </w:t>
      </w:r>
      <w:r w:rsidR="00510BCE">
        <w:rPr>
          <w:rStyle w:val="Referencingstyle"/>
        </w:rPr>
        <w:t>115(1)(a)</w:t>
      </w:r>
      <w:r w:rsidR="00E56CBD">
        <w:rPr>
          <w:rStyle w:val="Referencingstyle"/>
        </w:rPr>
        <w:t>-</w:t>
      </w:r>
      <w:r w:rsidR="00510BCE">
        <w:rPr>
          <w:rStyle w:val="Referencingstyle"/>
        </w:rPr>
        <w:t>(b), 115(2),</w:t>
      </w:r>
      <w:r w:rsidR="00D60DA5">
        <w:rPr>
          <w:rStyle w:val="Referencingstyle"/>
        </w:rPr>
        <w:t xml:space="preserve"> </w:t>
      </w:r>
      <w:r w:rsidR="00510BCE" w:rsidRPr="00742882">
        <w:rPr>
          <w:rStyle w:val="Referencingstyle"/>
        </w:rPr>
        <w:t>116</w:t>
      </w:r>
      <w:r w:rsidR="00616B94">
        <w:rPr>
          <w:rStyle w:val="Referencingstyle"/>
        </w:rPr>
        <w:t xml:space="preserve"> (heading)</w:t>
      </w:r>
      <w:r w:rsidR="004C374B">
        <w:rPr>
          <w:rStyle w:val="Referencingstyle"/>
        </w:rPr>
        <w:t>,</w:t>
      </w:r>
      <w:r w:rsidR="00510BCE" w:rsidRPr="00FD39C7">
        <w:rPr>
          <w:rStyle w:val="Referencingstyle"/>
        </w:rPr>
        <w:t xml:space="preserve"> </w:t>
      </w:r>
      <w:r w:rsidR="00510BCE" w:rsidRPr="007F7A75">
        <w:rPr>
          <w:rStyle w:val="Referencingstyle"/>
        </w:rPr>
        <w:t>116(1)(b)</w:t>
      </w:r>
      <w:r w:rsidR="0043200F">
        <w:rPr>
          <w:rStyle w:val="Referencingstyle"/>
        </w:rPr>
        <w:t>,</w:t>
      </w:r>
      <w:r w:rsidR="00510BCE" w:rsidRPr="007F7A75">
        <w:rPr>
          <w:rStyle w:val="Referencingstyle"/>
        </w:rPr>
        <w:t xml:space="preserve"> 116(2)(b)</w:t>
      </w:r>
      <w:r w:rsidR="00510BCE">
        <w:rPr>
          <w:rStyle w:val="Referencingstyle"/>
        </w:rPr>
        <w:t xml:space="preserve">, </w:t>
      </w:r>
      <w:r w:rsidR="00D60DA5" w:rsidRPr="007F7A75">
        <w:rPr>
          <w:rStyle w:val="Referencingstyle"/>
        </w:rPr>
        <w:t>117(1)(a)</w:t>
      </w:r>
      <w:r w:rsidR="00D60DA5">
        <w:rPr>
          <w:rStyle w:val="Referencingstyle"/>
        </w:rPr>
        <w:t xml:space="preserve">, 117(1A), </w:t>
      </w:r>
      <w:r w:rsidR="00D60DA5">
        <w:rPr>
          <w:rStyle w:val="Referencingstyle"/>
          <w:rFonts w:eastAsiaTheme="minorHAnsi"/>
          <w:lang w:eastAsia="en-US"/>
        </w:rPr>
        <w:t>118</w:t>
      </w:r>
      <w:r w:rsidR="00616B94">
        <w:rPr>
          <w:rStyle w:val="Referencingstyle"/>
          <w:rFonts w:eastAsiaTheme="minorHAnsi"/>
          <w:lang w:eastAsia="en-US"/>
        </w:rPr>
        <w:t xml:space="preserve"> (heading)</w:t>
      </w:r>
      <w:r w:rsidR="0043200F">
        <w:rPr>
          <w:rStyle w:val="Referencingstyle"/>
          <w:rFonts w:eastAsiaTheme="minorHAnsi"/>
          <w:lang w:eastAsia="en-US"/>
        </w:rPr>
        <w:t>,</w:t>
      </w:r>
      <w:r w:rsidR="00D60DA5">
        <w:rPr>
          <w:rStyle w:val="Referencingstyle"/>
        </w:rPr>
        <w:t xml:space="preserve"> 118(1), </w:t>
      </w:r>
      <w:r w:rsidR="00D60DA5">
        <w:rPr>
          <w:rStyle w:val="Referencingstyle"/>
          <w:rFonts w:eastAsiaTheme="minorHAnsi"/>
          <w:lang w:eastAsia="en-US"/>
        </w:rPr>
        <w:t>118(3AA), 118(3A)</w:t>
      </w:r>
      <w:r w:rsidR="0043200F">
        <w:rPr>
          <w:rStyle w:val="Referencingstyle"/>
          <w:rFonts w:eastAsiaTheme="minorHAnsi"/>
          <w:lang w:eastAsia="en-US"/>
        </w:rPr>
        <w:t xml:space="preserve">, </w:t>
      </w:r>
      <w:r w:rsidR="00616B94">
        <w:rPr>
          <w:rStyle w:val="Referencingstyle"/>
        </w:rPr>
        <w:t>1</w:t>
      </w:r>
      <w:r w:rsidR="00D60DA5">
        <w:rPr>
          <w:rStyle w:val="Referencingstyle"/>
        </w:rPr>
        <w:t>19 (heading),</w:t>
      </w:r>
      <w:r w:rsidR="0043200F">
        <w:rPr>
          <w:rStyle w:val="Referencingstyle"/>
        </w:rPr>
        <w:t xml:space="preserve"> </w:t>
      </w:r>
      <w:r w:rsidR="00D60DA5">
        <w:rPr>
          <w:rStyle w:val="Referencingstyle"/>
        </w:rPr>
        <w:t>119(1),</w:t>
      </w:r>
      <w:r w:rsidR="001A537B">
        <w:rPr>
          <w:rStyle w:val="Referencingstyle"/>
        </w:rPr>
        <w:t xml:space="preserve"> 119(3A)</w:t>
      </w:r>
      <w:r w:rsidR="00D60DA5">
        <w:rPr>
          <w:rStyle w:val="Referencingstyle"/>
        </w:rPr>
        <w:t>, 123</w:t>
      </w:r>
      <w:r w:rsidR="005A2253">
        <w:rPr>
          <w:rStyle w:val="Referencingstyle"/>
        </w:rPr>
        <w:t xml:space="preserve"> </w:t>
      </w:r>
      <w:r w:rsidR="00D60DA5">
        <w:rPr>
          <w:rStyle w:val="Referencingstyle"/>
        </w:rPr>
        <w:t>(heading)</w:t>
      </w:r>
      <w:r w:rsidR="0043200F">
        <w:rPr>
          <w:rStyle w:val="Referencingstyle"/>
        </w:rPr>
        <w:t>,</w:t>
      </w:r>
      <w:r w:rsidR="00D60DA5">
        <w:rPr>
          <w:rStyle w:val="Referencingstyle"/>
        </w:rPr>
        <w:t xml:space="preserve"> 123(1)(a)</w:t>
      </w:r>
      <w:r w:rsidR="00E56CBD">
        <w:rPr>
          <w:rStyle w:val="Referencingstyle"/>
        </w:rPr>
        <w:t>-</w:t>
      </w:r>
      <w:r w:rsidR="00D60DA5">
        <w:rPr>
          <w:rStyle w:val="Referencingstyle"/>
        </w:rPr>
        <w:t>(b), 123(3AA),</w:t>
      </w:r>
      <w:r w:rsidR="0043200F">
        <w:rPr>
          <w:rStyle w:val="Referencingstyle"/>
        </w:rPr>
        <w:t xml:space="preserve"> </w:t>
      </w:r>
      <w:r w:rsidR="00D60DA5">
        <w:rPr>
          <w:rStyle w:val="Referencingstyle"/>
        </w:rPr>
        <w:t xml:space="preserve">123(3A), 123(3A), </w:t>
      </w:r>
      <w:r>
        <w:rPr>
          <w:rStyle w:val="Referencingstyle"/>
        </w:rPr>
        <w:t>124</w:t>
      </w:r>
      <w:r w:rsidR="001D0864">
        <w:rPr>
          <w:rStyle w:val="Referencingstyle"/>
        </w:rPr>
        <w:t xml:space="preserve"> (heading)</w:t>
      </w:r>
      <w:r w:rsidR="00E56CBD">
        <w:rPr>
          <w:rStyle w:val="Referencingstyle"/>
        </w:rPr>
        <w:t>,</w:t>
      </w:r>
      <w:r>
        <w:rPr>
          <w:rStyle w:val="Referencingstyle"/>
        </w:rPr>
        <w:t xml:space="preserve"> 124(1)</w:t>
      </w:r>
      <w:r w:rsidR="0043200F">
        <w:rPr>
          <w:rStyle w:val="Referencingstyle"/>
        </w:rPr>
        <w:t xml:space="preserve"> and </w:t>
      </w:r>
      <w:r>
        <w:rPr>
          <w:rStyle w:val="Referencingstyle"/>
        </w:rPr>
        <w:t>124(3A)</w:t>
      </w:r>
      <w:r w:rsidRPr="00375F1D">
        <w:rPr>
          <w:rStyle w:val="Referencingstyle"/>
        </w:rPr>
        <w:t>]</w:t>
      </w:r>
    </w:p>
    <w:p w14:paraId="1970CB18" w14:textId="71EC3582" w:rsidR="00E6107C" w:rsidRDefault="00E6107C" w:rsidP="00E6107C">
      <w:pPr>
        <w:pStyle w:val="Heading4"/>
      </w:pPr>
      <w:r>
        <w:t xml:space="preserve">Best interests </w:t>
      </w:r>
      <w:r w:rsidR="0087352D">
        <w:t>obligations</w:t>
      </w:r>
    </w:p>
    <w:p w14:paraId="4D088A75" w14:textId="21F5B71C" w:rsidR="0087352D" w:rsidRDefault="0087352D" w:rsidP="000951EC">
      <w:pPr>
        <w:pStyle w:val="base-text-paragraph"/>
        <w:numPr>
          <w:ilvl w:val="1"/>
          <w:numId w:val="19"/>
        </w:numPr>
      </w:pPr>
      <w:r>
        <w:t xml:space="preserve">The best </w:t>
      </w:r>
      <w:proofErr w:type="gramStart"/>
      <w:r>
        <w:t>interest</w:t>
      </w:r>
      <w:r w:rsidR="00B226EE">
        <w:t>s</w:t>
      </w:r>
      <w:proofErr w:type="gramEnd"/>
      <w:r>
        <w:t xml:space="preserve"> obligations that will apply to mortgage brokers </w:t>
      </w:r>
      <w:r w:rsidR="00C619C8">
        <w:t>beginning on</w:t>
      </w:r>
      <w:r>
        <w:t xml:space="preserve"> 1 January 2021 will be extended to other credit assistance providers.</w:t>
      </w:r>
      <w:r w:rsidR="00375C91" w:rsidRPr="00375C91">
        <w:t xml:space="preserve"> </w:t>
      </w:r>
      <w:r w:rsidR="00375C91" w:rsidRPr="006D3D79">
        <w:t>As a result, all credit assistance providers will need to comply with the obligations in relation to credit contracts</w:t>
      </w:r>
      <w:r w:rsidRPr="006D3D79">
        <w:t>.</w:t>
      </w:r>
    </w:p>
    <w:p w14:paraId="79BF7E87" w14:textId="1C642B3D" w:rsidR="00E6107C" w:rsidRDefault="000D2262" w:rsidP="000951EC">
      <w:pPr>
        <w:pStyle w:val="base-text-paragraph"/>
        <w:numPr>
          <w:ilvl w:val="1"/>
          <w:numId w:val="19"/>
        </w:numPr>
      </w:pPr>
      <w:r>
        <w:t xml:space="preserve">The extension of the best interests obligations to </w:t>
      </w:r>
      <w:r w:rsidR="0033552E">
        <w:t xml:space="preserve">licensees </w:t>
      </w:r>
      <w:r w:rsidR="003F765D">
        <w:t xml:space="preserve">and their credit representatives </w:t>
      </w:r>
      <w:r>
        <w:t>means that those licensees and their credit representatives must</w:t>
      </w:r>
      <w:r w:rsidR="00E6107C">
        <w:t>:</w:t>
      </w:r>
    </w:p>
    <w:p w14:paraId="7EFE74A8" w14:textId="77777777" w:rsidR="00E6107C" w:rsidRPr="00E6107C" w:rsidRDefault="000951EC" w:rsidP="00E6107C">
      <w:pPr>
        <w:pStyle w:val="dotpoint2"/>
        <w:numPr>
          <w:ilvl w:val="0"/>
          <w:numId w:val="6"/>
        </w:numPr>
      </w:pPr>
      <w:r>
        <w:rPr>
          <w:shd w:val="clear" w:color="auto" w:fill="FFFFFF"/>
        </w:rPr>
        <w:t>act in the best interests of consumers when providing credit assistance in relation to credit contracts</w:t>
      </w:r>
      <w:r w:rsidR="00E6107C">
        <w:rPr>
          <w:shd w:val="clear" w:color="auto" w:fill="FFFFFF"/>
        </w:rPr>
        <w:t>; and</w:t>
      </w:r>
    </w:p>
    <w:p w14:paraId="4DB3259A" w14:textId="569A0B27" w:rsidR="00E6107C" w:rsidRPr="00713629" w:rsidRDefault="000D2262" w:rsidP="00E6107C">
      <w:pPr>
        <w:pStyle w:val="dotpoint2"/>
        <w:numPr>
          <w:ilvl w:val="0"/>
          <w:numId w:val="6"/>
        </w:numPr>
      </w:pPr>
      <w:proofErr w:type="gramStart"/>
      <w:r>
        <w:rPr>
          <w:shd w:val="clear" w:color="auto" w:fill="FFFFFF"/>
        </w:rPr>
        <w:lastRenderedPageBreak/>
        <w:t>where</w:t>
      </w:r>
      <w:proofErr w:type="gramEnd"/>
      <w:r>
        <w:rPr>
          <w:shd w:val="clear" w:color="auto" w:fill="FFFFFF"/>
        </w:rPr>
        <w:t xml:space="preserve"> </w:t>
      </w:r>
      <w:r w:rsidRPr="00941CF5">
        <w:rPr>
          <w:shd w:val="clear" w:color="auto" w:fill="FFFFFF"/>
        </w:rPr>
        <w:t>there is a conflict of interest</w:t>
      </w:r>
      <w:r w:rsidR="00B226EE">
        <w:rPr>
          <w:shd w:val="clear" w:color="auto" w:fill="FFFFFF"/>
        </w:rPr>
        <w:t>s</w:t>
      </w:r>
      <w:r w:rsidRPr="00941CF5">
        <w:rPr>
          <w:shd w:val="clear" w:color="auto" w:fill="FFFFFF"/>
        </w:rPr>
        <w:t xml:space="preserve">, give priority to consumers in providing credit assistance </w:t>
      </w:r>
      <w:r w:rsidR="00105B18">
        <w:rPr>
          <w:shd w:val="clear" w:color="auto" w:fill="FFFFFF"/>
        </w:rPr>
        <w:t>in relation to credit contracts</w:t>
      </w:r>
      <w:r w:rsidR="0033552E">
        <w:rPr>
          <w:shd w:val="clear" w:color="auto" w:fill="FFFFFF"/>
        </w:rPr>
        <w:t xml:space="preserve">. </w:t>
      </w:r>
    </w:p>
    <w:p w14:paraId="14C503A9" w14:textId="451411D7" w:rsidR="00713629" w:rsidRPr="00713629" w:rsidRDefault="00814022" w:rsidP="00713629">
      <w:pPr>
        <w:pStyle w:val="dotpoint2"/>
        <w:numPr>
          <w:ilvl w:val="0"/>
          <w:numId w:val="0"/>
        </w:numPr>
        <w:ind w:left="1985"/>
        <w:rPr>
          <w:rStyle w:val="Referencingstyle"/>
        </w:rPr>
      </w:pPr>
      <w:r>
        <w:rPr>
          <w:rStyle w:val="Referencingstyle"/>
        </w:rPr>
        <w:t>[Schedule 1, items 65 and 66</w:t>
      </w:r>
      <w:r w:rsidR="00713629">
        <w:rPr>
          <w:rStyle w:val="Referencingstyle"/>
        </w:rPr>
        <w:t>, s</w:t>
      </w:r>
      <w:r w:rsidR="003F765D">
        <w:rPr>
          <w:rStyle w:val="Referencingstyle"/>
        </w:rPr>
        <w:t>ections</w:t>
      </w:r>
      <w:r w:rsidR="00713629">
        <w:rPr>
          <w:rStyle w:val="Referencingstyle"/>
        </w:rPr>
        <w:t xml:space="preserve"> </w:t>
      </w:r>
      <w:proofErr w:type="gramStart"/>
      <w:r w:rsidR="00713629">
        <w:rPr>
          <w:rStyle w:val="Referencingstyle"/>
        </w:rPr>
        <w:t>158L(</w:t>
      </w:r>
      <w:proofErr w:type="gramEnd"/>
      <w:r w:rsidR="00713629">
        <w:rPr>
          <w:rStyle w:val="Referencingstyle"/>
        </w:rPr>
        <w:t>1)</w:t>
      </w:r>
      <w:r w:rsidR="003F765D">
        <w:rPr>
          <w:rStyle w:val="Referencingstyle"/>
        </w:rPr>
        <w:t xml:space="preserve"> and 158LD</w:t>
      </w:r>
      <w:r w:rsidR="00713629">
        <w:rPr>
          <w:rStyle w:val="Referencingstyle"/>
        </w:rPr>
        <w:t>]</w:t>
      </w:r>
    </w:p>
    <w:p w14:paraId="5DD5243C" w14:textId="1A7A3DB0" w:rsidR="00E43715" w:rsidRDefault="00E43715" w:rsidP="00E43715">
      <w:pPr>
        <w:pStyle w:val="base-text-paragraph"/>
        <w:numPr>
          <w:ilvl w:val="1"/>
          <w:numId w:val="19"/>
        </w:numPr>
      </w:pPr>
      <w:r>
        <w:t>A maximum civil penalty of 5</w:t>
      </w:r>
      <w:r w:rsidR="00F42CCC">
        <w:t>,</w:t>
      </w:r>
      <w:r>
        <w:t>000 penalty units applies for a contravention.</w:t>
      </w:r>
    </w:p>
    <w:p w14:paraId="480F604E" w14:textId="13AC8C3B" w:rsidR="00717D53" w:rsidRDefault="00717D53" w:rsidP="00E43715">
      <w:pPr>
        <w:pStyle w:val="base-text-paragraph"/>
        <w:numPr>
          <w:ilvl w:val="1"/>
          <w:numId w:val="19"/>
        </w:numPr>
      </w:pPr>
      <w:r>
        <w:t>Additionally, licensees that authorise credit representatives must take reasonable steps to ensure that those persons comply with the obligations listed above.</w:t>
      </w:r>
    </w:p>
    <w:p w14:paraId="5D8C6137" w14:textId="5DA32FD1" w:rsidR="00717D53" w:rsidRPr="00E6107C" w:rsidRDefault="00717D53" w:rsidP="00E43715">
      <w:pPr>
        <w:pStyle w:val="base-text-paragraph"/>
        <w:numPr>
          <w:ilvl w:val="1"/>
          <w:numId w:val="19"/>
        </w:numPr>
      </w:pPr>
      <w:r>
        <w:t xml:space="preserve">The extension of the best </w:t>
      </w:r>
      <w:proofErr w:type="gramStart"/>
      <w:r>
        <w:t>interest</w:t>
      </w:r>
      <w:r w:rsidR="00B226EE">
        <w:t>s</w:t>
      </w:r>
      <w:proofErr w:type="gramEnd"/>
      <w:r>
        <w:t xml:space="preserve"> </w:t>
      </w:r>
      <w:r w:rsidRPr="008E62CD">
        <w:t xml:space="preserve">obligations </w:t>
      </w:r>
      <w:r>
        <w:t>is</w:t>
      </w:r>
      <w:r w:rsidRPr="008E62CD">
        <w:t xml:space="preserve"> intended to improve outcomes for consumers by legally requiring that</w:t>
      </w:r>
      <w:r w:rsidR="00DC144A">
        <w:t xml:space="preserve"> credit assistance providers act in the consumer’s best interests and place their consumer’s interests before their own. The extension of the best interests obligations does not affect the arrangements </w:t>
      </w:r>
      <w:r w:rsidR="00D46DA0">
        <w:t xml:space="preserve">already legislated </w:t>
      </w:r>
      <w:r w:rsidR="00DC144A">
        <w:t>for mortgage brokers.</w:t>
      </w:r>
    </w:p>
    <w:p w14:paraId="025B87BB" w14:textId="02D97E6B" w:rsidR="00D46DA0" w:rsidRPr="00E6107C" w:rsidRDefault="00D46DA0" w:rsidP="00E43715">
      <w:pPr>
        <w:pStyle w:val="base-text-paragraph"/>
        <w:numPr>
          <w:ilvl w:val="1"/>
          <w:numId w:val="19"/>
        </w:numPr>
      </w:pPr>
      <w:r>
        <w:t>These obligations do not apply to credit assistance provided in relation to credit for predominantly business purpo</w:t>
      </w:r>
      <w:r w:rsidR="004828B2">
        <w:t>ses.</w:t>
      </w:r>
    </w:p>
    <w:p w14:paraId="20AD78E2" w14:textId="026EBD26" w:rsidR="007536D0" w:rsidRDefault="00311614" w:rsidP="007536D0">
      <w:pPr>
        <w:pStyle w:val="base-text-paragraph"/>
        <w:numPr>
          <w:ilvl w:val="1"/>
          <w:numId w:val="19"/>
        </w:numPr>
      </w:pPr>
      <w:r w:rsidRPr="0033552E">
        <w:t>The duty to act in the best interests of the consumer in relation to credit assistance is a principle</w:t>
      </w:r>
      <w:r w:rsidR="00AA037A">
        <w:t>s</w:t>
      </w:r>
      <w:r w:rsidRPr="0033552E">
        <w:t>-based standard of conduct that applies across a range of activities that licensees an</w:t>
      </w:r>
      <w:r>
        <w:t>d representatives engage in.</w:t>
      </w:r>
      <w:r w:rsidRPr="0033552E">
        <w:t xml:space="preserve"> As such, what conduct satisfies the duty will depend on the individual circumstances in which credit assistance is provided to a consumer in relation to a credit contract</w:t>
      </w:r>
      <w:r>
        <w:t>.</w:t>
      </w:r>
      <w:r w:rsidR="007536D0">
        <w:t xml:space="preserve"> </w:t>
      </w:r>
      <w:r w:rsidR="007536D0" w:rsidRPr="00F94039">
        <w:t>The duty does not prescribe conduct that will be taken to satisfy the duty in specific circumstances. It is the respon</w:t>
      </w:r>
      <w:r w:rsidR="007536D0" w:rsidRPr="007709C6">
        <w:t>sibility of credit assistance providers to ensure that their conduct meets the standard of ‘acting in the best interests of consumers’ in the relevant circumstances.</w:t>
      </w:r>
    </w:p>
    <w:p w14:paraId="41F21098" w14:textId="77777777" w:rsidR="007536D0" w:rsidRDefault="007536D0" w:rsidP="007536D0">
      <w:pPr>
        <w:pStyle w:val="base-text-paragraph"/>
        <w:numPr>
          <w:ilvl w:val="1"/>
          <w:numId w:val="19"/>
        </w:numPr>
      </w:pPr>
      <w:r w:rsidRPr="00D85B63">
        <w:t xml:space="preserve">Examples of steps that may need to be taken </w:t>
      </w:r>
      <w:r>
        <w:t>in order to comply with the duty are:</w:t>
      </w:r>
    </w:p>
    <w:p w14:paraId="20EE118F" w14:textId="77777777" w:rsidR="007536D0" w:rsidRDefault="007536D0" w:rsidP="00D639E9">
      <w:pPr>
        <w:pStyle w:val="exampledotpoint1"/>
        <w:rPr>
          <w:shd w:val="clear" w:color="auto" w:fill="FFFFFF"/>
        </w:rPr>
      </w:pPr>
      <w:r w:rsidRPr="00C4752B">
        <w:rPr>
          <w:shd w:val="clear" w:color="auto" w:fill="FFFFFF"/>
        </w:rPr>
        <w:t xml:space="preserve">prior to recommending any credit contract to a consumer based on consideration of that consumer’s particular circumstances, the </w:t>
      </w:r>
      <w:r>
        <w:rPr>
          <w:shd w:val="clear" w:color="auto" w:fill="FFFFFF"/>
        </w:rPr>
        <w:t>licensee or representative</w:t>
      </w:r>
      <w:r w:rsidRPr="00C4752B">
        <w:rPr>
          <w:shd w:val="clear" w:color="auto" w:fill="FFFFFF"/>
        </w:rPr>
        <w:t xml:space="preserve"> may need to consider a range of products (including the features of those products), form a view about which products are in the consumer’s best interests and then inform the consumer of the range and the options it contains;</w:t>
      </w:r>
    </w:p>
    <w:p w14:paraId="68246B92" w14:textId="77777777" w:rsidR="007536D0" w:rsidRPr="00180C36" w:rsidRDefault="007536D0" w:rsidP="006D3D79">
      <w:pPr>
        <w:pStyle w:val="exampledotpoint1"/>
        <w:rPr>
          <w:shd w:val="clear" w:color="auto" w:fill="FFFFFF"/>
        </w:rPr>
      </w:pPr>
      <w:r w:rsidRPr="00D639E9">
        <w:rPr>
          <w:shd w:val="clear" w:color="auto" w:fill="FFFFFF"/>
        </w:rPr>
        <w:t>any recommendations made would be expected to be based on consumer b</w:t>
      </w:r>
      <w:r w:rsidRPr="006D3D79">
        <w:rPr>
          <w:shd w:val="clear" w:color="auto" w:fill="FFFFFF"/>
        </w:rPr>
        <w:t xml:space="preserve">enefits, rather than benefits that may be realised by the broker; that is, a broker should not recommend a loan by prioritising factors that cannot be substantiated as delivering benefits to that particular consumer (such as the broker’s relationship with </w:t>
      </w:r>
      <w:r w:rsidRPr="00180C36">
        <w:rPr>
          <w:shd w:val="clear" w:color="auto" w:fill="FFFFFF"/>
        </w:rPr>
        <w:t xml:space="preserve">the lender), over factors and features which affect the cost of the product or are more relevant to the consumer; and </w:t>
      </w:r>
    </w:p>
    <w:p w14:paraId="583FAAF6" w14:textId="77777777" w:rsidR="007536D0" w:rsidRPr="007434EB" w:rsidRDefault="007536D0" w:rsidP="00180C36">
      <w:pPr>
        <w:pStyle w:val="exampledotpoint1"/>
        <w:rPr>
          <w:shd w:val="clear" w:color="auto" w:fill="FFFFFF"/>
        </w:rPr>
      </w:pPr>
      <w:proofErr w:type="gramStart"/>
      <w:r w:rsidRPr="00180C36">
        <w:rPr>
          <w:shd w:val="clear" w:color="auto" w:fill="FFFFFF"/>
        </w:rPr>
        <w:lastRenderedPageBreak/>
        <w:t>in</w:t>
      </w:r>
      <w:proofErr w:type="gramEnd"/>
      <w:r w:rsidRPr="00180C36">
        <w:rPr>
          <w:shd w:val="clear" w:color="auto" w:fill="FFFFFF"/>
        </w:rPr>
        <w:t xml:space="preserve"> cases where critical information is not obtained when inquiring about a consumer’s circumstances, the broker could be expected to refr</w:t>
      </w:r>
      <w:r w:rsidRPr="007434EB">
        <w:rPr>
          <w:shd w:val="clear" w:color="auto" w:fill="FFFFFF"/>
        </w:rPr>
        <w:t>ain from making a recommendation about a loan where there is a consequent risk that the loan will not be in the consumer’s best interests.</w:t>
      </w:r>
    </w:p>
    <w:p w14:paraId="75C83298" w14:textId="132056DC" w:rsidR="00311614" w:rsidRPr="00F94039" w:rsidRDefault="004775C3" w:rsidP="00E6107C">
      <w:pPr>
        <w:pStyle w:val="base-text-paragraph"/>
        <w:numPr>
          <w:ilvl w:val="1"/>
          <w:numId w:val="19"/>
        </w:numPr>
      </w:pPr>
      <w:r>
        <w:t xml:space="preserve">In </w:t>
      </w:r>
      <w:r w:rsidRPr="00D85B63">
        <w:t xml:space="preserve">some situations the consumer will not properly understand the implications of different choices and so the broker may have to assist them to understand why a particular loan is or is not in their best interests. </w:t>
      </w:r>
      <w:r w:rsidRPr="00F94039">
        <w:t>In some cases this assistance may inform any recommendations provided by the broker.</w:t>
      </w:r>
    </w:p>
    <w:p w14:paraId="6D355C3D" w14:textId="59A331CA" w:rsidR="00611AD6" w:rsidRDefault="00CB0030" w:rsidP="00611AD6">
      <w:pPr>
        <w:pStyle w:val="base-text-paragraph"/>
        <w:numPr>
          <w:ilvl w:val="1"/>
          <w:numId w:val="19"/>
        </w:numPr>
      </w:pPr>
      <w:r w:rsidRPr="00F94039">
        <w:t>A credit contract</w:t>
      </w:r>
      <w:r w:rsidR="00611AD6" w:rsidRPr="00F94039">
        <w:t xml:space="preserve"> </w:t>
      </w:r>
      <w:r w:rsidRPr="00F94039">
        <w:t>(</w:t>
      </w:r>
      <w:r w:rsidR="00611AD6" w:rsidRPr="00F94039">
        <w:t>e.g. a loan</w:t>
      </w:r>
      <w:r w:rsidRPr="00F94039">
        <w:t>)</w:t>
      </w:r>
      <w:r w:rsidR="00611AD6" w:rsidRPr="00F94039">
        <w:t xml:space="preserve"> may be</w:t>
      </w:r>
      <w:r w:rsidR="00611AD6" w:rsidRPr="007709C6">
        <w:t xml:space="preserve"> packaged with one or more</w:t>
      </w:r>
      <w:r w:rsidR="00611AD6" w:rsidRPr="00720033">
        <w:t xml:space="preserve"> other credit contracts </w:t>
      </w:r>
      <w:r w:rsidR="00611AD6">
        <w:t>(e.g. a credit card)</w:t>
      </w:r>
      <w:r w:rsidR="00611AD6" w:rsidRPr="00720033">
        <w:t xml:space="preserve"> as a single product offering. In recommending a package the </w:t>
      </w:r>
      <w:r w:rsidR="00611AD6">
        <w:t>credit assistance provider</w:t>
      </w:r>
      <w:r w:rsidR="00611AD6" w:rsidRPr="00720033">
        <w:t xml:space="preserve"> would be expected to ensure that </w:t>
      </w:r>
      <w:r w:rsidR="00A07BE6">
        <w:t>the package</w:t>
      </w:r>
      <w:r w:rsidR="00611AD6" w:rsidRPr="00720033">
        <w:t xml:space="preserve">, rather than the standalone </w:t>
      </w:r>
      <w:r w:rsidR="00611AD6">
        <w:t>loan</w:t>
      </w:r>
      <w:r w:rsidR="00611AD6" w:rsidRPr="00720033">
        <w:t xml:space="preserve"> (if available) or an alternative standalone </w:t>
      </w:r>
      <w:r w:rsidR="00611AD6">
        <w:t>loan</w:t>
      </w:r>
      <w:r w:rsidR="00611AD6" w:rsidRPr="00720033">
        <w:t xml:space="preserve"> or packaged product in the range of options considered by the </w:t>
      </w:r>
      <w:r>
        <w:t>credit assistance provid</w:t>
      </w:r>
      <w:r w:rsidR="00611AD6" w:rsidRPr="00720033">
        <w:t xml:space="preserve">er, is in the consumer’s best interests. </w:t>
      </w:r>
      <w:r>
        <w:t>In making this assessment, the credit assistance provider</w:t>
      </w:r>
      <w:r w:rsidR="00611AD6" w:rsidRPr="00720033">
        <w:t xml:space="preserve"> would be expected to weigh up the relative benefits and risks for the consumer, which may depend on a range of factors including what the consumer is attempting to achieve and the relative value and importance of the different components of the package. </w:t>
      </w:r>
    </w:p>
    <w:p w14:paraId="4C6DCE93" w14:textId="4DCA1648" w:rsidR="00611AD6" w:rsidRDefault="00611AD6" w:rsidP="00611AD6">
      <w:pPr>
        <w:pStyle w:val="base-text-paragraph"/>
        <w:numPr>
          <w:ilvl w:val="1"/>
          <w:numId w:val="19"/>
        </w:numPr>
      </w:pPr>
      <w:r>
        <w:t>However, i</w:t>
      </w:r>
      <w:r w:rsidRPr="00720033">
        <w:t xml:space="preserve">n a package consisting of a </w:t>
      </w:r>
      <w:r>
        <w:t xml:space="preserve">primary credit contract (e.g. a car loan) </w:t>
      </w:r>
      <w:r w:rsidRPr="00720033">
        <w:t xml:space="preserve">and </w:t>
      </w:r>
      <w:r>
        <w:t>other credit contracts (</w:t>
      </w:r>
      <w:r w:rsidR="00A07BE6">
        <w:t xml:space="preserve">e.g. </w:t>
      </w:r>
      <w:r>
        <w:t>a credit card)</w:t>
      </w:r>
      <w:r w:rsidRPr="00720033">
        <w:t xml:space="preserve">, the primary credit contract </w:t>
      </w:r>
      <w:r>
        <w:t>is relatively more important</w:t>
      </w:r>
      <w:r w:rsidRPr="00720033">
        <w:t xml:space="preserve"> for determining whether the package is in the consumer’s best interests.</w:t>
      </w:r>
    </w:p>
    <w:p w14:paraId="22080EE2" w14:textId="3BE59F37" w:rsidR="00611AD6" w:rsidRDefault="00611AD6" w:rsidP="00FC5A40">
      <w:pPr>
        <w:pStyle w:val="base-text-paragraph"/>
        <w:numPr>
          <w:ilvl w:val="1"/>
          <w:numId w:val="19"/>
        </w:numPr>
      </w:pPr>
      <w:r>
        <w:t xml:space="preserve">In addition to the best </w:t>
      </w:r>
      <w:proofErr w:type="gramStart"/>
      <w:r>
        <w:t>interests</w:t>
      </w:r>
      <w:proofErr w:type="gramEnd"/>
      <w:r>
        <w:t xml:space="preserve"> duty, the law will also require credit assistance providers to resolve conflicts of interest</w:t>
      </w:r>
      <w:r w:rsidR="00B226EE">
        <w:t>s</w:t>
      </w:r>
      <w:r>
        <w:t xml:space="preserve"> in the consumer’s favour. In particular, if a credit assistance provider knows or reasonably ought to know, that there is a conflict between the interests of the consumer and the interests of the credit assistance provider or a related party, the provider must give priority to the consumer’s interests.</w:t>
      </w:r>
    </w:p>
    <w:p w14:paraId="7314A56B" w14:textId="6A7E6058" w:rsidR="006311EA" w:rsidRDefault="006311EA" w:rsidP="00611AD6">
      <w:pPr>
        <w:pStyle w:val="base-text-paragraph"/>
        <w:numPr>
          <w:ilvl w:val="1"/>
          <w:numId w:val="19"/>
        </w:numPr>
      </w:pPr>
      <w:r>
        <w:t xml:space="preserve">The </w:t>
      </w:r>
      <w:r w:rsidRPr="00FC5A40">
        <w:t>obligation to give priority to the consumer’s interests is not limited to conflicts of interest</w:t>
      </w:r>
      <w:r w:rsidR="00B226EE">
        <w:t>s</w:t>
      </w:r>
      <w:r w:rsidRPr="00FC5A40">
        <w:t xml:space="preserve"> </w:t>
      </w:r>
      <w:r>
        <w:t>that the credit assistance provider currently know</w:t>
      </w:r>
      <w:r w:rsidR="00D62334">
        <w:t>s</w:t>
      </w:r>
      <w:r>
        <w:t xml:space="preserve"> about. Credit assistance providers are expected to take active steps to identify conflicts of interest</w:t>
      </w:r>
      <w:r w:rsidR="00B226EE">
        <w:t>s</w:t>
      </w:r>
      <w:r>
        <w:t xml:space="preserve"> to minimise the risk of a contravention, including obligations that can arise because of </w:t>
      </w:r>
      <w:r w:rsidR="00AA037A">
        <w:t>its</w:t>
      </w:r>
      <w:r>
        <w:t xml:space="preserve"> commercial relationships with third parties. For example, if a broker has referral arrangements with a provider of goods or services such that they are an associate, then the broker would need to consider the conflicts that could arise, and ensure that they give priority to the interests of the consumer over their own interests or those of the associate.</w:t>
      </w:r>
    </w:p>
    <w:p w14:paraId="236AF67E" w14:textId="3EBC2857" w:rsidR="00611AD6" w:rsidRDefault="00611AD6" w:rsidP="00611AD6">
      <w:pPr>
        <w:pStyle w:val="base-text-paragraph"/>
        <w:numPr>
          <w:ilvl w:val="1"/>
          <w:numId w:val="19"/>
        </w:numPr>
      </w:pPr>
      <w:r>
        <w:t xml:space="preserve">The </w:t>
      </w:r>
      <w:r w:rsidR="00A07BE6">
        <w:t>obligations a</w:t>
      </w:r>
      <w:r>
        <w:t>ppl</w:t>
      </w:r>
      <w:r w:rsidR="00A07BE6">
        <w:t>y</w:t>
      </w:r>
      <w:r>
        <w:t xml:space="preserve"> to credit assistance providers that are licensees, or their representatives. </w:t>
      </w:r>
      <w:r w:rsidR="00CB0030">
        <w:t>For</w:t>
      </w:r>
      <w:r>
        <w:t xml:space="preserve"> credit representative</w:t>
      </w:r>
      <w:r w:rsidR="00CB0030">
        <w:t>s</w:t>
      </w:r>
      <w:r>
        <w:t>:</w:t>
      </w:r>
    </w:p>
    <w:p w14:paraId="597F139E" w14:textId="3BC6C50E" w:rsidR="00611AD6" w:rsidRDefault="00CB0030" w:rsidP="00CB0030">
      <w:pPr>
        <w:pStyle w:val="dotpoint2"/>
        <w:numPr>
          <w:ilvl w:val="0"/>
          <w:numId w:val="6"/>
        </w:numPr>
      </w:pPr>
      <w:r>
        <w:lastRenderedPageBreak/>
        <w:t>t</w:t>
      </w:r>
      <w:r w:rsidR="00611AD6">
        <w:t xml:space="preserve">he obligations only apply when the </w:t>
      </w:r>
      <w:r>
        <w:t>credit representative</w:t>
      </w:r>
      <w:r w:rsidR="00611AD6">
        <w:t xml:space="preserve"> is acting within the scope of the credit representative’s actual or apparent authority from the licensee; and </w:t>
      </w:r>
    </w:p>
    <w:p w14:paraId="7B20780D" w14:textId="5B79E1A1" w:rsidR="00611AD6" w:rsidRDefault="00CB0030" w:rsidP="00CB0030">
      <w:pPr>
        <w:pStyle w:val="dotpoint2"/>
        <w:numPr>
          <w:ilvl w:val="0"/>
          <w:numId w:val="6"/>
        </w:numPr>
      </w:pPr>
      <w:proofErr w:type="gramStart"/>
      <w:r>
        <w:t>t</w:t>
      </w:r>
      <w:r w:rsidR="00611AD6">
        <w:t>he</w:t>
      </w:r>
      <w:proofErr w:type="gramEnd"/>
      <w:r w:rsidR="00611AD6">
        <w:t xml:space="preserve"> licensee is required take reasonable steps to ensure that the representative complies with the obligations. </w:t>
      </w:r>
    </w:p>
    <w:p w14:paraId="1F0E32A3" w14:textId="0FDD1B93" w:rsidR="00CB2116" w:rsidRDefault="00CB2116" w:rsidP="006D3D79">
      <w:pPr>
        <w:pStyle w:val="base-text-paragraph"/>
        <w:numPr>
          <w:ilvl w:val="1"/>
          <w:numId w:val="19"/>
        </w:numPr>
      </w:pPr>
      <w:r w:rsidRPr="00FC5A40">
        <w:t>What constitutes reasonable steps will vary from case to case according to the content of the obligation. Failure to take reasonable steps would include a failure to respond to or address identified problems that create a risk of a contravention; that is, licensees will need to act to prevent contraventions of the law, and not simply respond to contraventions once they have happened</w:t>
      </w:r>
      <w:r>
        <w:t xml:space="preserve">. </w:t>
      </w:r>
    </w:p>
    <w:p w14:paraId="7E5767CF" w14:textId="583BEC15" w:rsidR="00E87CDE" w:rsidRPr="004D2A3E" w:rsidRDefault="004B1BAB" w:rsidP="004D2A3E">
      <w:pPr>
        <w:pStyle w:val="Heading3"/>
      </w:pPr>
      <w:r>
        <w:t>Licensees that are credit providers under credit contracts</w:t>
      </w:r>
    </w:p>
    <w:p w14:paraId="5221EBDF" w14:textId="0D43127F" w:rsidR="005E7CCE" w:rsidRDefault="00C969EF" w:rsidP="001149CE">
      <w:pPr>
        <w:pStyle w:val="base-text-paragraph"/>
        <w:numPr>
          <w:ilvl w:val="1"/>
          <w:numId w:val="19"/>
        </w:numPr>
      </w:pPr>
      <w:r>
        <w:t>Beginning on</w:t>
      </w:r>
      <w:r w:rsidR="005E7CCE">
        <w:t xml:space="preserve"> </w:t>
      </w:r>
      <w:r w:rsidR="0010480A">
        <w:t xml:space="preserve">1 March 2021, </w:t>
      </w:r>
      <w:r w:rsidR="005E7CCE" w:rsidRPr="005E7CCE">
        <w:t xml:space="preserve">the following </w:t>
      </w:r>
      <w:r w:rsidR="005E7CCE">
        <w:t xml:space="preserve">obligations </w:t>
      </w:r>
      <w:r w:rsidR="009E0ABB">
        <w:t>in Part 3</w:t>
      </w:r>
      <w:r w:rsidR="00BB28F0">
        <w:t>-</w:t>
      </w:r>
      <w:r w:rsidR="009E0ABB">
        <w:t xml:space="preserve">2 of the Credit Act </w:t>
      </w:r>
      <w:r w:rsidR="005E7CCE" w:rsidRPr="005E7CCE">
        <w:t>apply</w:t>
      </w:r>
      <w:r w:rsidR="007A79D6">
        <w:t xml:space="preserve"> only</w:t>
      </w:r>
      <w:r w:rsidR="005E7CCE" w:rsidRPr="005E7CCE">
        <w:t xml:space="preserve"> to </w:t>
      </w:r>
      <w:r w:rsidR="007A79D6">
        <w:t>l</w:t>
      </w:r>
      <w:r w:rsidR="007A79D6" w:rsidRPr="002F2BA2">
        <w:t xml:space="preserve">icensees that </w:t>
      </w:r>
      <w:r w:rsidR="00983450">
        <w:t xml:space="preserve">are credit providers under </w:t>
      </w:r>
      <w:r w:rsidR="005E7CCE" w:rsidRPr="005E7CCE">
        <w:t>SACCs</w:t>
      </w:r>
      <w:r w:rsidR="008C592C">
        <w:t xml:space="preserve"> and SACC-equivalent loans provided by ADIs</w:t>
      </w:r>
      <w:r w:rsidR="005E7CCE" w:rsidRPr="005E7CCE">
        <w:t>:</w:t>
      </w:r>
    </w:p>
    <w:p w14:paraId="7CF02358" w14:textId="54B19A9D" w:rsidR="00D61F34" w:rsidRDefault="008065CB" w:rsidP="00B55922">
      <w:pPr>
        <w:pStyle w:val="dotpoint2"/>
        <w:numPr>
          <w:ilvl w:val="0"/>
          <w:numId w:val="6"/>
        </w:numPr>
      </w:pPr>
      <w:r>
        <w:t>s</w:t>
      </w:r>
      <w:r w:rsidR="00427228">
        <w:t xml:space="preserve">ection 128: </w:t>
      </w:r>
      <w:r w:rsidR="00BB28F0">
        <w:t>O</w:t>
      </w:r>
      <w:r w:rsidR="005E7CCE" w:rsidRPr="00070FE2">
        <w:t>bligation to assess unsuitability</w:t>
      </w:r>
    </w:p>
    <w:p w14:paraId="19FCDB0A" w14:textId="3DD3A5AD" w:rsidR="00070FE2" w:rsidRPr="003533E7" w:rsidRDefault="00290CF7" w:rsidP="00B55922">
      <w:pPr>
        <w:pStyle w:val="dotpoint2"/>
        <w:numPr>
          <w:ilvl w:val="0"/>
          <w:numId w:val="6"/>
        </w:numPr>
      </w:pPr>
      <w:r>
        <w:t xml:space="preserve">section </w:t>
      </w:r>
      <w:r w:rsidR="005E7CCE">
        <w:t xml:space="preserve">129: </w:t>
      </w:r>
      <w:r w:rsidR="005E7CCE" w:rsidRPr="001C5D3A">
        <w:t>Assessment of unsuitability of the credit contract</w:t>
      </w:r>
    </w:p>
    <w:p w14:paraId="28670F5A" w14:textId="66208858" w:rsidR="00DD5843" w:rsidRPr="003533E7" w:rsidRDefault="00290CF7" w:rsidP="00B55922">
      <w:pPr>
        <w:pStyle w:val="dotpoint2"/>
        <w:numPr>
          <w:ilvl w:val="0"/>
          <w:numId w:val="6"/>
        </w:numPr>
      </w:pPr>
      <w:r>
        <w:t>section</w:t>
      </w:r>
      <w:r w:rsidR="008065CB">
        <w:t xml:space="preserve"> 130:</w:t>
      </w:r>
      <w:r>
        <w:t xml:space="preserve"> </w:t>
      </w:r>
      <w:r w:rsidR="007C6061" w:rsidRPr="001C5D3A">
        <w:t>Reasonable inquiries etc. about the consumer</w:t>
      </w:r>
      <w:r w:rsidR="007C6061" w:rsidRPr="003533E7">
        <w:t xml:space="preserve"> </w:t>
      </w:r>
    </w:p>
    <w:p w14:paraId="6A6FB85A" w14:textId="3E86B168" w:rsidR="00EF63AD" w:rsidRDefault="003E540D" w:rsidP="00B55922">
      <w:pPr>
        <w:pStyle w:val="dotpoint2"/>
        <w:numPr>
          <w:ilvl w:val="0"/>
          <w:numId w:val="6"/>
        </w:numPr>
      </w:pPr>
      <w:r>
        <w:t>s</w:t>
      </w:r>
      <w:r w:rsidR="00290CF7">
        <w:t>ection</w:t>
      </w:r>
      <w:r w:rsidR="008065CB">
        <w:t xml:space="preserve"> 131:</w:t>
      </w:r>
      <w:r w:rsidR="00290CF7">
        <w:t xml:space="preserve"> </w:t>
      </w:r>
      <w:r w:rsidR="007C6061" w:rsidRPr="001C5D3A">
        <w:t>When credit contract must be assessed as unsuitable</w:t>
      </w:r>
    </w:p>
    <w:p w14:paraId="11C3296F" w14:textId="1DFD25B6" w:rsidR="00851D70" w:rsidRDefault="00DD5843" w:rsidP="00B55922">
      <w:pPr>
        <w:pStyle w:val="dotpoint2"/>
        <w:numPr>
          <w:ilvl w:val="0"/>
          <w:numId w:val="6"/>
        </w:numPr>
      </w:pPr>
      <w:r w:rsidRPr="003533E7">
        <w:t>s</w:t>
      </w:r>
      <w:r w:rsidR="00290CF7" w:rsidRPr="003533E7">
        <w:t>ection</w:t>
      </w:r>
      <w:r w:rsidRPr="003533E7">
        <w:t xml:space="preserve"> 132:</w:t>
      </w:r>
      <w:r w:rsidR="00290CF7" w:rsidRPr="003533E7">
        <w:t xml:space="preserve"> </w:t>
      </w:r>
      <w:r w:rsidR="000D7413" w:rsidRPr="003533E7">
        <w:t>Giving</w:t>
      </w:r>
      <w:r w:rsidR="000D7413" w:rsidRPr="000D7413">
        <w:t xml:space="preserve"> the consumer the assessment</w:t>
      </w:r>
    </w:p>
    <w:p w14:paraId="234CEA6E" w14:textId="4D3823DA" w:rsidR="003250E1" w:rsidRDefault="00EF63AD" w:rsidP="00B55922">
      <w:pPr>
        <w:pStyle w:val="dotpoint2"/>
        <w:numPr>
          <w:ilvl w:val="0"/>
          <w:numId w:val="6"/>
        </w:numPr>
      </w:pPr>
      <w:proofErr w:type="gramStart"/>
      <w:r>
        <w:t>s</w:t>
      </w:r>
      <w:r w:rsidR="00290CF7">
        <w:t>ection</w:t>
      </w:r>
      <w:proofErr w:type="gramEnd"/>
      <w:r w:rsidR="008D0F4E">
        <w:t xml:space="preserve"> 13</w:t>
      </w:r>
      <w:r>
        <w:t>3</w:t>
      </w:r>
      <w:r w:rsidR="008D0F4E">
        <w:t>:</w:t>
      </w:r>
      <w:r w:rsidR="00290CF7">
        <w:t xml:space="preserve"> </w:t>
      </w:r>
      <w:r w:rsidR="000D7413" w:rsidRPr="001C5D3A">
        <w:t>Prohibition on entering, or increasing the credit limit of, unsuitable credit contracts</w:t>
      </w:r>
      <w:r w:rsidR="00F467F3">
        <w:t>.</w:t>
      </w:r>
    </w:p>
    <w:p w14:paraId="124DDACA" w14:textId="365B147C" w:rsidR="008A60A4" w:rsidRDefault="00201287" w:rsidP="009240DB">
      <w:pPr>
        <w:pStyle w:val="base-text-paragraph"/>
        <w:numPr>
          <w:ilvl w:val="0"/>
          <w:numId w:val="0"/>
        </w:numPr>
        <w:spacing w:before="0" w:after="0"/>
        <w:ind w:left="1985"/>
        <w:rPr>
          <w:rStyle w:val="Referencingstyle"/>
        </w:rPr>
      </w:pPr>
      <w:r>
        <w:rPr>
          <w:rStyle w:val="Referencingstyle"/>
        </w:rPr>
        <w:t xml:space="preserve">[Schedule </w:t>
      </w:r>
      <w:r w:rsidR="008B003F">
        <w:rPr>
          <w:rStyle w:val="Referencingstyle"/>
        </w:rPr>
        <w:t>1,</w:t>
      </w:r>
      <w:r>
        <w:rPr>
          <w:rStyle w:val="Referencingstyle"/>
        </w:rPr>
        <w:t xml:space="preserve"> </w:t>
      </w:r>
      <w:r w:rsidR="00427228" w:rsidRPr="004D2A3E">
        <w:rPr>
          <w:rStyle w:val="Referencingstyle"/>
        </w:rPr>
        <w:t>item</w:t>
      </w:r>
      <w:r w:rsidR="00BB6715">
        <w:rPr>
          <w:rStyle w:val="Referencingstyle"/>
        </w:rPr>
        <w:t>s</w:t>
      </w:r>
      <w:r w:rsidR="00427228" w:rsidRPr="004D2A3E">
        <w:rPr>
          <w:rStyle w:val="Referencingstyle"/>
        </w:rPr>
        <w:t xml:space="preserve"> 3</w:t>
      </w:r>
      <w:r w:rsidR="009F7D22">
        <w:rPr>
          <w:rStyle w:val="Referencingstyle"/>
        </w:rPr>
        <w:t>6</w:t>
      </w:r>
      <w:r w:rsidR="00427228" w:rsidRPr="004D2A3E">
        <w:rPr>
          <w:rStyle w:val="Referencingstyle"/>
        </w:rPr>
        <w:t xml:space="preserve">, </w:t>
      </w:r>
      <w:r w:rsidR="00EE6104">
        <w:rPr>
          <w:rStyle w:val="Referencingstyle"/>
        </w:rPr>
        <w:t>38 to 50 and 52 to 55</w:t>
      </w:r>
      <w:r w:rsidR="000D2B5E">
        <w:rPr>
          <w:rStyle w:val="Referencingstyle"/>
        </w:rPr>
        <w:t>,</w:t>
      </w:r>
      <w:r w:rsidR="00427228" w:rsidRPr="004D2A3E">
        <w:rPr>
          <w:rStyle w:val="Referencingstyle"/>
        </w:rPr>
        <w:t xml:space="preserve"> section</w:t>
      </w:r>
      <w:r w:rsidR="00BB6715">
        <w:rPr>
          <w:rStyle w:val="Referencingstyle"/>
        </w:rPr>
        <w:t>s</w:t>
      </w:r>
      <w:r w:rsidR="00427228" w:rsidRPr="004D2A3E">
        <w:rPr>
          <w:rStyle w:val="Referencingstyle"/>
        </w:rPr>
        <w:t xml:space="preserve"> 126(2)</w:t>
      </w:r>
      <w:r w:rsidR="00BB6715">
        <w:rPr>
          <w:rStyle w:val="Referencingstyle"/>
        </w:rPr>
        <w:t>(f)</w:t>
      </w:r>
      <w:r w:rsidR="00427228">
        <w:rPr>
          <w:rStyle w:val="Referencingstyle"/>
        </w:rPr>
        <w:t xml:space="preserve">, </w:t>
      </w:r>
      <w:r w:rsidR="00BB6715">
        <w:rPr>
          <w:rStyle w:val="Referencingstyle"/>
        </w:rPr>
        <w:t>128</w:t>
      </w:r>
      <w:r w:rsidR="00427228">
        <w:rPr>
          <w:rStyle w:val="Referencingstyle"/>
        </w:rPr>
        <w:t xml:space="preserve"> (heading), </w:t>
      </w:r>
      <w:r w:rsidR="00BB6715">
        <w:rPr>
          <w:rStyle w:val="Referencingstyle"/>
        </w:rPr>
        <w:t>128(a)-(</w:t>
      </w:r>
      <w:proofErr w:type="spellStart"/>
      <w:r w:rsidR="00BB6715">
        <w:rPr>
          <w:rStyle w:val="Referencingstyle"/>
        </w:rPr>
        <w:t>ba</w:t>
      </w:r>
      <w:proofErr w:type="spellEnd"/>
      <w:r w:rsidR="00BB6715">
        <w:rPr>
          <w:rStyle w:val="Referencingstyle"/>
        </w:rPr>
        <w:t>), 129 (heading)</w:t>
      </w:r>
      <w:r w:rsidR="00427228">
        <w:rPr>
          <w:rStyle w:val="Referencingstyle"/>
        </w:rPr>
        <w:t>, 129(b),</w:t>
      </w:r>
      <w:r w:rsidR="003E540D">
        <w:rPr>
          <w:rStyle w:val="Referencingstyle"/>
        </w:rPr>
        <w:t xml:space="preserve"> </w:t>
      </w:r>
      <w:r w:rsidR="003533E7">
        <w:rPr>
          <w:rStyle w:val="Referencingstyle"/>
        </w:rPr>
        <w:t xml:space="preserve">130(1)(a), </w:t>
      </w:r>
      <w:r w:rsidR="003E540D">
        <w:rPr>
          <w:rStyle w:val="Referencingstyle"/>
        </w:rPr>
        <w:t>131</w:t>
      </w:r>
      <w:r w:rsidR="007276F2">
        <w:rPr>
          <w:rStyle w:val="Referencingstyle"/>
        </w:rPr>
        <w:t xml:space="preserve"> </w:t>
      </w:r>
      <w:r w:rsidR="003E540D">
        <w:rPr>
          <w:rStyle w:val="Referencingstyle"/>
        </w:rPr>
        <w:t xml:space="preserve">(heading), 131(1), </w:t>
      </w:r>
      <w:r w:rsidR="007276F2">
        <w:rPr>
          <w:rStyle w:val="Referencingstyle"/>
        </w:rPr>
        <w:t>131(3AA), 131(3A)</w:t>
      </w:r>
      <w:r w:rsidR="003E540D">
        <w:rPr>
          <w:rStyle w:val="Referencingstyle"/>
        </w:rPr>
        <w:t xml:space="preserve">, </w:t>
      </w:r>
      <w:r w:rsidR="007276F2">
        <w:rPr>
          <w:rStyle w:val="Referencingstyle"/>
        </w:rPr>
        <w:t xml:space="preserve">132(1), 132(2)(a), </w:t>
      </w:r>
      <w:r w:rsidR="000D2B5E">
        <w:rPr>
          <w:rStyle w:val="Referencingstyle"/>
        </w:rPr>
        <w:t>133 (heading), 133(</w:t>
      </w:r>
      <w:r w:rsidR="00F467F3">
        <w:rPr>
          <w:rStyle w:val="Referencingstyle"/>
        </w:rPr>
        <w:t>1)(a)-(b), 133(3</w:t>
      </w:r>
      <w:r w:rsidR="00EE6104">
        <w:rPr>
          <w:rStyle w:val="Referencingstyle"/>
        </w:rPr>
        <w:t>AA) and 133(3A</w:t>
      </w:r>
      <w:r w:rsidR="00F467F3">
        <w:rPr>
          <w:rStyle w:val="Referencingstyle"/>
        </w:rPr>
        <w:t>)]</w:t>
      </w:r>
    </w:p>
    <w:p w14:paraId="2E0A7E7A" w14:textId="7BFB72B8" w:rsidR="009102F2" w:rsidRDefault="009102F2" w:rsidP="009102F2">
      <w:pPr>
        <w:pStyle w:val="Heading4"/>
      </w:pPr>
      <w:r>
        <w:t>SACC-equivalent loans by ADIs</w:t>
      </w:r>
    </w:p>
    <w:p w14:paraId="5D76E8CA" w14:textId="612955A5" w:rsidR="00931C4E" w:rsidRDefault="00910463" w:rsidP="000B1D8B">
      <w:pPr>
        <w:pStyle w:val="base-text-paragraph"/>
        <w:numPr>
          <w:ilvl w:val="1"/>
          <w:numId w:val="19"/>
        </w:numPr>
      </w:pPr>
      <w:r>
        <w:t>The RLOs are retained for c</w:t>
      </w:r>
      <w:r w:rsidR="00520BC0">
        <w:t>r</w:t>
      </w:r>
      <w:r w:rsidR="00DC6006">
        <w:t>edit c</w:t>
      </w:r>
      <w:r>
        <w:t xml:space="preserve">ontracts </w:t>
      </w:r>
      <w:r w:rsidR="00DC6006">
        <w:t xml:space="preserve">provided by ADIs </w:t>
      </w:r>
      <w:r>
        <w:t>which would be a SACC if the credit provider was not an ADI</w:t>
      </w:r>
      <w:r w:rsidR="00067A1A">
        <w:t xml:space="preserve">. </w:t>
      </w:r>
      <w:r w:rsidR="00FC5A40">
        <w:t xml:space="preserve">The Bill uses the term ‘low limit credit contract’ to encompass both types of contract. </w:t>
      </w:r>
      <w:r w:rsidR="00713629">
        <w:rPr>
          <w:rStyle w:val="Referencingstyle"/>
        </w:rPr>
        <w:t>[Schedule 1, item 1, definition of ‘low limit credit contract’</w:t>
      </w:r>
      <w:r w:rsidR="00EE6104">
        <w:rPr>
          <w:rStyle w:val="Referencingstyle"/>
        </w:rPr>
        <w:t xml:space="preserve"> in</w:t>
      </w:r>
      <w:r w:rsidR="00713629">
        <w:rPr>
          <w:rStyle w:val="Referencingstyle"/>
        </w:rPr>
        <w:t xml:space="preserve"> section 5(1)]</w:t>
      </w:r>
    </w:p>
    <w:p w14:paraId="1CDCE0E7" w14:textId="725A3CA9" w:rsidR="00931C4E" w:rsidRDefault="00067A1A" w:rsidP="00931C4E">
      <w:pPr>
        <w:pStyle w:val="base-text-paragraph"/>
        <w:numPr>
          <w:ilvl w:val="1"/>
          <w:numId w:val="19"/>
        </w:numPr>
      </w:pPr>
      <w:r>
        <w:t>That is,</w:t>
      </w:r>
      <w:r w:rsidR="00931C4E">
        <w:t xml:space="preserve"> if an ADI provides</w:t>
      </w:r>
      <w:r>
        <w:t xml:space="preserve"> an unsecured loan of under $2000 that is not a continuing credit contract, and with a term of between 16</w:t>
      </w:r>
      <w:r w:rsidR="009A0A0B">
        <w:t> </w:t>
      </w:r>
      <w:r>
        <w:t xml:space="preserve">days and one year, </w:t>
      </w:r>
      <w:r w:rsidR="00931C4E">
        <w:t xml:space="preserve">the ADI continues to be </w:t>
      </w:r>
      <w:r>
        <w:t xml:space="preserve">subject to the </w:t>
      </w:r>
      <w:r w:rsidR="00520BC0">
        <w:t>RLO</w:t>
      </w:r>
      <w:r>
        <w:t xml:space="preserve">s </w:t>
      </w:r>
      <w:r w:rsidR="00931C4E">
        <w:t xml:space="preserve">that have previously applied to credit contracts generally. However, the obligations that have previously applied specifically to SACCs </w:t>
      </w:r>
      <w:r w:rsidR="0020466A">
        <w:t xml:space="preserve">(such as the requirement to give consumer warnings) </w:t>
      </w:r>
      <w:r w:rsidR="00931C4E">
        <w:t>do not apply to ADIs in this scenario.</w:t>
      </w:r>
      <w:r w:rsidR="00CC10AC">
        <w:t xml:space="preserve"> </w:t>
      </w:r>
    </w:p>
    <w:p w14:paraId="51A88A79" w14:textId="77777777" w:rsidR="00FC5A40" w:rsidRDefault="00931C4E" w:rsidP="00931C4E">
      <w:pPr>
        <w:pStyle w:val="base-text-paragraph"/>
        <w:numPr>
          <w:ilvl w:val="1"/>
          <w:numId w:val="19"/>
        </w:numPr>
      </w:pPr>
      <w:r>
        <w:lastRenderedPageBreak/>
        <w:t>The effect is that ADI</w:t>
      </w:r>
      <w:r w:rsidR="000A0CE1">
        <w:t xml:space="preserve">s’ </w:t>
      </w:r>
      <w:r w:rsidR="00520BC0">
        <w:t>RLOs</w:t>
      </w:r>
      <w:r w:rsidR="000A0CE1">
        <w:t xml:space="preserve"> are unchanged for this category of contract</w:t>
      </w:r>
      <w:r w:rsidR="009102F2">
        <w:t>. This maintains a co</w:t>
      </w:r>
      <w:r w:rsidR="00520BC0">
        <w:t>mparable</w:t>
      </w:r>
      <w:r w:rsidR="009102F2">
        <w:t xml:space="preserve"> level of consumer protection whether a small loan is obtained as a SACC or from an ADI.</w:t>
      </w:r>
    </w:p>
    <w:p w14:paraId="3F69C847" w14:textId="5842E672" w:rsidR="000B1D8B" w:rsidRPr="000B1D8B" w:rsidRDefault="00035510" w:rsidP="00931C4E">
      <w:pPr>
        <w:pStyle w:val="base-text-paragraph"/>
        <w:numPr>
          <w:ilvl w:val="1"/>
          <w:numId w:val="19"/>
        </w:numPr>
      </w:pPr>
      <w:r>
        <w:t>As indicated above, t</w:t>
      </w:r>
      <w:r w:rsidR="00FC5A40">
        <w:t>he RLOs are also retained for credit assistance in relation to a SACC-equivalent loan by an ADI.</w:t>
      </w:r>
      <w:r w:rsidR="000B1D8B">
        <w:t xml:space="preserve"> </w:t>
      </w:r>
    </w:p>
    <w:p w14:paraId="63E1436D" w14:textId="713ACC62" w:rsidR="003A7818" w:rsidRPr="004D2A3E" w:rsidRDefault="003A7818" w:rsidP="004D2A3E">
      <w:pPr>
        <w:pStyle w:val="Heading3"/>
      </w:pPr>
      <w:r w:rsidRPr="004D2A3E">
        <w:t>Licensees and reverse mortgages</w:t>
      </w:r>
    </w:p>
    <w:p w14:paraId="0972461C" w14:textId="754EE97C" w:rsidR="00140E2E" w:rsidRPr="006A18BF" w:rsidRDefault="00823E43" w:rsidP="001149CE">
      <w:pPr>
        <w:pStyle w:val="base-text-paragraph"/>
        <w:numPr>
          <w:ilvl w:val="1"/>
          <w:numId w:val="19"/>
        </w:numPr>
        <w:rPr>
          <w:rStyle w:val="Referencingstyle"/>
          <w:b w:val="0"/>
          <w:i w:val="0"/>
          <w:sz w:val="22"/>
        </w:rPr>
      </w:pPr>
      <w:r>
        <w:t>The requirement to give equity projections remains in place, but f</w:t>
      </w:r>
      <w:r w:rsidR="009E0ABB">
        <w:t>rom 1 March 2021</w:t>
      </w:r>
      <w:r>
        <w:t xml:space="preserve"> the obligation is to do so</w:t>
      </w:r>
      <w:r w:rsidR="003A7818" w:rsidRPr="00236F77">
        <w:t xml:space="preserve"> before the</w:t>
      </w:r>
      <w:r w:rsidR="00CC10AC">
        <w:t xml:space="preserve"> licensee provides credit assistance or enters the</w:t>
      </w:r>
      <w:r w:rsidR="003A7818" w:rsidRPr="00236F77">
        <w:t xml:space="preserve"> credit contract.</w:t>
      </w:r>
      <w:r w:rsidR="00DC0694" w:rsidRPr="00236F77">
        <w:t xml:space="preserve"> </w:t>
      </w:r>
      <w:r w:rsidR="00140E2E" w:rsidRPr="00E732C4">
        <w:rPr>
          <w:rStyle w:val="Referencingstyle"/>
        </w:rPr>
        <w:t xml:space="preserve">[Schedule </w:t>
      </w:r>
      <w:r>
        <w:rPr>
          <w:rStyle w:val="Referencingstyle"/>
        </w:rPr>
        <w:t>1</w:t>
      </w:r>
      <w:r w:rsidR="00140E2E" w:rsidRPr="00E732C4">
        <w:rPr>
          <w:rStyle w:val="Referencingstyle"/>
        </w:rPr>
        <w:t>, item</w:t>
      </w:r>
      <w:r>
        <w:rPr>
          <w:rStyle w:val="Referencingstyle"/>
        </w:rPr>
        <w:t xml:space="preserve">s </w:t>
      </w:r>
      <w:r w:rsidR="00140E2E" w:rsidRPr="00E732C4">
        <w:rPr>
          <w:rStyle w:val="Referencingstyle"/>
        </w:rPr>
        <w:t>58</w:t>
      </w:r>
      <w:r w:rsidR="00AF6985">
        <w:rPr>
          <w:rStyle w:val="Referencingstyle"/>
        </w:rPr>
        <w:t xml:space="preserve"> and </w:t>
      </w:r>
      <w:r w:rsidR="00814022">
        <w:rPr>
          <w:rStyle w:val="Referencingstyle"/>
        </w:rPr>
        <w:t>61</w:t>
      </w:r>
      <w:r w:rsidR="00140E2E" w:rsidRPr="00E732C4">
        <w:rPr>
          <w:rStyle w:val="Referencingstyle"/>
        </w:rPr>
        <w:t xml:space="preserve">, </w:t>
      </w:r>
      <w:r>
        <w:rPr>
          <w:rStyle w:val="Referencingstyle"/>
        </w:rPr>
        <w:t xml:space="preserve">sections </w:t>
      </w:r>
      <w:r w:rsidR="00991E33" w:rsidRPr="00E732C4">
        <w:rPr>
          <w:rStyle w:val="Referencingstyle"/>
        </w:rPr>
        <w:t>133DB</w:t>
      </w:r>
      <w:r w:rsidR="00814022">
        <w:rPr>
          <w:rStyle w:val="Referencingstyle"/>
        </w:rPr>
        <w:t>(</w:t>
      </w:r>
      <w:r w:rsidR="00140E2E" w:rsidRPr="00E732C4">
        <w:rPr>
          <w:rStyle w:val="Referencingstyle"/>
        </w:rPr>
        <w:t>1)</w:t>
      </w:r>
      <w:r w:rsidR="00814022">
        <w:rPr>
          <w:rStyle w:val="Referencingstyle"/>
        </w:rPr>
        <w:t xml:space="preserve"> and </w:t>
      </w:r>
      <w:r w:rsidR="00AF6985">
        <w:rPr>
          <w:rStyle w:val="Referencingstyle"/>
        </w:rPr>
        <w:t>(1A)</w:t>
      </w:r>
      <w:r w:rsidR="00140E2E" w:rsidRPr="00E732C4">
        <w:rPr>
          <w:rStyle w:val="Referencingstyle"/>
        </w:rPr>
        <w:t>]</w:t>
      </w:r>
    </w:p>
    <w:p w14:paraId="6D4AE60B" w14:textId="77777777" w:rsidR="007D606A" w:rsidRDefault="006A18BF" w:rsidP="001149CE">
      <w:pPr>
        <w:pStyle w:val="base-text-paragraph"/>
        <w:numPr>
          <w:ilvl w:val="1"/>
          <w:numId w:val="19"/>
        </w:numPr>
      </w:pPr>
      <w:r>
        <w:t>In addition</w:t>
      </w:r>
      <w:r w:rsidR="007D606A">
        <w:t xml:space="preserve"> to giving equity projections, the licensee must also:</w:t>
      </w:r>
    </w:p>
    <w:p w14:paraId="75FB2251" w14:textId="3F0F3D4A" w:rsidR="007D606A" w:rsidRDefault="007D606A" w:rsidP="002C04C6">
      <w:pPr>
        <w:pStyle w:val="dotpoint2"/>
        <w:numPr>
          <w:ilvl w:val="0"/>
          <w:numId w:val="6"/>
        </w:numPr>
      </w:pPr>
      <w:r>
        <w:t>ask the consumer about their expected future aged care accommodation costs; and</w:t>
      </w:r>
    </w:p>
    <w:p w14:paraId="4FDF2F9A" w14:textId="130AF888" w:rsidR="00713629" w:rsidRDefault="00FB5AC8" w:rsidP="00713629">
      <w:pPr>
        <w:pStyle w:val="dotpoint2"/>
        <w:numPr>
          <w:ilvl w:val="0"/>
          <w:numId w:val="6"/>
        </w:numPr>
      </w:pPr>
      <w:proofErr w:type="gramStart"/>
      <w:r>
        <w:t>present</w:t>
      </w:r>
      <w:proofErr w:type="gramEnd"/>
      <w:r>
        <w:t xml:space="preserve"> the consumer’s expected future aged care accommodation costs alongside the </w:t>
      </w:r>
      <w:r w:rsidR="007D606A" w:rsidRPr="007D606A">
        <w:t>equity pr</w:t>
      </w:r>
      <w:r w:rsidR="007D606A">
        <w:t>ojection</w:t>
      </w:r>
      <w:r w:rsidR="007D606A" w:rsidRPr="007D606A">
        <w:t>, in a manner allowing the consumer to appreciate how the equity expected to be left in the home may impact the</w:t>
      </w:r>
      <w:r w:rsidR="007D606A">
        <w:t>ir</w:t>
      </w:r>
      <w:r w:rsidR="007D606A" w:rsidRPr="007D606A">
        <w:t xml:space="preserve"> ability to afford aged care</w:t>
      </w:r>
      <w:r w:rsidR="007D606A">
        <w:t>.</w:t>
      </w:r>
    </w:p>
    <w:p w14:paraId="30D94B61" w14:textId="6F6332B7" w:rsidR="00713629" w:rsidRDefault="00713629" w:rsidP="00713629">
      <w:pPr>
        <w:pStyle w:val="dotpoint2"/>
        <w:numPr>
          <w:ilvl w:val="0"/>
          <w:numId w:val="0"/>
        </w:numPr>
        <w:ind w:left="1985"/>
      </w:pPr>
      <w:r>
        <w:rPr>
          <w:rStyle w:val="Referencingstyle"/>
        </w:rPr>
        <w:t>[Schedule 1, items 5</w:t>
      </w:r>
      <w:r w:rsidR="001C68C8">
        <w:rPr>
          <w:rStyle w:val="Referencingstyle"/>
        </w:rPr>
        <w:t>9</w:t>
      </w:r>
      <w:r>
        <w:rPr>
          <w:rStyle w:val="Referencingstyle"/>
        </w:rPr>
        <w:t xml:space="preserve"> and </w:t>
      </w:r>
      <w:r w:rsidR="00814022">
        <w:rPr>
          <w:rStyle w:val="Referencingstyle"/>
        </w:rPr>
        <w:t>60</w:t>
      </w:r>
      <w:r>
        <w:rPr>
          <w:rStyle w:val="Referencingstyle"/>
        </w:rPr>
        <w:t>, section</w:t>
      </w:r>
      <w:r w:rsidR="00AF6985">
        <w:rPr>
          <w:rStyle w:val="Referencingstyle"/>
        </w:rPr>
        <w:t>s</w:t>
      </w:r>
      <w:r>
        <w:rPr>
          <w:rStyle w:val="Referencingstyle"/>
        </w:rPr>
        <w:t xml:space="preserve"> </w:t>
      </w:r>
      <w:proofErr w:type="gramStart"/>
      <w:r>
        <w:rPr>
          <w:rStyle w:val="Referencingstyle"/>
        </w:rPr>
        <w:t>133DB(</w:t>
      </w:r>
      <w:proofErr w:type="gramEnd"/>
      <w:r>
        <w:rPr>
          <w:rStyle w:val="Referencingstyle"/>
        </w:rPr>
        <w:t>1)</w:t>
      </w:r>
      <w:r w:rsidR="00AF6985">
        <w:rPr>
          <w:rStyle w:val="Referencingstyle"/>
        </w:rPr>
        <w:t>(aa) and (</w:t>
      </w:r>
      <w:proofErr w:type="spellStart"/>
      <w:r w:rsidR="00AF6985">
        <w:rPr>
          <w:rStyle w:val="Referencingstyle"/>
        </w:rPr>
        <w:t>ba</w:t>
      </w:r>
      <w:proofErr w:type="spellEnd"/>
      <w:r w:rsidR="00AF6985">
        <w:rPr>
          <w:rStyle w:val="Referencingstyle"/>
        </w:rPr>
        <w:t>)</w:t>
      </w:r>
      <w:r>
        <w:rPr>
          <w:rStyle w:val="Referencingstyle"/>
        </w:rPr>
        <w:t>]</w:t>
      </w:r>
    </w:p>
    <w:p w14:paraId="4AF24A6D" w14:textId="7CD9A00C" w:rsidR="00881F08" w:rsidRDefault="00881F08" w:rsidP="007D606A">
      <w:pPr>
        <w:pStyle w:val="base-text-paragraph"/>
        <w:numPr>
          <w:ilvl w:val="1"/>
          <w:numId w:val="19"/>
        </w:numPr>
      </w:pPr>
      <w:r>
        <w:t>The licensee need only ask the consumer for their estimate of the future costs. The licensee does not need to form its own view.</w:t>
      </w:r>
    </w:p>
    <w:p w14:paraId="0D67D33E" w14:textId="53DA9A63" w:rsidR="009378D9" w:rsidRDefault="007D606A" w:rsidP="007D606A">
      <w:pPr>
        <w:pStyle w:val="base-text-paragraph"/>
        <w:numPr>
          <w:ilvl w:val="1"/>
          <w:numId w:val="19"/>
        </w:numPr>
      </w:pPr>
      <w:r>
        <w:t xml:space="preserve">As with the existing equity projections requirement, a </w:t>
      </w:r>
      <w:r w:rsidR="007A5561">
        <w:t>maximum civil penalty of 5</w:t>
      </w:r>
      <w:r w:rsidR="00F42CCC">
        <w:t>,</w:t>
      </w:r>
      <w:r w:rsidR="007A5561">
        <w:t>000 penalty units applies</w:t>
      </w:r>
      <w:r w:rsidR="00881F08">
        <w:t xml:space="preserve"> for a failure to comply</w:t>
      </w:r>
      <w:r w:rsidR="007A5561">
        <w:t>. F</w:t>
      </w:r>
      <w:r>
        <w:t>ail</w:t>
      </w:r>
      <w:r w:rsidR="00F75070">
        <w:t>ure to comply is a</w:t>
      </w:r>
      <w:r w:rsidR="007A5561">
        <w:t>lso a</w:t>
      </w:r>
      <w:r w:rsidR="00F75070">
        <w:t>n offence punishable by</w:t>
      </w:r>
      <w:r>
        <w:t xml:space="preserve"> a maximum penalty of 50</w:t>
      </w:r>
      <w:r w:rsidR="004037CC">
        <w:t> </w:t>
      </w:r>
      <w:r>
        <w:t>penalty units</w:t>
      </w:r>
      <w:r w:rsidR="00F75070">
        <w:t>.</w:t>
      </w:r>
    </w:p>
    <w:p w14:paraId="51E6BFDE" w14:textId="31FAF3B6" w:rsidR="00881F08" w:rsidRDefault="009378D9" w:rsidP="009378D9">
      <w:pPr>
        <w:pStyle w:val="ExampleHeading"/>
        <w:numPr>
          <w:ilvl w:val="0"/>
          <w:numId w:val="0"/>
        </w:numPr>
        <w:ind w:left="1134"/>
      </w:pPr>
      <w:r>
        <w:t>Example</w:t>
      </w:r>
      <w:r w:rsidR="00F75070">
        <w:t xml:space="preserve"> </w:t>
      </w:r>
    </w:p>
    <w:p w14:paraId="4904D742" w14:textId="086890D5" w:rsidR="00881F08" w:rsidRDefault="00881F08" w:rsidP="009378D9">
      <w:pPr>
        <w:pStyle w:val="exampletext"/>
      </w:pPr>
      <w:r>
        <w:t>Bob enters a reverse mortgage at 60. His broker asks him how much he expects his future aged care accommodation costs will be. Bob estimates these will amount to approximately $30,000.</w:t>
      </w:r>
    </w:p>
    <w:p w14:paraId="20A8F6C2" w14:textId="77777777" w:rsidR="00881F08" w:rsidRDefault="00881F08" w:rsidP="009378D9">
      <w:pPr>
        <w:pStyle w:val="exampletext"/>
      </w:pPr>
      <w:r>
        <w:t xml:space="preserve">The broker provides an equity projection which indicates at the time the reverse mortgage is discharged Bob can expect $50,000 in equity left in his home. </w:t>
      </w:r>
    </w:p>
    <w:p w14:paraId="454CB7C0" w14:textId="771E8CD8" w:rsidR="003149A4" w:rsidRPr="00275B0D" w:rsidRDefault="00881F08" w:rsidP="00275B0D">
      <w:pPr>
        <w:pStyle w:val="exampletext"/>
      </w:pPr>
      <w:r>
        <w:t>Bob’s broker provides the information to Bob regarding (</w:t>
      </w:r>
      <w:proofErr w:type="spellStart"/>
      <w:r>
        <w:t>i</w:t>
      </w:r>
      <w:proofErr w:type="spellEnd"/>
      <w:r>
        <w:t>) the estimated equity remaining after the reverse mortgage has been discharged and (ii) Bob’s estimated cost of aged care in a manner that allows Bob to appreciate how the equity expected to be left in his home may impact his ability to afford aged care.</w:t>
      </w:r>
      <w:r w:rsidR="006A18BF">
        <w:t xml:space="preserve">  </w:t>
      </w:r>
    </w:p>
    <w:p w14:paraId="7B26FA39" w14:textId="0BE46127" w:rsidR="008D4DED" w:rsidRPr="008D4DED" w:rsidRDefault="008D4DED" w:rsidP="008D4351">
      <w:pPr>
        <w:pStyle w:val="Heading3"/>
      </w:pPr>
      <w:r w:rsidRPr="008D4DED">
        <w:lastRenderedPageBreak/>
        <w:t>Miscellaneous rules</w:t>
      </w:r>
    </w:p>
    <w:p w14:paraId="6DE38CF4" w14:textId="4E23CC1D" w:rsidR="00646FD1" w:rsidRPr="003B4F54" w:rsidRDefault="008D4DED" w:rsidP="001149CE">
      <w:pPr>
        <w:pStyle w:val="base-text-paragraph"/>
        <w:numPr>
          <w:ilvl w:val="1"/>
          <w:numId w:val="19"/>
        </w:numPr>
        <w:rPr>
          <w:rStyle w:val="Referencingstyle"/>
          <w:b w:val="0"/>
          <w:i w:val="0"/>
          <w:sz w:val="22"/>
        </w:rPr>
      </w:pPr>
      <w:r w:rsidRPr="00236F77">
        <w:t>Division</w:t>
      </w:r>
      <w:r w:rsidRPr="009B3F05">
        <w:t xml:space="preserve"> 5</w:t>
      </w:r>
      <w:r w:rsidR="002976D0">
        <w:t xml:space="preserve"> </w:t>
      </w:r>
      <w:r w:rsidR="00140E2E" w:rsidRPr="009B3F05">
        <w:t>of</w:t>
      </w:r>
      <w:r w:rsidR="00140E2E">
        <w:t xml:space="preserve"> Part 3-6A</w:t>
      </w:r>
      <w:r w:rsidR="00823E43">
        <w:t>, about the p</w:t>
      </w:r>
      <w:r>
        <w:t>eriods for determining unsuitability in respect of credit card</w:t>
      </w:r>
      <w:r w:rsidR="00823E43">
        <w:t>,</w:t>
      </w:r>
      <w:r w:rsidR="00A621A1">
        <w:t xml:space="preserve"> is repealed.</w:t>
      </w:r>
      <w:r w:rsidR="00823E43">
        <w:t xml:space="preserve"> This Division is redundant because unsuitability assessments no longer apply for credit card contracts.</w:t>
      </w:r>
      <w:r w:rsidR="00DC0694">
        <w:t xml:space="preserve"> </w:t>
      </w:r>
      <w:r w:rsidR="00646FD1" w:rsidRPr="00E155F7">
        <w:rPr>
          <w:rStyle w:val="Referencingstyle"/>
        </w:rPr>
        <w:t xml:space="preserve">[Schedule </w:t>
      </w:r>
      <w:r w:rsidR="00823E43">
        <w:rPr>
          <w:rStyle w:val="Referencingstyle"/>
        </w:rPr>
        <w:t>1</w:t>
      </w:r>
      <w:r w:rsidR="00814022">
        <w:rPr>
          <w:rStyle w:val="Referencingstyle"/>
        </w:rPr>
        <w:t>, item 69</w:t>
      </w:r>
      <w:r w:rsidR="00646FD1" w:rsidRPr="00E155F7">
        <w:rPr>
          <w:rStyle w:val="Referencingstyle"/>
        </w:rPr>
        <w:t>, Division 5 of Part 3-6A]</w:t>
      </w:r>
    </w:p>
    <w:p w14:paraId="4808DC29" w14:textId="39ED9757" w:rsidR="005E455C" w:rsidRPr="003B4F54" w:rsidRDefault="000C0E83" w:rsidP="003F2090">
      <w:pPr>
        <w:pStyle w:val="Heading3"/>
        <w:rPr>
          <w:rStyle w:val="Referencingstyle"/>
          <w:rFonts w:ascii="Times New Roman" w:hAnsi="Times New Roman"/>
          <w:b/>
          <w:i w:val="0"/>
          <w:sz w:val="22"/>
        </w:rPr>
      </w:pPr>
      <w:r>
        <w:rPr>
          <w:rStyle w:val="Referencingstyle"/>
          <w:b/>
          <w:i w:val="0"/>
          <w:sz w:val="22"/>
        </w:rPr>
        <w:t>Non</w:t>
      </w:r>
      <w:r>
        <w:rPr>
          <w:rStyle w:val="Referencingstyle"/>
          <w:b/>
          <w:i w:val="0"/>
          <w:sz w:val="22"/>
        </w:rPr>
        <w:noBreakHyphen/>
        <w:t>ADI credit standards</w:t>
      </w:r>
    </w:p>
    <w:p w14:paraId="577DC92C" w14:textId="73456D19" w:rsidR="005E455C" w:rsidRPr="003B4F54" w:rsidRDefault="005E455C" w:rsidP="003B4F54">
      <w:pPr>
        <w:pStyle w:val="base-text-paragraph"/>
        <w:numPr>
          <w:ilvl w:val="1"/>
          <w:numId w:val="19"/>
        </w:numPr>
        <w:rPr>
          <w:rStyle w:val="Referencingstyle"/>
          <w:b w:val="0"/>
          <w:i w:val="0"/>
          <w:sz w:val="22"/>
        </w:rPr>
      </w:pPr>
      <w:r>
        <w:rPr>
          <w:rStyle w:val="Referencingstyle"/>
          <w:b w:val="0"/>
          <w:i w:val="0"/>
          <w:sz w:val="22"/>
        </w:rPr>
        <w:t xml:space="preserve">The </w:t>
      </w:r>
      <w:r>
        <w:t xml:space="preserve">Minister is able to make </w:t>
      </w:r>
      <w:r w:rsidRPr="007A7D58">
        <w:rPr>
          <w:b/>
          <w:i/>
        </w:rPr>
        <w:t>non-ADI credit standards</w:t>
      </w:r>
      <w:r>
        <w:t xml:space="preserve">, by way of legislative instrument, specifying requirements for a credit licensee’s systems, policies and processes </w:t>
      </w:r>
      <w:r w:rsidR="00D0440C">
        <w:t>which relate to</w:t>
      </w:r>
      <w:r>
        <w:t xml:space="preserve"> certain</w:t>
      </w:r>
      <w:r w:rsidRPr="007A7D58">
        <w:rPr>
          <w:b/>
        </w:rPr>
        <w:t xml:space="preserve"> </w:t>
      </w:r>
      <w:r w:rsidRPr="00197145">
        <w:t xml:space="preserve">non-ADI credit </w:t>
      </w:r>
      <w:r>
        <w:t>conduct</w:t>
      </w:r>
      <w:r w:rsidRPr="00197145">
        <w:t>.</w:t>
      </w:r>
      <w:r w:rsidRPr="007A7D58">
        <w:rPr>
          <w:b/>
        </w:rPr>
        <w:t xml:space="preserve"> </w:t>
      </w:r>
      <w:r w:rsidRPr="00683BE1">
        <w:rPr>
          <w:rStyle w:val="Referencingstyle"/>
        </w:rPr>
        <w:t xml:space="preserve">[Schedule </w:t>
      </w:r>
      <w:r w:rsidR="00912A15">
        <w:rPr>
          <w:rStyle w:val="Referencingstyle"/>
        </w:rPr>
        <w:t>1</w:t>
      </w:r>
      <w:r w:rsidRPr="00683BE1">
        <w:rPr>
          <w:rStyle w:val="Referencingstyle"/>
        </w:rPr>
        <w:t>, item</w:t>
      </w:r>
      <w:r>
        <w:rPr>
          <w:rStyle w:val="Referencingstyle"/>
        </w:rPr>
        <w:t>s</w:t>
      </w:r>
      <w:r w:rsidRPr="00683BE1">
        <w:rPr>
          <w:rStyle w:val="Referencingstyle"/>
        </w:rPr>
        <w:t xml:space="preserve"> </w:t>
      </w:r>
      <w:r>
        <w:rPr>
          <w:rStyle w:val="Referencingstyle"/>
        </w:rPr>
        <w:t xml:space="preserve">1 and </w:t>
      </w:r>
      <w:r w:rsidR="00E200FF">
        <w:rPr>
          <w:rStyle w:val="Referencingstyle"/>
        </w:rPr>
        <w:t>62</w:t>
      </w:r>
      <w:r w:rsidRPr="00683BE1">
        <w:rPr>
          <w:rStyle w:val="Referencingstyle"/>
        </w:rPr>
        <w:t xml:space="preserve">, </w:t>
      </w:r>
      <w:r>
        <w:rPr>
          <w:rStyle w:val="Referencingstyle"/>
        </w:rPr>
        <w:t>definition of ‘non</w:t>
      </w:r>
      <w:r>
        <w:rPr>
          <w:rStyle w:val="Referencingstyle"/>
        </w:rPr>
        <w:noBreakHyphen/>
        <w:t>ADI credit standard’ in section</w:t>
      </w:r>
      <w:r w:rsidR="00B33556">
        <w:rPr>
          <w:rStyle w:val="Referencingstyle"/>
        </w:rPr>
        <w:t>s</w:t>
      </w:r>
      <w:r>
        <w:rPr>
          <w:rStyle w:val="Referencingstyle"/>
        </w:rPr>
        <w:t xml:space="preserve"> 5(1), and</w:t>
      </w:r>
      <w:r w:rsidR="00B33556">
        <w:rPr>
          <w:rStyle w:val="Referencingstyle"/>
        </w:rPr>
        <w:t xml:space="preserve"> </w:t>
      </w:r>
      <w:r>
        <w:rPr>
          <w:rStyle w:val="Referencingstyle"/>
        </w:rPr>
        <w:t>133</w:t>
      </w:r>
      <w:r w:rsidR="00DD0A51">
        <w:rPr>
          <w:rStyle w:val="Referencingstyle"/>
        </w:rPr>
        <w:t>E</w:t>
      </w:r>
      <w:r>
        <w:rPr>
          <w:rStyle w:val="Referencingstyle"/>
        </w:rPr>
        <w:t>A(1)</w:t>
      </w:r>
      <w:r w:rsidRPr="00683BE1">
        <w:rPr>
          <w:rStyle w:val="Referencingstyle"/>
        </w:rPr>
        <w:t>]</w:t>
      </w:r>
    </w:p>
    <w:p w14:paraId="401CD26B" w14:textId="79AF0572" w:rsidR="005E455C" w:rsidRDefault="00C122CA" w:rsidP="005E455C">
      <w:pPr>
        <w:pStyle w:val="base-text-paragraph"/>
        <w:numPr>
          <w:ilvl w:val="1"/>
          <w:numId w:val="19"/>
        </w:numPr>
      </w:pPr>
      <w:r>
        <w:t xml:space="preserve">These standards </w:t>
      </w:r>
      <w:r w:rsidR="00A97783">
        <w:t>will</w:t>
      </w:r>
      <w:r>
        <w:t xml:space="preserve"> require licensees to implement adequate systems, policies and processes relating to non</w:t>
      </w:r>
      <w:r>
        <w:noBreakHyphen/>
        <w:t xml:space="preserve">ADI credit </w:t>
      </w:r>
      <w:r w:rsidR="00737652">
        <w:t>conduct</w:t>
      </w:r>
      <w:r>
        <w:t xml:space="preserve"> rather than impose individual conduct</w:t>
      </w:r>
      <w:r>
        <w:noBreakHyphen/>
        <w:t xml:space="preserve">level obligations. </w:t>
      </w:r>
      <w:r w:rsidR="005702C7">
        <w:t xml:space="preserve">This </w:t>
      </w:r>
      <w:r w:rsidR="005702C7" w:rsidRPr="00415397">
        <w:t>enables credit assessment t</w:t>
      </w:r>
      <w:r w:rsidR="005702C7">
        <w:t xml:space="preserve">o move away from a prescriptive framework for lenders and borrowers </w:t>
      </w:r>
      <w:r w:rsidR="005702C7" w:rsidDel="00F66BDA">
        <w:t>and will support risk-based lending</w:t>
      </w:r>
      <w:r w:rsidR="005702C7">
        <w:t xml:space="preserve"> that is attuned to the needs and circumstances of the borrower and credit product.</w:t>
      </w:r>
      <w:r w:rsidR="003F4F39">
        <w:t xml:space="preserve"> These standards are appropriately adopted from the APRA standards to maximise alignment between the ADI and non-ADI regimes.</w:t>
      </w:r>
    </w:p>
    <w:p w14:paraId="2B18C96A" w14:textId="689CCF48" w:rsidR="000C0E83" w:rsidRDefault="000C0E83" w:rsidP="005E455C">
      <w:pPr>
        <w:pStyle w:val="base-text-paragraph"/>
        <w:numPr>
          <w:ilvl w:val="1"/>
          <w:numId w:val="19"/>
        </w:numPr>
      </w:pPr>
      <w:r>
        <w:t>Additionally, these standards may require a licensee to give a document to a consumer. This will enable a standard to require a licensee to give a copy of an assessment prescribed by the standard to a consumer.</w:t>
      </w:r>
    </w:p>
    <w:p w14:paraId="338E6041" w14:textId="012F8988" w:rsidR="005E455C" w:rsidRDefault="00536C32" w:rsidP="005E455C">
      <w:pPr>
        <w:pStyle w:val="base-text-paragraph"/>
        <w:numPr>
          <w:ilvl w:val="1"/>
          <w:numId w:val="19"/>
        </w:numPr>
      </w:pPr>
      <w:r>
        <w:t>Non</w:t>
      </w:r>
      <w:r>
        <w:noBreakHyphen/>
        <w:t xml:space="preserve">ADI credit conduct relates to credit contracts where the contract is not a </w:t>
      </w:r>
      <w:r w:rsidR="00BE3B27">
        <w:t>SACC</w:t>
      </w:r>
      <w:r>
        <w:t xml:space="preserve"> and the credit provider is not an ADI. In relation to these contracts, </w:t>
      </w:r>
      <w:r w:rsidR="005E455C" w:rsidRPr="00E22CB5">
        <w:rPr>
          <w:b/>
          <w:i/>
        </w:rPr>
        <w:t>non-ADI credit conduct</w:t>
      </w:r>
      <w:r w:rsidR="005E455C">
        <w:t xml:space="preserve"> is:</w:t>
      </w:r>
    </w:p>
    <w:p w14:paraId="780F5EF3" w14:textId="60DC5643" w:rsidR="005E455C" w:rsidRDefault="00536C32" w:rsidP="004479D4">
      <w:pPr>
        <w:pStyle w:val="dotpoint"/>
        <w:numPr>
          <w:ilvl w:val="0"/>
          <w:numId w:val="22"/>
        </w:numPr>
      </w:pPr>
      <w:r>
        <w:t>a</w:t>
      </w:r>
      <w:r w:rsidR="005E455C">
        <w:t xml:space="preserve"> licensee entering a credit contract with a consumer where the consumer will be the debtor under the contract;</w:t>
      </w:r>
    </w:p>
    <w:p w14:paraId="00BA791B" w14:textId="34A6A28C" w:rsidR="005E455C" w:rsidRDefault="0034475E" w:rsidP="004479D4">
      <w:pPr>
        <w:pStyle w:val="dotpoint"/>
        <w:numPr>
          <w:ilvl w:val="0"/>
          <w:numId w:val="22"/>
        </w:numPr>
      </w:pPr>
      <w:r>
        <w:t>a</w:t>
      </w:r>
      <w:r w:rsidR="005E455C">
        <w:t xml:space="preserve"> licensee unconditionally representing to a consumer that they believe the consumer </w:t>
      </w:r>
      <w:r w:rsidR="00802EDF">
        <w:t>is eligible</w:t>
      </w:r>
      <w:r w:rsidR="005E455C">
        <w:t xml:space="preserve"> enter into a </w:t>
      </w:r>
      <w:r w:rsidR="00536C32">
        <w:t xml:space="preserve">credit </w:t>
      </w:r>
      <w:r w:rsidR="005E455C">
        <w:t>contract with the licensee;</w:t>
      </w:r>
    </w:p>
    <w:p w14:paraId="0CC4B8C9" w14:textId="3CB615F5" w:rsidR="005E455C" w:rsidRDefault="00802EDF" w:rsidP="004479D4">
      <w:pPr>
        <w:pStyle w:val="dotpoint"/>
        <w:numPr>
          <w:ilvl w:val="0"/>
          <w:numId w:val="22"/>
        </w:numPr>
      </w:pPr>
      <w:r>
        <w:t>w</w:t>
      </w:r>
      <w:r w:rsidR="005E455C">
        <w:t>here a consumer is a debtor under the credit contract, a licensee increases the credit limit of that contract; or</w:t>
      </w:r>
    </w:p>
    <w:p w14:paraId="71F19E6E" w14:textId="1A11D776" w:rsidR="005E455C" w:rsidRPr="00BC7539" w:rsidRDefault="00802EDF" w:rsidP="004479D4">
      <w:pPr>
        <w:pStyle w:val="dotpoint"/>
        <w:numPr>
          <w:ilvl w:val="0"/>
          <w:numId w:val="22"/>
        </w:numPr>
        <w:rPr>
          <w:rStyle w:val="Referencingstyle"/>
          <w:b w:val="0"/>
          <w:i w:val="0"/>
          <w:sz w:val="22"/>
        </w:rPr>
      </w:pPr>
      <w:proofErr w:type="gramStart"/>
      <w:r>
        <w:t>a</w:t>
      </w:r>
      <w:proofErr w:type="gramEnd"/>
      <w:r w:rsidR="005E455C">
        <w:t xml:space="preserve"> licensee unconditionally representing to a consumer under a </w:t>
      </w:r>
      <w:r>
        <w:t xml:space="preserve">credit </w:t>
      </w:r>
      <w:r w:rsidR="005E455C">
        <w:t xml:space="preserve">contract that the credit limit can be increased. </w:t>
      </w:r>
      <w:r w:rsidR="005E455C">
        <w:rPr>
          <w:rStyle w:val="Referencingstyle"/>
        </w:rPr>
        <w:t xml:space="preserve">[Schedule </w:t>
      </w:r>
      <w:r w:rsidR="002E0DA1">
        <w:rPr>
          <w:rStyle w:val="Referencingstyle"/>
        </w:rPr>
        <w:t>1</w:t>
      </w:r>
      <w:r w:rsidR="005E455C">
        <w:rPr>
          <w:rStyle w:val="Referencingstyle"/>
        </w:rPr>
        <w:t>, i</w:t>
      </w:r>
      <w:r w:rsidR="005E455C" w:rsidRPr="00375F1D">
        <w:rPr>
          <w:rStyle w:val="Referencingstyle"/>
        </w:rPr>
        <w:t>tem</w:t>
      </w:r>
      <w:r w:rsidR="005E455C">
        <w:rPr>
          <w:rStyle w:val="Referencingstyle"/>
        </w:rPr>
        <w:t xml:space="preserve"> </w:t>
      </w:r>
      <w:r w:rsidR="00E200FF">
        <w:rPr>
          <w:rStyle w:val="Referencingstyle"/>
        </w:rPr>
        <w:t>62</w:t>
      </w:r>
      <w:r w:rsidR="005E455C">
        <w:rPr>
          <w:rStyle w:val="Referencingstyle"/>
        </w:rPr>
        <w:t>, definition of ‘non</w:t>
      </w:r>
      <w:r w:rsidR="005E455C">
        <w:rPr>
          <w:rStyle w:val="Referencingstyle"/>
        </w:rPr>
        <w:noBreakHyphen/>
        <w:t>ADI credit conduct’ in section</w:t>
      </w:r>
      <w:r w:rsidR="00514D25">
        <w:rPr>
          <w:rStyle w:val="Referencingstyle"/>
        </w:rPr>
        <w:t>s</w:t>
      </w:r>
      <w:r w:rsidR="005E455C">
        <w:rPr>
          <w:rStyle w:val="Referencingstyle"/>
        </w:rPr>
        <w:t xml:space="preserve"> 5(1) </w:t>
      </w:r>
      <w:r w:rsidR="00514D25">
        <w:rPr>
          <w:rStyle w:val="Referencingstyle"/>
        </w:rPr>
        <w:t>and</w:t>
      </w:r>
      <w:r w:rsidR="005E455C">
        <w:rPr>
          <w:rStyle w:val="Referencingstyle"/>
        </w:rPr>
        <w:t xml:space="preserve"> 133</w:t>
      </w:r>
      <w:r w:rsidR="00935CED">
        <w:rPr>
          <w:rStyle w:val="Referencingstyle"/>
        </w:rPr>
        <w:t>E</w:t>
      </w:r>
      <w:r w:rsidR="005E455C">
        <w:rPr>
          <w:rStyle w:val="Referencingstyle"/>
        </w:rPr>
        <w:t xml:space="preserve">A(5) </w:t>
      </w:r>
      <w:r w:rsidR="00C82996">
        <w:rPr>
          <w:rStyle w:val="Referencingstyle"/>
        </w:rPr>
        <w:t>and (6)</w:t>
      </w:r>
      <w:r w:rsidR="005E455C" w:rsidRPr="00375F1D">
        <w:rPr>
          <w:rStyle w:val="Referencingstyle"/>
        </w:rPr>
        <w:t>]</w:t>
      </w:r>
    </w:p>
    <w:p w14:paraId="4DF72F5D" w14:textId="06312647" w:rsidR="005E455C" w:rsidRPr="00CE04F3" w:rsidRDefault="005E455C" w:rsidP="003B4F54">
      <w:pPr>
        <w:pStyle w:val="base-text-paragraph"/>
        <w:numPr>
          <w:ilvl w:val="1"/>
          <w:numId w:val="19"/>
        </w:numPr>
        <w:rPr>
          <w:rStyle w:val="Referencingstyle"/>
          <w:b w:val="0"/>
          <w:i w:val="0"/>
          <w:sz w:val="22"/>
        </w:rPr>
      </w:pPr>
      <w:r>
        <w:t xml:space="preserve">The non-ADI credit standards can specify that a licensee is required to provide a consumer a copy of documents at a particular time and </w:t>
      </w:r>
      <w:r w:rsidR="00A97783">
        <w:t xml:space="preserve">in a particular </w:t>
      </w:r>
      <w:r>
        <w:t xml:space="preserve">manner. </w:t>
      </w:r>
      <w:r>
        <w:rPr>
          <w:rStyle w:val="Referencingstyle"/>
        </w:rPr>
        <w:t xml:space="preserve">[Schedule </w:t>
      </w:r>
      <w:r w:rsidR="00E200FF">
        <w:rPr>
          <w:rStyle w:val="Referencingstyle"/>
        </w:rPr>
        <w:t>1</w:t>
      </w:r>
      <w:r>
        <w:rPr>
          <w:rStyle w:val="Referencingstyle"/>
        </w:rPr>
        <w:t>, i</w:t>
      </w:r>
      <w:r w:rsidRPr="00375F1D">
        <w:rPr>
          <w:rStyle w:val="Referencingstyle"/>
        </w:rPr>
        <w:t xml:space="preserve">tem </w:t>
      </w:r>
      <w:r w:rsidR="00E200FF">
        <w:rPr>
          <w:rStyle w:val="Referencingstyle"/>
        </w:rPr>
        <w:t>62</w:t>
      </w:r>
      <w:r w:rsidR="00ED4D21">
        <w:rPr>
          <w:rStyle w:val="Referencingstyle"/>
        </w:rPr>
        <w:t>, section</w:t>
      </w:r>
      <w:r w:rsidRPr="00375F1D">
        <w:rPr>
          <w:rStyle w:val="Referencingstyle"/>
        </w:rPr>
        <w:t xml:space="preserve"> </w:t>
      </w:r>
      <w:r w:rsidR="00AC2CC4">
        <w:rPr>
          <w:rStyle w:val="Referencingstyle"/>
        </w:rPr>
        <w:t>133</w:t>
      </w:r>
      <w:r w:rsidR="00935CED">
        <w:rPr>
          <w:rStyle w:val="Referencingstyle"/>
        </w:rPr>
        <w:t>E</w:t>
      </w:r>
      <w:r w:rsidR="00AC2CC4">
        <w:rPr>
          <w:rStyle w:val="Referencingstyle"/>
        </w:rPr>
        <w:t>A</w:t>
      </w:r>
      <w:r w:rsidR="00ED4D21">
        <w:rPr>
          <w:rStyle w:val="Referencingstyle"/>
        </w:rPr>
        <w:t>(2)</w:t>
      </w:r>
      <w:r w:rsidRPr="00375F1D">
        <w:rPr>
          <w:rStyle w:val="Referencingstyle"/>
        </w:rPr>
        <w:t>]</w:t>
      </w:r>
    </w:p>
    <w:p w14:paraId="52D5879B" w14:textId="592F4681" w:rsidR="002B16CF" w:rsidRDefault="002B16CF" w:rsidP="002B16CF">
      <w:pPr>
        <w:pStyle w:val="Heading4"/>
      </w:pPr>
      <w:r>
        <w:lastRenderedPageBreak/>
        <w:t>Obligation</w:t>
      </w:r>
      <w:r w:rsidR="000C0E83">
        <w:t>s</w:t>
      </w:r>
      <w:r>
        <w:t xml:space="preserve"> to </w:t>
      </w:r>
      <w:r w:rsidR="000C0E83">
        <w:t>establish, maintain and implement</w:t>
      </w:r>
      <w:r>
        <w:t xml:space="preserve"> the systems, policies and processes required by the non-ADI credit standards</w:t>
      </w:r>
    </w:p>
    <w:p w14:paraId="176667C1" w14:textId="5B29B7A4" w:rsidR="002B16CF" w:rsidRDefault="002B16CF" w:rsidP="002B16CF">
      <w:pPr>
        <w:pStyle w:val="base-text-paragraph"/>
        <w:numPr>
          <w:ilvl w:val="1"/>
          <w:numId w:val="19"/>
        </w:numPr>
        <w:rPr>
          <w:rStyle w:val="Referencingstyle"/>
          <w:b w:val="0"/>
          <w:i w:val="0"/>
          <w:sz w:val="22"/>
        </w:rPr>
      </w:pPr>
      <w:r>
        <w:rPr>
          <w:szCs w:val="22"/>
        </w:rPr>
        <w:t xml:space="preserve">A licensee is prohibited from </w:t>
      </w:r>
      <w:r>
        <w:t>engaging in non</w:t>
      </w:r>
      <w:r>
        <w:noBreakHyphen/>
        <w:t xml:space="preserve">ADI credit conduct </w:t>
      </w:r>
      <w:r w:rsidR="00C82996">
        <w:t xml:space="preserve">unless </w:t>
      </w:r>
      <w:r>
        <w:t>the system</w:t>
      </w:r>
      <w:r w:rsidR="00C82996">
        <w:t>s</w:t>
      </w:r>
      <w:r>
        <w:t>, policies and processes applicable to the conduct, as required by a non-ADI credit standard, are</w:t>
      </w:r>
      <w:r w:rsidR="00C82996">
        <w:t xml:space="preserve"> both</w:t>
      </w:r>
      <w:r>
        <w:t>:</w:t>
      </w:r>
    </w:p>
    <w:p w14:paraId="5E3460E9" w14:textId="6DFC00CE" w:rsidR="002B16CF" w:rsidRDefault="002B16CF" w:rsidP="003B4F54">
      <w:pPr>
        <w:pStyle w:val="dotpoint2"/>
        <w:numPr>
          <w:ilvl w:val="0"/>
          <w:numId w:val="6"/>
        </w:numPr>
      </w:pPr>
      <w:r>
        <w:t xml:space="preserve">established </w:t>
      </w:r>
      <w:r w:rsidR="00C82996">
        <w:t xml:space="preserve">and </w:t>
      </w:r>
      <w:r>
        <w:t xml:space="preserve">maintained to comply with the requirements in the standard; </w:t>
      </w:r>
      <w:r w:rsidR="00381ACE">
        <w:t>and</w:t>
      </w:r>
    </w:p>
    <w:p w14:paraId="366614B1" w14:textId="61597262" w:rsidR="002B16CF" w:rsidRPr="00211646" w:rsidRDefault="002B16CF" w:rsidP="002B16CF">
      <w:pPr>
        <w:pStyle w:val="base-text-paragraph"/>
        <w:numPr>
          <w:ilvl w:val="0"/>
          <w:numId w:val="6"/>
        </w:numPr>
      </w:pPr>
      <w:proofErr w:type="gramStart"/>
      <w:r>
        <w:t>document</w:t>
      </w:r>
      <w:r w:rsidR="00C82996">
        <w:t>ed</w:t>
      </w:r>
      <w:proofErr w:type="gramEnd"/>
      <w:r>
        <w:t xml:space="preserve"> in a written plan.</w:t>
      </w:r>
    </w:p>
    <w:p w14:paraId="5EF40B29" w14:textId="6FED5736" w:rsidR="005E455C" w:rsidRPr="003B4F54" w:rsidRDefault="007778C9" w:rsidP="003B4F54">
      <w:pPr>
        <w:pStyle w:val="base-text-paragraph"/>
        <w:numPr>
          <w:ilvl w:val="1"/>
          <w:numId w:val="19"/>
        </w:numPr>
      </w:pPr>
      <w:r>
        <w:t xml:space="preserve">A licensee </w:t>
      </w:r>
      <w:r w:rsidR="00381ACE">
        <w:t>failing to have met either of these requirements before engaging in an instance of non</w:t>
      </w:r>
      <w:r w:rsidR="00381ACE">
        <w:noBreakHyphen/>
        <w:t xml:space="preserve">ADI credit conduct </w:t>
      </w:r>
      <w:r>
        <w:t xml:space="preserve">will contravene a </w:t>
      </w:r>
      <w:r w:rsidR="005E455C">
        <w:t xml:space="preserve">civil </w:t>
      </w:r>
      <w:r w:rsidR="005E455C" w:rsidRPr="00EE3C75">
        <w:t xml:space="preserve">penalty </w:t>
      </w:r>
      <w:r w:rsidR="00E34FA7">
        <w:t xml:space="preserve">provision </w:t>
      </w:r>
      <w:r w:rsidR="00381ACE">
        <w:t xml:space="preserve">with </w:t>
      </w:r>
      <w:r w:rsidR="00E34FA7">
        <w:t xml:space="preserve">a maximum penalty </w:t>
      </w:r>
      <w:r w:rsidR="00E34FA7" w:rsidRPr="00EE3C75">
        <w:t>of 5</w:t>
      </w:r>
      <w:r w:rsidR="005A3253">
        <w:t>,</w:t>
      </w:r>
      <w:r w:rsidR="00E34FA7" w:rsidRPr="00EE3C75">
        <w:t>000 penalty</w:t>
      </w:r>
      <w:r w:rsidR="00E34FA7">
        <w:t xml:space="preserve"> units. </w:t>
      </w:r>
      <w:r w:rsidR="005E455C">
        <w:rPr>
          <w:rStyle w:val="Referencingstyle"/>
        </w:rPr>
        <w:t xml:space="preserve">[Schedule </w:t>
      </w:r>
      <w:r w:rsidR="002E0DA1">
        <w:rPr>
          <w:rStyle w:val="Referencingstyle"/>
        </w:rPr>
        <w:t>1</w:t>
      </w:r>
      <w:r w:rsidR="005E455C">
        <w:rPr>
          <w:rStyle w:val="Referencingstyle"/>
        </w:rPr>
        <w:t xml:space="preserve">, item </w:t>
      </w:r>
      <w:r w:rsidR="00E200FF">
        <w:rPr>
          <w:rStyle w:val="Referencingstyle"/>
        </w:rPr>
        <w:t>62</w:t>
      </w:r>
      <w:r w:rsidR="005E455C">
        <w:rPr>
          <w:rStyle w:val="Referencingstyle"/>
        </w:rPr>
        <w:t>, section 133</w:t>
      </w:r>
      <w:r w:rsidR="00935CED">
        <w:rPr>
          <w:rStyle w:val="Referencingstyle"/>
        </w:rPr>
        <w:t>E</w:t>
      </w:r>
      <w:r w:rsidR="005E455C">
        <w:rPr>
          <w:rStyle w:val="Referencingstyle"/>
        </w:rPr>
        <w:t>B</w:t>
      </w:r>
      <w:r w:rsidR="005E455C" w:rsidRPr="00375F1D">
        <w:rPr>
          <w:rStyle w:val="Referencingstyle"/>
        </w:rPr>
        <w:t>]</w:t>
      </w:r>
    </w:p>
    <w:p w14:paraId="65ED72A9" w14:textId="7FB5196B" w:rsidR="00386B36" w:rsidRDefault="005E455C" w:rsidP="00415397">
      <w:pPr>
        <w:pStyle w:val="base-text-paragraph"/>
        <w:numPr>
          <w:ilvl w:val="1"/>
          <w:numId w:val="19"/>
        </w:numPr>
      </w:pPr>
      <w:r>
        <w:t>This obligation is intended to ensure that prior to a licensee engaging in any non-ADI credit conduct covered by a standard, the licensee has established</w:t>
      </w:r>
      <w:r w:rsidR="009B2137">
        <w:t>, maintained</w:t>
      </w:r>
      <w:r>
        <w:t xml:space="preserve"> </w:t>
      </w:r>
      <w:r w:rsidR="00AC2CC4">
        <w:t xml:space="preserve">and documented </w:t>
      </w:r>
      <w:r>
        <w:t xml:space="preserve">the </w:t>
      </w:r>
      <w:r w:rsidRPr="00EE3C75">
        <w:t>systems, policies and processes</w:t>
      </w:r>
      <w:r w:rsidRPr="008F78E1">
        <w:t xml:space="preserve"> required</w:t>
      </w:r>
      <w:r w:rsidR="008129D1">
        <w:t xml:space="preserve"> by the relevant standard.</w:t>
      </w:r>
    </w:p>
    <w:p w14:paraId="217B5973" w14:textId="101DD569" w:rsidR="005C2FF7" w:rsidRDefault="005C2FF7" w:rsidP="005E455C">
      <w:pPr>
        <w:pStyle w:val="base-text-paragraph"/>
        <w:numPr>
          <w:ilvl w:val="1"/>
          <w:numId w:val="19"/>
        </w:numPr>
      </w:pPr>
      <w:r>
        <w:t>A licensee may fail to maintain systems, policies and processes in accordance with the standard if the licensee fails to make changes to those systems when the licensee has identified that those systems, policies and processes are not ensuring the outcomes required by the standard.</w:t>
      </w:r>
    </w:p>
    <w:p w14:paraId="15F89F96" w14:textId="2EE5AB5A" w:rsidR="005E455C" w:rsidRPr="00EE3C75" w:rsidRDefault="005E455C" w:rsidP="005E455C">
      <w:pPr>
        <w:pStyle w:val="base-text-paragraph"/>
        <w:numPr>
          <w:ilvl w:val="1"/>
          <w:numId w:val="19"/>
        </w:numPr>
        <w:rPr>
          <w:rStyle w:val="Referencingstyle"/>
          <w:b w:val="0"/>
          <w:i w:val="0"/>
          <w:sz w:val="22"/>
        </w:rPr>
      </w:pPr>
      <w:r>
        <w:t xml:space="preserve">Where the licensee fails to implement established and </w:t>
      </w:r>
      <w:r w:rsidRPr="00AD437C">
        <w:t>maintained systems, policies and processes</w:t>
      </w:r>
      <w:r>
        <w:t xml:space="preserve"> on a repeated basis, </w:t>
      </w:r>
      <w:r w:rsidR="007778C9">
        <w:t xml:space="preserve">the licensee will contravene </w:t>
      </w:r>
      <w:r>
        <w:t xml:space="preserve">a civil penalty </w:t>
      </w:r>
      <w:r w:rsidR="00E34FA7">
        <w:t xml:space="preserve">provision </w:t>
      </w:r>
      <w:r w:rsidR="007778C9">
        <w:t xml:space="preserve">with a maximum penalty </w:t>
      </w:r>
      <w:r>
        <w:t xml:space="preserve">of </w:t>
      </w:r>
      <w:r w:rsidRPr="00EE3C75">
        <w:t>5</w:t>
      </w:r>
      <w:r w:rsidR="00162A3E">
        <w:t>,</w:t>
      </w:r>
      <w:r w:rsidRPr="00EE3C75">
        <w:t>000 penalty units</w:t>
      </w:r>
      <w:r>
        <w:t xml:space="preserve">. </w:t>
      </w:r>
      <w:r>
        <w:rPr>
          <w:rStyle w:val="Referencingstyle"/>
        </w:rPr>
        <w:t xml:space="preserve">[Schedule </w:t>
      </w:r>
      <w:r w:rsidR="002E0DA1">
        <w:rPr>
          <w:rStyle w:val="Referencingstyle"/>
        </w:rPr>
        <w:t>1</w:t>
      </w:r>
      <w:r>
        <w:rPr>
          <w:rStyle w:val="Referencingstyle"/>
        </w:rPr>
        <w:t xml:space="preserve">, item </w:t>
      </w:r>
      <w:r w:rsidR="00E200FF">
        <w:rPr>
          <w:rStyle w:val="Referencingstyle"/>
        </w:rPr>
        <w:t>62</w:t>
      </w:r>
      <w:r>
        <w:rPr>
          <w:rStyle w:val="Referencingstyle"/>
        </w:rPr>
        <w:t>, section 133</w:t>
      </w:r>
      <w:r w:rsidR="00935CED">
        <w:rPr>
          <w:rStyle w:val="Referencingstyle"/>
        </w:rPr>
        <w:t>E</w:t>
      </w:r>
      <w:r>
        <w:rPr>
          <w:rStyle w:val="Referencingstyle"/>
        </w:rPr>
        <w:t>C</w:t>
      </w:r>
      <w:r w:rsidRPr="00375F1D">
        <w:rPr>
          <w:rStyle w:val="Referencingstyle"/>
        </w:rPr>
        <w:t>]</w:t>
      </w:r>
    </w:p>
    <w:p w14:paraId="65877783" w14:textId="4E945ED9" w:rsidR="005E455C" w:rsidRDefault="005E455C" w:rsidP="003B4F54">
      <w:pPr>
        <w:pStyle w:val="base-text-paragraph"/>
        <w:numPr>
          <w:ilvl w:val="1"/>
          <w:numId w:val="19"/>
        </w:numPr>
        <w:rPr>
          <w:rStyle w:val="Referencingstyle"/>
          <w:b w:val="0"/>
          <w:i w:val="0"/>
          <w:sz w:val="22"/>
        </w:rPr>
      </w:pPr>
      <w:r>
        <w:rPr>
          <w:rStyle w:val="Referencingstyle"/>
          <w:b w:val="0"/>
          <w:i w:val="0"/>
          <w:sz w:val="22"/>
        </w:rPr>
        <w:t xml:space="preserve">Each </w:t>
      </w:r>
      <w:r w:rsidR="008A4172">
        <w:rPr>
          <w:rStyle w:val="Referencingstyle"/>
          <w:b w:val="0"/>
          <w:i w:val="0"/>
          <w:sz w:val="22"/>
        </w:rPr>
        <w:t>time</w:t>
      </w:r>
      <w:r>
        <w:rPr>
          <w:rStyle w:val="Referencingstyle"/>
          <w:b w:val="0"/>
          <w:i w:val="0"/>
          <w:sz w:val="22"/>
        </w:rPr>
        <w:t xml:space="preserve"> </w:t>
      </w:r>
      <w:r w:rsidR="008A4172">
        <w:rPr>
          <w:rStyle w:val="Referencingstyle"/>
          <w:b w:val="0"/>
          <w:i w:val="0"/>
          <w:sz w:val="22"/>
        </w:rPr>
        <w:t xml:space="preserve">a licensee does not implement their </w:t>
      </w:r>
      <w:r>
        <w:rPr>
          <w:rStyle w:val="Referencingstyle"/>
          <w:b w:val="0"/>
          <w:i w:val="0"/>
          <w:sz w:val="22"/>
        </w:rPr>
        <w:t>systems, policies and processes</w:t>
      </w:r>
      <w:r w:rsidR="008A4172">
        <w:rPr>
          <w:rStyle w:val="Referencingstyle"/>
          <w:b w:val="0"/>
          <w:i w:val="0"/>
          <w:sz w:val="22"/>
        </w:rPr>
        <w:t xml:space="preserve"> in relation to non-ADI credit conduct</w:t>
      </w:r>
      <w:r>
        <w:rPr>
          <w:rStyle w:val="Referencingstyle"/>
          <w:b w:val="0"/>
          <w:i w:val="0"/>
          <w:sz w:val="22"/>
        </w:rPr>
        <w:t xml:space="preserve"> </w:t>
      </w:r>
      <w:r w:rsidR="008A4172">
        <w:rPr>
          <w:rStyle w:val="Referencingstyle"/>
          <w:b w:val="0"/>
          <w:i w:val="0"/>
          <w:sz w:val="22"/>
        </w:rPr>
        <w:t>is</w:t>
      </w:r>
      <w:r>
        <w:rPr>
          <w:rStyle w:val="Referencingstyle"/>
          <w:b w:val="0"/>
          <w:i w:val="0"/>
          <w:sz w:val="22"/>
        </w:rPr>
        <w:t xml:space="preserve"> considered a failure. Therefore, repeated failures can take place over a short period of time</w:t>
      </w:r>
      <w:r w:rsidR="007778C9">
        <w:rPr>
          <w:rStyle w:val="Referencingstyle"/>
          <w:b w:val="0"/>
          <w:i w:val="0"/>
          <w:sz w:val="22"/>
        </w:rPr>
        <w:t>,</w:t>
      </w:r>
      <w:r>
        <w:rPr>
          <w:rStyle w:val="Referencingstyle"/>
          <w:b w:val="0"/>
          <w:i w:val="0"/>
          <w:sz w:val="22"/>
        </w:rPr>
        <w:t xml:space="preserve"> including a single day</w:t>
      </w:r>
      <w:r w:rsidR="007778C9">
        <w:rPr>
          <w:rStyle w:val="Referencingstyle"/>
          <w:b w:val="0"/>
          <w:i w:val="0"/>
          <w:sz w:val="22"/>
        </w:rPr>
        <w:t>,</w:t>
      </w:r>
      <w:r>
        <w:rPr>
          <w:rStyle w:val="Referencingstyle"/>
          <w:b w:val="0"/>
          <w:i w:val="0"/>
          <w:sz w:val="22"/>
        </w:rPr>
        <w:t xml:space="preserve"> or over a longer period of time.</w:t>
      </w:r>
    </w:p>
    <w:p w14:paraId="7C763143" w14:textId="2C91E382" w:rsidR="005E6475" w:rsidRPr="005A5D5F" w:rsidRDefault="005E6475" w:rsidP="005E6475">
      <w:pPr>
        <w:pStyle w:val="base-text-paragraph"/>
        <w:numPr>
          <w:ilvl w:val="1"/>
          <w:numId w:val="19"/>
        </w:numPr>
        <w:rPr>
          <w:rStyle w:val="Referencingstyle"/>
          <w:b w:val="0"/>
          <w:i w:val="0"/>
          <w:sz w:val="22"/>
        </w:rPr>
      </w:pPr>
      <w:r>
        <w:rPr>
          <w:rStyle w:val="Referencingstyle"/>
          <w:b w:val="0"/>
          <w:i w:val="0"/>
          <w:sz w:val="22"/>
        </w:rPr>
        <w:t xml:space="preserve">The </w:t>
      </w:r>
      <w:r w:rsidR="000C7ABF">
        <w:rPr>
          <w:rStyle w:val="Referencingstyle"/>
          <w:b w:val="0"/>
          <w:i w:val="0"/>
          <w:sz w:val="22"/>
        </w:rPr>
        <w:t>expression</w:t>
      </w:r>
      <w:r>
        <w:rPr>
          <w:rStyle w:val="Referencingstyle"/>
          <w:b w:val="0"/>
          <w:i w:val="0"/>
          <w:sz w:val="22"/>
        </w:rPr>
        <w:t xml:space="preserve"> ‘systems, policies and processes’</w:t>
      </w:r>
      <w:r w:rsidR="000C7ABF">
        <w:rPr>
          <w:rStyle w:val="Referencingstyle"/>
          <w:b w:val="0"/>
          <w:i w:val="0"/>
          <w:sz w:val="22"/>
        </w:rPr>
        <w:t>, in this context,</w:t>
      </w:r>
      <w:r>
        <w:rPr>
          <w:rStyle w:val="Referencingstyle"/>
          <w:b w:val="0"/>
          <w:i w:val="0"/>
          <w:sz w:val="22"/>
        </w:rPr>
        <w:t xml:space="preserve"> is </w:t>
      </w:r>
      <w:r w:rsidR="000C7ABF">
        <w:rPr>
          <w:rStyle w:val="Referencingstyle"/>
          <w:b w:val="0"/>
          <w:i w:val="0"/>
          <w:sz w:val="22"/>
        </w:rPr>
        <w:t xml:space="preserve">intended </w:t>
      </w:r>
      <w:r>
        <w:rPr>
          <w:rStyle w:val="Referencingstyle"/>
          <w:b w:val="0"/>
          <w:i w:val="0"/>
          <w:sz w:val="22"/>
        </w:rPr>
        <w:t xml:space="preserve">to be a composite concept. Therefore, a licensee will contravene </w:t>
      </w:r>
      <w:r w:rsidR="000C7ABF">
        <w:rPr>
          <w:rStyle w:val="Referencingstyle"/>
          <w:b w:val="0"/>
          <w:i w:val="0"/>
          <w:sz w:val="22"/>
        </w:rPr>
        <w:t xml:space="preserve">an obligation under this framework </w:t>
      </w:r>
      <w:r>
        <w:rPr>
          <w:rStyle w:val="Referencingstyle"/>
          <w:b w:val="0"/>
          <w:i w:val="0"/>
          <w:sz w:val="22"/>
        </w:rPr>
        <w:t>if those things</w:t>
      </w:r>
      <w:r w:rsidR="006F10AD">
        <w:rPr>
          <w:rStyle w:val="Referencingstyle"/>
          <w:b w:val="0"/>
          <w:i w:val="0"/>
          <w:sz w:val="22"/>
        </w:rPr>
        <w:t>, when</w:t>
      </w:r>
      <w:r>
        <w:rPr>
          <w:rStyle w:val="Referencingstyle"/>
          <w:b w:val="0"/>
          <w:i w:val="0"/>
          <w:sz w:val="22"/>
        </w:rPr>
        <w:t xml:space="preserve"> considered together</w:t>
      </w:r>
      <w:r w:rsidR="006F10AD">
        <w:rPr>
          <w:rStyle w:val="Referencingstyle"/>
          <w:b w:val="0"/>
          <w:i w:val="0"/>
          <w:sz w:val="22"/>
        </w:rPr>
        <w:t>,</w:t>
      </w:r>
      <w:r>
        <w:rPr>
          <w:rStyle w:val="Referencingstyle"/>
          <w:b w:val="0"/>
          <w:i w:val="0"/>
          <w:sz w:val="22"/>
        </w:rPr>
        <w:t xml:space="preserve"> do not meet </w:t>
      </w:r>
      <w:r w:rsidR="006F10AD">
        <w:rPr>
          <w:rStyle w:val="Referencingstyle"/>
          <w:b w:val="0"/>
          <w:i w:val="0"/>
          <w:sz w:val="22"/>
        </w:rPr>
        <w:t xml:space="preserve">the </w:t>
      </w:r>
      <w:r>
        <w:rPr>
          <w:rStyle w:val="Referencingstyle"/>
          <w:b w:val="0"/>
          <w:i w:val="0"/>
          <w:sz w:val="22"/>
        </w:rPr>
        <w:t>requirements</w:t>
      </w:r>
      <w:r w:rsidR="006F10AD">
        <w:rPr>
          <w:rStyle w:val="Referencingstyle"/>
          <w:b w:val="0"/>
          <w:i w:val="0"/>
          <w:sz w:val="22"/>
        </w:rPr>
        <w:t xml:space="preserve"> set out in the standard</w:t>
      </w:r>
      <w:r>
        <w:rPr>
          <w:rStyle w:val="Referencingstyle"/>
          <w:b w:val="0"/>
          <w:i w:val="0"/>
          <w:sz w:val="22"/>
        </w:rPr>
        <w:t>.</w:t>
      </w:r>
    </w:p>
    <w:p w14:paraId="73D1B06A" w14:textId="6B4431AC" w:rsidR="001F4C82" w:rsidRPr="005A5D5F" w:rsidRDefault="001F4C82" w:rsidP="001F4C82">
      <w:pPr>
        <w:pStyle w:val="base-text-paragraph"/>
        <w:numPr>
          <w:ilvl w:val="1"/>
          <w:numId w:val="19"/>
        </w:numPr>
        <w:rPr>
          <w:rStyle w:val="Referencingstyle"/>
          <w:b w:val="0"/>
          <w:i w:val="0"/>
          <w:sz w:val="22"/>
        </w:rPr>
      </w:pPr>
      <w:r>
        <w:rPr>
          <w:rStyle w:val="Referencingstyle"/>
          <w:b w:val="0"/>
          <w:i w:val="0"/>
          <w:sz w:val="22"/>
        </w:rPr>
        <w:t>In cases where a failure to implement the</w:t>
      </w:r>
      <w:r w:rsidRPr="001F4C82">
        <w:rPr>
          <w:rStyle w:val="Referencingstyle"/>
          <w:b w:val="0"/>
          <w:i w:val="0"/>
          <w:sz w:val="22"/>
        </w:rPr>
        <w:t xml:space="preserve"> systems, policies and processes </w:t>
      </w:r>
      <w:r>
        <w:rPr>
          <w:rStyle w:val="Referencingstyle"/>
          <w:b w:val="0"/>
          <w:i w:val="0"/>
          <w:sz w:val="22"/>
        </w:rPr>
        <w:t>does not contravene the civil penalty provision, consumers will retain access to redress through other mechanisms, such as through the AFCA scheme.</w:t>
      </w:r>
    </w:p>
    <w:p w14:paraId="4955C6DB" w14:textId="5BC24F90" w:rsidR="008A4172" w:rsidRPr="00EE3C75" w:rsidRDefault="008A4172" w:rsidP="008A4172">
      <w:pPr>
        <w:pStyle w:val="base-text-paragraph"/>
        <w:numPr>
          <w:ilvl w:val="1"/>
          <w:numId w:val="19"/>
        </w:numPr>
      </w:pPr>
      <w:r>
        <w:t>Further, a</w:t>
      </w:r>
      <w:r w:rsidRPr="00EE3C75">
        <w:t xml:space="preserve"> licensee is required to retain a record of a written plan for </w:t>
      </w:r>
      <w:r w:rsidR="001C23FD">
        <w:t>seven</w:t>
      </w:r>
      <w:r w:rsidRPr="00EE3C75">
        <w:t xml:space="preserve"> years after the time that the written plan ceases to </w:t>
      </w:r>
      <w:r>
        <w:t>set out</w:t>
      </w:r>
      <w:r w:rsidRPr="00EE3C75">
        <w:t xml:space="preserve"> the current systems, policies and processes the licensee utilises. </w:t>
      </w:r>
      <w:r w:rsidR="007778C9">
        <w:t xml:space="preserve">A licensee will contravene a </w:t>
      </w:r>
      <w:r>
        <w:t xml:space="preserve">civil penalty </w:t>
      </w:r>
      <w:r w:rsidR="00E34FA7">
        <w:t xml:space="preserve">provision </w:t>
      </w:r>
      <w:r w:rsidR="007778C9">
        <w:t xml:space="preserve">with a maximum penalty </w:t>
      </w:r>
      <w:r>
        <w:t>of 5</w:t>
      </w:r>
      <w:r w:rsidR="003F2039">
        <w:t>,</w:t>
      </w:r>
      <w:r>
        <w:t xml:space="preserve">000 penalty units where the licensee does not keep the records for the </w:t>
      </w:r>
      <w:r>
        <w:lastRenderedPageBreak/>
        <w:t xml:space="preserve">written plan for </w:t>
      </w:r>
      <w:r w:rsidR="003F2039">
        <w:t>seven</w:t>
      </w:r>
      <w:r>
        <w:t xml:space="preserve"> years after the end of the period the plan applies to. </w:t>
      </w:r>
      <w:r>
        <w:rPr>
          <w:rStyle w:val="Referencingstyle"/>
        </w:rPr>
        <w:t xml:space="preserve">[Schedule </w:t>
      </w:r>
      <w:r w:rsidR="002E0DA1">
        <w:rPr>
          <w:rStyle w:val="Referencingstyle"/>
        </w:rPr>
        <w:t>1</w:t>
      </w:r>
      <w:r>
        <w:rPr>
          <w:rStyle w:val="Referencingstyle"/>
        </w:rPr>
        <w:t>, i</w:t>
      </w:r>
      <w:r w:rsidRPr="00375F1D">
        <w:rPr>
          <w:rStyle w:val="Referencingstyle"/>
        </w:rPr>
        <w:t xml:space="preserve">tem </w:t>
      </w:r>
      <w:r w:rsidR="00E200FF">
        <w:rPr>
          <w:rStyle w:val="Referencingstyle"/>
        </w:rPr>
        <w:t>62</w:t>
      </w:r>
      <w:r>
        <w:rPr>
          <w:rStyle w:val="Referencingstyle"/>
        </w:rPr>
        <w:t>, section 133</w:t>
      </w:r>
      <w:r w:rsidR="00935CED">
        <w:rPr>
          <w:rStyle w:val="Referencingstyle"/>
        </w:rPr>
        <w:t>E</w:t>
      </w:r>
      <w:r>
        <w:rPr>
          <w:rStyle w:val="Referencingstyle"/>
        </w:rPr>
        <w:t>B(2)</w:t>
      </w:r>
      <w:r w:rsidRPr="00375F1D">
        <w:rPr>
          <w:rStyle w:val="Referencingstyle"/>
        </w:rPr>
        <w:t>]</w:t>
      </w:r>
    </w:p>
    <w:p w14:paraId="4E5B8C5B" w14:textId="12D922BF" w:rsidR="008A4172" w:rsidRDefault="00C834A4" w:rsidP="008A4172">
      <w:pPr>
        <w:pStyle w:val="base-text-paragraph"/>
        <w:numPr>
          <w:ilvl w:val="1"/>
          <w:numId w:val="19"/>
        </w:numPr>
      </w:pPr>
      <w:r>
        <w:t>M</w:t>
      </w:r>
      <w:r w:rsidR="008A4172">
        <w:t>aintaining records</w:t>
      </w:r>
      <w:r w:rsidR="008A4172" w:rsidRPr="00EE3C75">
        <w:t xml:space="preserve"> </w:t>
      </w:r>
      <w:r w:rsidR="00FF5789">
        <w:t xml:space="preserve">of these written plans </w:t>
      </w:r>
      <w:r>
        <w:t xml:space="preserve">will </w:t>
      </w:r>
      <w:r w:rsidR="008A4172" w:rsidRPr="00EE3C75">
        <w:t>ensure that AFCA are able to access the relevant written plan documenting the systems, policies and processes implemented by a licensee when cons</w:t>
      </w:r>
      <w:r w:rsidR="008A4172">
        <w:t>idering a consumer’s complaint about the licensee or non-ADI credit conduct.</w:t>
      </w:r>
    </w:p>
    <w:p w14:paraId="72239313" w14:textId="77777777" w:rsidR="008A4172" w:rsidRPr="00EE3C75" w:rsidRDefault="008A4172" w:rsidP="008A4172">
      <w:pPr>
        <w:pStyle w:val="Heading4"/>
      </w:pPr>
      <w:r>
        <w:t>Obligation to provide consumers documents</w:t>
      </w:r>
    </w:p>
    <w:p w14:paraId="265013CA" w14:textId="297D7F26" w:rsidR="008A4172" w:rsidRPr="00EE3C75" w:rsidRDefault="008A4172" w:rsidP="008A4172">
      <w:pPr>
        <w:pStyle w:val="base-text-paragraph"/>
        <w:numPr>
          <w:ilvl w:val="1"/>
          <w:numId w:val="19"/>
        </w:numPr>
        <w:rPr>
          <w:rStyle w:val="Referencingstyle"/>
          <w:b w:val="0"/>
          <w:i w:val="0"/>
          <w:sz w:val="22"/>
        </w:rPr>
      </w:pPr>
      <w:r>
        <w:t xml:space="preserve">A licensee is required to give a consumer a copy of a document </w:t>
      </w:r>
      <w:r w:rsidR="002E397E">
        <w:t>at a specified time, if required by a non-ADI credit standard.</w:t>
      </w:r>
    </w:p>
    <w:p w14:paraId="32433CE4" w14:textId="38D260AB" w:rsidR="008A4172" w:rsidRDefault="008A4172" w:rsidP="008A4172">
      <w:pPr>
        <w:pStyle w:val="base-text-paragraph"/>
        <w:numPr>
          <w:ilvl w:val="1"/>
          <w:numId w:val="19"/>
        </w:numPr>
      </w:pPr>
      <w:r>
        <w:t>A civil penalty</w:t>
      </w:r>
      <w:r w:rsidR="00E34FA7">
        <w:t xml:space="preserve"> provision</w:t>
      </w:r>
      <w:r>
        <w:t xml:space="preserve"> </w:t>
      </w:r>
      <w:r w:rsidR="00E34FA7">
        <w:t xml:space="preserve">with a maximum penalty of </w:t>
      </w:r>
      <w:r>
        <w:t>5</w:t>
      </w:r>
      <w:r w:rsidR="00B56662">
        <w:t>,</w:t>
      </w:r>
      <w:r>
        <w:t xml:space="preserve">000 penalty units will apply if a standard requires the </w:t>
      </w:r>
      <w:r w:rsidR="002E397E">
        <w:t>licensee to provide a</w:t>
      </w:r>
      <w:r>
        <w:t xml:space="preserve"> copy of a document to a consumer at a particular time and the licensee does not give the consumer </w:t>
      </w:r>
      <w:r w:rsidR="007F092B">
        <w:t>the document</w:t>
      </w:r>
      <w:r w:rsidR="00B56662">
        <w:t xml:space="preserve"> within the specified timeframe</w:t>
      </w:r>
      <w:r>
        <w:t xml:space="preserve">. </w:t>
      </w:r>
      <w:r>
        <w:rPr>
          <w:rStyle w:val="Referencingstyle"/>
        </w:rPr>
        <w:t xml:space="preserve">[Schedule </w:t>
      </w:r>
      <w:r w:rsidR="00935CED">
        <w:rPr>
          <w:rStyle w:val="Referencingstyle"/>
        </w:rPr>
        <w:t>1</w:t>
      </w:r>
      <w:r>
        <w:rPr>
          <w:rStyle w:val="Referencingstyle"/>
        </w:rPr>
        <w:t>, i</w:t>
      </w:r>
      <w:r w:rsidRPr="00375F1D">
        <w:rPr>
          <w:rStyle w:val="Referencingstyle"/>
        </w:rPr>
        <w:t xml:space="preserve">tem </w:t>
      </w:r>
      <w:r w:rsidR="00E200FF">
        <w:rPr>
          <w:rStyle w:val="Referencingstyle"/>
        </w:rPr>
        <w:t>62</w:t>
      </w:r>
      <w:r>
        <w:rPr>
          <w:rStyle w:val="Referencingstyle"/>
        </w:rPr>
        <w:t>, section 133</w:t>
      </w:r>
      <w:r w:rsidR="00935CED">
        <w:rPr>
          <w:rStyle w:val="Referencingstyle"/>
        </w:rPr>
        <w:t>E</w:t>
      </w:r>
      <w:r>
        <w:rPr>
          <w:rStyle w:val="Referencingstyle"/>
        </w:rPr>
        <w:t>D(1)</w:t>
      </w:r>
      <w:r w:rsidRPr="00375F1D">
        <w:rPr>
          <w:rStyle w:val="Referencingstyle"/>
        </w:rPr>
        <w:t>]</w:t>
      </w:r>
      <w:r w:rsidRPr="00BD22E7">
        <w:t xml:space="preserve"> </w:t>
      </w:r>
    </w:p>
    <w:p w14:paraId="5B7E9820" w14:textId="25EFF051" w:rsidR="008A4172" w:rsidRDefault="008A4172" w:rsidP="008A4172">
      <w:pPr>
        <w:pStyle w:val="base-text-paragraph"/>
        <w:numPr>
          <w:ilvl w:val="1"/>
          <w:numId w:val="19"/>
        </w:numPr>
      </w:pPr>
      <w:r>
        <w:t xml:space="preserve">If a standard requires a copy of a document to be given in a certain manner, the licensee must adhere to those requirements. </w:t>
      </w:r>
      <w:r>
        <w:rPr>
          <w:rStyle w:val="Referencingstyle"/>
        </w:rPr>
        <w:t xml:space="preserve">[Schedule </w:t>
      </w:r>
      <w:r w:rsidR="00935CED">
        <w:rPr>
          <w:rStyle w:val="Referencingstyle"/>
        </w:rPr>
        <w:t>1</w:t>
      </w:r>
      <w:r>
        <w:rPr>
          <w:rStyle w:val="Referencingstyle"/>
        </w:rPr>
        <w:t>, i</w:t>
      </w:r>
      <w:r w:rsidRPr="00375F1D">
        <w:rPr>
          <w:rStyle w:val="Referencingstyle"/>
        </w:rPr>
        <w:t xml:space="preserve">tem </w:t>
      </w:r>
      <w:r w:rsidR="00E200FF">
        <w:rPr>
          <w:rStyle w:val="Referencingstyle"/>
        </w:rPr>
        <w:t>62</w:t>
      </w:r>
      <w:r>
        <w:rPr>
          <w:rStyle w:val="Referencingstyle"/>
        </w:rPr>
        <w:t>, section</w:t>
      </w:r>
      <w:r w:rsidRPr="00375F1D">
        <w:rPr>
          <w:rStyle w:val="Referencingstyle"/>
        </w:rPr>
        <w:t xml:space="preserve"> </w:t>
      </w:r>
      <w:r>
        <w:rPr>
          <w:rStyle w:val="Referencingstyle"/>
        </w:rPr>
        <w:t>133</w:t>
      </w:r>
      <w:r w:rsidR="00935CED">
        <w:rPr>
          <w:rStyle w:val="Referencingstyle"/>
        </w:rPr>
        <w:t>E</w:t>
      </w:r>
      <w:r>
        <w:rPr>
          <w:rStyle w:val="Referencingstyle"/>
        </w:rPr>
        <w:t>D(2)</w:t>
      </w:r>
      <w:r w:rsidRPr="00375F1D">
        <w:rPr>
          <w:rStyle w:val="Referencingstyle"/>
        </w:rPr>
        <w:t>]</w:t>
      </w:r>
    </w:p>
    <w:p w14:paraId="5EA2A8C2" w14:textId="17E8061F" w:rsidR="008A4172" w:rsidRPr="00EE3C75" w:rsidRDefault="008A4172" w:rsidP="008A4172">
      <w:pPr>
        <w:pStyle w:val="base-text-paragraph"/>
        <w:numPr>
          <w:ilvl w:val="1"/>
          <w:numId w:val="19"/>
        </w:numPr>
        <w:rPr>
          <w:rStyle w:val="Referencingstyle"/>
          <w:b w:val="0"/>
          <w:i w:val="0"/>
          <w:sz w:val="22"/>
        </w:rPr>
      </w:pPr>
      <w:r>
        <w:t xml:space="preserve">When a licensee is required to provide a consumer a copy of a document, they are prohibited to request or demand payment from the consumer for the document. A civil penalty </w:t>
      </w:r>
      <w:r w:rsidR="00E34FA7">
        <w:t xml:space="preserve">provision with a maximum penalty </w:t>
      </w:r>
      <w:r>
        <w:t>of 5</w:t>
      </w:r>
      <w:r w:rsidR="00162A3E">
        <w:t>,</w:t>
      </w:r>
      <w:r>
        <w:t xml:space="preserve">000 penalty units will apply if a payment is requested or demanded from a consumer. </w:t>
      </w:r>
      <w:r>
        <w:rPr>
          <w:rStyle w:val="Referencingstyle"/>
        </w:rPr>
        <w:t xml:space="preserve">[Schedule </w:t>
      </w:r>
      <w:r w:rsidR="00935CED">
        <w:rPr>
          <w:rStyle w:val="Referencingstyle"/>
        </w:rPr>
        <w:t>1</w:t>
      </w:r>
      <w:r>
        <w:rPr>
          <w:rStyle w:val="Referencingstyle"/>
        </w:rPr>
        <w:t xml:space="preserve">, item </w:t>
      </w:r>
      <w:r w:rsidR="00E200FF">
        <w:rPr>
          <w:rStyle w:val="Referencingstyle"/>
        </w:rPr>
        <w:t>62</w:t>
      </w:r>
      <w:r>
        <w:rPr>
          <w:rStyle w:val="Referencingstyle"/>
        </w:rPr>
        <w:t>, section 133</w:t>
      </w:r>
      <w:r w:rsidR="004146D5">
        <w:rPr>
          <w:rStyle w:val="Referencingstyle"/>
        </w:rPr>
        <w:t>E</w:t>
      </w:r>
      <w:r>
        <w:rPr>
          <w:rStyle w:val="Referencingstyle"/>
        </w:rPr>
        <w:t>D(3)</w:t>
      </w:r>
      <w:r w:rsidRPr="00375F1D">
        <w:rPr>
          <w:rStyle w:val="Referencingstyle"/>
        </w:rPr>
        <w:t>]</w:t>
      </w:r>
    </w:p>
    <w:p w14:paraId="4375F86B" w14:textId="51FCFEDD" w:rsidR="008A4172" w:rsidRDefault="008A4AEF" w:rsidP="008A4172">
      <w:pPr>
        <w:pStyle w:val="base-text-paragraph"/>
        <w:numPr>
          <w:ilvl w:val="1"/>
          <w:numId w:val="19"/>
        </w:numPr>
      </w:pPr>
      <w:r>
        <w:t>A strict liability offence will be committed by a person if they are under a</w:t>
      </w:r>
      <w:r w:rsidR="008A4172">
        <w:t xml:space="preserve"> requirement to provide a consumer a copy of a document or</w:t>
      </w:r>
      <w:r w:rsidR="002E397E">
        <w:t xml:space="preserve"> to</w:t>
      </w:r>
      <w:r w:rsidR="008A4172">
        <w:t xml:space="preserve"> not request payment in providing the document and </w:t>
      </w:r>
      <w:r>
        <w:t>they engage</w:t>
      </w:r>
      <w:r w:rsidR="008A4172">
        <w:t xml:space="preserve"> in conduct which contravenes those requirements. </w:t>
      </w:r>
      <w:r w:rsidR="004F6A76">
        <w:t>This strict liability offence has a maximum penalty of 50 penalty units.</w:t>
      </w:r>
      <w:r w:rsidR="008A4172">
        <w:t xml:space="preserve"> </w:t>
      </w:r>
      <w:r w:rsidR="008A4172">
        <w:rPr>
          <w:rStyle w:val="Referencingstyle"/>
        </w:rPr>
        <w:t xml:space="preserve">[Schedule </w:t>
      </w:r>
      <w:r w:rsidR="00935CED">
        <w:rPr>
          <w:rStyle w:val="Referencingstyle"/>
        </w:rPr>
        <w:t>1</w:t>
      </w:r>
      <w:r w:rsidR="008A4172">
        <w:rPr>
          <w:rStyle w:val="Referencingstyle"/>
        </w:rPr>
        <w:t>, i</w:t>
      </w:r>
      <w:r w:rsidR="008A4172" w:rsidRPr="00375F1D">
        <w:rPr>
          <w:rStyle w:val="Referencingstyle"/>
        </w:rPr>
        <w:t xml:space="preserve">tem </w:t>
      </w:r>
      <w:r w:rsidR="00E200FF">
        <w:rPr>
          <w:rStyle w:val="Referencingstyle"/>
        </w:rPr>
        <w:t>62</w:t>
      </w:r>
      <w:r w:rsidR="008A4172">
        <w:rPr>
          <w:rStyle w:val="Referencingstyle"/>
        </w:rPr>
        <w:t>, section 133</w:t>
      </w:r>
      <w:r w:rsidR="004146D5">
        <w:rPr>
          <w:rStyle w:val="Referencingstyle"/>
        </w:rPr>
        <w:t>E</w:t>
      </w:r>
      <w:r w:rsidR="008A4172">
        <w:rPr>
          <w:rStyle w:val="Referencingstyle"/>
        </w:rPr>
        <w:t>D(4)</w:t>
      </w:r>
      <w:r w:rsidR="008A4172" w:rsidRPr="00375F1D">
        <w:rPr>
          <w:rStyle w:val="Referencingstyle"/>
        </w:rPr>
        <w:t>]</w:t>
      </w:r>
    </w:p>
    <w:p w14:paraId="3D69C793" w14:textId="16C30014" w:rsidR="009A7C5F" w:rsidRDefault="009A7C5F" w:rsidP="009A7C5F">
      <w:pPr>
        <w:pStyle w:val="Heading2"/>
      </w:pPr>
      <w:r>
        <w:t>Consequential amendments</w:t>
      </w:r>
    </w:p>
    <w:p w14:paraId="23194FBF" w14:textId="222083CA" w:rsidR="00B616F9" w:rsidRPr="001149CE" w:rsidRDefault="009A7C5F" w:rsidP="001149CE">
      <w:pPr>
        <w:pStyle w:val="base-text-paragraph"/>
        <w:numPr>
          <w:ilvl w:val="1"/>
          <w:numId w:val="19"/>
        </w:numPr>
      </w:pPr>
      <w:r w:rsidRPr="008D0F4E">
        <w:t>Schedule 1 makes amendments that include and update notes and other guidance materials to</w:t>
      </w:r>
      <w:r>
        <w:t xml:space="preserve"> reflect the substantive changes made by the amendments.</w:t>
      </w:r>
      <w:r w:rsidRPr="001149CE">
        <w:t xml:space="preserve"> </w:t>
      </w:r>
      <w:r w:rsidRPr="00E155F7">
        <w:rPr>
          <w:rStyle w:val="Referencingstyle"/>
        </w:rPr>
        <w:t xml:space="preserve">[Schedule </w:t>
      </w:r>
      <w:r w:rsidR="00EE6104">
        <w:rPr>
          <w:rStyle w:val="Referencingstyle"/>
        </w:rPr>
        <w:t>1</w:t>
      </w:r>
      <w:r w:rsidRPr="00E155F7">
        <w:rPr>
          <w:rStyle w:val="Referencingstyle"/>
        </w:rPr>
        <w:t xml:space="preserve">, </w:t>
      </w:r>
      <w:r w:rsidR="00507F81" w:rsidRPr="00E155F7">
        <w:rPr>
          <w:rStyle w:val="Referencingstyle"/>
        </w:rPr>
        <w:t>item</w:t>
      </w:r>
      <w:r w:rsidR="00605D26">
        <w:rPr>
          <w:rStyle w:val="Referencingstyle"/>
        </w:rPr>
        <w:t>s</w:t>
      </w:r>
      <w:r w:rsidR="00507F81" w:rsidRPr="00E155F7">
        <w:rPr>
          <w:rStyle w:val="Referencingstyle"/>
        </w:rPr>
        <w:t xml:space="preserve"> 2</w:t>
      </w:r>
      <w:r w:rsidR="00605D26">
        <w:rPr>
          <w:rStyle w:val="Referencingstyle"/>
        </w:rPr>
        <w:t xml:space="preserve"> to </w:t>
      </w:r>
      <w:r w:rsidR="00EE6104">
        <w:rPr>
          <w:rStyle w:val="Referencingstyle"/>
        </w:rPr>
        <w:t>4</w:t>
      </w:r>
      <w:r w:rsidR="00507F81" w:rsidRPr="00E155F7">
        <w:rPr>
          <w:rStyle w:val="Referencingstyle"/>
        </w:rPr>
        <w:t xml:space="preserve">, </w:t>
      </w:r>
      <w:r w:rsidR="00EE6104">
        <w:rPr>
          <w:rStyle w:val="Referencingstyle"/>
        </w:rPr>
        <w:t>6</w:t>
      </w:r>
      <w:r w:rsidR="000934A6">
        <w:rPr>
          <w:rStyle w:val="Referencingstyle"/>
        </w:rPr>
        <w:t>, 2</w:t>
      </w:r>
      <w:r w:rsidR="00EE6104">
        <w:rPr>
          <w:rStyle w:val="Referencingstyle"/>
        </w:rPr>
        <w:t>3</w:t>
      </w:r>
      <w:r w:rsidR="000934A6">
        <w:rPr>
          <w:rStyle w:val="Referencingstyle"/>
        </w:rPr>
        <w:t>, 3</w:t>
      </w:r>
      <w:r w:rsidR="00EE6104">
        <w:rPr>
          <w:rStyle w:val="Referencingstyle"/>
        </w:rPr>
        <w:t>2</w:t>
      </w:r>
      <w:r w:rsidR="000934A6">
        <w:rPr>
          <w:rStyle w:val="Referencingstyle"/>
        </w:rPr>
        <w:t xml:space="preserve"> to 3</w:t>
      </w:r>
      <w:r w:rsidR="00EE6104">
        <w:rPr>
          <w:rStyle w:val="Referencingstyle"/>
        </w:rPr>
        <w:t>5</w:t>
      </w:r>
      <w:r w:rsidR="000934A6">
        <w:rPr>
          <w:rStyle w:val="Referencingstyle"/>
        </w:rPr>
        <w:t>, 3</w:t>
      </w:r>
      <w:r w:rsidR="00EE6104">
        <w:rPr>
          <w:rStyle w:val="Referencingstyle"/>
        </w:rPr>
        <w:t>7</w:t>
      </w:r>
      <w:r w:rsidR="000934A6">
        <w:rPr>
          <w:rStyle w:val="Referencingstyle"/>
        </w:rPr>
        <w:t xml:space="preserve">, </w:t>
      </w:r>
      <w:r w:rsidR="0020712E">
        <w:rPr>
          <w:rStyle w:val="Referencingstyle"/>
        </w:rPr>
        <w:t>5</w:t>
      </w:r>
      <w:r w:rsidR="00EE6104">
        <w:rPr>
          <w:rStyle w:val="Referencingstyle"/>
        </w:rPr>
        <w:t>1</w:t>
      </w:r>
      <w:r w:rsidR="000934A6">
        <w:rPr>
          <w:rStyle w:val="Referencingstyle"/>
        </w:rPr>
        <w:t>,</w:t>
      </w:r>
      <w:r w:rsidR="00507F81" w:rsidRPr="00E155F7">
        <w:rPr>
          <w:rStyle w:val="Referencingstyle"/>
        </w:rPr>
        <w:t xml:space="preserve"> </w:t>
      </w:r>
      <w:r w:rsidR="00F8506F">
        <w:rPr>
          <w:rStyle w:val="Referencingstyle"/>
        </w:rPr>
        <w:t>5</w:t>
      </w:r>
      <w:r w:rsidR="00EE6104">
        <w:rPr>
          <w:rStyle w:val="Referencingstyle"/>
        </w:rPr>
        <w:t>7</w:t>
      </w:r>
      <w:r w:rsidR="00300A66">
        <w:rPr>
          <w:rStyle w:val="Referencingstyle"/>
        </w:rPr>
        <w:t>, 63, 64, 67</w:t>
      </w:r>
      <w:r w:rsidR="00F8506F">
        <w:rPr>
          <w:rStyle w:val="Referencingstyle"/>
        </w:rPr>
        <w:t xml:space="preserve"> and 6</w:t>
      </w:r>
      <w:r w:rsidR="00814022">
        <w:rPr>
          <w:rStyle w:val="Referencingstyle"/>
        </w:rPr>
        <w:t>8</w:t>
      </w:r>
      <w:r w:rsidR="000934A6">
        <w:rPr>
          <w:rStyle w:val="Referencingstyle"/>
        </w:rPr>
        <w:t>,</w:t>
      </w:r>
      <w:r w:rsidR="00507F81" w:rsidRPr="00E155F7">
        <w:rPr>
          <w:rStyle w:val="Referencingstyle"/>
        </w:rPr>
        <w:t xml:space="preserve"> section 111</w:t>
      </w:r>
      <w:r w:rsidR="00605D26">
        <w:rPr>
          <w:rStyle w:val="Referencingstyle"/>
        </w:rPr>
        <w:t>,</w:t>
      </w:r>
      <w:r w:rsidR="00507F81" w:rsidRPr="00E155F7">
        <w:rPr>
          <w:rStyle w:val="Referencingstyle"/>
        </w:rPr>
        <w:t xml:space="preserve"> </w:t>
      </w:r>
      <w:r w:rsidR="00507F81" w:rsidRPr="00BB5C3A">
        <w:rPr>
          <w:rStyle w:val="Referencingstyle"/>
        </w:rPr>
        <w:t>Division 4 of Part 3</w:t>
      </w:r>
      <w:r w:rsidR="000D51BE">
        <w:rPr>
          <w:rStyle w:val="Referencingstyle"/>
        </w:rPr>
        <w:noBreakHyphen/>
      </w:r>
      <w:r w:rsidR="00507F81" w:rsidRPr="00BB5C3A">
        <w:rPr>
          <w:rStyle w:val="Referencingstyle"/>
        </w:rPr>
        <w:t>1(heading),</w:t>
      </w:r>
      <w:r w:rsidR="00F219DF" w:rsidRPr="00BB5C3A">
        <w:rPr>
          <w:rStyle w:val="Referencingstyle"/>
        </w:rPr>
        <w:t xml:space="preserve"> </w:t>
      </w:r>
      <w:r w:rsidR="00605D26">
        <w:rPr>
          <w:rStyle w:val="Referencingstyle"/>
        </w:rPr>
        <w:t xml:space="preserve">Division 6 of Part 3-1 (heading), </w:t>
      </w:r>
      <w:r w:rsidR="00DF3906" w:rsidRPr="00BB5C3A">
        <w:rPr>
          <w:rStyle w:val="Referencingstyle"/>
        </w:rPr>
        <w:t xml:space="preserve">Part 3-2 (heading), </w:t>
      </w:r>
      <w:r w:rsidR="000934A6">
        <w:rPr>
          <w:rStyle w:val="Referencingstyle"/>
        </w:rPr>
        <w:t>section 125,</w:t>
      </w:r>
      <w:r w:rsidR="00DF3906" w:rsidRPr="00E155F7">
        <w:rPr>
          <w:rStyle w:val="Referencingstyle"/>
        </w:rPr>
        <w:t xml:space="preserve"> Division 3 of </w:t>
      </w:r>
      <w:r w:rsidR="000934A6">
        <w:rPr>
          <w:rStyle w:val="Referencingstyle"/>
        </w:rPr>
        <w:t>P</w:t>
      </w:r>
      <w:r w:rsidR="00DF3906" w:rsidRPr="00E155F7">
        <w:rPr>
          <w:rStyle w:val="Referencingstyle"/>
        </w:rPr>
        <w:t>art 3-2 (heading),</w:t>
      </w:r>
      <w:r w:rsidR="00BB4B52" w:rsidRPr="00E155F7">
        <w:rPr>
          <w:rStyle w:val="Referencingstyle"/>
        </w:rPr>
        <w:t xml:space="preserve"> Division 4 of Part 3-2</w:t>
      </w:r>
      <w:r w:rsidR="0020712E">
        <w:rPr>
          <w:rStyle w:val="Referencingstyle"/>
        </w:rPr>
        <w:t xml:space="preserve"> (heading)</w:t>
      </w:r>
      <w:r w:rsidR="00BB4B52" w:rsidRPr="00E155F7">
        <w:rPr>
          <w:rStyle w:val="Referencingstyle"/>
        </w:rPr>
        <w:t>,</w:t>
      </w:r>
      <w:r w:rsidR="007D1B48" w:rsidRPr="00E155F7">
        <w:rPr>
          <w:rStyle w:val="Referencingstyle"/>
        </w:rPr>
        <w:t xml:space="preserve"> </w:t>
      </w:r>
      <w:r w:rsidR="00F8506F">
        <w:rPr>
          <w:rStyle w:val="Referencingstyle"/>
        </w:rPr>
        <w:t>sec</w:t>
      </w:r>
      <w:r w:rsidR="00300A66">
        <w:rPr>
          <w:rStyle w:val="Referencingstyle"/>
        </w:rPr>
        <w:t>tion</w:t>
      </w:r>
      <w:r w:rsidR="00ED051B" w:rsidRPr="00E155F7">
        <w:rPr>
          <w:rStyle w:val="Referencingstyle"/>
        </w:rPr>
        <w:t xml:space="preserve"> 133</w:t>
      </w:r>
      <w:r w:rsidR="00F8506F">
        <w:rPr>
          <w:rStyle w:val="Referencingstyle"/>
        </w:rPr>
        <w:t>C</w:t>
      </w:r>
      <w:r w:rsidR="00300A66">
        <w:rPr>
          <w:rStyle w:val="Referencingstyle"/>
        </w:rPr>
        <w:t xml:space="preserve">, Part 3-5A (heading), section 158K, Division 4 of Part 3-5A (heading) </w:t>
      </w:r>
      <w:r w:rsidR="00F8506F">
        <w:rPr>
          <w:rStyle w:val="Referencingstyle"/>
        </w:rPr>
        <w:t xml:space="preserve">and </w:t>
      </w:r>
      <w:r w:rsidR="00300A66">
        <w:rPr>
          <w:rStyle w:val="Referencingstyle"/>
        </w:rPr>
        <w:t xml:space="preserve">section </w:t>
      </w:r>
      <w:r w:rsidRPr="00E155F7">
        <w:rPr>
          <w:rStyle w:val="Referencingstyle"/>
        </w:rPr>
        <w:t>160A]</w:t>
      </w:r>
    </w:p>
    <w:p w14:paraId="08BEA41A" w14:textId="77777777" w:rsidR="00B616F9" w:rsidRDefault="00B616F9" w:rsidP="00B616F9">
      <w:pPr>
        <w:pStyle w:val="Heading2"/>
      </w:pPr>
      <w:r>
        <w:lastRenderedPageBreak/>
        <w:t>Application and transitional provisions</w:t>
      </w:r>
    </w:p>
    <w:p w14:paraId="293C1165" w14:textId="698B2675" w:rsidR="001C3F3F" w:rsidRPr="007A16EA" w:rsidRDefault="00B616F9" w:rsidP="007A16EA">
      <w:pPr>
        <w:pStyle w:val="base-text-paragraph"/>
        <w:numPr>
          <w:ilvl w:val="1"/>
          <w:numId w:val="19"/>
        </w:numPr>
      </w:pPr>
      <w:r w:rsidRPr="00386D8F">
        <w:t>The amendments</w:t>
      </w:r>
      <w:r>
        <w:t xml:space="preserve"> to </w:t>
      </w:r>
      <w:r w:rsidR="001C3F3F">
        <w:t xml:space="preserve">Part 3-1 of the Credit Act apply </w:t>
      </w:r>
      <w:r w:rsidR="00522FB8" w:rsidRPr="00997CF7">
        <w:t xml:space="preserve">to credit assistance provided on or after </w:t>
      </w:r>
      <w:r w:rsidR="00522FB8">
        <w:t>1 March</w:t>
      </w:r>
      <w:r w:rsidR="00522FB8" w:rsidRPr="00997CF7">
        <w:t xml:space="preserve"> 2021, whether the credit contract in relation to which the assistance is provided is entered before, on or after </w:t>
      </w:r>
      <w:r w:rsidR="00522FB8">
        <w:t>1 March</w:t>
      </w:r>
      <w:r w:rsidR="00522FB8" w:rsidRPr="00997CF7">
        <w:t xml:space="preserve"> 2021.</w:t>
      </w:r>
      <w:r w:rsidR="007A16EA">
        <w:t xml:space="preserve"> </w:t>
      </w:r>
      <w:r w:rsidR="0039682A" w:rsidRPr="00B55922">
        <w:rPr>
          <w:rStyle w:val="Referencingstyle"/>
        </w:rPr>
        <w:t>[Schedule 1</w:t>
      </w:r>
      <w:r w:rsidR="001C3F3F" w:rsidRPr="00B55922">
        <w:rPr>
          <w:rStyle w:val="Referencingstyle"/>
        </w:rPr>
        <w:t>, i</w:t>
      </w:r>
      <w:r w:rsidR="0039682A" w:rsidRPr="00B55922">
        <w:rPr>
          <w:rStyle w:val="Referencingstyle"/>
        </w:rPr>
        <w:t xml:space="preserve">tem </w:t>
      </w:r>
      <w:r w:rsidR="00814022">
        <w:rPr>
          <w:rStyle w:val="Referencingstyle"/>
        </w:rPr>
        <w:t>70</w:t>
      </w:r>
      <w:r w:rsidR="0039682A" w:rsidRPr="00B55922">
        <w:rPr>
          <w:rStyle w:val="Referencingstyle"/>
        </w:rPr>
        <w:t xml:space="preserve">, Schedule 19 of the National Consumer Credit Protection (Transitional and Consequential Provisions) Act 2009, item </w:t>
      </w:r>
      <w:r w:rsidR="00B55922">
        <w:rPr>
          <w:rStyle w:val="Referencingstyle"/>
        </w:rPr>
        <w:t>2</w:t>
      </w:r>
      <w:r w:rsidR="0039682A" w:rsidRPr="00B55922">
        <w:rPr>
          <w:rStyle w:val="Referencingstyle"/>
        </w:rPr>
        <w:t xml:space="preserve">, </w:t>
      </w:r>
      <w:r w:rsidR="00B55922">
        <w:rPr>
          <w:rStyle w:val="Referencingstyle"/>
        </w:rPr>
        <w:t>application of amendments of Part 3-1</w:t>
      </w:r>
      <w:r w:rsidR="001C3F3F" w:rsidRPr="00B55922">
        <w:rPr>
          <w:rStyle w:val="Referencingstyle"/>
        </w:rPr>
        <w:t>]</w:t>
      </w:r>
    </w:p>
    <w:p w14:paraId="0718D78B" w14:textId="196905B5" w:rsidR="001C3F3F" w:rsidRDefault="001C3F3F" w:rsidP="001149CE">
      <w:pPr>
        <w:pStyle w:val="base-text-paragraph"/>
        <w:numPr>
          <w:ilvl w:val="1"/>
          <w:numId w:val="19"/>
        </w:numPr>
      </w:pPr>
      <w:r w:rsidRPr="001C3F3F">
        <w:t>The amendments</w:t>
      </w:r>
      <w:r>
        <w:t xml:space="preserve"> of Parts 3-</w:t>
      </w:r>
      <w:r w:rsidR="006B18AB">
        <w:t>2, 3-2C and 3-2D of the</w:t>
      </w:r>
      <w:r>
        <w:t xml:space="preserve"> Credit Act apply:</w:t>
      </w:r>
    </w:p>
    <w:p w14:paraId="3BA1A810" w14:textId="0D724734" w:rsidR="006B18AB" w:rsidRDefault="003E5222" w:rsidP="007A16EA">
      <w:pPr>
        <w:pStyle w:val="dotpoint2"/>
        <w:numPr>
          <w:ilvl w:val="0"/>
          <w:numId w:val="6"/>
        </w:numPr>
      </w:pPr>
      <w:r>
        <w:t xml:space="preserve">so </w:t>
      </w:r>
      <w:r w:rsidR="006B18AB">
        <w:t>far as the amendments relate to entering a credit contract</w:t>
      </w:r>
      <w:r w:rsidR="00351E5B" w:rsidRPr="00351E5B">
        <w:rPr>
          <w:rFonts w:eastAsiaTheme="minorHAnsi"/>
          <w:szCs w:val="22"/>
          <w:lang w:eastAsia="en-US"/>
        </w:rPr>
        <w:t xml:space="preserve"> </w:t>
      </w:r>
      <w:r w:rsidR="00351E5B">
        <w:rPr>
          <w:rFonts w:eastAsiaTheme="minorHAnsi"/>
          <w:szCs w:val="22"/>
          <w:lang w:eastAsia="en-US"/>
        </w:rPr>
        <w:t>–</w:t>
      </w:r>
      <w:r w:rsidR="006B18AB">
        <w:t xml:space="preserve"> to credit contracts entered on or after </w:t>
      </w:r>
      <w:r w:rsidR="00522FB8">
        <w:t>1 March 2021</w:t>
      </w:r>
      <w:r w:rsidR="006B18AB">
        <w:t xml:space="preserve">; and </w:t>
      </w:r>
    </w:p>
    <w:p w14:paraId="60FE279F" w14:textId="50ED3836" w:rsidR="006B18AB" w:rsidRDefault="003E5222" w:rsidP="007A16EA">
      <w:pPr>
        <w:pStyle w:val="dotpoint2"/>
        <w:numPr>
          <w:ilvl w:val="0"/>
          <w:numId w:val="6"/>
        </w:numPr>
      </w:pPr>
      <w:proofErr w:type="gramStart"/>
      <w:r>
        <w:t>so</w:t>
      </w:r>
      <w:proofErr w:type="gramEnd"/>
      <w:r>
        <w:t xml:space="preserve"> </w:t>
      </w:r>
      <w:r w:rsidR="006B18AB">
        <w:t>far as the amendments relate to remaining in a credit contract, or increasing the credit limit of a credit contract</w:t>
      </w:r>
      <w:r w:rsidR="00351E5B" w:rsidRPr="00351E5B">
        <w:rPr>
          <w:rFonts w:eastAsiaTheme="minorHAnsi"/>
          <w:szCs w:val="22"/>
          <w:lang w:eastAsia="en-US"/>
        </w:rPr>
        <w:t xml:space="preserve"> </w:t>
      </w:r>
      <w:r w:rsidR="00351E5B">
        <w:rPr>
          <w:rFonts w:eastAsiaTheme="minorHAnsi"/>
          <w:szCs w:val="22"/>
          <w:lang w:eastAsia="en-US"/>
        </w:rPr>
        <w:t>–</w:t>
      </w:r>
      <w:r w:rsidR="00351E5B">
        <w:t xml:space="preserve"> </w:t>
      </w:r>
      <w:r w:rsidR="006B18AB">
        <w:t xml:space="preserve">to credit contracts entered before, on or after </w:t>
      </w:r>
      <w:r w:rsidR="00522FB8">
        <w:t>1 March 2021</w:t>
      </w:r>
      <w:r w:rsidR="006B18AB">
        <w:t>.</w:t>
      </w:r>
    </w:p>
    <w:p w14:paraId="796C3AB2" w14:textId="77777777" w:rsidR="00060C47" w:rsidRPr="00B55922" w:rsidRDefault="00904B28" w:rsidP="001B144E">
      <w:pPr>
        <w:pStyle w:val="base-text-paragraph"/>
        <w:numPr>
          <w:ilvl w:val="1"/>
          <w:numId w:val="19"/>
        </w:numPr>
        <w:rPr>
          <w:rStyle w:val="Referencingstyle"/>
        </w:rPr>
      </w:pPr>
      <w:r>
        <w:t xml:space="preserve">To </w:t>
      </w:r>
      <w:r w:rsidRPr="00904B28">
        <w:t>avoid doubt, se</w:t>
      </w:r>
      <w:r>
        <w:t xml:space="preserve">ction 132 of the </w:t>
      </w:r>
      <w:r w:rsidRPr="00904B28">
        <w:t>Credit Act, as in force immediately before 1 March 2021, continues to apply in relation to assessments made before 1 March 2021.</w:t>
      </w:r>
      <w:r w:rsidR="00060C47">
        <w:t xml:space="preserve"> </w:t>
      </w:r>
      <w:r w:rsidR="00060C47" w:rsidRPr="00B55922">
        <w:rPr>
          <w:rStyle w:val="Referencingstyle"/>
        </w:rPr>
        <w:t xml:space="preserve">[Schedule 1, item </w:t>
      </w:r>
      <w:r w:rsidR="00060C47">
        <w:rPr>
          <w:rStyle w:val="Referencingstyle"/>
        </w:rPr>
        <w:t>70</w:t>
      </w:r>
      <w:r w:rsidR="00060C47" w:rsidRPr="00B55922">
        <w:rPr>
          <w:rStyle w:val="Referencingstyle"/>
        </w:rPr>
        <w:t xml:space="preserve">, Schedule 19 of the National Consumer Credit Protection (Transitional and Consequential Provisions) Act 2009, item </w:t>
      </w:r>
      <w:r w:rsidR="00060C47">
        <w:rPr>
          <w:rStyle w:val="Referencingstyle"/>
        </w:rPr>
        <w:t>3</w:t>
      </w:r>
      <w:r w:rsidR="00060C47" w:rsidRPr="00B55922">
        <w:rPr>
          <w:rStyle w:val="Referencingstyle"/>
        </w:rPr>
        <w:t xml:space="preserve">, </w:t>
      </w:r>
      <w:r w:rsidR="00060C47">
        <w:rPr>
          <w:rStyle w:val="Referencingstyle"/>
        </w:rPr>
        <w:t>application of amendments of Parts 3-2, 3-2C and 3-2D</w:t>
      </w:r>
      <w:r w:rsidR="00060C47" w:rsidRPr="00B55922">
        <w:rPr>
          <w:rStyle w:val="Referencingstyle"/>
        </w:rPr>
        <w:t>]</w:t>
      </w:r>
    </w:p>
    <w:p w14:paraId="46BE799B" w14:textId="7E2FA0DC" w:rsidR="008B3D46" w:rsidRDefault="008B3D46" w:rsidP="001149CE">
      <w:pPr>
        <w:pStyle w:val="base-text-paragraph"/>
        <w:numPr>
          <w:ilvl w:val="1"/>
          <w:numId w:val="19"/>
        </w:numPr>
      </w:pPr>
      <w:r>
        <w:t xml:space="preserve">The amendments to introduce best </w:t>
      </w:r>
      <w:proofErr w:type="gramStart"/>
      <w:r>
        <w:t>interests</w:t>
      </w:r>
      <w:proofErr w:type="gramEnd"/>
      <w:r>
        <w:t xml:space="preserve"> obligations for credit assistance providers apply in relation to the provision of credit assistance to a consumer on or after 1 March 2021 (whether or not the assistance was sought, or commenced being provided, before that day). </w:t>
      </w:r>
      <w:r>
        <w:rPr>
          <w:rStyle w:val="Referencingstyle"/>
        </w:rPr>
        <w:t xml:space="preserve">[Schedule 1, </w:t>
      </w:r>
      <w:r w:rsidR="00814022">
        <w:rPr>
          <w:rStyle w:val="Referencingstyle"/>
        </w:rPr>
        <w:t>item 70</w:t>
      </w:r>
      <w:r w:rsidRPr="00B55922">
        <w:rPr>
          <w:rStyle w:val="Referencingstyle"/>
        </w:rPr>
        <w:t xml:space="preserve">, Schedule 19 of the National Consumer Credit Protection (Transitional and Consequential Provisions) Act 2009, item </w:t>
      </w:r>
      <w:r>
        <w:rPr>
          <w:rStyle w:val="Referencingstyle"/>
        </w:rPr>
        <w:t>4</w:t>
      </w:r>
      <w:r w:rsidRPr="00B55922">
        <w:rPr>
          <w:rStyle w:val="Referencingstyle"/>
        </w:rPr>
        <w:t xml:space="preserve">, </w:t>
      </w:r>
      <w:r>
        <w:rPr>
          <w:rStyle w:val="Referencingstyle"/>
        </w:rPr>
        <w:t>application of amendments of Parts 3-5A]</w:t>
      </w:r>
    </w:p>
    <w:p w14:paraId="3921768F" w14:textId="71CA4EE8" w:rsidR="00867208" w:rsidRPr="007F2D6E" w:rsidRDefault="00867208" w:rsidP="007F2D6E">
      <w:pPr>
        <w:pStyle w:val="base-text-paragraph"/>
        <w:numPr>
          <w:ilvl w:val="1"/>
          <w:numId w:val="19"/>
        </w:numPr>
        <w:rPr>
          <w:rStyle w:val="Referencingstyle"/>
          <w:b w:val="0"/>
          <w:i w:val="0"/>
          <w:sz w:val="22"/>
        </w:rPr>
      </w:pPr>
      <w:r>
        <w:t>The framework for non</w:t>
      </w:r>
      <w:r>
        <w:noBreakHyphen/>
        <w:t xml:space="preserve">ADI credit standards will be inserted into the Act commencing </w:t>
      </w:r>
      <w:r w:rsidR="00A617E4">
        <w:t>on</w:t>
      </w:r>
      <w:r>
        <w:t xml:space="preserve"> 1 March 2021. </w:t>
      </w:r>
    </w:p>
    <w:p w14:paraId="554C4210" w14:textId="2975E15F" w:rsidR="00867208" w:rsidRPr="0039682A" w:rsidRDefault="00867208" w:rsidP="00CD4341">
      <w:pPr>
        <w:pStyle w:val="base-text-paragraph"/>
        <w:numPr>
          <w:ilvl w:val="0"/>
          <w:numId w:val="0"/>
        </w:numPr>
        <w:ind w:left="1134"/>
        <w:rPr>
          <w:rStyle w:val="Referencingstyle"/>
          <w:highlight w:val="cyan"/>
        </w:rPr>
      </w:pPr>
    </w:p>
    <w:p w14:paraId="4FBFB39A" w14:textId="6B877A13" w:rsidR="003F2927" w:rsidRDefault="003F2927" w:rsidP="00236F77">
      <w:pPr>
        <w:pStyle w:val="ChapterHeading"/>
        <w:numPr>
          <w:ilvl w:val="0"/>
          <w:numId w:val="0"/>
        </w:numPr>
        <w:pBdr>
          <w:top w:val="none" w:sz="0" w:space="0" w:color="auto"/>
          <w:bottom w:val="none" w:sz="0" w:space="0" w:color="auto"/>
        </w:pBdr>
        <w:spacing w:before="120" w:after="120" w:line="240" w:lineRule="auto"/>
        <w:ind w:left="1134"/>
      </w:pPr>
    </w:p>
    <w:sectPr w:rsidR="003F2927" w:rsidSect="00C10AAF">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40AE0" w14:textId="77777777" w:rsidR="00520D78" w:rsidRDefault="00520D78" w:rsidP="00C3452B">
      <w:pPr>
        <w:spacing w:before="0" w:after="0"/>
      </w:pPr>
      <w:r>
        <w:separator/>
      </w:r>
    </w:p>
  </w:endnote>
  <w:endnote w:type="continuationSeparator" w:id="0">
    <w:p w14:paraId="521590BA" w14:textId="77777777" w:rsidR="00520D78" w:rsidRDefault="00520D78" w:rsidP="00C3452B">
      <w:pPr>
        <w:spacing w:before="0" w:after="0"/>
      </w:pPr>
      <w:r>
        <w:continuationSeparator/>
      </w:r>
    </w:p>
  </w:endnote>
  <w:endnote w:type="continuationNotice" w:id="1">
    <w:p w14:paraId="53456B2F" w14:textId="77777777" w:rsidR="00520D78" w:rsidRDefault="00520D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6AFF" w14:textId="77777777" w:rsidR="00520D78" w:rsidRDefault="00520D78" w:rsidP="005D680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F305" w14:textId="0EBCED25" w:rsidR="00520D78" w:rsidRDefault="00520D78" w:rsidP="005D680D">
    <w:pPr>
      <w:pStyle w:val="leftfooter"/>
    </w:pPr>
    <w:r>
      <w:fldChar w:fldCharType="begin"/>
    </w:r>
    <w:r>
      <w:instrText xml:space="preserve"> PAGE   \* MERGEFORMAT </w:instrText>
    </w:r>
    <w:r>
      <w:fldChar w:fldCharType="separate"/>
    </w:r>
    <w:r w:rsidR="00502FAA">
      <w:rPr>
        <w:noProof/>
      </w:rPr>
      <w:t>14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8" w:name="_Hlk26336195"/>
  <w:bookmarkStart w:id="39" w:name="_Hlk26336196"/>
  <w:bookmarkStart w:id="40" w:name="_Hlk26336199"/>
  <w:bookmarkStart w:id="41" w:name="_Hlk26336200"/>
  <w:p w14:paraId="18145651" w14:textId="649CCC00" w:rsidR="00520D78" w:rsidRDefault="00520D78" w:rsidP="005D680D">
    <w:pPr>
      <w:pStyle w:val="rightfooter"/>
    </w:pPr>
    <w:r>
      <w:fldChar w:fldCharType="begin"/>
    </w:r>
    <w:r>
      <w:instrText xml:space="preserve"> PAGE   \* MERGEFORMAT </w:instrText>
    </w:r>
    <w:r>
      <w:fldChar w:fldCharType="separate"/>
    </w:r>
    <w:r w:rsidR="00502FAA">
      <w:rPr>
        <w:noProof/>
      </w:rPr>
      <w:t>15</w:t>
    </w:r>
    <w:r>
      <w:rPr>
        <w:noProof/>
      </w:rPr>
      <w:fldChar w:fldCharType="end"/>
    </w:r>
    <w:bookmarkEnd w:id="38"/>
    <w:bookmarkEnd w:id="39"/>
    <w:bookmarkEnd w:id="40"/>
    <w:bookmarkEnd w:id="41"/>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_Hlk26336197"/>
  <w:bookmarkStart w:id="43" w:name="_Hlk26336198"/>
  <w:p w14:paraId="397727B1" w14:textId="1F7E798D" w:rsidR="00520D78" w:rsidRDefault="00520D78" w:rsidP="005D680D">
    <w:pPr>
      <w:pStyle w:val="rightfooter"/>
    </w:pPr>
    <w:r>
      <w:fldChar w:fldCharType="begin"/>
    </w:r>
    <w:r>
      <w:instrText xml:space="preserve"> PAGE  \* Arabic  \* MERGEFORMAT </w:instrText>
    </w:r>
    <w:r>
      <w:fldChar w:fldCharType="separate"/>
    </w:r>
    <w:r w:rsidR="00502FAA">
      <w:rPr>
        <w:noProof/>
      </w:rPr>
      <w:t>3</w:t>
    </w:r>
    <w:r>
      <w:rPr>
        <w:noProof/>
      </w:rPr>
      <w:fldChar w:fldCharType="end"/>
    </w:r>
    <w:bookmarkEnd w:id="42"/>
    <w:bookmarkEnd w:id="4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56E00C15" w14:textId="77777777" w:rsidR="00520D78" w:rsidRDefault="00520D78" w:rsidP="005D680D">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19A0F" w14:textId="77777777" w:rsidR="00520D78" w:rsidRDefault="00520D78">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CB86" w14:textId="77777777" w:rsidR="00520D78" w:rsidRDefault="00520D78" w:rsidP="005D680D">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54A77181" w14:textId="77777777" w:rsidR="00520D78" w:rsidRDefault="00520D78" w:rsidP="005D680D">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20F06" w14:textId="77777777" w:rsidR="00520D78" w:rsidRPr="00B2068E" w:rsidRDefault="00520D78" w:rsidP="005D680D">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9061" w14:textId="77777777" w:rsidR="00520D78" w:rsidRDefault="00520D78" w:rsidP="005D680D">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_Hlk26336171"/>
  <w:bookmarkStart w:id="31" w:name="_Hlk26336172"/>
  <w:bookmarkStart w:id="32" w:name="_Hlk26336175"/>
  <w:bookmarkStart w:id="33" w:name="_Hlk26336176"/>
  <w:p w14:paraId="341A1401" w14:textId="77777777" w:rsidR="00520D78" w:rsidRDefault="00520D78" w:rsidP="005D680D">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6336173"/>
  <w:bookmarkStart w:id="35" w:name="_Hlk26336174"/>
  <w:p w14:paraId="6E035EFD" w14:textId="30813054" w:rsidR="00520D78" w:rsidRDefault="00520D78" w:rsidP="005D680D">
    <w:pPr>
      <w:pStyle w:val="rightfooter"/>
    </w:pPr>
    <w:r>
      <w:fldChar w:fldCharType="begin"/>
    </w:r>
    <w:r>
      <w:instrText xml:space="preserve"> PAGE  \* Arabic  \* MERGEFORMAT </w:instrText>
    </w:r>
    <w:r>
      <w:fldChar w:fldCharType="separate"/>
    </w:r>
    <w:r w:rsidR="00502FAA">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BDDE" w14:textId="77777777" w:rsidR="00520D78" w:rsidRDefault="00520D78" w:rsidP="00C3452B">
      <w:pPr>
        <w:spacing w:before="0" w:after="0"/>
      </w:pPr>
      <w:r>
        <w:separator/>
      </w:r>
    </w:p>
  </w:footnote>
  <w:footnote w:type="continuationSeparator" w:id="0">
    <w:p w14:paraId="140FA74A" w14:textId="77777777" w:rsidR="00520D78" w:rsidRDefault="00520D78" w:rsidP="00C3452B">
      <w:pPr>
        <w:spacing w:before="0" w:after="0"/>
      </w:pPr>
      <w:r>
        <w:continuationSeparator/>
      </w:r>
    </w:p>
  </w:footnote>
  <w:footnote w:type="continuationNotice" w:id="1">
    <w:p w14:paraId="63726F08" w14:textId="77777777" w:rsidR="00520D78" w:rsidRDefault="00520D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99C3" w14:textId="77777777" w:rsidR="00520D78" w:rsidRDefault="00520D78" w:rsidP="005D680D">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64F9EA10" w14:textId="77777777" w:rsidR="00520D78" w:rsidRDefault="00520D78" w:rsidP="005D680D">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64374920" w14:textId="77777777" w:rsidR="00520D78" w:rsidRDefault="00502FAA">
        <w:pPr>
          <w:pStyle w:val="Header"/>
        </w:pPr>
        <w:r>
          <w:rPr>
            <w:noProof/>
            <w:lang w:val="en-US" w:eastAsia="en-US"/>
          </w:rPr>
          <w:pict w14:anchorId="060E1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E48A" w14:textId="77777777" w:rsidR="00520D78" w:rsidRDefault="00520D78" w:rsidP="005D680D">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8DF47" w14:textId="77777777" w:rsidR="00520D78" w:rsidRDefault="00520D78" w:rsidP="005D680D">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9E97" w14:textId="77777777" w:rsidR="00520D78" w:rsidRDefault="00520D78">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2977" w14:textId="6EDFF9DF" w:rsidR="00520D78" w:rsidRPr="00422FA2" w:rsidRDefault="00502FAA" w:rsidP="005D680D">
    <w:pPr>
      <w:pStyle w:val="leftheader"/>
    </w:pPr>
    <w:r>
      <w:fldChar w:fldCharType="begin"/>
    </w:r>
    <w:r>
      <w:instrText xml:space="preserve"> STYLEREF  "Bill Name"  \* MERGEFORMAT </w:instrText>
    </w:r>
    <w:r>
      <w:fldChar w:fldCharType="separate"/>
    </w:r>
    <w:r>
      <w:rPr>
        <w:noProof/>
      </w:rPr>
      <w:t>National Consumer Credit Protection Amendment (Supporting Economic Recovery) Bill 2020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93"/>
  <w:bookmarkStart w:id="29" w:name="_Hlk26336194"/>
  <w:p w14:paraId="74866F77" w14:textId="08EB1326" w:rsidR="00520D78" w:rsidRDefault="00520D78" w:rsidP="005D680D">
    <w:pPr>
      <w:pStyle w:val="rightheader"/>
    </w:pPr>
    <w:r>
      <w:fldChar w:fldCharType="begin"/>
    </w:r>
    <w:r>
      <w:instrText xml:space="preserve"> STYLEREF  "ChapterNameOnly"  \* MERGEFORMAT </w:instrText>
    </w:r>
    <w:r>
      <w:fldChar w:fldCharType="separate"/>
    </w:r>
    <w:r w:rsidR="00502FAA">
      <w:rPr>
        <w:noProof/>
      </w:rPr>
      <w:t>Changes to the responsible lending obligations</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2B54006C"/>
    <w:multiLevelType w:val="hybridMultilevel"/>
    <w:tmpl w:val="95C05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E55D35"/>
    <w:multiLevelType w:val="multilevel"/>
    <w:tmpl w:val="44D8879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950960"/>
    <w:multiLevelType w:val="multilevel"/>
    <w:tmpl w:val="AD1C7528"/>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407229D3"/>
    <w:multiLevelType w:val="multilevel"/>
    <w:tmpl w:val="25385268"/>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sz w:val="22"/>
        <w:szCs w:val="22"/>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636AF7"/>
    <w:multiLevelType w:val="hybridMultilevel"/>
    <w:tmpl w:val="5C9430F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3B69BC"/>
    <w:multiLevelType w:val="multilevel"/>
    <w:tmpl w:val="44E6A640"/>
    <w:lvl w:ilvl="0">
      <w:start w:val="1"/>
      <w:numFmt w:val="bullet"/>
      <w:lvlText w:val=""/>
      <w:lvlJc w:val="left"/>
      <w:pPr>
        <w:ind w:left="0" w:firstLine="0"/>
      </w:pPr>
      <w:rPr>
        <w:rFonts w:ascii="Symbol" w:hAnsi="Symbol" w:hint="default"/>
        <w:b w:val="0"/>
        <w:i w:val="0"/>
        <w:color w:val="000000"/>
      </w:rPr>
    </w:lvl>
    <w:lvl w:ilvl="1">
      <w:start w:val="1"/>
      <w:numFmt w:val="decimal"/>
      <w:lvlText w:val="%1.%2"/>
      <w:lvlJc w:val="left"/>
      <w:pPr>
        <w:tabs>
          <w:tab w:val="num" w:pos="1984"/>
        </w:tabs>
        <w:ind w:left="1134" w:firstLine="0"/>
      </w:pPr>
      <w:rPr>
        <w:b w:val="0"/>
        <w:i w:val="0"/>
        <w:color w:val="000000"/>
        <w:sz w:val="22"/>
        <w:szCs w:val="22"/>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DF6494"/>
    <w:multiLevelType w:val="multilevel"/>
    <w:tmpl w:val="A316FE50"/>
    <w:numStyleLink w:val="ChapterList"/>
  </w:abstractNum>
  <w:abstractNum w:abstractNumId="23" w15:restartNumberingAfterBreak="0">
    <w:nsid w:val="66022A8C"/>
    <w:multiLevelType w:val="hybridMultilevel"/>
    <w:tmpl w:val="E1AE5498"/>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4"/>
  </w:num>
  <w:num w:numId="3">
    <w:abstractNumId w:val="25"/>
  </w:num>
  <w:num w:numId="4">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5"/>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7"/>
  </w:num>
  <w:num w:numId="20">
    <w:abstractNumId w:val="14"/>
  </w:num>
  <w:num w:numId="21">
    <w:abstractNumId w:val="23"/>
  </w:num>
  <w:num w:numId="22">
    <w:abstractNumId w:val="16"/>
  </w:num>
  <w:num w:numId="23">
    <w:abstractNumId w:val="12"/>
  </w:num>
  <w:num w:numId="24">
    <w:abstractNumId w:val="19"/>
  </w:num>
  <w:num w:numId="25">
    <w:abstractNumId w:val="20"/>
  </w:num>
  <w:num w:numId="26">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9C"/>
    <w:rsid w:val="000017F0"/>
    <w:rsid w:val="000053A6"/>
    <w:rsid w:val="000100E3"/>
    <w:rsid w:val="0001107F"/>
    <w:rsid w:val="000213B1"/>
    <w:rsid w:val="0002241F"/>
    <w:rsid w:val="0002589B"/>
    <w:rsid w:val="00026AE8"/>
    <w:rsid w:val="00032C6F"/>
    <w:rsid w:val="00035510"/>
    <w:rsid w:val="00036544"/>
    <w:rsid w:val="00036C12"/>
    <w:rsid w:val="00037023"/>
    <w:rsid w:val="00037F8D"/>
    <w:rsid w:val="00040366"/>
    <w:rsid w:val="00040592"/>
    <w:rsid w:val="000439C2"/>
    <w:rsid w:val="000440D9"/>
    <w:rsid w:val="000461D1"/>
    <w:rsid w:val="0004626C"/>
    <w:rsid w:val="000468C6"/>
    <w:rsid w:val="000469FB"/>
    <w:rsid w:val="00050B00"/>
    <w:rsid w:val="00050BF5"/>
    <w:rsid w:val="00050D9D"/>
    <w:rsid w:val="000527AB"/>
    <w:rsid w:val="00060C47"/>
    <w:rsid w:val="00065154"/>
    <w:rsid w:val="00066DCC"/>
    <w:rsid w:val="00067A1A"/>
    <w:rsid w:val="00067A8D"/>
    <w:rsid w:val="000700D9"/>
    <w:rsid w:val="00070F99"/>
    <w:rsid w:val="00070FE2"/>
    <w:rsid w:val="00073EFB"/>
    <w:rsid w:val="000746E0"/>
    <w:rsid w:val="00074C21"/>
    <w:rsid w:val="000773D9"/>
    <w:rsid w:val="000802A3"/>
    <w:rsid w:val="00082444"/>
    <w:rsid w:val="00082FEC"/>
    <w:rsid w:val="00083ACD"/>
    <w:rsid w:val="00084426"/>
    <w:rsid w:val="0008645A"/>
    <w:rsid w:val="000867EB"/>
    <w:rsid w:val="0009028C"/>
    <w:rsid w:val="00092669"/>
    <w:rsid w:val="000934A6"/>
    <w:rsid w:val="00094B4D"/>
    <w:rsid w:val="000951EC"/>
    <w:rsid w:val="000A0CE1"/>
    <w:rsid w:val="000A519A"/>
    <w:rsid w:val="000A5580"/>
    <w:rsid w:val="000A699C"/>
    <w:rsid w:val="000A713A"/>
    <w:rsid w:val="000B1D8B"/>
    <w:rsid w:val="000B2511"/>
    <w:rsid w:val="000B31E1"/>
    <w:rsid w:val="000B4854"/>
    <w:rsid w:val="000B574C"/>
    <w:rsid w:val="000B57B4"/>
    <w:rsid w:val="000C0E83"/>
    <w:rsid w:val="000C3037"/>
    <w:rsid w:val="000C3079"/>
    <w:rsid w:val="000C3420"/>
    <w:rsid w:val="000C6A3F"/>
    <w:rsid w:val="000C7ABF"/>
    <w:rsid w:val="000D0DD4"/>
    <w:rsid w:val="000D2262"/>
    <w:rsid w:val="000D2B5E"/>
    <w:rsid w:val="000D3F96"/>
    <w:rsid w:val="000D51BE"/>
    <w:rsid w:val="000D5942"/>
    <w:rsid w:val="000D7413"/>
    <w:rsid w:val="000E40BF"/>
    <w:rsid w:val="000E720E"/>
    <w:rsid w:val="000E7D31"/>
    <w:rsid w:val="000F0A14"/>
    <w:rsid w:val="000F35E3"/>
    <w:rsid w:val="000F65B8"/>
    <w:rsid w:val="00103031"/>
    <w:rsid w:val="0010480A"/>
    <w:rsid w:val="00105B18"/>
    <w:rsid w:val="00106525"/>
    <w:rsid w:val="001069A6"/>
    <w:rsid w:val="00106F63"/>
    <w:rsid w:val="001112B5"/>
    <w:rsid w:val="00111563"/>
    <w:rsid w:val="00112277"/>
    <w:rsid w:val="0011362B"/>
    <w:rsid w:val="00113C0D"/>
    <w:rsid w:val="001149CE"/>
    <w:rsid w:val="0011528B"/>
    <w:rsid w:val="00117143"/>
    <w:rsid w:val="00120C74"/>
    <w:rsid w:val="00120D0B"/>
    <w:rsid w:val="00124479"/>
    <w:rsid w:val="00125970"/>
    <w:rsid w:val="001261C8"/>
    <w:rsid w:val="00133FB7"/>
    <w:rsid w:val="00136205"/>
    <w:rsid w:val="00140E2E"/>
    <w:rsid w:val="00142F0A"/>
    <w:rsid w:val="00143285"/>
    <w:rsid w:val="001437AE"/>
    <w:rsid w:val="00143B08"/>
    <w:rsid w:val="00146080"/>
    <w:rsid w:val="001539B1"/>
    <w:rsid w:val="001550E0"/>
    <w:rsid w:val="00157554"/>
    <w:rsid w:val="00160E58"/>
    <w:rsid w:val="0016139E"/>
    <w:rsid w:val="00162A3E"/>
    <w:rsid w:val="00165936"/>
    <w:rsid w:val="00167CBA"/>
    <w:rsid w:val="00167D36"/>
    <w:rsid w:val="001731E6"/>
    <w:rsid w:val="00175F39"/>
    <w:rsid w:val="00176E2C"/>
    <w:rsid w:val="00180C36"/>
    <w:rsid w:val="00180E41"/>
    <w:rsid w:val="001825F4"/>
    <w:rsid w:val="00192AB2"/>
    <w:rsid w:val="0019339C"/>
    <w:rsid w:val="00194F10"/>
    <w:rsid w:val="001A278C"/>
    <w:rsid w:val="001A537B"/>
    <w:rsid w:val="001A65A7"/>
    <w:rsid w:val="001A7431"/>
    <w:rsid w:val="001A7D63"/>
    <w:rsid w:val="001B0CB4"/>
    <w:rsid w:val="001B0EB3"/>
    <w:rsid w:val="001B144E"/>
    <w:rsid w:val="001B19F9"/>
    <w:rsid w:val="001B32D3"/>
    <w:rsid w:val="001B368D"/>
    <w:rsid w:val="001B54D6"/>
    <w:rsid w:val="001B658D"/>
    <w:rsid w:val="001B6674"/>
    <w:rsid w:val="001B78F5"/>
    <w:rsid w:val="001C1736"/>
    <w:rsid w:val="001C23FD"/>
    <w:rsid w:val="001C27D2"/>
    <w:rsid w:val="001C3F3F"/>
    <w:rsid w:val="001C59BC"/>
    <w:rsid w:val="001C5F46"/>
    <w:rsid w:val="001C63EC"/>
    <w:rsid w:val="001C68C8"/>
    <w:rsid w:val="001D0864"/>
    <w:rsid w:val="001D625D"/>
    <w:rsid w:val="001E1A18"/>
    <w:rsid w:val="001E212B"/>
    <w:rsid w:val="001E2241"/>
    <w:rsid w:val="001F0E05"/>
    <w:rsid w:val="001F30F7"/>
    <w:rsid w:val="001F42FA"/>
    <w:rsid w:val="001F4C82"/>
    <w:rsid w:val="001F50C6"/>
    <w:rsid w:val="001F5417"/>
    <w:rsid w:val="001F598D"/>
    <w:rsid w:val="0020076B"/>
    <w:rsid w:val="00201287"/>
    <w:rsid w:val="00203250"/>
    <w:rsid w:val="002037EA"/>
    <w:rsid w:val="002044BE"/>
    <w:rsid w:val="0020466A"/>
    <w:rsid w:val="0020712E"/>
    <w:rsid w:val="00207D4A"/>
    <w:rsid w:val="002103B2"/>
    <w:rsid w:val="00211243"/>
    <w:rsid w:val="002125D7"/>
    <w:rsid w:val="0021471F"/>
    <w:rsid w:val="002148CC"/>
    <w:rsid w:val="00216F5C"/>
    <w:rsid w:val="002223A9"/>
    <w:rsid w:val="00222412"/>
    <w:rsid w:val="00222ECD"/>
    <w:rsid w:val="0022381C"/>
    <w:rsid w:val="00223DC1"/>
    <w:rsid w:val="00224205"/>
    <w:rsid w:val="002269B7"/>
    <w:rsid w:val="00226BC4"/>
    <w:rsid w:val="0023074D"/>
    <w:rsid w:val="00233399"/>
    <w:rsid w:val="002340F8"/>
    <w:rsid w:val="00234CC4"/>
    <w:rsid w:val="00234EFA"/>
    <w:rsid w:val="00236F77"/>
    <w:rsid w:val="0023766B"/>
    <w:rsid w:val="00241251"/>
    <w:rsid w:val="002413F5"/>
    <w:rsid w:val="002426B1"/>
    <w:rsid w:val="00244D8C"/>
    <w:rsid w:val="00246A81"/>
    <w:rsid w:val="00252562"/>
    <w:rsid w:val="00256E3C"/>
    <w:rsid w:val="00260A7A"/>
    <w:rsid w:val="0026306B"/>
    <w:rsid w:val="00264214"/>
    <w:rsid w:val="00264B14"/>
    <w:rsid w:val="00264FCB"/>
    <w:rsid w:val="0026531C"/>
    <w:rsid w:val="00265D05"/>
    <w:rsid w:val="00267161"/>
    <w:rsid w:val="00272DD0"/>
    <w:rsid w:val="00273BCB"/>
    <w:rsid w:val="00274906"/>
    <w:rsid w:val="00274AA7"/>
    <w:rsid w:val="002753AB"/>
    <w:rsid w:val="00275B0D"/>
    <w:rsid w:val="00276ED3"/>
    <w:rsid w:val="002779FD"/>
    <w:rsid w:val="00281E93"/>
    <w:rsid w:val="002827CC"/>
    <w:rsid w:val="002832A2"/>
    <w:rsid w:val="0028431B"/>
    <w:rsid w:val="0028513E"/>
    <w:rsid w:val="00285370"/>
    <w:rsid w:val="00290CF7"/>
    <w:rsid w:val="00292B71"/>
    <w:rsid w:val="002976D0"/>
    <w:rsid w:val="002A060A"/>
    <w:rsid w:val="002A0677"/>
    <w:rsid w:val="002A0CD0"/>
    <w:rsid w:val="002A2877"/>
    <w:rsid w:val="002A2CCE"/>
    <w:rsid w:val="002A45D9"/>
    <w:rsid w:val="002A4B21"/>
    <w:rsid w:val="002A7BEE"/>
    <w:rsid w:val="002B16CF"/>
    <w:rsid w:val="002B4416"/>
    <w:rsid w:val="002B48F0"/>
    <w:rsid w:val="002B58C0"/>
    <w:rsid w:val="002B770B"/>
    <w:rsid w:val="002C04C6"/>
    <w:rsid w:val="002C0D84"/>
    <w:rsid w:val="002C0FE9"/>
    <w:rsid w:val="002D111C"/>
    <w:rsid w:val="002D3D51"/>
    <w:rsid w:val="002D599F"/>
    <w:rsid w:val="002D5F7E"/>
    <w:rsid w:val="002E0DA1"/>
    <w:rsid w:val="002E2AEC"/>
    <w:rsid w:val="002E397E"/>
    <w:rsid w:val="002E3CA9"/>
    <w:rsid w:val="002E6D6E"/>
    <w:rsid w:val="002F0C6D"/>
    <w:rsid w:val="002F1608"/>
    <w:rsid w:val="002F1672"/>
    <w:rsid w:val="002F2616"/>
    <w:rsid w:val="002F2936"/>
    <w:rsid w:val="002F2BA2"/>
    <w:rsid w:val="002F4800"/>
    <w:rsid w:val="002F5502"/>
    <w:rsid w:val="002F5C34"/>
    <w:rsid w:val="002F7BAA"/>
    <w:rsid w:val="00300A66"/>
    <w:rsid w:val="0030408C"/>
    <w:rsid w:val="00304711"/>
    <w:rsid w:val="003074C2"/>
    <w:rsid w:val="00311614"/>
    <w:rsid w:val="00311DD1"/>
    <w:rsid w:val="00312FED"/>
    <w:rsid w:val="003136E0"/>
    <w:rsid w:val="003149A4"/>
    <w:rsid w:val="003250E1"/>
    <w:rsid w:val="003301CF"/>
    <w:rsid w:val="00331AF7"/>
    <w:rsid w:val="00332AE8"/>
    <w:rsid w:val="00332E7C"/>
    <w:rsid w:val="0033552E"/>
    <w:rsid w:val="003366C2"/>
    <w:rsid w:val="00337AA6"/>
    <w:rsid w:val="003403DE"/>
    <w:rsid w:val="003439EB"/>
    <w:rsid w:val="00343FFB"/>
    <w:rsid w:val="0034475E"/>
    <w:rsid w:val="00345AB5"/>
    <w:rsid w:val="003463C2"/>
    <w:rsid w:val="00347EB1"/>
    <w:rsid w:val="00351E5B"/>
    <w:rsid w:val="00351FF5"/>
    <w:rsid w:val="003533E7"/>
    <w:rsid w:val="00353E10"/>
    <w:rsid w:val="0035525E"/>
    <w:rsid w:val="00357267"/>
    <w:rsid w:val="0035746A"/>
    <w:rsid w:val="00361D1E"/>
    <w:rsid w:val="003634B3"/>
    <w:rsid w:val="00364924"/>
    <w:rsid w:val="00364E39"/>
    <w:rsid w:val="00366362"/>
    <w:rsid w:val="0036732D"/>
    <w:rsid w:val="00373D8B"/>
    <w:rsid w:val="00375654"/>
    <w:rsid w:val="00375A5F"/>
    <w:rsid w:val="00375C91"/>
    <w:rsid w:val="00381ACE"/>
    <w:rsid w:val="003860F7"/>
    <w:rsid w:val="00386B36"/>
    <w:rsid w:val="00387DEF"/>
    <w:rsid w:val="00390558"/>
    <w:rsid w:val="00390E55"/>
    <w:rsid w:val="00393084"/>
    <w:rsid w:val="00393239"/>
    <w:rsid w:val="003942EC"/>
    <w:rsid w:val="0039682A"/>
    <w:rsid w:val="00397A1F"/>
    <w:rsid w:val="003A4897"/>
    <w:rsid w:val="003A4A80"/>
    <w:rsid w:val="003A7818"/>
    <w:rsid w:val="003B02A7"/>
    <w:rsid w:val="003B1B65"/>
    <w:rsid w:val="003B2173"/>
    <w:rsid w:val="003B4627"/>
    <w:rsid w:val="003B4F54"/>
    <w:rsid w:val="003C0D5C"/>
    <w:rsid w:val="003C3C28"/>
    <w:rsid w:val="003C4EC5"/>
    <w:rsid w:val="003C5E46"/>
    <w:rsid w:val="003C69BE"/>
    <w:rsid w:val="003C6A25"/>
    <w:rsid w:val="003D095B"/>
    <w:rsid w:val="003D1905"/>
    <w:rsid w:val="003D2E2A"/>
    <w:rsid w:val="003E1F25"/>
    <w:rsid w:val="003E20AF"/>
    <w:rsid w:val="003E35A7"/>
    <w:rsid w:val="003E5222"/>
    <w:rsid w:val="003E5327"/>
    <w:rsid w:val="003E540D"/>
    <w:rsid w:val="003E6B00"/>
    <w:rsid w:val="003E7FF5"/>
    <w:rsid w:val="003F2039"/>
    <w:rsid w:val="003F2090"/>
    <w:rsid w:val="003F2927"/>
    <w:rsid w:val="003F3C42"/>
    <w:rsid w:val="003F4F39"/>
    <w:rsid w:val="003F765D"/>
    <w:rsid w:val="003F7E61"/>
    <w:rsid w:val="00400C69"/>
    <w:rsid w:val="00401018"/>
    <w:rsid w:val="0040228D"/>
    <w:rsid w:val="00402AD2"/>
    <w:rsid w:val="004037CC"/>
    <w:rsid w:val="004053D3"/>
    <w:rsid w:val="004057BA"/>
    <w:rsid w:val="00405C5B"/>
    <w:rsid w:val="00410949"/>
    <w:rsid w:val="00412C4E"/>
    <w:rsid w:val="004146D5"/>
    <w:rsid w:val="00415397"/>
    <w:rsid w:val="00415DE2"/>
    <w:rsid w:val="00420399"/>
    <w:rsid w:val="00420E2F"/>
    <w:rsid w:val="00426A4F"/>
    <w:rsid w:val="00427228"/>
    <w:rsid w:val="00427B04"/>
    <w:rsid w:val="0043027E"/>
    <w:rsid w:val="00430D2A"/>
    <w:rsid w:val="004310F5"/>
    <w:rsid w:val="0043200F"/>
    <w:rsid w:val="00432BED"/>
    <w:rsid w:val="004339A4"/>
    <w:rsid w:val="00433BBB"/>
    <w:rsid w:val="00435100"/>
    <w:rsid w:val="00441924"/>
    <w:rsid w:val="00445371"/>
    <w:rsid w:val="004479D4"/>
    <w:rsid w:val="0045345E"/>
    <w:rsid w:val="00454139"/>
    <w:rsid w:val="0046035F"/>
    <w:rsid w:val="0046063A"/>
    <w:rsid w:val="004620B1"/>
    <w:rsid w:val="00464FF3"/>
    <w:rsid w:val="00465D8D"/>
    <w:rsid w:val="00467434"/>
    <w:rsid w:val="00467E01"/>
    <w:rsid w:val="00470218"/>
    <w:rsid w:val="00471C43"/>
    <w:rsid w:val="00472549"/>
    <w:rsid w:val="00472D7E"/>
    <w:rsid w:val="00474AEC"/>
    <w:rsid w:val="00476690"/>
    <w:rsid w:val="00476C56"/>
    <w:rsid w:val="004775C3"/>
    <w:rsid w:val="00480BB3"/>
    <w:rsid w:val="00481503"/>
    <w:rsid w:val="004822C2"/>
    <w:rsid w:val="004823EC"/>
    <w:rsid w:val="00482621"/>
    <w:rsid w:val="004828B2"/>
    <w:rsid w:val="00483330"/>
    <w:rsid w:val="0048354F"/>
    <w:rsid w:val="0048511F"/>
    <w:rsid w:val="004860AD"/>
    <w:rsid w:val="00486176"/>
    <w:rsid w:val="004873C9"/>
    <w:rsid w:val="00490CC5"/>
    <w:rsid w:val="004937DC"/>
    <w:rsid w:val="004951DF"/>
    <w:rsid w:val="004A014A"/>
    <w:rsid w:val="004A088C"/>
    <w:rsid w:val="004A1E8C"/>
    <w:rsid w:val="004A480C"/>
    <w:rsid w:val="004A5B53"/>
    <w:rsid w:val="004B06BD"/>
    <w:rsid w:val="004B1BAB"/>
    <w:rsid w:val="004B3144"/>
    <w:rsid w:val="004B3360"/>
    <w:rsid w:val="004C09E4"/>
    <w:rsid w:val="004C374B"/>
    <w:rsid w:val="004C4667"/>
    <w:rsid w:val="004D274F"/>
    <w:rsid w:val="004D2A3E"/>
    <w:rsid w:val="004D6119"/>
    <w:rsid w:val="004D78C6"/>
    <w:rsid w:val="004E1AFD"/>
    <w:rsid w:val="004E488C"/>
    <w:rsid w:val="004E7046"/>
    <w:rsid w:val="004F2B0A"/>
    <w:rsid w:val="004F2B4C"/>
    <w:rsid w:val="004F3369"/>
    <w:rsid w:val="004F40C6"/>
    <w:rsid w:val="004F46A2"/>
    <w:rsid w:val="004F52A6"/>
    <w:rsid w:val="004F58C9"/>
    <w:rsid w:val="004F6A76"/>
    <w:rsid w:val="004F6AFA"/>
    <w:rsid w:val="004F7123"/>
    <w:rsid w:val="00502FAA"/>
    <w:rsid w:val="00503B94"/>
    <w:rsid w:val="005051F7"/>
    <w:rsid w:val="00507AC3"/>
    <w:rsid w:val="00507F81"/>
    <w:rsid w:val="005101CD"/>
    <w:rsid w:val="00510BCE"/>
    <w:rsid w:val="005120AC"/>
    <w:rsid w:val="00512B55"/>
    <w:rsid w:val="00514A8C"/>
    <w:rsid w:val="00514D25"/>
    <w:rsid w:val="00516492"/>
    <w:rsid w:val="005177FF"/>
    <w:rsid w:val="00520BC0"/>
    <w:rsid w:val="00520D78"/>
    <w:rsid w:val="0052119A"/>
    <w:rsid w:val="00522FB8"/>
    <w:rsid w:val="00524B69"/>
    <w:rsid w:val="0052506D"/>
    <w:rsid w:val="00530EEF"/>
    <w:rsid w:val="005338C5"/>
    <w:rsid w:val="005338ED"/>
    <w:rsid w:val="00535BCD"/>
    <w:rsid w:val="00536C32"/>
    <w:rsid w:val="0053706C"/>
    <w:rsid w:val="00545641"/>
    <w:rsid w:val="00552986"/>
    <w:rsid w:val="00554409"/>
    <w:rsid w:val="00555AEA"/>
    <w:rsid w:val="0055742C"/>
    <w:rsid w:val="0056079A"/>
    <w:rsid w:val="00562F30"/>
    <w:rsid w:val="00564F12"/>
    <w:rsid w:val="00565FF7"/>
    <w:rsid w:val="005678D7"/>
    <w:rsid w:val="005702C7"/>
    <w:rsid w:val="005742D4"/>
    <w:rsid w:val="005746F8"/>
    <w:rsid w:val="00577396"/>
    <w:rsid w:val="00583E06"/>
    <w:rsid w:val="005847EE"/>
    <w:rsid w:val="00585F60"/>
    <w:rsid w:val="0059042C"/>
    <w:rsid w:val="00590BF3"/>
    <w:rsid w:val="00591032"/>
    <w:rsid w:val="005A06C0"/>
    <w:rsid w:val="005A1043"/>
    <w:rsid w:val="005A2253"/>
    <w:rsid w:val="005A3253"/>
    <w:rsid w:val="005B0DFB"/>
    <w:rsid w:val="005B20E7"/>
    <w:rsid w:val="005B4D74"/>
    <w:rsid w:val="005B57EF"/>
    <w:rsid w:val="005C0980"/>
    <w:rsid w:val="005C2FF7"/>
    <w:rsid w:val="005C32CC"/>
    <w:rsid w:val="005C45D7"/>
    <w:rsid w:val="005C63DE"/>
    <w:rsid w:val="005C6864"/>
    <w:rsid w:val="005C6F50"/>
    <w:rsid w:val="005C76B1"/>
    <w:rsid w:val="005D1159"/>
    <w:rsid w:val="005D270A"/>
    <w:rsid w:val="005D59D3"/>
    <w:rsid w:val="005D6335"/>
    <w:rsid w:val="005D680D"/>
    <w:rsid w:val="005D6DCF"/>
    <w:rsid w:val="005E1628"/>
    <w:rsid w:val="005E2131"/>
    <w:rsid w:val="005E2800"/>
    <w:rsid w:val="005E455C"/>
    <w:rsid w:val="005E4901"/>
    <w:rsid w:val="005E6475"/>
    <w:rsid w:val="005E6540"/>
    <w:rsid w:val="005E6903"/>
    <w:rsid w:val="005E787E"/>
    <w:rsid w:val="005E7CCE"/>
    <w:rsid w:val="005F03FE"/>
    <w:rsid w:val="005F557D"/>
    <w:rsid w:val="005F7D96"/>
    <w:rsid w:val="00602469"/>
    <w:rsid w:val="00602522"/>
    <w:rsid w:val="00603F2A"/>
    <w:rsid w:val="00604A7E"/>
    <w:rsid w:val="00604E5D"/>
    <w:rsid w:val="00605571"/>
    <w:rsid w:val="00605965"/>
    <w:rsid w:val="00605D26"/>
    <w:rsid w:val="00606038"/>
    <w:rsid w:val="006062F3"/>
    <w:rsid w:val="0061024C"/>
    <w:rsid w:val="006114F1"/>
    <w:rsid w:val="00611AD6"/>
    <w:rsid w:val="00611CE9"/>
    <w:rsid w:val="0061223F"/>
    <w:rsid w:val="0061421C"/>
    <w:rsid w:val="00616939"/>
    <w:rsid w:val="00616B94"/>
    <w:rsid w:val="0061764E"/>
    <w:rsid w:val="00620734"/>
    <w:rsid w:val="00621A0C"/>
    <w:rsid w:val="006236F2"/>
    <w:rsid w:val="00624B63"/>
    <w:rsid w:val="00624D39"/>
    <w:rsid w:val="006253B6"/>
    <w:rsid w:val="006254B5"/>
    <w:rsid w:val="0062569C"/>
    <w:rsid w:val="006311EA"/>
    <w:rsid w:val="00632595"/>
    <w:rsid w:val="00634029"/>
    <w:rsid w:val="00636C2D"/>
    <w:rsid w:val="006441B9"/>
    <w:rsid w:val="006449AB"/>
    <w:rsid w:val="0064516D"/>
    <w:rsid w:val="00646FD1"/>
    <w:rsid w:val="006515CE"/>
    <w:rsid w:val="00651D24"/>
    <w:rsid w:val="0065337B"/>
    <w:rsid w:val="00653690"/>
    <w:rsid w:val="006605C3"/>
    <w:rsid w:val="0066160A"/>
    <w:rsid w:val="006626FC"/>
    <w:rsid w:val="00663B87"/>
    <w:rsid w:val="00664E5F"/>
    <w:rsid w:val="00665BF1"/>
    <w:rsid w:val="006674D4"/>
    <w:rsid w:val="00681007"/>
    <w:rsid w:val="006825CA"/>
    <w:rsid w:val="006851D1"/>
    <w:rsid w:val="00687355"/>
    <w:rsid w:val="00691AD6"/>
    <w:rsid w:val="00692993"/>
    <w:rsid w:val="00697E45"/>
    <w:rsid w:val="00697F3D"/>
    <w:rsid w:val="006A1633"/>
    <w:rsid w:val="006A18BF"/>
    <w:rsid w:val="006A429E"/>
    <w:rsid w:val="006B09BE"/>
    <w:rsid w:val="006B0FDF"/>
    <w:rsid w:val="006B18AB"/>
    <w:rsid w:val="006B3A1B"/>
    <w:rsid w:val="006B4AF3"/>
    <w:rsid w:val="006B4D15"/>
    <w:rsid w:val="006B54DA"/>
    <w:rsid w:val="006B54DD"/>
    <w:rsid w:val="006C158D"/>
    <w:rsid w:val="006C24B5"/>
    <w:rsid w:val="006C26CC"/>
    <w:rsid w:val="006C350B"/>
    <w:rsid w:val="006C6932"/>
    <w:rsid w:val="006D09C6"/>
    <w:rsid w:val="006D391A"/>
    <w:rsid w:val="006D3D79"/>
    <w:rsid w:val="006D5029"/>
    <w:rsid w:val="006D604D"/>
    <w:rsid w:val="006D6291"/>
    <w:rsid w:val="006D65F0"/>
    <w:rsid w:val="006D7DD4"/>
    <w:rsid w:val="006E14DE"/>
    <w:rsid w:val="006E508D"/>
    <w:rsid w:val="006E5271"/>
    <w:rsid w:val="006E58E1"/>
    <w:rsid w:val="006E6371"/>
    <w:rsid w:val="006E65F6"/>
    <w:rsid w:val="006E720F"/>
    <w:rsid w:val="006E7D11"/>
    <w:rsid w:val="006F10AD"/>
    <w:rsid w:val="006F10CD"/>
    <w:rsid w:val="006F3C4B"/>
    <w:rsid w:val="006F6E43"/>
    <w:rsid w:val="00701CEF"/>
    <w:rsid w:val="00703D7B"/>
    <w:rsid w:val="00704223"/>
    <w:rsid w:val="00705429"/>
    <w:rsid w:val="00706C88"/>
    <w:rsid w:val="00710888"/>
    <w:rsid w:val="00712C4A"/>
    <w:rsid w:val="00713629"/>
    <w:rsid w:val="00713F64"/>
    <w:rsid w:val="00716931"/>
    <w:rsid w:val="00717D53"/>
    <w:rsid w:val="00721100"/>
    <w:rsid w:val="0072367C"/>
    <w:rsid w:val="0072442E"/>
    <w:rsid w:val="00726B64"/>
    <w:rsid w:val="007276F2"/>
    <w:rsid w:val="00731795"/>
    <w:rsid w:val="00733494"/>
    <w:rsid w:val="00734942"/>
    <w:rsid w:val="00735087"/>
    <w:rsid w:val="00735474"/>
    <w:rsid w:val="007360B2"/>
    <w:rsid w:val="00736C2D"/>
    <w:rsid w:val="00737652"/>
    <w:rsid w:val="00742882"/>
    <w:rsid w:val="007434EB"/>
    <w:rsid w:val="007450CB"/>
    <w:rsid w:val="00745193"/>
    <w:rsid w:val="007451E5"/>
    <w:rsid w:val="00745E96"/>
    <w:rsid w:val="0074717C"/>
    <w:rsid w:val="007504D2"/>
    <w:rsid w:val="00750DCB"/>
    <w:rsid w:val="007536D0"/>
    <w:rsid w:val="007613CD"/>
    <w:rsid w:val="00761E95"/>
    <w:rsid w:val="007627E0"/>
    <w:rsid w:val="0076295E"/>
    <w:rsid w:val="00763879"/>
    <w:rsid w:val="0076407C"/>
    <w:rsid w:val="00764B5A"/>
    <w:rsid w:val="00764C1D"/>
    <w:rsid w:val="00765E24"/>
    <w:rsid w:val="007667A6"/>
    <w:rsid w:val="00767AAA"/>
    <w:rsid w:val="007709C6"/>
    <w:rsid w:val="007732FB"/>
    <w:rsid w:val="0077641F"/>
    <w:rsid w:val="007778C9"/>
    <w:rsid w:val="007816FE"/>
    <w:rsid w:val="0078440B"/>
    <w:rsid w:val="00785E21"/>
    <w:rsid w:val="0079076A"/>
    <w:rsid w:val="00793298"/>
    <w:rsid w:val="00793E22"/>
    <w:rsid w:val="00793FC9"/>
    <w:rsid w:val="00795ABC"/>
    <w:rsid w:val="007A16EA"/>
    <w:rsid w:val="007A4E95"/>
    <w:rsid w:val="007A5561"/>
    <w:rsid w:val="007A79D6"/>
    <w:rsid w:val="007B06A9"/>
    <w:rsid w:val="007B1E22"/>
    <w:rsid w:val="007B3156"/>
    <w:rsid w:val="007B4D59"/>
    <w:rsid w:val="007B5C74"/>
    <w:rsid w:val="007B6494"/>
    <w:rsid w:val="007B72AD"/>
    <w:rsid w:val="007C1F65"/>
    <w:rsid w:val="007C4BC6"/>
    <w:rsid w:val="007C53E6"/>
    <w:rsid w:val="007C6061"/>
    <w:rsid w:val="007D1B48"/>
    <w:rsid w:val="007D2E0A"/>
    <w:rsid w:val="007D606A"/>
    <w:rsid w:val="007D75AE"/>
    <w:rsid w:val="007E077B"/>
    <w:rsid w:val="007E0B72"/>
    <w:rsid w:val="007E1C40"/>
    <w:rsid w:val="007E1D51"/>
    <w:rsid w:val="007E212D"/>
    <w:rsid w:val="007E2193"/>
    <w:rsid w:val="007E4973"/>
    <w:rsid w:val="007E603C"/>
    <w:rsid w:val="007E7198"/>
    <w:rsid w:val="007F092B"/>
    <w:rsid w:val="007F1695"/>
    <w:rsid w:val="007F1802"/>
    <w:rsid w:val="007F226C"/>
    <w:rsid w:val="007F2D6E"/>
    <w:rsid w:val="007F6C0F"/>
    <w:rsid w:val="007F7A75"/>
    <w:rsid w:val="00802347"/>
    <w:rsid w:val="00802EDF"/>
    <w:rsid w:val="0080369A"/>
    <w:rsid w:val="0080492F"/>
    <w:rsid w:val="008059D8"/>
    <w:rsid w:val="008062D8"/>
    <w:rsid w:val="008065CB"/>
    <w:rsid w:val="00806961"/>
    <w:rsid w:val="00807CFA"/>
    <w:rsid w:val="0081002C"/>
    <w:rsid w:val="00810F30"/>
    <w:rsid w:val="00812434"/>
    <w:rsid w:val="008129D1"/>
    <w:rsid w:val="00814022"/>
    <w:rsid w:val="00814E1D"/>
    <w:rsid w:val="008172F2"/>
    <w:rsid w:val="008205EC"/>
    <w:rsid w:val="00820EA5"/>
    <w:rsid w:val="00823DD1"/>
    <w:rsid w:val="00823E43"/>
    <w:rsid w:val="00830766"/>
    <w:rsid w:val="0083239B"/>
    <w:rsid w:val="0083263B"/>
    <w:rsid w:val="00837DAA"/>
    <w:rsid w:val="00841DD8"/>
    <w:rsid w:val="0084225D"/>
    <w:rsid w:val="0084569B"/>
    <w:rsid w:val="0084673D"/>
    <w:rsid w:val="00850222"/>
    <w:rsid w:val="00851263"/>
    <w:rsid w:val="00851D70"/>
    <w:rsid w:val="008520A6"/>
    <w:rsid w:val="008536F0"/>
    <w:rsid w:val="008542FC"/>
    <w:rsid w:val="00854FDE"/>
    <w:rsid w:val="00855520"/>
    <w:rsid w:val="0085614C"/>
    <w:rsid w:val="00856FCE"/>
    <w:rsid w:val="008570BF"/>
    <w:rsid w:val="00863A1E"/>
    <w:rsid w:val="00863B8F"/>
    <w:rsid w:val="00867208"/>
    <w:rsid w:val="00870392"/>
    <w:rsid w:val="0087352D"/>
    <w:rsid w:val="0087420D"/>
    <w:rsid w:val="0087465F"/>
    <w:rsid w:val="00881F08"/>
    <w:rsid w:val="00882E77"/>
    <w:rsid w:val="008831A4"/>
    <w:rsid w:val="0088459B"/>
    <w:rsid w:val="00884AB7"/>
    <w:rsid w:val="00885E7E"/>
    <w:rsid w:val="00886382"/>
    <w:rsid w:val="00891923"/>
    <w:rsid w:val="00891F3C"/>
    <w:rsid w:val="00892635"/>
    <w:rsid w:val="008935F1"/>
    <w:rsid w:val="00894D21"/>
    <w:rsid w:val="00895A09"/>
    <w:rsid w:val="00897C1F"/>
    <w:rsid w:val="008A119B"/>
    <w:rsid w:val="008A1FAE"/>
    <w:rsid w:val="008A3A84"/>
    <w:rsid w:val="008A4172"/>
    <w:rsid w:val="008A41E5"/>
    <w:rsid w:val="008A4336"/>
    <w:rsid w:val="008A458F"/>
    <w:rsid w:val="008A4AEF"/>
    <w:rsid w:val="008A60A4"/>
    <w:rsid w:val="008A629E"/>
    <w:rsid w:val="008B003F"/>
    <w:rsid w:val="008B10A1"/>
    <w:rsid w:val="008B147E"/>
    <w:rsid w:val="008B1C46"/>
    <w:rsid w:val="008B1E1D"/>
    <w:rsid w:val="008B3449"/>
    <w:rsid w:val="008B3D46"/>
    <w:rsid w:val="008C02C9"/>
    <w:rsid w:val="008C205C"/>
    <w:rsid w:val="008C228A"/>
    <w:rsid w:val="008C417A"/>
    <w:rsid w:val="008C592C"/>
    <w:rsid w:val="008D0F4E"/>
    <w:rsid w:val="008D2BBC"/>
    <w:rsid w:val="008D4351"/>
    <w:rsid w:val="008D4DED"/>
    <w:rsid w:val="008D56CB"/>
    <w:rsid w:val="008D5DA8"/>
    <w:rsid w:val="008D6425"/>
    <w:rsid w:val="008E00CF"/>
    <w:rsid w:val="008E044D"/>
    <w:rsid w:val="008E243B"/>
    <w:rsid w:val="008E45E8"/>
    <w:rsid w:val="008F0248"/>
    <w:rsid w:val="008F1919"/>
    <w:rsid w:val="008F33AB"/>
    <w:rsid w:val="008F374D"/>
    <w:rsid w:val="008F3F70"/>
    <w:rsid w:val="008F5C7F"/>
    <w:rsid w:val="00904B28"/>
    <w:rsid w:val="00905924"/>
    <w:rsid w:val="00906752"/>
    <w:rsid w:val="009102F2"/>
    <w:rsid w:val="0091039A"/>
    <w:rsid w:val="00910463"/>
    <w:rsid w:val="00911A24"/>
    <w:rsid w:val="00912A15"/>
    <w:rsid w:val="00913572"/>
    <w:rsid w:val="009157B3"/>
    <w:rsid w:val="0091623A"/>
    <w:rsid w:val="00920959"/>
    <w:rsid w:val="00923828"/>
    <w:rsid w:val="009238C4"/>
    <w:rsid w:val="00923D89"/>
    <w:rsid w:val="009240DB"/>
    <w:rsid w:val="00925B2A"/>
    <w:rsid w:val="0093118A"/>
    <w:rsid w:val="00931C4E"/>
    <w:rsid w:val="00932E80"/>
    <w:rsid w:val="0093401B"/>
    <w:rsid w:val="00934698"/>
    <w:rsid w:val="00935CED"/>
    <w:rsid w:val="00936BB8"/>
    <w:rsid w:val="009378D9"/>
    <w:rsid w:val="00944D2C"/>
    <w:rsid w:val="0094742B"/>
    <w:rsid w:val="00950E1B"/>
    <w:rsid w:val="00952FBD"/>
    <w:rsid w:val="00955959"/>
    <w:rsid w:val="00957DE8"/>
    <w:rsid w:val="0096100B"/>
    <w:rsid w:val="00962D18"/>
    <w:rsid w:val="00972A77"/>
    <w:rsid w:val="009747EA"/>
    <w:rsid w:val="009758EB"/>
    <w:rsid w:val="00977FDE"/>
    <w:rsid w:val="009829DA"/>
    <w:rsid w:val="00983450"/>
    <w:rsid w:val="00984D4A"/>
    <w:rsid w:val="00985E68"/>
    <w:rsid w:val="00987713"/>
    <w:rsid w:val="0099017C"/>
    <w:rsid w:val="00991E33"/>
    <w:rsid w:val="00997610"/>
    <w:rsid w:val="009A0A0B"/>
    <w:rsid w:val="009A16A1"/>
    <w:rsid w:val="009A2F6F"/>
    <w:rsid w:val="009A7C5F"/>
    <w:rsid w:val="009B0097"/>
    <w:rsid w:val="009B03A7"/>
    <w:rsid w:val="009B2137"/>
    <w:rsid w:val="009B3E1A"/>
    <w:rsid w:val="009B3F05"/>
    <w:rsid w:val="009B49EC"/>
    <w:rsid w:val="009B5082"/>
    <w:rsid w:val="009B61D8"/>
    <w:rsid w:val="009B631F"/>
    <w:rsid w:val="009B65FE"/>
    <w:rsid w:val="009C200A"/>
    <w:rsid w:val="009C24F3"/>
    <w:rsid w:val="009C7023"/>
    <w:rsid w:val="009C79D7"/>
    <w:rsid w:val="009D01B5"/>
    <w:rsid w:val="009D1300"/>
    <w:rsid w:val="009D30DD"/>
    <w:rsid w:val="009D68B6"/>
    <w:rsid w:val="009E0ABB"/>
    <w:rsid w:val="009E1BE2"/>
    <w:rsid w:val="009E2ABA"/>
    <w:rsid w:val="009E2B40"/>
    <w:rsid w:val="009E4584"/>
    <w:rsid w:val="009E4E92"/>
    <w:rsid w:val="009E77B9"/>
    <w:rsid w:val="009F20C3"/>
    <w:rsid w:val="009F2ADE"/>
    <w:rsid w:val="009F4771"/>
    <w:rsid w:val="009F7D22"/>
    <w:rsid w:val="00A02085"/>
    <w:rsid w:val="00A04F73"/>
    <w:rsid w:val="00A07A33"/>
    <w:rsid w:val="00A07BE6"/>
    <w:rsid w:val="00A13190"/>
    <w:rsid w:val="00A16738"/>
    <w:rsid w:val="00A17342"/>
    <w:rsid w:val="00A21636"/>
    <w:rsid w:val="00A2199C"/>
    <w:rsid w:val="00A22B49"/>
    <w:rsid w:val="00A271E7"/>
    <w:rsid w:val="00A33994"/>
    <w:rsid w:val="00A35CB2"/>
    <w:rsid w:val="00A41BC2"/>
    <w:rsid w:val="00A424A1"/>
    <w:rsid w:val="00A455F3"/>
    <w:rsid w:val="00A4630F"/>
    <w:rsid w:val="00A47F08"/>
    <w:rsid w:val="00A50A13"/>
    <w:rsid w:val="00A55CD1"/>
    <w:rsid w:val="00A55D44"/>
    <w:rsid w:val="00A55E1E"/>
    <w:rsid w:val="00A569AE"/>
    <w:rsid w:val="00A57592"/>
    <w:rsid w:val="00A60D3E"/>
    <w:rsid w:val="00A60ECC"/>
    <w:rsid w:val="00A617E4"/>
    <w:rsid w:val="00A61F5A"/>
    <w:rsid w:val="00A621A1"/>
    <w:rsid w:val="00A66515"/>
    <w:rsid w:val="00A66673"/>
    <w:rsid w:val="00A7587D"/>
    <w:rsid w:val="00A76EB0"/>
    <w:rsid w:val="00A8004F"/>
    <w:rsid w:val="00A80674"/>
    <w:rsid w:val="00A81082"/>
    <w:rsid w:val="00A829E9"/>
    <w:rsid w:val="00A82B6F"/>
    <w:rsid w:val="00A83565"/>
    <w:rsid w:val="00A84D22"/>
    <w:rsid w:val="00A855AD"/>
    <w:rsid w:val="00A85DCE"/>
    <w:rsid w:val="00A86EEB"/>
    <w:rsid w:val="00A92C59"/>
    <w:rsid w:val="00A96CB3"/>
    <w:rsid w:val="00A96DFD"/>
    <w:rsid w:val="00A97783"/>
    <w:rsid w:val="00AA037A"/>
    <w:rsid w:val="00AA3B75"/>
    <w:rsid w:val="00AA46D6"/>
    <w:rsid w:val="00AA47F9"/>
    <w:rsid w:val="00AA6522"/>
    <w:rsid w:val="00AA6F43"/>
    <w:rsid w:val="00AB177C"/>
    <w:rsid w:val="00AB1E23"/>
    <w:rsid w:val="00AB4232"/>
    <w:rsid w:val="00AB5AA2"/>
    <w:rsid w:val="00AB60E9"/>
    <w:rsid w:val="00AC22FE"/>
    <w:rsid w:val="00AC2CC4"/>
    <w:rsid w:val="00AC2FFC"/>
    <w:rsid w:val="00AC38E4"/>
    <w:rsid w:val="00AC4C84"/>
    <w:rsid w:val="00AC61D0"/>
    <w:rsid w:val="00AC79D1"/>
    <w:rsid w:val="00AD0A38"/>
    <w:rsid w:val="00AD1317"/>
    <w:rsid w:val="00AD1D8B"/>
    <w:rsid w:val="00AD27A9"/>
    <w:rsid w:val="00AD3A19"/>
    <w:rsid w:val="00AE2843"/>
    <w:rsid w:val="00AE410B"/>
    <w:rsid w:val="00AE5251"/>
    <w:rsid w:val="00AF05AB"/>
    <w:rsid w:val="00AF1391"/>
    <w:rsid w:val="00AF350C"/>
    <w:rsid w:val="00AF3842"/>
    <w:rsid w:val="00AF62D9"/>
    <w:rsid w:val="00AF6985"/>
    <w:rsid w:val="00AF78F5"/>
    <w:rsid w:val="00AF7A71"/>
    <w:rsid w:val="00B0128C"/>
    <w:rsid w:val="00B02133"/>
    <w:rsid w:val="00B02364"/>
    <w:rsid w:val="00B04D56"/>
    <w:rsid w:val="00B121CD"/>
    <w:rsid w:val="00B226EE"/>
    <w:rsid w:val="00B2329D"/>
    <w:rsid w:val="00B2394C"/>
    <w:rsid w:val="00B311E2"/>
    <w:rsid w:val="00B33556"/>
    <w:rsid w:val="00B3521B"/>
    <w:rsid w:val="00B379C7"/>
    <w:rsid w:val="00B37BFB"/>
    <w:rsid w:val="00B4137D"/>
    <w:rsid w:val="00B42F12"/>
    <w:rsid w:val="00B52BD5"/>
    <w:rsid w:val="00B5385F"/>
    <w:rsid w:val="00B558D3"/>
    <w:rsid w:val="00B55922"/>
    <w:rsid w:val="00B55C55"/>
    <w:rsid w:val="00B56662"/>
    <w:rsid w:val="00B60805"/>
    <w:rsid w:val="00B60825"/>
    <w:rsid w:val="00B616F9"/>
    <w:rsid w:val="00B6213B"/>
    <w:rsid w:val="00B62F8D"/>
    <w:rsid w:val="00B71599"/>
    <w:rsid w:val="00B743F8"/>
    <w:rsid w:val="00B75955"/>
    <w:rsid w:val="00B75CEE"/>
    <w:rsid w:val="00B76B05"/>
    <w:rsid w:val="00B80A67"/>
    <w:rsid w:val="00B80E5F"/>
    <w:rsid w:val="00B81E7C"/>
    <w:rsid w:val="00B84DAD"/>
    <w:rsid w:val="00B90B07"/>
    <w:rsid w:val="00B95B91"/>
    <w:rsid w:val="00BA04DE"/>
    <w:rsid w:val="00BA1128"/>
    <w:rsid w:val="00BA17CB"/>
    <w:rsid w:val="00BA2535"/>
    <w:rsid w:val="00BA49C1"/>
    <w:rsid w:val="00BA5E2A"/>
    <w:rsid w:val="00BA672B"/>
    <w:rsid w:val="00BA698C"/>
    <w:rsid w:val="00BA6A8D"/>
    <w:rsid w:val="00BA6FAA"/>
    <w:rsid w:val="00BA7D9F"/>
    <w:rsid w:val="00BB074A"/>
    <w:rsid w:val="00BB28F0"/>
    <w:rsid w:val="00BB4B52"/>
    <w:rsid w:val="00BB5C3A"/>
    <w:rsid w:val="00BB6715"/>
    <w:rsid w:val="00BB7211"/>
    <w:rsid w:val="00BB73A2"/>
    <w:rsid w:val="00BC0054"/>
    <w:rsid w:val="00BC1ED4"/>
    <w:rsid w:val="00BC3CE9"/>
    <w:rsid w:val="00BD01BE"/>
    <w:rsid w:val="00BD2710"/>
    <w:rsid w:val="00BD3963"/>
    <w:rsid w:val="00BD6406"/>
    <w:rsid w:val="00BD6B6F"/>
    <w:rsid w:val="00BE1004"/>
    <w:rsid w:val="00BE21B2"/>
    <w:rsid w:val="00BE284B"/>
    <w:rsid w:val="00BE3B27"/>
    <w:rsid w:val="00BE5C5E"/>
    <w:rsid w:val="00BE66D6"/>
    <w:rsid w:val="00BE7A42"/>
    <w:rsid w:val="00C01327"/>
    <w:rsid w:val="00C02BB0"/>
    <w:rsid w:val="00C05DC6"/>
    <w:rsid w:val="00C0626D"/>
    <w:rsid w:val="00C069FC"/>
    <w:rsid w:val="00C07A13"/>
    <w:rsid w:val="00C10AAF"/>
    <w:rsid w:val="00C11DAF"/>
    <w:rsid w:val="00C122CA"/>
    <w:rsid w:val="00C15F2B"/>
    <w:rsid w:val="00C1666B"/>
    <w:rsid w:val="00C2299D"/>
    <w:rsid w:val="00C23260"/>
    <w:rsid w:val="00C27762"/>
    <w:rsid w:val="00C334AC"/>
    <w:rsid w:val="00C3452B"/>
    <w:rsid w:val="00C351F4"/>
    <w:rsid w:val="00C4020D"/>
    <w:rsid w:val="00C40BD8"/>
    <w:rsid w:val="00C4312C"/>
    <w:rsid w:val="00C43DF1"/>
    <w:rsid w:val="00C44442"/>
    <w:rsid w:val="00C5301B"/>
    <w:rsid w:val="00C606B4"/>
    <w:rsid w:val="00C619C8"/>
    <w:rsid w:val="00C62670"/>
    <w:rsid w:val="00C6274E"/>
    <w:rsid w:val="00C628AB"/>
    <w:rsid w:val="00C64152"/>
    <w:rsid w:val="00C70FBD"/>
    <w:rsid w:val="00C77EDA"/>
    <w:rsid w:val="00C77F68"/>
    <w:rsid w:val="00C82996"/>
    <w:rsid w:val="00C832C0"/>
    <w:rsid w:val="00C834A4"/>
    <w:rsid w:val="00C838C4"/>
    <w:rsid w:val="00C85F01"/>
    <w:rsid w:val="00C8614A"/>
    <w:rsid w:val="00C86E1A"/>
    <w:rsid w:val="00C900D3"/>
    <w:rsid w:val="00C9209D"/>
    <w:rsid w:val="00C93DDA"/>
    <w:rsid w:val="00C94EC8"/>
    <w:rsid w:val="00C9500F"/>
    <w:rsid w:val="00C969EF"/>
    <w:rsid w:val="00CA1521"/>
    <w:rsid w:val="00CA22C4"/>
    <w:rsid w:val="00CB0030"/>
    <w:rsid w:val="00CB062B"/>
    <w:rsid w:val="00CB2116"/>
    <w:rsid w:val="00CB2FDB"/>
    <w:rsid w:val="00CB4B51"/>
    <w:rsid w:val="00CC102D"/>
    <w:rsid w:val="00CC10AC"/>
    <w:rsid w:val="00CD388C"/>
    <w:rsid w:val="00CD4341"/>
    <w:rsid w:val="00CD47C3"/>
    <w:rsid w:val="00CD5ADC"/>
    <w:rsid w:val="00CD658C"/>
    <w:rsid w:val="00CD79DE"/>
    <w:rsid w:val="00CE04F3"/>
    <w:rsid w:val="00CE18B7"/>
    <w:rsid w:val="00CE1D5A"/>
    <w:rsid w:val="00CE2B6D"/>
    <w:rsid w:val="00CE2BFD"/>
    <w:rsid w:val="00CE3EAB"/>
    <w:rsid w:val="00CF53B1"/>
    <w:rsid w:val="00CF638A"/>
    <w:rsid w:val="00D002BD"/>
    <w:rsid w:val="00D02851"/>
    <w:rsid w:val="00D0440C"/>
    <w:rsid w:val="00D078DA"/>
    <w:rsid w:val="00D112A0"/>
    <w:rsid w:val="00D120BF"/>
    <w:rsid w:val="00D12FC4"/>
    <w:rsid w:val="00D14982"/>
    <w:rsid w:val="00D14FC5"/>
    <w:rsid w:val="00D1758D"/>
    <w:rsid w:val="00D22588"/>
    <w:rsid w:val="00D25EE4"/>
    <w:rsid w:val="00D33401"/>
    <w:rsid w:val="00D46DA0"/>
    <w:rsid w:val="00D4792C"/>
    <w:rsid w:val="00D47AE1"/>
    <w:rsid w:val="00D540CC"/>
    <w:rsid w:val="00D60DA5"/>
    <w:rsid w:val="00D61F34"/>
    <w:rsid w:val="00D62334"/>
    <w:rsid w:val="00D62749"/>
    <w:rsid w:val="00D63527"/>
    <w:rsid w:val="00D639E9"/>
    <w:rsid w:val="00D644CA"/>
    <w:rsid w:val="00D65B03"/>
    <w:rsid w:val="00D661FD"/>
    <w:rsid w:val="00D73126"/>
    <w:rsid w:val="00D736EF"/>
    <w:rsid w:val="00D76177"/>
    <w:rsid w:val="00D80A1D"/>
    <w:rsid w:val="00D85AF2"/>
    <w:rsid w:val="00D86C18"/>
    <w:rsid w:val="00D90421"/>
    <w:rsid w:val="00D91A27"/>
    <w:rsid w:val="00D92BF9"/>
    <w:rsid w:val="00D9577D"/>
    <w:rsid w:val="00D96F23"/>
    <w:rsid w:val="00DA2C95"/>
    <w:rsid w:val="00DA58D0"/>
    <w:rsid w:val="00DA7DFD"/>
    <w:rsid w:val="00DB04A3"/>
    <w:rsid w:val="00DB099D"/>
    <w:rsid w:val="00DB153C"/>
    <w:rsid w:val="00DB38C6"/>
    <w:rsid w:val="00DB3E13"/>
    <w:rsid w:val="00DB57EB"/>
    <w:rsid w:val="00DB6172"/>
    <w:rsid w:val="00DB7A89"/>
    <w:rsid w:val="00DC0694"/>
    <w:rsid w:val="00DC144A"/>
    <w:rsid w:val="00DC56DF"/>
    <w:rsid w:val="00DC6006"/>
    <w:rsid w:val="00DC6157"/>
    <w:rsid w:val="00DD07A3"/>
    <w:rsid w:val="00DD0A51"/>
    <w:rsid w:val="00DD205A"/>
    <w:rsid w:val="00DD29F9"/>
    <w:rsid w:val="00DD33A2"/>
    <w:rsid w:val="00DD4342"/>
    <w:rsid w:val="00DD4366"/>
    <w:rsid w:val="00DD5843"/>
    <w:rsid w:val="00DE0418"/>
    <w:rsid w:val="00DE4E50"/>
    <w:rsid w:val="00DE5C84"/>
    <w:rsid w:val="00DE651A"/>
    <w:rsid w:val="00DF20B7"/>
    <w:rsid w:val="00DF210B"/>
    <w:rsid w:val="00DF34D2"/>
    <w:rsid w:val="00DF3906"/>
    <w:rsid w:val="00DF4F63"/>
    <w:rsid w:val="00DF543D"/>
    <w:rsid w:val="00E04254"/>
    <w:rsid w:val="00E06FAF"/>
    <w:rsid w:val="00E10578"/>
    <w:rsid w:val="00E10743"/>
    <w:rsid w:val="00E133B3"/>
    <w:rsid w:val="00E14E03"/>
    <w:rsid w:val="00E14EA6"/>
    <w:rsid w:val="00E155F7"/>
    <w:rsid w:val="00E16080"/>
    <w:rsid w:val="00E17FCE"/>
    <w:rsid w:val="00E200FF"/>
    <w:rsid w:val="00E20236"/>
    <w:rsid w:val="00E21284"/>
    <w:rsid w:val="00E21422"/>
    <w:rsid w:val="00E23BBE"/>
    <w:rsid w:val="00E2657E"/>
    <w:rsid w:val="00E34DE4"/>
    <w:rsid w:val="00E34FA7"/>
    <w:rsid w:val="00E36A80"/>
    <w:rsid w:val="00E37326"/>
    <w:rsid w:val="00E41894"/>
    <w:rsid w:val="00E43715"/>
    <w:rsid w:val="00E43F65"/>
    <w:rsid w:val="00E447AF"/>
    <w:rsid w:val="00E45A98"/>
    <w:rsid w:val="00E51F65"/>
    <w:rsid w:val="00E56CBD"/>
    <w:rsid w:val="00E6107C"/>
    <w:rsid w:val="00E61EF3"/>
    <w:rsid w:val="00E732C4"/>
    <w:rsid w:val="00E7442F"/>
    <w:rsid w:val="00E86EA9"/>
    <w:rsid w:val="00E87CDE"/>
    <w:rsid w:val="00E92A57"/>
    <w:rsid w:val="00EA1C3C"/>
    <w:rsid w:val="00EA1CC6"/>
    <w:rsid w:val="00EA1F80"/>
    <w:rsid w:val="00EA2EBA"/>
    <w:rsid w:val="00EA3F0C"/>
    <w:rsid w:val="00EA4E86"/>
    <w:rsid w:val="00EA76DD"/>
    <w:rsid w:val="00EA79BF"/>
    <w:rsid w:val="00EB6021"/>
    <w:rsid w:val="00EB72D0"/>
    <w:rsid w:val="00EB7949"/>
    <w:rsid w:val="00EC06FF"/>
    <w:rsid w:val="00EC1ED0"/>
    <w:rsid w:val="00EC51A1"/>
    <w:rsid w:val="00EC5F48"/>
    <w:rsid w:val="00ED051B"/>
    <w:rsid w:val="00ED2EBF"/>
    <w:rsid w:val="00ED4D21"/>
    <w:rsid w:val="00ED6CF8"/>
    <w:rsid w:val="00ED7415"/>
    <w:rsid w:val="00ED7C99"/>
    <w:rsid w:val="00EE4B2A"/>
    <w:rsid w:val="00EE4B6F"/>
    <w:rsid w:val="00EE5751"/>
    <w:rsid w:val="00EE6104"/>
    <w:rsid w:val="00EE7BA8"/>
    <w:rsid w:val="00EF30C0"/>
    <w:rsid w:val="00EF63AD"/>
    <w:rsid w:val="00F021C6"/>
    <w:rsid w:val="00F02D0B"/>
    <w:rsid w:val="00F04915"/>
    <w:rsid w:val="00F065F1"/>
    <w:rsid w:val="00F07E68"/>
    <w:rsid w:val="00F11197"/>
    <w:rsid w:val="00F12051"/>
    <w:rsid w:val="00F1441E"/>
    <w:rsid w:val="00F219DF"/>
    <w:rsid w:val="00F232B1"/>
    <w:rsid w:val="00F235B5"/>
    <w:rsid w:val="00F23F78"/>
    <w:rsid w:val="00F2477B"/>
    <w:rsid w:val="00F262E3"/>
    <w:rsid w:val="00F27175"/>
    <w:rsid w:val="00F27670"/>
    <w:rsid w:val="00F35671"/>
    <w:rsid w:val="00F42CCC"/>
    <w:rsid w:val="00F44C91"/>
    <w:rsid w:val="00F45447"/>
    <w:rsid w:val="00F45C2C"/>
    <w:rsid w:val="00F467F3"/>
    <w:rsid w:val="00F507C1"/>
    <w:rsid w:val="00F5305B"/>
    <w:rsid w:val="00F54920"/>
    <w:rsid w:val="00F55CAB"/>
    <w:rsid w:val="00F6286A"/>
    <w:rsid w:val="00F62D76"/>
    <w:rsid w:val="00F63B35"/>
    <w:rsid w:val="00F660D6"/>
    <w:rsid w:val="00F661B1"/>
    <w:rsid w:val="00F66BDA"/>
    <w:rsid w:val="00F714A8"/>
    <w:rsid w:val="00F75070"/>
    <w:rsid w:val="00F76030"/>
    <w:rsid w:val="00F810A7"/>
    <w:rsid w:val="00F81AFA"/>
    <w:rsid w:val="00F823A9"/>
    <w:rsid w:val="00F825FF"/>
    <w:rsid w:val="00F8506F"/>
    <w:rsid w:val="00F8554B"/>
    <w:rsid w:val="00F873D9"/>
    <w:rsid w:val="00F90780"/>
    <w:rsid w:val="00F90851"/>
    <w:rsid w:val="00F90E43"/>
    <w:rsid w:val="00F90F98"/>
    <w:rsid w:val="00F92CB1"/>
    <w:rsid w:val="00F93C80"/>
    <w:rsid w:val="00F94039"/>
    <w:rsid w:val="00F95666"/>
    <w:rsid w:val="00F9673E"/>
    <w:rsid w:val="00F9723E"/>
    <w:rsid w:val="00FA1721"/>
    <w:rsid w:val="00FA3996"/>
    <w:rsid w:val="00FA48A4"/>
    <w:rsid w:val="00FA4B3F"/>
    <w:rsid w:val="00FA4F53"/>
    <w:rsid w:val="00FB0504"/>
    <w:rsid w:val="00FB224F"/>
    <w:rsid w:val="00FB3965"/>
    <w:rsid w:val="00FB497B"/>
    <w:rsid w:val="00FB4E6F"/>
    <w:rsid w:val="00FB5AC8"/>
    <w:rsid w:val="00FB6590"/>
    <w:rsid w:val="00FC3AFB"/>
    <w:rsid w:val="00FC3BF5"/>
    <w:rsid w:val="00FC3E59"/>
    <w:rsid w:val="00FC5A40"/>
    <w:rsid w:val="00FD0B12"/>
    <w:rsid w:val="00FD1107"/>
    <w:rsid w:val="00FD1A8F"/>
    <w:rsid w:val="00FD2554"/>
    <w:rsid w:val="00FD26D2"/>
    <w:rsid w:val="00FD39C7"/>
    <w:rsid w:val="00FE0C2D"/>
    <w:rsid w:val="00FE12E9"/>
    <w:rsid w:val="00FE1382"/>
    <w:rsid w:val="00FE3CF0"/>
    <w:rsid w:val="00FE63A5"/>
    <w:rsid w:val="00FE7A88"/>
    <w:rsid w:val="00FF2128"/>
    <w:rsid w:val="00FF2F31"/>
    <w:rsid w:val="00FF5789"/>
    <w:rsid w:val="00FF6338"/>
    <w:rsid w:val="00FF70E1"/>
    <w:rsid w:val="00FF7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AA7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5"/>
      </w:numPr>
      <w:spacing w:before="0" w:after="0"/>
    </w:pPr>
    <w:rPr>
      <w:b/>
    </w:rPr>
  </w:style>
  <w:style w:type="paragraph" w:customStyle="1" w:styleId="dotpoint">
    <w:name w:val="dot point"/>
    <w:basedOn w:val="Normal"/>
    <w:link w:val="dotpointChar"/>
    <w:rsid w:val="00C3452B"/>
  </w:style>
  <w:style w:type="paragraph" w:customStyle="1" w:styleId="dotpoint2">
    <w:name w:val="dot point 2"/>
    <w:basedOn w:val="Normal"/>
    <w:rsid w:val="00C3452B"/>
    <w:pPr>
      <w:numPr>
        <w:ilvl w:val="1"/>
        <w:numId w:val="6"/>
      </w:numPr>
    </w:pPr>
  </w:style>
  <w:style w:type="numbering" w:customStyle="1" w:styleId="DotPointList">
    <w:name w:val="Dot Point List"/>
    <w:uiPriority w:val="99"/>
    <w:rsid w:val="00C3452B"/>
    <w:pPr>
      <w:numPr>
        <w:numId w:val="6"/>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7"/>
      </w:numPr>
      <w:spacing w:before="200" w:after="200"/>
    </w:pPr>
  </w:style>
  <w:style w:type="paragraph" w:customStyle="1" w:styleId="exampledotpoint2">
    <w:name w:val="example dot point 2"/>
    <w:basedOn w:val="exampletext"/>
    <w:rsid w:val="00C3452B"/>
    <w:pPr>
      <w:numPr>
        <w:ilvl w:val="1"/>
        <w:numId w:val="7"/>
      </w:numPr>
      <w:spacing w:before="200" w:after="200"/>
    </w:pPr>
  </w:style>
  <w:style w:type="numbering" w:customStyle="1" w:styleId="ExampleDotPointList">
    <w:name w:val="Example Dot Point List"/>
    <w:uiPriority w:val="99"/>
    <w:rsid w:val="00C3452B"/>
    <w:pPr>
      <w:numPr>
        <w:numId w:val="7"/>
      </w:numPr>
    </w:pPr>
  </w:style>
  <w:style w:type="paragraph" w:customStyle="1" w:styleId="ExampleHeading">
    <w:name w:val="Example Heading"/>
    <w:basedOn w:val="Normal"/>
    <w:next w:val="exampletext"/>
    <w:rsid w:val="00C3452B"/>
    <w:pPr>
      <w:keepNext/>
      <w:numPr>
        <w:ilvl w:val="3"/>
        <w:numId w:val="5"/>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8"/>
      </w:numPr>
    </w:pPr>
  </w:style>
  <w:style w:type="paragraph" w:styleId="ListBullet2">
    <w:name w:val="List Bullet 2"/>
    <w:basedOn w:val="Normal"/>
    <w:semiHidden/>
    <w:rsid w:val="00C3452B"/>
    <w:pPr>
      <w:numPr>
        <w:numId w:val="9"/>
      </w:numPr>
    </w:pPr>
  </w:style>
  <w:style w:type="paragraph" w:styleId="ListBullet3">
    <w:name w:val="List Bullet 3"/>
    <w:basedOn w:val="Normal"/>
    <w:semiHidden/>
    <w:rsid w:val="00C3452B"/>
    <w:pPr>
      <w:numPr>
        <w:numId w:val="10"/>
      </w:numPr>
    </w:pPr>
  </w:style>
  <w:style w:type="paragraph" w:styleId="ListBullet4">
    <w:name w:val="List Bullet 4"/>
    <w:basedOn w:val="Normal"/>
    <w:semiHidden/>
    <w:rsid w:val="00C3452B"/>
    <w:pPr>
      <w:numPr>
        <w:numId w:val="11"/>
      </w:numPr>
    </w:pPr>
  </w:style>
  <w:style w:type="paragraph" w:styleId="ListBullet5">
    <w:name w:val="List Bullet 5"/>
    <w:basedOn w:val="Normal"/>
    <w:semiHidden/>
    <w:rsid w:val="00C3452B"/>
    <w:pPr>
      <w:numPr>
        <w:numId w:val="12"/>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3"/>
      </w:numPr>
    </w:pPr>
  </w:style>
  <w:style w:type="paragraph" w:styleId="ListNumber2">
    <w:name w:val="List Number 2"/>
    <w:basedOn w:val="Normal"/>
    <w:semiHidden/>
    <w:rsid w:val="00C3452B"/>
    <w:pPr>
      <w:numPr>
        <w:numId w:val="14"/>
      </w:numPr>
    </w:pPr>
  </w:style>
  <w:style w:type="paragraph" w:styleId="ListNumber3">
    <w:name w:val="List Number 3"/>
    <w:basedOn w:val="Normal"/>
    <w:semiHidden/>
    <w:rsid w:val="00C3452B"/>
    <w:pPr>
      <w:numPr>
        <w:numId w:val="15"/>
      </w:numPr>
    </w:pPr>
  </w:style>
  <w:style w:type="paragraph" w:styleId="ListNumber4">
    <w:name w:val="List Number 4"/>
    <w:basedOn w:val="Normal"/>
    <w:semiHidden/>
    <w:rsid w:val="00C3452B"/>
    <w:pPr>
      <w:numPr>
        <w:numId w:val="16"/>
      </w:numPr>
    </w:pPr>
  </w:style>
  <w:style w:type="paragraph" w:styleId="ListNumber5">
    <w:name w:val="List Number 5"/>
    <w:basedOn w:val="Normal"/>
    <w:semiHidden/>
    <w:rsid w:val="00C3452B"/>
    <w:pPr>
      <w:numPr>
        <w:numId w:val="17"/>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8"/>
      </w:numPr>
    </w:pPr>
  </w:style>
  <w:style w:type="paragraph" w:customStyle="1" w:styleId="tabledotpoint2">
    <w:name w:val="table dot point 2"/>
    <w:basedOn w:val="tabletext"/>
    <w:rsid w:val="00C3452B"/>
    <w:pPr>
      <w:numPr>
        <w:ilvl w:val="1"/>
        <w:numId w:val="18"/>
      </w:numPr>
    </w:pPr>
  </w:style>
  <w:style w:type="numbering" w:customStyle="1" w:styleId="TableDotPointList">
    <w:name w:val="Table Dot Point List"/>
    <w:uiPriority w:val="99"/>
    <w:rsid w:val="00C3452B"/>
    <w:pPr>
      <w:numPr>
        <w:numId w:val="18"/>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5"/>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rsid w:val="00470218"/>
    <w:rPr>
      <w:rFonts w:ascii="Times New Roman" w:eastAsia="Times New Roman" w:hAnsi="Times New Roman" w:cs="Times New Roman"/>
      <w:szCs w:val="20"/>
      <w:lang w:eastAsia="en-AU"/>
    </w:rPr>
  </w:style>
  <w:style w:type="paragraph" w:customStyle="1" w:styleId="Bullet">
    <w:name w:val="Bullet"/>
    <w:basedOn w:val="Normal"/>
    <w:link w:val="BulletChar"/>
    <w:rsid w:val="00176E2C"/>
    <w:pPr>
      <w:numPr>
        <w:numId w:val="20"/>
      </w:numPr>
      <w:tabs>
        <w:tab w:val="num" w:pos="2268"/>
      </w:tabs>
    </w:pPr>
  </w:style>
  <w:style w:type="character" w:customStyle="1" w:styleId="dotpointChar">
    <w:name w:val="dot point Char"/>
    <w:basedOn w:val="DefaultParagraphFont"/>
    <w:link w:val="dotpoint"/>
    <w:rsid w:val="00176E2C"/>
    <w:rPr>
      <w:rFonts w:ascii="Times New Roman" w:eastAsia="Times New Roman" w:hAnsi="Times New Roman" w:cs="Times New Roman"/>
      <w:szCs w:val="20"/>
      <w:lang w:eastAsia="en-AU"/>
    </w:rPr>
  </w:style>
  <w:style w:type="character" w:customStyle="1" w:styleId="BulletChar">
    <w:name w:val="Bullet Char"/>
    <w:basedOn w:val="dotpointChar"/>
    <w:link w:val="Bullet"/>
    <w:rsid w:val="00176E2C"/>
    <w:rPr>
      <w:rFonts w:ascii="Times New Roman" w:eastAsia="Times New Roman" w:hAnsi="Times New Roman" w:cs="Times New Roman"/>
      <w:szCs w:val="20"/>
      <w:lang w:eastAsia="en-AU"/>
    </w:rPr>
  </w:style>
  <w:style w:type="paragraph" w:customStyle="1" w:styleId="Dash">
    <w:name w:val="Dash"/>
    <w:basedOn w:val="Normal"/>
    <w:link w:val="DashChar"/>
    <w:uiPriority w:val="99"/>
    <w:rsid w:val="00176E2C"/>
    <w:pPr>
      <w:numPr>
        <w:ilvl w:val="1"/>
        <w:numId w:val="20"/>
      </w:numPr>
      <w:tabs>
        <w:tab w:val="num" w:pos="2268"/>
      </w:tabs>
    </w:pPr>
  </w:style>
  <w:style w:type="character" w:customStyle="1" w:styleId="DashChar">
    <w:name w:val="Dash Char"/>
    <w:basedOn w:val="dotpointChar"/>
    <w:link w:val="Dash"/>
    <w:uiPriority w:val="99"/>
    <w:rsid w:val="00176E2C"/>
    <w:rPr>
      <w:rFonts w:ascii="Times New Roman" w:eastAsia="Times New Roman" w:hAnsi="Times New Roman" w:cs="Times New Roman"/>
      <w:szCs w:val="20"/>
      <w:lang w:eastAsia="en-AU"/>
    </w:rPr>
  </w:style>
  <w:style w:type="paragraph" w:customStyle="1" w:styleId="DoubleDot">
    <w:name w:val="Double Dot"/>
    <w:basedOn w:val="Normal"/>
    <w:link w:val="DoubleDotChar"/>
    <w:uiPriority w:val="99"/>
    <w:rsid w:val="00176E2C"/>
    <w:pPr>
      <w:numPr>
        <w:ilvl w:val="2"/>
        <w:numId w:val="20"/>
      </w:numPr>
      <w:tabs>
        <w:tab w:val="num" w:pos="2268"/>
      </w:tabs>
    </w:pPr>
  </w:style>
  <w:style w:type="character" w:customStyle="1" w:styleId="DoubleDotChar">
    <w:name w:val="Double Dot Char"/>
    <w:basedOn w:val="dotpointChar"/>
    <w:link w:val="DoubleDot"/>
    <w:uiPriority w:val="99"/>
    <w:rsid w:val="00176E2C"/>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885E7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E7E"/>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082FEC"/>
    <w:rPr>
      <w:sz w:val="16"/>
      <w:szCs w:val="16"/>
    </w:rPr>
  </w:style>
  <w:style w:type="paragraph" w:styleId="CommentText">
    <w:name w:val="annotation text"/>
    <w:basedOn w:val="Normal"/>
    <w:link w:val="CommentTextChar"/>
    <w:uiPriority w:val="99"/>
    <w:unhideWhenUsed/>
    <w:rsid w:val="00082FEC"/>
    <w:rPr>
      <w:sz w:val="20"/>
    </w:rPr>
  </w:style>
  <w:style w:type="character" w:customStyle="1" w:styleId="CommentTextChar">
    <w:name w:val="Comment Text Char"/>
    <w:basedOn w:val="DefaultParagraphFont"/>
    <w:link w:val="CommentText"/>
    <w:uiPriority w:val="99"/>
    <w:rsid w:val="00082FE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82FEC"/>
    <w:rPr>
      <w:b/>
      <w:bCs/>
    </w:rPr>
  </w:style>
  <w:style w:type="character" w:customStyle="1" w:styleId="CommentSubjectChar">
    <w:name w:val="Comment Subject Char"/>
    <w:basedOn w:val="CommentTextChar"/>
    <w:link w:val="CommentSubject"/>
    <w:uiPriority w:val="99"/>
    <w:semiHidden/>
    <w:rsid w:val="00082FEC"/>
    <w:rPr>
      <w:rFonts w:ascii="Times New Roman" w:eastAsia="Times New Roman" w:hAnsi="Times New Roman" w:cs="Times New Roman"/>
      <w:b/>
      <w:bCs/>
      <w:sz w:val="20"/>
      <w:szCs w:val="20"/>
      <w:lang w:eastAsia="en-AU"/>
    </w:rPr>
  </w:style>
  <w:style w:type="character" w:styleId="FootnoteReference">
    <w:name w:val="footnote reference"/>
    <w:basedOn w:val="DefaultParagraphFont"/>
    <w:uiPriority w:val="99"/>
    <w:semiHidden/>
    <w:unhideWhenUsed/>
    <w:rsid w:val="00793298"/>
    <w:rPr>
      <w:vertAlign w:val="superscript"/>
    </w:rPr>
  </w:style>
  <w:style w:type="paragraph" w:styleId="Revision">
    <w:name w:val="Revision"/>
    <w:hidden/>
    <w:uiPriority w:val="99"/>
    <w:semiHidden/>
    <w:rsid w:val="00A96CB3"/>
    <w:pPr>
      <w:spacing w:after="0" w:line="240" w:lineRule="auto"/>
    </w:pPr>
    <w:rPr>
      <w:rFonts w:ascii="Times New Roman" w:eastAsia="Times New Roman" w:hAnsi="Times New Roman" w:cs="Times New Roman"/>
      <w:szCs w:val="20"/>
      <w:lang w:eastAsia="en-AU"/>
    </w:rPr>
  </w:style>
  <w:style w:type="paragraph" w:customStyle="1" w:styleId="Default">
    <w:name w:val="Default"/>
    <w:rsid w:val="007536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9232">
      <w:bodyDiv w:val="1"/>
      <w:marLeft w:val="0"/>
      <w:marRight w:val="0"/>
      <w:marTop w:val="0"/>
      <w:marBottom w:val="0"/>
      <w:divBdr>
        <w:top w:val="none" w:sz="0" w:space="0" w:color="auto"/>
        <w:left w:val="none" w:sz="0" w:space="0" w:color="auto"/>
        <w:bottom w:val="none" w:sz="0" w:space="0" w:color="auto"/>
        <w:right w:val="none" w:sz="0" w:space="0" w:color="auto"/>
      </w:divBdr>
    </w:div>
    <w:div w:id="1188373240">
      <w:bodyDiv w:val="1"/>
      <w:marLeft w:val="0"/>
      <w:marRight w:val="0"/>
      <w:marTop w:val="0"/>
      <w:marBottom w:val="0"/>
      <w:divBdr>
        <w:top w:val="none" w:sz="0" w:space="0" w:color="auto"/>
        <w:left w:val="none" w:sz="0" w:space="0" w:color="auto"/>
        <w:bottom w:val="none" w:sz="0" w:space="0" w:color="auto"/>
        <w:right w:val="none" w:sz="0" w:space="0" w:color="auto"/>
      </w:divBdr>
    </w:div>
    <w:div w:id="15747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33256" ma:contentTypeDescription=" " ma:contentTypeScope="" ma:versionID="c5a56f26a321621c737812720bae123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2020MG-93-37537</_dlc_DocId>
    <_dlc_DocIdUrl xmlns="0f563589-9cf9-4143-b1eb-fb0534803d38">
      <Url>http://tweb/sites/mg/fsd/_layouts/15/DocIdRedir.aspx?ID=2020MG-93-37537</Url>
      <Description>2020MG-93-37537</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5B44-A1BA-4858-B86A-470E97D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D10B1-7E6F-4405-B2B5-805FF5B57991}">
  <ds:schemaRefs>
    <ds:schemaRef ds:uri="http://schemas.microsoft.com/sharepoint/v3/contenttype/forms"/>
  </ds:schemaRefs>
</ds:datastoreItem>
</file>

<file path=customXml/itemProps3.xml><?xml version="1.0" encoding="utf-8"?>
<ds:datastoreItem xmlns:ds="http://schemas.openxmlformats.org/officeDocument/2006/customXml" ds:itemID="{4D1A8B2B-657D-46B0-BB9E-FC2DC8C998B3}">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1D9E5F55-2A15-4CE6-ADF3-C9AA559CEDF7}">
  <ds:schemaRefs>
    <ds:schemaRef ds:uri="office.server.policy"/>
  </ds:schemaRefs>
</ds:datastoreItem>
</file>

<file path=customXml/itemProps5.xml><?xml version="1.0" encoding="utf-8"?>
<ds:datastoreItem xmlns:ds="http://schemas.openxmlformats.org/officeDocument/2006/customXml" ds:itemID="{294573FA-9329-4196-920D-80AFB4C82841}">
  <ds:schemaRefs>
    <ds:schemaRef ds:uri="http://schemas.microsoft.com/sharepoint/events"/>
  </ds:schemaRefs>
</ds:datastoreItem>
</file>

<file path=customXml/itemProps6.xml><?xml version="1.0" encoding="utf-8"?>
<ds:datastoreItem xmlns:ds="http://schemas.openxmlformats.org/officeDocument/2006/customXml" ds:itemID="{467566CD-A141-49FB-B944-12FB9CFBD8F1}">
  <ds:schemaRefs>
    <ds:schemaRef ds:uri="http://schemas.microsoft.com/sharepoint/events"/>
  </ds:schemaRefs>
</ds:datastoreItem>
</file>

<file path=customXml/itemProps7.xml><?xml version="1.0" encoding="utf-8"?>
<ds:datastoreItem xmlns:ds="http://schemas.openxmlformats.org/officeDocument/2006/customXml" ds:itemID="{FC81C30F-558E-443C-A690-C01F11C6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19</Pages>
  <Words>4691</Words>
  <Characters>25137</Characters>
  <Application>Microsoft Office Word</Application>
  <DocSecurity>0</DocSecurity>
  <Lines>571</Lines>
  <Paragraphs>182</Paragraphs>
  <ScaleCrop>false</ScaleCrop>
  <HeadingPairs>
    <vt:vector size="2" baseType="variant">
      <vt:variant>
        <vt:lpstr>Title</vt:lpstr>
      </vt:variant>
      <vt:variant>
        <vt:i4>1</vt:i4>
      </vt:variant>
    </vt:vector>
  </HeadingPairs>
  <TitlesOfParts>
    <vt:vector size="1" baseType="lpstr">
      <vt:lpstr>Explanatory Materials for Bill</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for Bill</dc:title>
  <dc:subject/>
  <dc:creator/>
  <cp:keywords/>
  <dc:description/>
  <cp:lastModifiedBy/>
  <cp:revision>1</cp:revision>
  <dcterms:created xsi:type="dcterms:W3CDTF">2020-11-04T04:08:00Z</dcterms:created>
  <dcterms:modified xsi:type="dcterms:W3CDTF">2020-11-04T04:31:00Z</dcterms:modified>
  <dc:language>English</dc:language>
</cp:coreProperties>
</file>