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896C8" w14:textId="77777777" w:rsidR="00E51C8F" w:rsidRDefault="00DE1E7E" w:rsidP="009041AD">
      <w:pPr>
        <w:spacing w:after="200"/>
      </w:pPr>
      <w:bookmarkStart w:id="0" w:name="_GoBack"/>
      <w:bookmarkEnd w:id="0"/>
      <w:r>
        <w:rPr>
          <w:noProof/>
          <w:lang w:eastAsia="en-AU"/>
        </w:rPr>
        <mc:AlternateContent>
          <mc:Choice Requires="wps">
            <w:drawing>
              <wp:anchor distT="0" distB="0" distL="114300" distR="114300" simplePos="0" relativeHeight="251658244" behindDoc="0" locked="0" layoutInCell="1" allowOverlap="1" wp14:anchorId="7988A3C7" wp14:editId="09FFEFB9">
                <wp:simplePos x="0" y="0"/>
                <wp:positionH relativeFrom="column">
                  <wp:posOffset>-91440</wp:posOffset>
                </wp:positionH>
                <wp:positionV relativeFrom="paragraph">
                  <wp:posOffset>6563360</wp:posOffset>
                </wp:positionV>
                <wp:extent cx="2409825" cy="2576195"/>
                <wp:effectExtent l="0" t="0" r="0" b="0"/>
                <wp:wrapNone/>
                <wp:docPr id="8" name="Text Box 8"/>
                <wp:cNvGraphicFramePr/>
                <a:graphic xmlns:a="http://schemas.openxmlformats.org/drawingml/2006/main">
                  <a:graphicData uri="http://schemas.microsoft.com/office/word/2010/wordprocessingShape">
                    <wps:wsp>
                      <wps:cNvSpPr txBox="1"/>
                      <wps:spPr>
                        <a:xfrm>
                          <a:off x="0" y="0"/>
                          <a:ext cx="2409825" cy="2576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D0118" w14:textId="77777777" w:rsidR="00E51C8F" w:rsidRPr="00854660" w:rsidRDefault="00E51C8F" w:rsidP="00854660">
                            <w:pPr>
                              <w:pStyle w:val="Lettertext"/>
                              <w:rPr>
                                <w:b/>
                                <w:color w:val="FFFFFF" w:themeColor="background1"/>
                              </w:rPr>
                            </w:pPr>
                            <w:r w:rsidRPr="00854660">
                              <w:rPr>
                                <w:b/>
                                <w:color w:val="FFFFFF" w:themeColor="background1"/>
                              </w:rPr>
                              <w:t>The Association of Superannuation Funds of Australia Limited</w:t>
                            </w:r>
                          </w:p>
                          <w:p w14:paraId="7F9FBC13" w14:textId="77777777" w:rsidR="00E51C8F" w:rsidRPr="00854660" w:rsidRDefault="00E51C8F" w:rsidP="00854660">
                            <w:pPr>
                              <w:pStyle w:val="Lettertext"/>
                              <w:rPr>
                                <w:color w:val="FFFFFF" w:themeColor="background1"/>
                              </w:rPr>
                            </w:pPr>
                            <w:r w:rsidRPr="00854660">
                              <w:rPr>
                                <w:color w:val="FFFFFF" w:themeColor="background1"/>
                              </w:rPr>
                              <w:t>Level 11, 77 Castlereagh Street</w:t>
                            </w:r>
                          </w:p>
                          <w:p w14:paraId="2DFF143F" w14:textId="77777777" w:rsidR="00E51C8F" w:rsidRPr="00854660" w:rsidRDefault="00E51C8F" w:rsidP="00854660">
                            <w:pPr>
                              <w:pStyle w:val="Lettertext"/>
                              <w:rPr>
                                <w:color w:val="FFFFFF" w:themeColor="background1"/>
                              </w:rPr>
                            </w:pPr>
                            <w:r w:rsidRPr="00854660">
                              <w:rPr>
                                <w:color w:val="FFFFFF" w:themeColor="background1"/>
                              </w:rPr>
                              <w:t>Sydney NSW 2000</w:t>
                            </w:r>
                          </w:p>
                          <w:p w14:paraId="2DB88BBB" w14:textId="77777777" w:rsidR="00E51C8F" w:rsidRPr="00854660" w:rsidRDefault="00E51C8F" w:rsidP="00854660">
                            <w:pPr>
                              <w:pStyle w:val="Lettertext"/>
                              <w:rPr>
                                <w:color w:val="FFFFFF" w:themeColor="background1"/>
                              </w:rPr>
                            </w:pPr>
                          </w:p>
                          <w:p w14:paraId="1BD54C6B" w14:textId="77777777" w:rsidR="00E51C8F" w:rsidRPr="00854660" w:rsidRDefault="00E51C8F" w:rsidP="00854660">
                            <w:pPr>
                              <w:pStyle w:val="Lettertext"/>
                              <w:rPr>
                                <w:color w:val="FFFFFF" w:themeColor="background1"/>
                              </w:rPr>
                            </w:pPr>
                            <w:r w:rsidRPr="00854660">
                              <w:rPr>
                                <w:color w:val="FFFFFF" w:themeColor="background1"/>
                              </w:rPr>
                              <w:t>PO Box 1485</w:t>
                            </w:r>
                          </w:p>
                          <w:p w14:paraId="60E16349" w14:textId="77777777" w:rsidR="00E51C8F" w:rsidRPr="00854660" w:rsidRDefault="00E51C8F" w:rsidP="00854660">
                            <w:pPr>
                              <w:pStyle w:val="Lettertext"/>
                              <w:rPr>
                                <w:color w:val="FFFFFF" w:themeColor="background1"/>
                              </w:rPr>
                            </w:pPr>
                            <w:r w:rsidRPr="00854660">
                              <w:rPr>
                                <w:color w:val="FFFFFF" w:themeColor="background1"/>
                              </w:rPr>
                              <w:t>Sydney NSW 2001</w:t>
                            </w:r>
                          </w:p>
                          <w:p w14:paraId="41AACD1F" w14:textId="77777777" w:rsidR="00E51C8F" w:rsidRPr="00854660" w:rsidRDefault="00E51C8F" w:rsidP="00854660">
                            <w:pPr>
                              <w:pStyle w:val="Lettertext"/>
                              <w:rPr>
                                <w:color w:val="FFFFFF" w:themeColor="background1"/>
                              </w:rPr>
                            </w:pPr>
                          </w:p>
                          <w:p w14:paraId="508C03CA" w14:textId="77777777" w:rsidR="00E51C8F" w:rsidRPr="00854660" w:rsidRDefault="00E51C8F" w:rsidP="00854660">
                            <w:pPr>
                              <w:pStyle w:val="Lettertext"/>
                              <w:rPr>
                                <w:color w:val="FFFFFF" w:themeColor="background1"/>
                              </w:rPr>
                            </w:pPr>
                            <w:r w:rsidRPr="00854660">
                              <w:rPr>
                                <w:b/>
                                <w:color w:val="FFFFFF" w:themeColor="background1"/>
                              </w:rPr>
                              <w:t>T</w:t>
                            </w:r>
                            <w:r w:rsidRPr="00854660">
                              <w:rPr>
                                <w:color w:val="FFFFFF" w:themeColor="background1"/>
                              </w:rPr>
                              <w:tab/>
                              <w:t>+61 2 9264 9300</w:t>
                            </w:r>
                          </w:p>
                          <w:p w14:paraId="267A3AF2" w14:textId="77777777" w:rsidR="00E51C8F" w:rsidRPr="00854660" w:rsidRDefault="00E51C8F" w:rsidP="00854660">
                            <w:pPr>
                              <w:pStyle w:val="Lettertext"/>
                              <w:rPr>
                                <w:color w:val="FFFFFF" w:themeColor="background1"/>
                              </w:rPr>
                            </w:pPr>
                            <w:r w:rsidRPr="00854660">
                              <w:rPr>
                                <w:color w:val="FFFFFF" w:themeColor="background1"/>
                              </w:rPr>
                              <w:tab/>
                              <w:t>1800 812 798 (outside Sydney)</w:t>
                            </w:r>
                          </w:p>
                          <w:p w14:paraId="3A34123B" w14:textId="77777777" w:rsidR="00E51C8F" w:rsidRDefault="00E51C8F" w:rsidP="00854660">
                            <w:pPr>
                              <w:pStyle w:val="Lettertext"/>
                              <w:rPr>
                                <w:color w:val="FFFFFF" w:themeColor="background1"/>
                              </w:rPr>
                            </w:pPr>
                            <w:r w:rsidRPr="00854660">
                              <w:rPr>
                                <w:b/>
                                <w:color w:val="FFFFFF" w:themeColor="background1"/>
                              </w:rPr>
                              <w:t>F</w:t>
                            </w:r>
                            <w:r w:rsidRPr="00854660">
                              <w:rPr>
                                <w:color w:val="FFFFFF" w:themeColor="background1"/>
                              </w:rPr>
                              <w:tab/>
                              <w:t>1300 926 484</w:t>
                            </w:r>
                          </w:p>
                          <w:p w14:paraId="7AAC43BC" w14:textId="77777777" w:rsidR="00DE1E7E" w:rsidRPr="00854660" w:rsidRDefault="00DE1E7E" w:rsidP="00854660">
                            <w:pPr>
                              <w:pStyle w:val="Lettertext"/>
                              <w:rPr>
                                <w:color w:val="FFFFFF" w:themeColor="background1"/>
                              </w:rPr>
                            </w:pPr>
                            <w:r w:rsidRPr="00DE1E7E">
                              <w:rPr>
                                <w:b/>
                                <w:color w:val="FFFFFF" w:themeColor="background1"/>
                              </w:rPr>
                              <w:t>W</w:t>
                            </w:r>
                            <w:r>
                              <w:rPr>
                                <w:color w:val="FFFFFF" w:themeColor="background1"/>
                              </w:rPr>
                              <w:tab/>
                              <w:t>www.superannuation.asn.au</w:t>
                            </w:r>
                          </w:p>
                          <w:p w14:paraId="3DAF8F7D" w14:textId="77777777" w:rsidR="00E51C8F" w:rsidRPr="00854660" w:rsidRDefault="00E51C8F" w:rsidP="00854660">
                            <w:pPr>
                              <w:pStyle w:val="Lettertext"/>
                              <w:rPr>
                                <w:color w:val="FFFFFF" w:themeColor="background1"/>
                              </w:rPr>
                            </w:pPr>
                          </w:p>
                          <w:p w14:paraId="1320828F" w14:textId="77777777" w:rsidR="00E51C8F" w:rsidRPr="00854660" w:rsidRDefault="00E51C8F" w:rsidP="00854660">
                            <w:pPr>
                              <w:pStyle w:val="Lettertext"/>
                              <w:rPr>
                                <w:color w:val="FFFFFF" w:themeColor="background1"/>
                              </w:rPr>
                            </w:pPr>
                            <w:r w:rsidRPr="00854660">
                              <w:rPr>
                                <w:color w:val="FFFFFF" w:themeColor="background1"/>
                              </w:rPr>
                              <w:t>ABN 29 002 786 290 CAN 002 786 290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8A3C7" id="_x0000_t202" coordsize="21600,21600" o:spt="202" path="m,l,21600r21600,l21600,xe">
                <v:stroke joinstyle="miter"/>
                <v:path gradientshapeok="t" o:connecttype="rect"/>
              </v:shapetype>
              <v:shape id="Text Box 8" o:spid="_x0000_s1026" type="#_x0000_t202" style="position:absolute;margin-left:-7.2pt;margin-top:516.8pt;width:189.75pt;height:20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" filled="f" stroked="f" strokeweight=".5pt">
                <v:textbox>
                  <w:txbxContent>
                    <w:p w14:paraId="3D7D0118" w14:textId="77777777" w:rsidR="00E51C8F" w:rsidRPr="00854660" w:rsidRDefault="00E51C8F" w:rsidP="00854660">
                      <w:pPr>
                        <w:pStyle w:val="Lettertext"/>
                        <w:rPr>
                          <w:b/>
                          <w:color w:val="FFFFFF" w:themeColor="background1"/>
                        </w:rPr>
                      </w:pPr>
                      <w:r w:rsidRPr="00854660">
                        <w:rPr>
                          <w:b/>
                          <w:color w:val="FFFFFF" w:themeColor="background1"/>
                        </w:rPr>
                        <w:t>The Association of Superannuation Funds of Australia Limited</w:t>
                      </w:r>
                    </w:p>
                    <w:p w14:paraId="7F9FBC13" w14:textId="77777777" w:rsidR="00E51C8F" w:rsidRPr="00854660" w:rsidRDefault="00E51C8F" w:rsidP="00854660">
                      <w:pPr>
                        <w:pStyle w:val="Lettertext"/>
                        <w:rPr>
                          <w:color w:val="FFFFFF" w:themeColor="background1"/>
                        </w:rPr>
                      </w:pPr>
                      <w:r w:rsidRPr="00854660">
                        <w:rPr>
                          <w:color w:val="FFFFFF" w:themeColor="background1"/>
                        </w:rPr>
                        <w:t>Level 11, 77 Castlereagh Street</w:t>
                      </w:r>
                    </w:p>
                    <w:p w14:paraId="2DFF143F" w14:textId="77777777" w:rsidR="00E51C8F" w:rsidRPr="00854660" w:rsidRDefault="00E51C8F" w:rsidP="00854660">
                      <w:pPr>
                        <w:pStyle w:val="Lettertext"/>
                        <w:rPr>
                          <w:color w:val="FFFFFF" w:themeColor="background1"/>
                        </w:rPr>
                      </w:pPr>
                      <w:r w:rsidRPr="00854660">
                        <w:rPr>
                          <w:color w:val="FFFFFF" w:themeColor="background1"/>
                        </w:rPr>
                        <w:t>Sydney NSW 2000</w:t>
                      </w:r>
                    </w:p>
                    <w:p w14:paraId="2DB88BBB" w14:textId="77777777" w:rsidR="00E51C8F" w:rsidRPr="00854660" w:rsidRDefault="00E51C8F" w:rsidP="00854660">
                      <w:pPr>
                        <w:pStyle w:val="Lettertext"/>
                        <w:rPr>
                          <w:color w:val="FFFFFF" w:themeColor="background1"/>
                        </w:rPr>
                      </w:pPr>
                    </w:p>
                    <w:p w14:paraId="1BD54C6B" w14:textId="77777777" w:rsidR="00E51C8F" w:rsidRPr="00854660" w:rsidRDefault="00E51C8F" w:rsidP="00854660">
                      <w:pPr>
                        <w:pStyle w:val="Lettertext"/>
                        <w:rPr>
                          <w:color w:val="FFFFFF" w:themeColor="background1"/>
                        </w:rPr>
                      </w:pPr>
                      <w:r w:rsidRPr="00854660">
                        <w:rPr>
                          <w:color w:val="FFFFFF" w:themeColor="background1"/>
                        </w:rPr>
                        <w:t>PO Box 1485</w:t>
                      </w:r>
                    </w:p>
                    <w:p w14:paraId="60E16349" w14:textId="77777777" w:rsidR="00E51C8F" w:rsidRPr="00854660" w:rsidRDefault="00E51C8F" w:rsidP="00854660">
                      <w:pPr>
                        <w:pStyle w:val="Lettertext"/>
                        <w:rPr>
                          <w:color w:val="FFFFFF" w:themeColor="background1"/>
                        </w:rPr>
                      </w:pPr>
                      <w:r w:rsidRPr="00854660">
                        <w:rPr>
                          <w:color w:val="FFFFFF" w:themeColor="background1"/>
                        </w:rPr>
                        <w:t>Sydney NSW 2001</w:t>
                      </w:r>
                    </w:p>
                    <w:p w14:paraId="41AACD1F" w14:textId="77777777" w:rsidR="00E51C8F" w:rsidRPr="00854660" w:rsidRDefault="00E51C8F" w:rsidP="00854660">
                      <w:pPr>
                        <w:pStyle w:val="Lettertext"/>
                        <w:rPr>
                          <w:color w:val="FFFFFF" w:themeColor="background1"/>
                        </w:rPr>
                      </w:pPr>
                    </w:p>
                    <w:p w14:paraId="508C03CA" w14:textId="77777777" w:rsidR="00E51C8F" w:rsidRPr="00854660" w:rsidRDefault="00E51C8F" w:rsidP="00854660">
                      <w:pPr>
                        <w:pStyle w:val="Lettertext"/>
                        <w:rPr>
                          <w:color w:val="FFFFFF" w:themeColor="background1"/>
                        </w:rPr>
                      </w:pPr>
                      <w:r w:rsidRPr="00854660">
                        <w:rPr>
                          <w:b/>
                          <w:color w:val="FFFFFF" w:themeColor="background1"/>
                        </w:rPr>
                        <w:t>T</w:t>
                      </w:r>
                      <w:r w:rsidRPr="00854660">
                        <w:rPr>
                          <w:color w:val="FFFFFF" w:themeColor="background1"/>
                        </w:rPr>
                        <w:tab/>
                        <w:t>+61 2 9264 9300</w:t>
                      </w:r>
                    </w:p>
                    <w:p w14:paraId="267A3AF2" w14:textId="77777777" w:rsidR="00E51C8F" w:rsidRPr="00854660" w:rsidRDefault="00E51C8F" w:rsidP="00854660">
                      <w:pPr>
                        <w:pStyle w:val="Lettertext"/>
                        <w:rPr>
                          <w:color w:val="FFFFFF" w:themeColor="background1"/>
                        </w:rPr>
                      </w:pPr>
                      <w:r w:rsidRPr="00854660">
                        <w:rPr>
                          <w:color w:val="FFFFFF" w:themeColor="background1"/>
                        </w:rPr>
                        <w:tab/>
                        <w:t>1800 812 798 (outside Sydney)</w:t>
                      </w:r>
                    </w:p>
                    <w:p w14:paraId="3A34123B" w14:textId="77777777" w:rsidR="00E51C8F" w:rsidRDefault="00E51C8F" w:rsidP="00854660">
                      <w:pPr>
                        <w:pStyle w:val="Lettertext"/>
                        <w:rPr>
                          <w:color w:val="FFFFFF" w:themeColor="background1"/>
                        </w:rPr>
                      </w:pPr>
                      <w:r w:rsidRPr="00854660">
                        <w:rPr>
                          <w:b/>
                          <w:color w:val="FFFFFF" w:themeColor="background1"/>
                        </w:rPr>
                        <w:t>F</w:t>
                      </w:r>
                      <w:r w:rsidRPr="00854660">
                        <w:rPr>
                          <w:color w:val="FFFFFF" w:themeColor="background1"/>
                        </w:rPr>
                        <w:tab/>
                        <w:t>1300 926 484</w:t>
                      </w:r>
                    </w:p>
                    <w:p w14:paraId="7AAC43BC" w14:textId="77777777" w:rsidR="00DE1E7E" w:rsidRPr="00854660" w:rsidRDefault="00DE1E7E" w:rsidP="00854660">
                      <w:pPr>
                        <w:pStyle w:val="Lettertext"/>
                        <w:rPr>
                          <w:color w:val="FFFFFF" w:themeColor="background1"/>
                        </w:rPr>
                      </w:pPr>
                      <w:r w:rsidRPr="00DE1E7E">
                        <w:rPr>
                          <w:b/>
                          <w:color w:val="FFFFFF" w:themeColor="background1"/>
                        </w:rPr>
                        <w:t>W</w:t>
                      </w:r>
                      <w:r>
                        <w:rPr>
                          <w:color w:val="FFFFFF" w:themeColor="background1"/>
                        </w:rPr>
                        <w:tab/>
                        <w:t>www.superannuation.asn.au</w:t>
                      </w:r>
                    </w:p>
                    <w:p w14:paraId="3DAF8F7D" w14:textId="77777777" w:rsidR="00E51C8F" w:rsidRPr="00854660" w:rsidRDefault="00E51C8F" w:rsidP="00854660">
                      <w:pPr>
                        <w:pStyle w:val="Lettertext"/>
                        <w:rPr>
                          <w:color w:val="FFFFFF" w:themeColor="background1"/>
                        </w:rPr>
                      </w:pPr>
                    </w:p>
                    <w:p w14:paraId="1320828F" w14:textId="77777777" w:rsidR="00E51C8F" w:rsidRPr="00854660" w:rsidRDefault="00E51C8F" w:rsidP="00854660">
                      <w:pPr>
                        <w:pStyle w:val="Lettertext"/>
                        <w:rPr>
                          <w:color w:val="FFFFFF" w:themeColor="background1"/>
                        </w:rPr>
                      </w:pPr>
                      <w:r w:rsidRPr="00854660">
                        <w:rPr>
                          <w:color w:val="FFFFFF" w:themeColor="background1"/>
                        </w:rPr>
                        <w:t>ABN 29 002 786 290 CAN 002 786 290</w:t>
                      </w:r>
                    </w:p>
                  </w:txbxContent>
                </v:textbox>
              </v:shape>
            </w:pict>
          </mc:Fallback>
        </mc:AlternateContent>
      </w:r>
      <w:r w:rsidR="000039A4">
        <w:rPr>
          <w:noProof/>
          <w:lang w:eastAsia="en-AU"/>
        </w:rPr>
        <mc:AlternateContent>
          <mc:Choice Requires="wps">
            <w:drawing>
              <wp:anchor distT="0" distB="0" distL="114300" distR="114300" simplePos="0" relativeHeight="251658243" behindDoc="0" locked="0" layoutInCell="1" allowOverlap="1" wp14:anchorId="3A9C4B5F" wp14:editId="19045A13">
                <wp:simplePos x="0" y="0"/>
                <wp:positionH relativeFrom="column">
                  <wp:posOffset>3147060</wp:posOffset>
                </wp:positionH>
                <wp:positionV relativeFrom="paragraph">
                  <wp:posOffset>1424940</wp:posOffset>
                </wp:positionV>
                <wp:extent cx="3429000" cy="3576638"/>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3429000" cy="35766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F5770" w14:textId="4013006E" w:rsidR="00E51C8F" w:rsidRPr="000039A4" w:rsidRDefault="004C2987" w:rsidP="00E51C8F">
                            <w:pPr>
                              <w:rPr>
                                <w:sz w:val="48"/>
                                <w:szCs w:val="48"/>
                              </w:rPr>
                            </w:pPr>
                            <w:r>
                              <w:rPr>
                                <w:sz w:val="48"/>
                                <w:szCs w:val="48"/>
                              </w:rPr>
                              <w:t>S</w:t>
                            </w:r>
                            <w:r w:rsidR="000039A4">
                              <w:rPr>
                                <w:sz w:val="48"/>
                                <w:szCs w:val="48"/>
                              </w:rPr>
                              <w:t>ubmission</w:t>
                            </w:r>
                            <w:r>
                              <w:rPr>
                                <w:sz w:val="48"/>
                                <w:szCs w:val="48"/>
                              </w:rPr>
                              <w:t xml:space="preserve"> to </w:t>
                            </w:r>
                            <w:r w:rsidR="00616056">
                              <w:rPr>
                                <w:sz w:val="48"/>
                                <w:szCs w:val="48"/>
                              </w:rPr>
                              <w:t>Treasury</w:t>
                            </w:r>
                            <w:r>
                              <w:rPr>
                                <w:sz w:val="48"/>
                                <w:szCs w:val="48"/>
                              </w:rPr>
                              <w:t xml:space="preserve"> ― </w:t>
                            </w:r>
                            <w:r w:rsidR="00616056">
                              <w:rPr>
                                <w:sz w:val="48"/>
                                <w:szCs w:val="48"/>
                              </w:rPr>
                              <w:t xml:space="preserve">Miscellaneous amendments to Treasury portfolio laws 2020 </w:t>
                            </w:r>
                          </w:p>
                          <w:tbl>
                            <w:tblPr>
                              <w:tblStyle w:val="TableGrid"/>
                              <w:tblW w:w="0" w:type="auto"/>
                              <w:tblLook w:val="04A0" w:firstRow="1" w:lastRow="0" w:firstColumn="1" w:lastColumn="0" w:noHBand="0" w:noVBand="1"/>
                            </w:tblPr>
                            <w:tblGrid>
                              <w:gridCol w:w="5117"/>
                            </w:tblGrid>
                            <w:tr w:rsidR="00E51C8F" w:rsidRPr="000039A4" w14:paraId="04F55AE8" w14:textId="77777777" w:rsidTr="001B6CC4">
                              <w:tc>
                                <w:tcPr>
                                  <w:tcW w:w="5117" w:type="dxa"/>
                                  <w:tcBorders>
                                    <w:top w:val="single" w:sz="4" w:space="0" w:color="009FC3"/>
                                    <w:left w:val="nil"/>
                                    <w:bottom w:val="nil"/>
                                    <w:right w:val="nil"/>
                                  </w:tcBorders>
                                </w:tcPr>
                                <w:p w14:paraId="725A1570" w14:textId="5051213D" w:rsidR="00E51C8F" w:rsidRPr="000039A4" w:rsidRDefault="00616056" w:rsidP="001B6CC4">
                                  <w:pPr>
                                    <w:rPr>
                                      <w:sz w:val="48"/>
                                      <w:szCs w:val="48"/>
                                    </w:rPr>
                                  </w:pPr>
                                  <w:r>
                                    <w:rPr>
                                      <w:color w:val="009FC3"/>
                                      <w:sz w:val="48"/>
                                      <w:szCs w:val="48"/>
                                    </w:rPr>
                                    <w:t>17 November 2020</w:t>
                                  </w:r>
                                </w:p>
                              </w:tc>
                            </w:tr>
                          </w:tbl>
                          <w:p w14:paraId="53AD3B70" w14:textId="77777777" w:rsidR="00E51C8F" w:rsidRPr="000039A4" w:rsidRDefault="00E51C8F" w:rsidP="00E51C8F">
                            <w:pPr>
                              <w:spacing w:after="0"/>
                              <w:rPr>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C4B5F" id="Text Box 7" o:spid="_x0000_s1027" type="#_x0000_t202" style="position:absolute;margin-left:247.8pt;margin-top:112.2pt;width:270pt;height:281.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" filled="f" stroked="f" strokeweight=".5pt">
                <v:textbox>
                  <w:txbxContent>
                    <w:p w14:paraId="09CF5770" w14:textId="4013006E" w:rsidR="00E51C8F" w:rsidRPr="000039A4" w:rsidRDefault="004C2987" w:rsidP="00E51C8F">
                      <w:pPr>
                        <w:rPr>
                          <w:sz w:val="48"/>
                          <w:szCs w:val="48"/>
                        </w:rPr>
                      </w:pPr>
                      <w:r>
                        <w:rPr>
                          <w:sz w:val="48"/>
                          <w:szCs w:val="48"/>
                        </w:rPr>
                        <w:t>S</w:t>
                      </w:r>
                      <w:r w:rsidR="000039A4">
                        <w:rPr>
                          <w:sz w:val="48"/>
                          <w:szCs w:val="48"/>
                        </w:rPr>
                        <w:t>ubmission</w:t>
                      </w:r>
                      <w:r>
                        <w:rPr>
                          <w:sz w:val="48"/>
                          <w:szCs w:val="48"/>
                        </w:rPr>
                        <w:t xml:space="preserve"> to </w:t>
                      </w:r>
                      <w:r w:rsidR="00616056">
                        <w:rPr>
                          <w:sz w:val="48"/>
                          <w:szCs w:val="48"/>
                        </w:rPr>
                        <w:t>Treasury</w:t>
                      </w:r>
                      <w:r>
                        <w:rPr>
                          <w:sz w:val="48"/>
                          <w:szCs w:val="48"/>
                        </w:rPr>
                        <w:t xml:space="preserve"> ― </w:t>
                      </w:r>
                      <w:r w:rsidR="00616056">
                        <w:rPr>
                          <w:sz w:val="48"/>
                          <w:szCs w:val="48"/>
                        </w:rPr>
                        <w:t xml:space="preserve">Miscellaneous amendments to Treasury portfolio laws 2020 </w:t>
                      </w:r>
                    </w:p>
                    <w:tbl>
                      <w:tblPr>
                        <w:tblStyle w:val="TableGrid"/>
                        <w:tblW w:w="0" w:type="auto"/>
                        <w:tblLook w:val="04A0" w:firstRow="1" w:lastRow="0" w:firstColumn="1" w:lastColumn="0" w:noHBand="0" w:noVBand="1"/>
                      </w:tblPr>
                      <w:tblGrid>
                        <w:gridCol w:w="5117"/>
                      </w:tblGrid>
                      <w:tr w:rsidR="00E51C8F" w:rsidRPr="000039A4" w14:paraId="04F55AE8" w14:textId="77777777" w:rsidTr="001B6CC4">
                        <w:tc>
                          <w:tcPr>
                            <w:tcW w:w="5117" w:type="dxa"/>
                            <w:tcBorders>
                              <w:top w:val="single" w:sz="4" w:space="0" w:color="009FC3"/>
                              <w:left w:val="nil"/>
                              <w:bottom w:val="nil"/>
                              <w:right w:val="nil"/>
                            </w:tcBorders>
                          </w:tcPr>
                          <w:p w14:paraId="725A1570" w14:textId="5051213D" w:rsidR="00E51C8F" w:rsidRPr="000039A4" w:rsidRDefault="00616056" w:rsidP="001B6CC4">
                            <w:pPr>
                              <w:rPr>
                                <w:sz w:val="48"/>
                                <w:szCs w:val="48"/>
                              </w:rPr>
                            </w:pPr>
                            <w:r>
                              <w:rPr>
                                <w:color w:val="009FC3"/>
                                <w:sz w:val="48"/>
                                <w:szCs w:val="48"/>
                              </w:rPr>
                              <w:t>17 November 2020</w:t>
                            </w:r>
                          </w:p>
                        </w:tc>
                      </w:tr>
                    </w:tbl>
                    <w:p w14:paraId="53AD3B70" w14:textId="77777777" w:rsidR="00E51C8F" w:rsidRPr="000039A4" w:rsidRDefault="00E51C8F" w:rsidP="00E51C8F">
                      <w:pPr>
                        <w:spacing w:after="0"/>
                        <w:rPr>
                          <w:sz w:val="48"/>
                          <w:szCs w:val="48"/>
                        </w:rPr>
                      </w:pPr>
                    </w:p>
                  </w:txbxContent>
                </v:textbox>
              </v:shape>
            </w:pict>
          </mc:Fallback>
        </mc:AlternateContent>
      </w:r>
      <w:r w:rsidR="00AB292A">
        <w:rPr>
          <w:noProof/>
          <w:lang w:eastAsia="en-AU"/>
        </w:rPr>
        <mc:AlternateContent>
          <mc:Choice Requires="wps">
            <w:drawing>
              <wp:anchor distT="0" distB="0" distL="114300" distR="114300" simplePos="0" relativeHeight="251658242" behindDoc="0" locked="0" layoutInCell="1" allowOverlap="1" wp14:anchorId="57004738" wp14:editId="40B911A6">
                <wp:simplePos x="0" y="0"/>
                <wp:positionH relativeFrom="column">
                  <wp:posOffset>-306070</wp:posOffset>
                </wp:positionH>
                <wp:positionV relativeFrom="paragraph">
                  <wp:posOffset>1377315</wp:posOffset>
                </wp:positionV>
                <wp:extent cx="2914650" cy="8572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914650"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462E63" w14:textId="77777777" w:rsidR="00E51C8F" w:rsidRPr="00801631" w:rsidRDefault="00E51C8F" w:rsidP="00E51C8F">
                            <w:pPr>
                              <w:jc w:val="right"/>
                              <w:rPr>
                                <w:color w:val="FFFFFF" w:themeColor="background1"/>
                                <w:sz w:val="80"/>
                                <w:szCs w:val="80"/>
                              </w:rPr>
                            </w:pPr>
                            <w:r w:rsidRPr="00801631">
                              <w:rPr>
                                <w:color w:val="FFFFFF" w:themeColor="background1"/>
                                <w:sz w:val="80"/>
                                <w:szCs w:val="80"/>
                              </w:rPr>
                              <w:t>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04738" id="Text Box 5" o:spid="_x0000_s1028" type="#_x0000_t202" style="position:absolute;margin-left:-24.1pt;margin-top:108.45pt;width:229.5pt;height: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" filled="f" stroked="f" strokeweight=".5pt">
                <v:textbox>
                  <w:txbxContent>
                    <w:p w14:paraId="7B462E63" w14:textId="77777777" w:rsidR="00E51C8F" w:rsidRPr="00801631" w:rsidRDefault="00E51C8F" w:rsidP="00E51C8F">
                      <w:pPr>
                        <w:jc w:val="right"/>
                        <w:rPr>
                          <w:color w:val="FFFFFF" w:themeColor="background1"/>
                          <w:sz w:val="80"/>
                          <w:szCs w:val="80"/>
                        </w:rPr>
                      </w:pPr>
                      <w:r w:rsidRPr="00801631">
                        <w:rPr>
                          <w:color w:val="FFFFFF" w:themeColor="background1"/>
                          <w:sz w:val="80"/>
                          <w:szCs w:val="80"/>
                        </w:rPr>
                        <w:t>SUBMISSION</w:t>
                      </w:r>
                    </w:p>
                  </w:txbxContent>
                </v:textbox>
              </v:shape>
            </w:pict>
          </mc:Fallback>
        </mc:AlternateContent>
      </w:r>
      <w:r w:rsidR="00523D1D">
        <w:rPr>
          <w:noProof/>
          <w:lang w:eastAsia="en-AU"/>
        </w:rPr>
        <mc:AlternateContent>
          <mc:Choice Requires="wps">
            <w:drawing>
              <wp:anchor distT="0" distB="0" distL="114300" distR="114300" simplePos="0" relativeHeight="251658241" behindDoc="0" locked="0" layoutInCell="1" allowOverlap="1" wp14:anchorId="16E6F323" wp14:editId="350A336C">
                <wp:simplePos x="0" y="0"/>
                <wp:positionH relativeFrom="column">
                  <wp:posOffset>-322580</wp:posOffset>
                </wp:positionH>
                <wp:positionV relativeFrom="paragraph">
                  <wp:posOffset>-680085</wp:posOffset>
                </wp:positionV>
                <wp:extent cx="3019425" cy="986790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3019425" cy="9867900"/>
                        </a:xfrm>
                        <a:prstGeom prst="roundRect">
                          <a:avLst>
                            <a:gd name="adj" fmla="val 0"/>
                          </a:avLst>
                        </a:prstGeom>
                        <a:solidFill>
                          <a:srgbClr val="009FC3"/>
                        </a:solidFill>
                        <a:ln>
                          <a:solidFill>
                            <a:srgbClr val="009FC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8BA1309" id="Rounded Rectangle 3" o:spid="_x0000_s1026" style="position:absolute;margin-left:-25.4pt;margin-top:-53.55pt;width:237.7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" fillcolor="#009fc3" strokecolor="#009fc3" strokeweight="2pt"/>
            </w:pict>
          </mc:Fallback>
        </mc:AlternateContent>
      </w:r>
      <w:r w:rsidR="00E51C8F">
        <w:rPr>
          <w:noProof/>
          <w:lang w:eastAsia="en-AU"/>
        </w:rPr>
        <w:drawing>
          <wp:anchor distT="0" distB="0" distL="114300" distR="114300" simplePos="0" relativeHeight="251658240" behindDoc="0" locked="0" layoutInCell="1" allowOverlap="1" wp14:anchorId="6363886E" wp14:editId="7C75C7C3">
            <wp:simplePos x="0" y="0"/>
            <wp:positionH relativeFrom="column">
              <wp:posOffset>5156835</wp:posOffset>
            </wp:positionH>
            <wp:positionV relativeFrom="paragraph">
              <wp:posOffset>-508635</wp:posOffset>
            </wp:positionV>
            <wp:extent cx="1416685" cy="8477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FA corp blu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6685" cy="847725"/>
                    </a:xfrm>
                    <a:prstGeom prst="rect">
                      <a:avLst/>
                    </a:prstGeom>
                  </pic:spPr>
                </pic:pic>
              </a:graphicData>
            </a:graphic>
            <wp14:sizeRelH relativeFrom="margin">
              <wp14:pctWidth>0</wp14:pctWidth>
            </wp14:sizeRelH>
            <wp14:sizeRelV relativeFrom="margin">
              <wp14:pctHeight>0</wp14:pctHeight>
            </wp14:sizeRelV>
          </wp:anchor>
        </w:drawing>
      </w:r>
    </w:p>
    <w:p w14:paraId="437D34D9" w14:textId="77777777" w:rsidR="00557C1F" w:rsidRDefault="00557C1F" w:rsidP="009041AD">
      <w:pPr>
        <w:spacing w:after="200"/>
        <w:sectPr w:rsidR="00557C1F" w:rsidSect="0093079C">
          <w:headerReference w:type="default" r:id="rId14"/>
          <w:pgSz w:w="11906" w:h="16838" w:code="9"/>
          <w:pgMar w:top="1701" w:right="1134" w:bottom="1701" w:left="1134" w:header="709" w:footer="709" w:gutter="0"/>
          <w:cols w:space="708"/>
          <w:docGrid w:linePitch="360"/>
        </w:sectPr>
      </w:pPr>
    </w:p>
    <w:p w14:paraId="35613988" w14:textId="4448A182" w:rsidR="007441F3" w:rsidRPr="007521E5" w:rsidRDefault="00E51C8F" w:rsidP="009041AD">
      <w:pPr>
        <w:pStyle w:val="Lettertext"/>
        <w:spacing w:after="200"/>
        <w:rPr>
          <w:color w:val="auto"/>
        </w:rPr>
      </w:pPr>
      <w:r w:rsidRPr="007521E5">
        <w:rPr>
          <w:color w:val="auto"/>
        </w:rPr>
        <w:lastRenderedPageBreak/>
        <w:t>File: 20</w:t>
      </w:r>
      <w:r w:rsidR="00061624">
        <w:rPr>
          <w:color w:val="auto"/>
        </w:rPr>
        <w:t>20</w:t>
      </w:r>
      <w:r w:rsidRPr="007521E5">
        <w:rPr>
          <w:color w:val="auto"/>
        </w:rPr>
        <w:t>/</w:t>
      </w:r>
      <w:r w:rsidR="00F02623">
        <w:rPr>
          <w:color w:val="auto"/>
        </w:rPr>
        <w:t>31</w:t>
      </w:r>
    </w:p>
    <w:p w14:paraId="6DE8E1EE" w14:textId="77777777" w:rsidR="009041AD" w:rsidRPr="007521E5" w:rsidRDefault="009041AD" w:rsidP="009041AD">
      <w:pPr>
        <w:pStyle w:val="Lettertext"/>
        <w:spacing w:after="200"/>
        <w:rPr>
          <w:color w:val="auto"/>
        </w:rPr>
      </w:pPr>
    </w:p>
    <w:p w14:paraId="1A306B43" w14:textId="0662D4E3" w:rsidR="00E51C8F" w:rsidRPr="007521E5" w:rsidRDefault="00D3043F" w:rsidP="009041AD">
      <w:pPr>
        <w:pStyle w:val="Lettertext"/>
        <w:spacing w:after="120"/>
        <w:rPr>
          <w:color w:val="auto"/>
        </w:rPr>
      </w:pPr>
      <w:r w:rsidRPr="007521E5">
        <w:rPr>
          <w:color w:val="auto"/>
        </w:rPr>
        <w:t>Law Design Office</w:t>
      </w:r>
    </w:p>
    <w:p w14:paraId="188DC6E2" w14:textId="217B4677" w:rsidR="00D3043F" w:rsidRPr="007521E5" w:rsidRDefault="00D3043F" w:rsidP="009041AD">
      <w:pPr>
        <w:pStyle w:val="Lettertext"/>
        <w:spacing w:after="120"/>
        <w:rPr>
          <w:color w:val="auto"/>
        </w:rPr>
      </w:pPr>
      <w:r w:rsidRPr="007521E5">
        <w:rPr>
          <w:color w:val="auto"/>
        </w:rPr>
        <w:t>Treasury</w:t>
      </w:r>
    </w:p>
    <w:p w14:paraId="114B1894" w14:textId="48150ED2" w:rsidR="002B0F1B" w:rsidRPr="007521E5" w:rsidRDefault="002B0F1B" w:rsidP="009041AD">
      <w:pPr>
        <w:pStyle w:val="Lettertext"/>
        <w:spacing w:after="120"/>
        <w:rPr>
          <w:color w:val="auto"/>
        </w:rPr>
      </w:pPr>
      <w:r w:rsidRPr="007521E5">
        <w:rPr>
          <w:color w:val="auto"/>
        </w:rPr>
        <w:t>Langton Crescent</w:t>
      </w:r>
    </w:p>
    <w:p w14:paraId="6AE6655A" w14:textId="58D0DD95" w:rsidR="002B0F1B" w:rsidRPr="007521E5" w:rsidRDefault="002B0F1B" w:rsidP="009041AD">
      <w:pPr>
        <w:pStyle w:val="Lettertext"/>
        <w:spacing w:after="120"/>
        <w:rPr>
          <w:color w:val="auto"/>
        </w:rPr>
      </w:pPr>
      <w:r w:rsidRPr="007521E5">
        <w:rPr>
          <w:color w:val="auto"/>
        </w:rPr>
        <w:t>Parkes ACT 2600</w:t>
      </w:r>
    </w:p>
    <w:p w14:paraId="2CA9FC0F" w14:textId="6744899C" w:rsidR="00E51C8F" w:rsidRPr="00E51C8F" w:rsidRDefault="00E51C8F" w:rsidP="009041AD">
      <w:pPr>
        <w:pStyle w:val="Lettertext"/>
        <w:spacing w:after="200"/>
      </w:pPr>
      <w:r w:rsidRPr="007521E5">
        <w:rPr>
          <w:color w:val="auto"/>
        </w:rPr>
        <w:t>Via email:</w:t>
      </w:r>
      <w:r w:rsidR="009041AD" w:rsidRPr="007521E5">
        <w:rPr>
          <w:color w:val="auto"/>
        </w:rPr>
        <w:t xml:space="preserve"> </w:t>
      </w:r>
      <w:hyperlink r:id="rId15" w:history="1">
        <w:r w:rsidR="00ED0F18" w:rsidRPr="00761CA8">
          <w:rPr>
            <w:rStyle w:val="Hyperlink"/>
          </w:rPr>
          <w:t>miscamendments@treasury.gov.au</w:t>
        </w:r>
      </w:hyperlink>
      <w:r w:rsidR="00ED0F18">
        <w:t xml:space="preserve"> </w:t>
      </w:r>
    </w:p>
    <w:p w14:paraId="412900ED" w14:textId="77777777" w:rsidR="00E51C8F" w:rsidRPr="007521E5" w:rsidRDefault="00E51C8F" w:rsidP="009041AD">
      <w:pPr>
        <w:pStyle w:val="Lettertext"/>
        <w:spacing w:after="200"/>
        <w:rPr>
          <w:color w:val="auto"/>
        </w:rPr>
      </w:pPr>
    </w:p>
    <w:p w14:paraId="5D156235" w14:textId="77777777" w:rsidR="00E51C8F" w:rsidRPr="007521E5" w:rsidRDefault="00E51C8F" w:rsidP="009041AD">
      <w:pPr>
        <w:pStyle w:val="Lettertext"/>
        <w:spacing w:after="200"/>
        <w:rPr>
          <w:color w:val="auto"/>
        </w:rPr>
      </w:pPr>
    </w:p>
    <w:p w14:paraId="18656A7E" w14:textId="40E9FE40" w:rsidR="00E51C8F" w:rsidRPr="007521E5" w:rsidRDefault="00ED0F18" w:rsidP="009041AD">
      <w:pPr>
        <w:pStyle w:val="Lettertext"/>
        <w:spacing w:after="200"/>
        <w:rPr>
          <w:color w:val="auto"/>
        </w:rPr>
      </w:pPr>
      <w:r w:rsidRPr="007521E5">
        <w:rPr>
          <w:color w:val="auto"/>
        </w:rPr>
        <w:t>17 November 2020</w:t>
      </w:r>
    </w:p>
    <w:p w14:paraId="05B31215" w14:textId="77777777" w:rsidR="00E51C8F" w:rsidRPr="007521E5" w:rsidRDefault="00E51C8F" w:rsidP="009041AD">
      <w:pPr>
        <w:pStyle w:val="Lettertext"/>
        <w:spacing w:after="200"/>
        <w:rPr>
          <w:color w:val="auto"/>
        </w:rPr>
      </w:pPr>
    </w:p>
    <w:p w14:paraId="41C96CD8" w14:textId="549B4995" w:rsidR="00E51C8F" w:rsidRPr="007521E5" w:rsidRDefault="00E51C8F" w:rsidP="009041AD">
      <w:pPr>
        <w:pStyle w:val="Lettertext"/>
        <w:spacing w:after="200"/>
        <w:rPr>
          <w:color w:val="auto"/>
        </w:rPr>
      </w:pPr>
      <w:r w:rsidRPr="007521E5">
        <w:rPr>
          <w:color w:val="auto"/>
        </w:rPr>
        <w:t xml:space="preserve">Dear </w:t>
      </w:r>
      <w:r w:rsidR="00ED0F18" w:rsidRPr="007521E5">
        <w:rPr>
          <w:color w:val="auto"/>
        </w:rPr>
        <w:t>Sir/Madam</w:t>
      </w:r>
    </w:p>
    <w:p w14:paraId="676183AA" w14:textId="00B3030D" w:rsidR="00E51C8F" w:rsidRPr="007521E5" w:rsidRDefault="007521E5" w:rsidP="00D72795">
      <w:pPr>
        <w:pStyle w:val="Subhead1"/>
        <w:rPr>
          <w:color w:val="auto"/>
        </w:rPr>
      </w:pPr>
      <w:r w:rsidRPr="007521E5">
        <w:rPr>
          <w:color w:val="auto"/>
        </w:rPr>
        <w:t xml:space="preserve">Miscellaneous amendments to </w:t>
      </w:r>
      <w:r w:rsidR="00ED0F18" w:rsidRPr="007521E5">
        <w:rPr>
          <w:color w:val="auto"/>
        </w:rPr>
        <w:t>Treasury portfolio laws 2020</w:t>
      </w:r>
    </w:p>
    <w:p w14:paraId="0B63BC06" w14:textId="5BC6C9F8" w:rsidR="00C77ADE" w:rsidRDefault="009269F1" w:rsidP="00C77ADE">
      <w:pPr>
        <w:spacing w:before="0"/>
        <w:ind w:right="-471"/>
        <w:rPr>
          <w:rFonts w:eastAsia="Times New Roman" w:cs="Times New Roman"/>
          <w:color w:val="auto"/>
          <w:lang w:eastAsia="en-AU"/>
        </w:rPr>
      </w:pPr>
      <w:r w:rsidRPr="007521E5">
        <w:rPr>
          <w:rFonts w:eastAsia="Times New Roman" w:cs="Times New Roman"/>
          <w:color w:val="auto"/>
          <w:lang w:eastAsia="en-AU"/>
        </w:rPr>
        <w:t xml:space="preserve">The Association of Superannuation Funds of Australia (ASFA) is pleased to provide this submission in response to </w:t>
      </w:r>
      <w:r w:rsidR="000B5135">
        <w:rPr>
          <w:rFonts w:eastAsia="Times New Roman" w:cs="Times New Roman"/>
          <w:color w:val="auto"/>
          <w:lang w:eastAsia="en-AU"/>
        </w:rPr>
        <w:t xml:space="preserve">the </w:t>
      </w:r>
      <w:r w:rsidR="00A26A13">
        <w:rPr>
          <w:rFonts w:eastAsia="Times New Roman" w:cs="Times New Roman"/>
          <w:color w:val="auto"/>
          <w:lang w:eastAsia="en-AU"/>
        </w:rPr>
        <w:t xml:space="preserve">package of </w:t>
      </w:r>
      <w:r w:rsidR="003E144D">
        <w:rPr>
          <w:rFonts w:eastAsia="Times New Roman" w:cs="Times New Roman"/>
          <w:color w:val="auto"/>
          <w:lang w:eastAsia="en-AU"/>
        </w:rPr>
        <w:t xml:space="preserve">proposed </w:t>
      </w:r>
      <w:r w:rsidR="000B5135">
        <w:rPr>
          <w:rFonts w:eastAsia="Times New Roman" w:cs="Times New Roman"/>
          <w:color w:val="auto"/>
          <w:lang w:eastAsia="en-AU"/>
        </w:rPr>
        <w:t>miscellaneous amendments to Treasury portfolio laws</w:t>
      </w:r>
      <w:r w:rsidR="005F35BA">
        <w:rPr>
          <w:rFonts w:eastAsia="Times New Roman" w:cs="Times New Roman"/>
          <w:color w:val="auto"/>
          <w:lang w:eastAsia="en-AU"/>
        </w:rPr>
        <w:t xml:space="preserve"> released on </w:t>
      </w:r>
      <w:r w:rsidR="00EA50D6">
        <w:rPr>
          <w:rFonts w:eastAsia="Times New Roman" w:cs="Times New Roman"/>
          <w:color w:val="auto"/>
          <w:lang w:eastAsia="en-AU"/>
        </w:rPr>
        <w:t>21 October 2020</w:t>
      </w:r>
      <w:r w:rsidR="00880E07">
        <w:rPr>
          <w:rFonts w:eastAsia="Times New Roman" w:cs="Times New Roman"/>
          <w:color w:val="auto"/>
          <w:lang w:eastAsia="en-AU"/>
        </w:rPr>
        <w:t>. The package</w:t>
      </w:r>
      <w:r w:rsidR="00606DDB">
        <w:rPr>
          <w:rFonts w:eastAsia="Times New Roman" w:cs="Times New Roman"/>
          <w:color w:val="auto"/>
          <w:lang w:eastAsia="en-AU"/>
        </w:rPr>
        <w:t xml:space="preserve"> compris</w:t>
      </w:r>
      <w:r w:rsidR="00C77ADE">
        <w:rPr>
          <w:rFonts w:eastAsia="Times New Roman" w:cs="Times New Roman"/>
          <w:color w:val="auto"/>
          <w:lang w:eastAsia="en-AU"/>
        </w:rPr>
        <w:t xml:space="preserve">es </w:t>
      </w:r>
      <w:r w:rsidR="00373F6F">
        <w:rPr>
          <w:rFonts w:eastAsia="Times New Roman" w:cs="Times New Roman"/>
          <w:color w:val="auto"/>
          <w:lang w:eastAsia="en-AU"/>
        </w:rPr>
        <w:t>t</w:t>
      </w:r>
      <w:r w:rsidR="0016160D" w:rsidRPr="0029183C">
        <w:rPr>
          <w:rFonts w:eastAsia="Times New Roman" w:cs="Times New Roman"/>
          <w:color w:val="auto"/>
          <w:lang w:eastAsia="en-AU"/>
        </w:rPr>
        <w:t>he exposure draft</w:t>
      </w:r>
      <w:r w:rsidR="00C77ADE">
        <w:rPr>
          <w:rFonts w:eastAsia="Times New Roman" w:cs="Times New Roman"/>
          <w:color w:val="auto"/>
          <w:lang w:eastAsia="en-AU"/>
        </w:rPr>
        <w:t>:</w:t>
      </w:r>
    </w:p>
    <w:p w14:paraId="637B789E" w14:textId="743F27F3" w:rsidR="001E4F53" w:rsidRPr="0029183C" w:rsidRDefault="0016160D" w:rsidP="0024095A">
      <w:pPr>
        <w:pStyle w:val="ListParagraph"/>
        <w:numPr>
          <w:ilvl w:val="0"/>
          <w:numId w:val="51"/>
        </w:numPr>
        <w:spacing w:before="0"/>
        <w:ind w:left="714" w:right="-471" w:hanging="357"/>
        <w:contextualSpacing w:val="0"/>
        <w:rPr>
          <w:rFonts w:eastAsia="Times New Roman" w:cs="Times New Roman"/>
          <w:color w:val="auto"/>
          <w:lang w:eastAsia="en-AU"/>
        </w:rPr>
      </w:pPr>
      <w:r w:rsidRPr="0029183C">
        <w:rPr>
          <w:rFonts w:eastAsia="Times New Roman" w:cs="Times New Roman"/>
          <w:color w:val="auto"/>
          <w:lang w:eastAsia="en-AU"/>
        </w:rPr>
        <w:t xml:space="preserve">inserts for </w:t>
      </w:r>
      <w:r w:rsidR="001E4F53" w:rsidRPr="00EC501A">
        <w:rPr>
          <w:rFonts w:eastAsia="Times New Roman" w:cs="Times New Roman"/>
          <w:color w:val="auto"/>
          <w:lang w:eastAsia="en-AU"/>
        </w:rPr>
        <w:t>Treasury Laws Amendment (Measures for a later sitting) Bill 2020: Minor and Technical Amendments</w:t>
      </w:r>
      <w:r w:rsidR="001E4F53" w:rsidRPr="0029183C">
        <w:rPr>
          <w:rFonts w:eastAsia="Times New Roman" w:cs="Times New Roman"/>
          <w:color w:val="auto"/>
          <w:lang w:eastAsia="en-AU"/>
        </w:rPr>
        <w:t xml:space="preserve"> (the draft Bill)</w:t>
      </w:r>
    </w:p>
    <w:p w14:paraId="5FC1060B" w14:textId="19DF0D96" w:rsidR="00373F6F" w:rsidRPr="0029183C" w:rsidRDefault="00D03754" w:rsidP="0029183C">
      <w:pPr>
        <w:pStyle w:val="ListParagraph"/>
        <w:numPr>
          <w:ilvl w:val="0"/>
          <w:numId w:val="51"/>
        </w:numPr>
        <w:spacing w:before="0"/>
        <w:ind w:left="714" w:right="-471" w:hanging="357"/>
        <w:contextualSpacing w:val="0"/>
        <w:rPr>
          <w:rFonts w:eastAsia="Times New Roman" w:cs="Times New Roman"/>
          <w:color w:val="auto"/>
          <w:lang w:eastAsia="en-AU"/>
        </w:rPr>
      </w:pPr>
      <w:r w:rsidRPr="0029183C">
        <w:rPr>
          <w:rFonts w:eastAsia="Times New Roman" w:cs="Times New Roman"/>
          <w:i/>
          <w:iCs/>
          <w:color w:val="auto"/>
          <w:lang w:eastAsia="en-AU"/>
        </w:rPr>
        <w:t>Treasury Laws Amendment (Miscellaneous and Technical Amendments</w:t>
      </w:r>
      <w:r w:rsidR="00373F6F" w:rsidRPr="0029183C">
        <w:rPr>
          <w:rFonts w:eastAsia="Times New Roman" w:cs="Times New Roman"/>
          <w:i/>
          <w:iCs/>
          <w:color w:val="auto"/>
          <w:lang w:eastAsia="en-AU"/>
        </w:rPr>
        <w:t xml:space="preserve">) Regulations 2020 </w:t>
      </w:r>
      <w:r w:rsidR="00373F6F" w:rsidRPr="0029183C">
        <w:rPr>
          <w:rFonts w:eastAsia="Times New Roman" w:cs="Times New Roman"/>
          <w:color w:val="auto"/>
          <w:lang w:eastAsia="en-AU"/>
        </w:rPr>
        <w:t>(the draft Regulations)</w:t>
      </w:r>
    </w:p>
    <w:p w14:paraId="148AFD7D" w14:textId="60F6D787" w:rsidR="009269F1" w:rsidRPr="0029183C" w:rsidRDefault="00373F6F" w:rsidP="0029183C">
      <w:pPr>
        <w:pStyle w:val="ListParagraph"/>
        <w:numPr>
          <w:ilvl w:val="0"/>
          <w:numId w:val="51"/>
        </w:numPr>
        <w:spacing w:before="0" w:after="200"/>
        <w:ind w:left="714" w:right="-471" w:hanging="357"/>
        <w:rPr>
          <w:rFonts w:eastAsia="Times New Roman" w:cs="Times New Roman"/>
          <w:color w:val="auto"/>
          <w:lang w:eastAsia="en-AU"/>
        </w:rPr>
      </w:pPr>
      <w:r w:rsidRPr="0029183C">
        <w:rPr>
          <w:rFonts w:eastAsia="Times New Roman" w:cs="Times New Roman"/>
          <w:i/>
          <w:iCs/>
          <w:color w:val="auto"/>
          <w:lang w:eastAsia="en-AU"/>
        </w:rPr>
        <w:t>Treasury Laws Amendment (Miscellaneous Amendments) Instrument 2020</w:t>
      </w:r>
      <w:r w:rsidRPr="0029183C">
        <w:rPr>
          <w:rFonts w:eastAsia="Times New Roman" w:cs="Times New Roman"/>
          <w:color w:val="auto"/>
          <w:lang w:eastAsia="en-AU"/>
        </w:rPr>
        <w:t xml:space="preserve"> (the draft Instrument)</w:t>
      </w:r>
      <w:r w:rsidR="000B5135" w:rsidRPr="0029183C">
        <w:rPr>
          <w:rFonts w:eastAsia="Times New Roman" w:cs="Times New Roman"/>
          <w:color w:val="auto"/>
          <w:lang w:eastAsia="en-AU"/>
        </w:rPr>
        <w:t>.</w:t>
      </w:r>
      <w:r w:rsidR="000B5135" w:rsidRPr="00E444C7">
        <w:rPr>
          <w:rFonts w:eastAsia="Times New Roman" w:cs="Times New Roman"/>
          <w:color w:val="auto"/>
          <w:lang w:eastAsia="en-AU"/>
        </w:rPr>
        <w:t xml:space="preserve"> </w:t>
      </w:r>
    </w:p>
    <w:p w14:paraId="60F1C6A0" w14:textId="6CD29123" w:rsidR="00373F6F" w:rsidRPr="007521E5" w:rsidRDefault="00876E55" w:rsidP="00D72795">
      <w:pPr>
        <w:spacing w:before="0" w:after="200"/>
        <w:ind w:right="-471"/>
        <w:rPr>
          <w:rFonts w:ascii="Calibri" w:eastAsia="Cambria" w:hAnsi="Calibri" w:cs="Arial"/>
          <w:color w:val="auto"/>
          <w:lang w:val="en-US"/>
        </w:rPr>
      </w:pPr>
      <w:r>
        <w:rPr>
          <w:rFonts w:ascii="Calibri" w:eastAsia="Cambria" w:hAnsi="Calibri" w:cs="Arial"/>
          <w:color w:val="auto"/>
          <w:lang w:val="en-US"/>
        </w:rPr>
        <w:t>ASFA’s submission addresses aspects of the draft Bill and draft Regulations</w:t>
      </w:r>
      <w:r w:rsidR="00FC2594">
        <w:rPr>
          <w:rFonts w:ascii="Calibri" w:eastAsia="Cambria" w:hAnsi="Calibri" w:cs="Arial"/>
          <w:color w:val="auto"/>
          <w:lang w:val="en-US"/>
        </w:rPr>
        <w:t>;</w:t>
      </w:r>
      <w:r>
        <w:rPr>
          <w:rFonts w:ascii="Calibri" w:eastAsia="Cambria" w:hAnsi="Calibri" w:cs="Arial"/>
          <w:color w:val="auto"/>
          <w:lang w:val="en-US"/>
        </w:rPr>
        <w:t xml:space="preserve"> we have no comments in relation to the draft Instrument.</w:t>
      </w:r>
    </w:p>
    <w:p w14:paraId="332B72B6" w14:textId="77777777" w:rsidR="00E51C8F" w:rsidRPr="007521E5" w:rsidRDefault="0009443F" w:rsidP="009269F1">
      <w:pPr>
        <w:pStyle w:val="Subhead1"/>
        <w:rPr>
          <w:color w:val="auto"/>
        </w:rPr>
      </w:pPr>
      <w:r w:rsidRPr="007521E5">
        <w:rPr>
          <w:color w:val="auto"/>
        </w:rPr>
        <w:t>About ASFA</w:t>
      </w:r>
    </w:p>
    <w:p w14:paraId="24DC82D7" w14:textId="78BAA2EB" w:rsidR="0009443F" w:rsidRPr="007521E5" w:rsidRDefault="0009443F" w:rsidP="00D72795">
      <w:pPr>
        <w:pStyle w:val="LetterText0"/>
        <w:rPr>
          <w:rFonts w:eastAsia="Times New Roman" w:cs="Times New Roman"/>
          <w:color w:val="auto"/>
          <w:lang w:eastAsia="en-AU"/>
        </w:rPr>
      </w:pPr>
      <w:r w:rsidRPr="007521E5">
        <w:rPr>
          <w:color w:val="auto"/>
        </w:rPr>
        <w:t>ASFA is a non-profit, non-political national organisation whose mission is to continuously improve the superannuation system, so all Australians can enjoy a comfortable and dignified retirement. We focus on the issues that affect the entire Australian superannuation system and its $2.</w:t>
      </w:r>
      <w:r w:rsidR="00305346" w:rsidRPr="007521E5">
        <w:rPr>
          <w:color w:val="auto"/>
        </w:rPr>
        <w:t>7</w:t>
      </w:r>
      <w:r w:rsidRPr="007521E5">
        <w:rPr>
          <w:color w:val="auto"/>
        </w:rPr>
        <w:t xml:space="preserve"> trillion in retirement savings. Our membership is across all parts of the industry, including corporate, public sector, industry and retail superannuation funds, and associated service providers, representing </w:t>
      </w:r>
      <w:r w:rsidR="006152DE" w:rsidRPr="007521E5">
        <w:rPr>
          <w:color w:val="auto"/>
        </w:rPr>
        <w:t>almost</w:t>
      </w:r>
      <w:r w:rsidRPr="007521E5">
        <w:rPr>
          <w:color w:val="auto"/>
        </w:rPr>
        <w:t xml:space="preserve"> 90 per cent of the </w:t>
      </w:r>
      <w:r w:rsidR="00935941" w:rsidRPr="007521E5">
        <w:rPr>
          <w:color w:val="auto"/>
        </w:rPr>
        <w:t>16</w:t>
      </w:r>
      <w:r w:rsidRPr="007521E5">
        <w:rPr>
          <w:color w:val="auto"/>
        </w:rPr>
        <w:t xml:space="preserve"> million Australians with superannuation.</w:t>
      </w:r>
    </w:p>
    <w:p w14:paraId="3A9439F6" w14:textId="7CCE420E" w:rsidR="0009443F" w:rsidRPr="007521E5" w:rsidRDefault="007F78B9" w:rsidP="009269F1">
      <w:pPr>
        <w:pStyle w:val="Subhead1"/>
        <w:rPr>
          <w:color w:val="auto"/>
        </w:rPr>
      </w:pPr>
      <w:r>
        <w:rPr>
          <w:color w:val="auto"/>
        </w:rPr>
        <w:t>General comments in relation to the consultation package</w:t>
      </w:r>
    </w:p>
    <w:p w14:paraId="6380739F" w14:textId="358A6B97" w:rsidR="009269F1" w:rsidRDefault="00623906" w:rsidP="009041AD">
      <w:pPr>
        <w:pStyle w:val="Lettertext"/>
        <w:spacing w:after="200"/>
        <w:rPr>
          <w:color w:val="auto"/>
        </w:rPr>
      </w:pPr>
      <w:r>
        <w:rPr>
          <w:color w:val="auto"/>
        </w:rPr>
        <w:t xml:space="preserve">As noted in the </w:t>
      </w:r>
      <w:r w:rsidR="00BB71B6">
        <w:rPr>
          <w:color w:val="auto"/>
        </w:rPr>
        <w:t xml:space="preserve">introductory material accompanying the release of the consultation package, </w:t>
      </w:r>
      <w:r w:rsidR="00113092">
        <w:rPr>
          <w:color w:val="auto"/>
        </w:rPr>
        <w:t xml:space="preserve">the amendments </w:t>
      </w:r>
      <w:r w:rsidR="00D03561">
        <w:rPr>
          <w:color w:val="auto"/>
        </w:rPr>
        <w:t>seek to ensure the Treasury portfolio laws operate as intended by correcting technical or drafting defects, removing anomalies and addressing unintended outcomes.</w:t>
      </w:r>
      <w:r w:rsidR="00CE3CC9">
        <w:rPr>
          <w:color w:val="auto"/>
        </w:rPr>
        <w:t xml:space="preserve"> </w:t>
      </w:r>
    </w:p>
    <w:p w14:paraId="25D56121" w14:textId="16A881C8" w:rsidR="00CE3CC9" w:rsidRDefault="00CE3CC9" w:rsidP="009041AD">
      <w:pPr>
        <w:pStyle w:val="Lettertext"/>
        <w:spacing w:after="200"/>
        <w:rPr>
          <w:color w:val="auto"/>
        </w:rPr>
      </w:pPr>
      <w:r>
        <w:rPr>
          <w:color w:val="auto"/>
        </w:rPr>
        <w:lastRenderedPageBreak/>
        <w:t xml:space="preserve">Many of </w:t>
      </w:r>
      <w:r w:rsidR="004345D6">
        <w:rPr>
          <w:color w:val="auto"/>
        </w:rPr>
        <w:t xml:space="preserve">the </w:t>
      </w:r>
      <w:r>
        <w:rPr>
          <w:color w:val="auto"/>
        </w:rPr>
        <w:t xml:space="preserve">proposed amendments </w:t>
      </w:r>
      <w:r w:rsidR="004345D6">
        <w:rPr>
          <w:color w:val="auto"/>
        </w:rPr>
        <w:t xml:space="preserve">address </w:t>
      </w:r>
      <w:r w:rsidR="00B95361">
        <w:rPr>
          <w:color w:val="auto"/>
        </w:rPr>
        <w:t xml:space="preserve">issues ASFA has </w:t>
      </w:r>
      <w:r>
        <w:rPr>
          <w:color w:val="auto"/>
        </w:rPr>
        <w:t xml:space="preserve">highlighted </w:t>
      </w:r>
      <w:r w:rsidR="00B95361">
        <w:rPr>
          <w:color w:val="auto"/>
        </w:rPr>
        <w:t xml:space="preserve">in our previous advocacy, particularly in relation to the introduction of MySuper </w:t>
      </w:r>
      <w:r w:rsidR="005B5913">
        <w:rPr>
          <w:color w:val="auto"/>
        </w:rPr>
        <w:t xml:space="preserve">product rules, the Protecting Your Superannuation/Putting Members’ Interests First reforms, and </w:t>
      </w:r>
      <w:r w:rsidR="007607ED">
        <w:rPr>
          <w:color w:val="auto"/>
        </w:rPr>
        <w:t xml:space="preserve">recommendations to remove impediments to </w:t>
      </w:r>
      <w:r w:rsidR="00CF3093">
        <w:rPr>
          <w:color w:val="auto"/>
        </w:rPr>
        <w:t>mergers of superannuation funds.</w:t>
      </w:r>
    </w:p>
    <w:p w14:paraId="407A19F9" w14:textId="5998D23C" w:rsidR="00482E5F" w:rsidRDefault="00CF3093" w:rsidP="009041AD">
      <w:pPr>
        <w:pStyle w:val="Lettertext"/>
        <w:spacing w:after="200"/>
        <w:rPr>
          <w:color w:val="auto"/>
        </w:rPr>
      </w:pPr>
      <w:r>
        <w:rPr>
          <w:color w:val="auto"/>
        </w:rPr>
        <w:t xml:space="preserve">ASFA </w:t>
      </w:r>
      <w:r w:rsidR="00686CCB">
        <w:rPr>
          <w:color w:val="auto"/>
        </w:rPr>
        <w:t>support</w:t>
      </w:r>
      <w:r w:rsidR="00482E5F">
        <w:rPr>
          <w:color w:val="auto"/>
        </w:rPr>
        <w:t xml:space="preserve">s the majority </w:t>
      </w:r>
      <w:r w:rsidR="00686CCB">
        <w:rPr>
          <w:color w:val="auto"/>
        </w:rPr>
        <w:t>of the proposed amendments</w:t>
      </w:r>
      <w:r w:rsidR="00A81779">
        <w:rPr>
          <w:color w:val="auto"/>
        </w:rPr>
        <w:t xml:space="preserve">. </w:t>
      </w:r>
    </w:p>
    <w:p w14:paraId="1C61E0F9" w14:textId="2D9ECF0E" w:rsidR="00DF566A" w:rsidRDefault="00A81779" w:rsidP="00EC501A">
      <w:pPr>
        <w:pStyle w:val="Lettertext"/>
        <w:spacing w:after="120"/>
        <w:rPr>
          <w:color w:val="auto"/>
        </w:rPr>
      </w:pPr>
      <w:r>
        <w:rPr>
          <w:color w:val="auto"/>
        </w:rPr>
        <w:t>However, as outlined in our submission</w:t>
      </w:r>
      <w:r w:rsidR="00DF566A">
        <w:rPr>
          <w:color w:val="auto"/>
        </w:rPr>
        <w:t>:</w:t>
      </w:r>
    </w:p>
    <w:p w14:paraId="5FF0EB6F" w14:textId="26FBFF5D" w:rsidR="00DF566A" w:rsidRDefault="00D81D29" w:rsidP="00EC501A">
      <w:pPr>
        <w:pStyle w:val="Lettertext"/>
        <w:numPr>
          <w:ilvl w:val="0"/>
          <w:numId w:val="66"/>
        </w:numPr>
        <w:spacing w:after="120"/>
        <w:ind w:left="714" w:hanging="357"/>
        <w:rPr>
          <w:color w:val="auto"/>
        </w:rPr>
      </w:pPr>
      <w:r>
        <w:rPr>
          <w:color w:val="auto"/>
        </w:rPr>
        <w:t>w</w:t>
      </w:r>
      <w:r w:rsidR="00DF566A">
        <w:rPr>
          <w:color w:val="auto"/>
        </w:rPr>
        <w:t xml:space="preserve">e </w:t>
      </w:r>
      <w:r w:rsidR="00BE4B35">
        <w:rPr>
          <w:color w:val="auto"/>
        </w:rPr>
        <w:t xml:space="preserve">are concerned that two of the proposed amendments to the </w:t>
      </w:r>
      <w:r w:rsidR="00BE4B35" w:rsidRPr="00A81DB0">
        <w:rPr>
          <w:i/>
          <w:iCs/>
          <w:color w:val="auto"/>
        </w:rPr>
        <w:t>Income Tax Assessment Act 1997</w:t>
      </w:r>
      <w:r w:rsidR="00BE4B35">
        <w:rPr>
          <w:color w:val="auto"/>
        </w:rPr>
        <w:t xml:space="preserve"> may have</w:t>
      </w:r>
      <w:r w:rsidR="00DF566A">
        <w:rPr>
          <w:color w:val="auto"/>
        </w:rPr>
        <w:t xml:space="preserve"> </w:t>
      </w:r>
      <w:r w:rsidR="00B36B14">
        <w:rPr>
          <w:color w:val="auto"/>
        </w:rPr>
        <w:t xml:space="preserve">potentially significant adverse implications </w:t>
      </w:r>
      <w:r w:rsidR="008D10A6">
        <w:rPr>
          <w:color w:val="auto"/>
        </w:rPr>
        <w:t xml:space="preserve">for </w:t>
      </w:r>
      <w:r w:rsidR="00B52195">
        <w:rPr>
          <w:color w:val="auto"/>
        </w:rPr>
        <w:t>superannuation funds and, therefore, their members</w:t>
      </w:r>
      <w:r w:rsidR="00B36B14">
        <w:rPr>
          <w:color w:val="auto"/>
        </w:rPr>
        <w:t xml:space="preserve"> </w:t>
      </w:r>
    </w:p>
    <w:p w14:paraId="2D11554C" w14:textId="7FBACED5" w:rsidR="00CF3093" w:rsidRPr="007521E5" w:rsidRDefault="008F62D2" w:rsidP="00EC501A">
      <w:pPr>
        <w:pStyle w:val="Lettertext"/>
        <w:numPr>
          <w:ilvl w:val="0"/>
          <w:numId w:val="66"/>
        </w:numPr>
        <w:spacing w:after="200"/>
        <w:ind w:left="714" w:hanging="357"/>
        <w:rPr>
          <w:color w:val="auto"/>
        </w:rPr>
      </w:pPr>
      <w:r>
        <w:rPr>
          <w:color w:val="auto"/>
        </w:rPr>
        <w:t xml:space="preserve">we consider there is scope </w:t>
      </w:r>
      <w:r w:rsidR="0065475C">
        <w:rPr>
          <w:color w:val="auto"/>
        </w:rPr>
        <w:t xml:space="preserve">in some cases to </w:t>
      </w:r>
      <w:r w:rsidR="008A5903">
        <w:rPr>
          <w:color w:val="auto"/>
        </w:rPr>
        <w:t xml:space="preserve">broaden the amendments to provide greater clarification and/or relief. </w:t>
      </w:r>
    </w:p>
    <w:p w14:paraId="2F5296AA" w14:textId="77777777" w:rsidR="0009443F" w:rsidRPr="007521E5" w:rsidRDefault="0009443F" w:rsidP="0009443F">
      <w:pPr>
        <w:pStyle w:val="Lettertext"/>
        <w:spacing w:after="200"/>
        <w:jc w:val="center"/>
        <w:rPr>
          <w:color w:val="auto"/>
        </w:rPr>
      </w:pPr>
      <w:r w:rsidRPr="007521E5">
        <w:rPr>
          <w:color w:val="auto"/>
        </w:rPr>
        <w:t>*****</w:t>
      </w:r>
    </w:p>
    <w:p w14:paraId="0E6AC4B6" w14:textId="48769591" w:rsidR="0009443F" w:rsidRPr="007521E5" w:rsidRDefault="0009443F" w:rsidP="00D72795">
      <w:pPr>
        <w:spacing w:before="0" w:after="200"/>
        <w:ind w:right="-471"/>
        <w:rPr>
          <w:rFonts w:cs="Arial"/>
          <w:color w:val="auto"/>
        </w:rPr>
      </w:pPr>
      <w:r w:rsidRPr="007521E5">
        <w:rPr>
          <w:rFonts w:cs="Arial"/>
          <w:color w:val="auto"/>
        </w:rPr>
        <w:t xml:space="preserve">If you have any queries or comments in relation to the content of our submission, please contact </w:t>
      </w:r>
      <w:r w:rsidR="0029183C">
        <w:rPr>
          <w:rFonts w:cs="Arial"/>
          <w:color w:val="auto"/>
        </w:rPr>
        <w:t>Julia Stannard</w:t>
      </w:r>
      <w:r w:rsidRPr="007521E5">
        <w:rPr>
          <w:rFonts w:cs="Arial"/>
          <w:color w:val="auto"/>
        </w:rPr>
        <w:t xml:space="preserve"> </w:t>
      </w:r>
      <w:r w:rsidRPr="0029183C">
        <w:rPr>
          <w:rFonts w:cs="Arial"/>
          <w:color w:val="auto"/>
        </w:rPr>
        <w:t xml:space="preserve">on </w:t>
      </w:r>
      <w:r w:rsidR="0029183C" w:rsidRPr="00A81DB0">
        <w:rPr>
          <w:rFonts w:cs="Arial"/>
          <w:color w:val="auto"/>
        </w:rPr>
        <w:t>(03) 9225 4027</w:t>
      </w:r>
      <w:r w:rsidRPr="0029183C">
        <w:rPr>
          <w:rFonts w:cs="Arial"/>
          <w:color w:val="auto"/>
        </w:rPr>
        <w:t xml:space="preserve">or by email </w:t>
      </w:r>
      <w:hyperlink r:id="rId16" w:history="1">
        <w:r w:rsidR="0029183C" w:rsidRPr="0029183C">
          <w:rPr>
            <w:rStyle w:val="Hyperlink"/>
            <w:rFonts w:cs="Arial"/>
          </w:rPr>
          <w:t>jstannard@superannuation.asn.au</w:t>
        </w:r>
      </w:hyperlink>
      <w:r w:rsidRPr="0029183C">
        <w:rPr>
          <w:rFonts w:cs="Arial"/>
          <w:color w:val="auto"/>
        </w:rPr>
        <w:t>.</w:t>
      </w:r>
    </w:p>
    <w:p w14:paraId="31094280" w14:textId="77777777" w:rsidR="00E51C8F" w:rsidRPr="007521E5" w:rsidRDefault="00557C1F" w:rsidP="00D72795">
      <w:pPr>
        <w:pStyle w:val="Lettertext"/>
        <w:spacing w:after="200"/>
        <w:rPr>
          <w:color w:val="auto"/>
        </w:rPr>
      </w:pPr>
      <w:r w:rsidRPr="007521E5">
        <w:rPr>
          <w:color w:val="auto"/>
        </w:rPr>
        <w:t>Yours sincerely</w:t>
      </w:r>
    </w:p>
    <w:p w14:paraId="473EA02B" w14:textId="77777777" w:rsidR="00FB538C" w:rsidRDefault="00FB538C" w:rsidP="00D72795">
      <w:pPr>
        <w:pStyle w:val="Lettertext"/>
        <w:spacing w:after="200"/>
        <w:rPr>
          <w:color w:val="auto"/>
        </w:rPr>
      </w:pPr>
    </w:p>
    <w:p w14:paraId="47D7F8B6" w14:textId="1BB343D9" w:rsidR="00557C1F" w:rsidRDefault="00A15E16" w:rsidP="00D72795">
      <w:pPr>
        <w:pStyle w:val="Lettertext"/>
        <w:spacing w:after="200"/>
        <w:rPr>
          <w:color w:val="auto"/>
        </w:rPr>
      </w:pPr>
      <w:r>
        <w:rPr>
          <w:color w:val="auto"/>
        </w:rPr>
        <w:t>Glen McCrea</w:t>
      </w:r>
    </w:p>
    <w:p w14:paraId="7A260043" w14:textId="183DCB79" w:rsidR="00A15E16" w:rsidRPr="007521E5" w:rsidRDefault="00A15E16" w:rsidP="00D72795">
      <w:pPr>
        <w:pStyle w:val="Lettertext"/>
        <w:spacing w:after="200"/>
        <w:rPr>
          <w:color w:val="auto"/>
        </w:rPr>
      </w:pPr>
      <w:r>
        <w:rPr>
          <w:color w:val="auto"/>
        </w:rPr>
        <w:t>Deputy Chief Executive Officer and Chief Policy Officer</w:t>
      </w:r>
    </w:p>
    <w:p w14:paraId="527567BE" w14:textId="77777777" w:rsidR="002E6235" w:rsidRPr="007521E5" w:rsidRDefault="002E6235" w:rsidP="009041AD">
      <w:pPr>
        <w:pStyle w:val="Lettertext"/>
        <w:spacing w:after="200"/>
        <w:rPr>
          <w:color w:val="auto"/>
        </w:rPr>
      </w:pPr>
    </w:p>
    <w:p w14:paraId="7D19B59E" w14:textId="77777777" w:rsidR="002E6235" w:rsidRPr="007521E5" w:rsidRDefault="002E6235" w:rsidP="009041AD">
      <w:pPr>
        <w:pStyle w:val="Lettertext"/>
        <w:spacing w:after="200"/>
        <w:rPr>
          <w:color w:val="auto"/>
        </w:rPr>
        <w:sectPr w:rsidR="002E6235" w:rsidRPr="007521E5" w:rsidSect="002E6235">
          <w:footerReference w:type="default" r:id="rId17"/>
          <w:pgSz w:w="11906" w:h="16838" w:code="9"/>
          <w:pgMar w:top="1701" w:right="1134" w:bottom="1701" w:left="1134" w:header="709" w:footer="709" w:gutter="0"/>
          <w:pgNumType w:start="1"/>
          <w:cols w:space="708"/>
          <w:docGrid w:linePitch="360"/>
        </w:sectPr>
      </w:pPr>
    </w:p>
    <w:p w14:paraId="2A8091D7" w14:textId="3324B03A" w:rsidR="007207B7" w:rsidRDefault="00C8715F" w:rsidP="009041AD">
      <w:pPr>
        <w:pStyle w:val="Numberedlist1"/>
        <w:spacing w:after="200"/>
        <w:contextualSpacing w:val="0"/>
      </w:pPr>
      <w:r>
        <w:t>Comments</w:t>
      </w:r>
      <w:r w:rsidR="00B365B3">
        <w:t xml:space="preserve"> in relation to </w:t>
      </w:r>
      <w:r w:rsidR="00047BB1">
        <w:t xml:space="preserve">aspects of </w:t>
      </w:r>
      <w:r w:rsidR="00B365B3">
        <w:t>the draft Bill</w:t>
      </w:r>
    </w:p>
    <w:p w14:paraId="6738654A" w14:textId="1AFB8890" w:rsidR="005975F2" w:rsidRPr="00F73C4D" w:rsidRDefault="0058463F" w:rsidP="002A3E63">
      <w:pPr>
        <w:pStyle w:val="Numberedlist2"/>
        <w:tabs>
          <w:tab w:val="clear" w:pos="357"/>
          <w:tab w:val="clear" w:pos="794"/>
          <w:tab w:val="left" w:pos="567"/>
        </w:tabs>
        <w:spacing w:after="200"/>
        <w:ind w:hanging="792"/>
        <w:contextualSpacing w:val="0"/>
      </w:pPr>
      <w:r>
        <w:t>A</w:t>
      </w:r>
      <w:r w:rsidR="00776CE4">
        <w:t xml:space="preserve">mendments to the </w:t>
      </w:r>
      <w:r w:rsidR="00776CE4" w:rsidRPr="00EC501A">
        <w:rPr>
          <w:i/>
          <w:iCs/>
        </w:rPr>
        <w:t>Superannuation Guarantee (Administration) Act 1992</w:t>
      </w:r>
    </w:p>
    <w:p w14:paraId="7FB4D9A1" w14:textId="0EB30516" w:rsidR="00A44ED2" w:rsidRPr="008D4B3B" w:rsidRDefault="004216F2" w:rsidP="00A44ED2">
      <w:pPr>
        <w:rPr>
          <w:color w:val="auto"/>
        </w:rPr>
      </w:pPr>
      <w:r w:rsidRPr="008D4B3B">
        <w:rPr>
          <w:color w:val="auto"/>
        </w:rPr>
        <w:t xml:space="preserve">ASFA supports </w:t>
      </w:r>
      <w:r w:rsidR="00467BE9" w:rsidRPr="008D4B3B">
        <w:rPr>
          <w:color w:val="auto"/>
        </w:rPr>
        <w:t>efforts to</w:t>
      </w:r>
      <w:r w:rsidR="00952530" w:rsidRPr="008D4B3B">
        <w:rPr>
          <w:color w:val="auto"/>
        </w:rPr>
        <w:t xml:space="preserve"> </w:t>
      </w:r>
      <w:r w:rsidR="00392BCA" w:rsidRPr="008D4B3B">
        <w:rPr>
          <w:color w:val="auto"/>
        </w:rPr>
        <w:t xml:space="preserve">clarify and/or simplify the </w:t>
      </w:r>
      <w:r w:rsidR="002A3DE9" w:rsidRPr="008D4B3B">
        <w:rPr>
          <w:color w:val="auto"/>
        </w:rPr>
        <w:t xml:space="preserve">superannuation guarantee (SG) legislation </w:t>
      </w:r>
      <w:r w:rsidR="00F96B04" w:rsidRPr="008D4B3B">
        <w:rPr>
          <w:color w:val="auto"/>
        </w:rPr>
        <w:t xml:space="preserve">where </w:t>
      </w:r>
      <w:r w:rsidR="002A3DE9" w:rsidRPr="008D4B3B">
        <w:rPr>
          <w:color w:val="auto"/>
        </w:rPr>
        <w:t xml:space="preserve">these do not involve any </w:t>
      </w:r>
      <w:r w:rsidR="001E0B6B" w:rsidRPr="008D4B3B">
        <w:rPr>
          <w:color w:val="auto"/>
        </w:rPr>
        <w:t>reduction in the benefits received by</w:t>
      </w:r>
      <w:r w:rsidR="002A3DE9" w:rsidRPr="008D4B3B">
        <w:rPr>
          <w:color w:val="auto"/>
        </w:rPr>
        <w:t xml:space="preserve"> employees.</w:t>
      </w:r>
      <w:r w:rsidR="00616228" w:rsidRPr="008D4B3B">
        <w:rPr>
          <w:color w:val="auto"/>
        </w:rPr>
        <w:t xml:space="preserve"> </w:t>
      </w:r>
    </w:p>
    <w:p w14:paraId="23188A95" w14:textId="2B8BAB09" w:rsidR="00C86B1D" w:rsidRPr="008D4B3B" w:rsidRDefault="00F609F1" w:rsidP="00A44ED2">
      <w:pPr>
        <w:rPr>
          <w:color w:val="auto"/>
        </w:rPr>
      </w:pPr>
      <w:r w:rsidRPr="008D4B3B">
        <w:rPr>
          <w:color w:val="auto"/>
        </w:rPr>
        <w:t>Items 62</w:t>
      </w:r>
      <w:r w:rsidR="006B3CB1" w:rsidRPr="0017218E">
        <w:rPr>
          <w:color w:val="auto"/>
        </w:rPr>
        <w:t>–</w:t>
      </w:r>
      <w:r w:rsidRPr="008D4B3B">
        <w:rPr>
          <w:color w:val="auto"/>
        </w:rPr>
        <w:t xml:space="preserve">64 </w:t>
      </w:r>
      <w:r w:rsidR="00BC56EF" w:rsidRPr="008D4B3B">
        <w:rPr>
          <w:color w:val="auto"/>
        </w:rPr>
        <w:t xml:space="preserve">propose </w:t>
      </w:r>
      <w:r w:rsidR="00C86B1D" w:rsidRPr="008D4B3B">
        <w:rPr>
          <w:color w:val="auto"/>
        </w:rPr>
        <w:t xml:space="preserve">to clearly exclude from the ‘ordinary time earnings’ (OTE) on which SG is calculated any ‘salary or wages’ excluded by sections 27 or 28 </w:t>
      </w:r>
      <w:r w:rsidR="000F364E" w:rsidRPr="008D4B3B">
        <w:rPr>
          <w:color w:val="auto"/>
        </w:rPr>
        <w:t xml:space="preserve">of the </w:t>
      </w:r>
      <w:r w:rsidR="000F364E" w:rsidRPr="008D4B3B">
        <w:rPr>
          <w:i/>
          <w:iCs/>
          <w:color w:val="auto"/>
        </w:rPr>
        <w:t>Superannuation Guarantee (Administration) Act 1992</w:t>
      </w:r>
      <w:r w:rsidR="00BC56EF" w:rsidRPr="008D4B3B">
        <w:rPr>
          <w:color w:val="auto"/>
        </w:rPr>
        <w:t>. While this</w:t>
      </w:r>
      <w:r w:rsidR="000F364E" w:rsidRPr="008D4B3B">
        <w:rPr>
          <w:color w:val="auto"/>
        </w:rPr>
        <w:t xml:space="preserve"> </w:t>
      </w:r>
      <w:r w:rsidR="00C86B1D" w:rsidRPr="008D4B3B">
        <w:rPr>
          <w:color w:val="auto"/>
        </w:rPr>
        <w:t xml:space="preserve">is </w:t>
      </w:r>
      <w:r w:rsidR="00BC56EF" w:rsidRPr="008D4B3B">
        <w:rPr>
          <w:color w:val="auto"/>
        </w:rPr>
        <w:t xml:space="preserve">a </w:t>
      </w:r>
      <w:r w:rsidR="00C86B1D" w:rsidRPr="008D4B3B">
        <w:rPr>
          <w:color w:val="auto"/>
        </w:rPr>
        <w:t>positive</w:t>
      </w:r>
      <w:r w:rsidR="00BC56EF" w:rsidRPr="008D4B3B">
        <w:rPr>
          <w:color w:val="auto"/>
        </w:rPr>
        <w:t xml:space="preserve"> development, </w:t>
      </w:r>
      <w:r w:rsidR="008041F1" w:rsidRPr="008D4B3B">
        <w:rPr>
          <w:color w:val="auto"/>
        </w:rPr>
        <w:t xml:space="preserve">we note that the amendment is narrow in its focus and suggest that </w:t>
      </w:r>
      <w:r w:rsidR="00C86B1D" w:rsidRPr="008D4B3B">
        <w:rPr>
          <w:color w:val="auto"/>
        </w:rPr>
        <w:t>consideration could be given to providing broader clarification about ‘salary or wage’ and fringe benefits amounts that are excluded from OTE.</w:t>
      </w:r>
    </w:p>
    <w:tbl>
      <w:tblPr>
        <w:tblStyle w:val="Highlightbox1"/>
        <w:tblW w:w="0" w:type="auto"/>
        <w:tblLook w:val="04A0" w:firstRow="1" w:lastRow="0" w:firstColumn="1" w:lastColumn="0" w:noHBand="0" w:noVBand="1"/>
      </w:tblPr>
      <w:tblGrid>
        <w:gridCol w:w="9854"/>
      </w:tblGrid>
      <w:tr w:rsidR="00C370CD" w:rsidRPr="008D4B3B" w14:paraId="79D64CDD" w14:textId="77777777" w:rsidTr="00770FF5">
        <w:trPr>
          <w:cnfStyle w:val="100000000000" w:firstRow="1" w:lastRow="0" w:firstColumn="0" w:lastColumn="0" w:oddVBand="0" w:evenVBand="0" w:oddHBand="0" w:evenHBand="0" w:firstRowFirstColumn="0" w:firstRowLastColumn="0" w:lastRowFirstColumn="0" w:lastRowLastColumn="0"/>
        </w:trPr>
        <w:tc>
          <w:tcPr>
            <w:tcW w:w="9854" w:type="dxa"/>
          </w:tcPr>
          <w:p w14:paraId="35903F39" w14:textId="77777777" w:rsidR="00C370CD" w:rsidRPr="008D4B3B" w:rsidRDefault="00C370CD" w:rsidP="00770FF5">
            <w:pPr>
              <w:pStyle w:val="Highlightboxheading"/>
              <w:spacing w:after="200"/>
            </w:pPr>
            <w:r w:rsidRPr="008D4B3B">
              <w:t>Recommendation</w:t>
            </w:r>
          </w:p>
        </w:tc>
      </w:tr>
      <w:tr w:rsidR="00C370CD" w14:paraId="11D31F9B" w14:textId="77777777" w:rsidTr="00770FF5">
        <w:tc>
          <w:tcPr>
            <w:tcW w:w="9854" w:type="dxa"/>
          </w:tcPr>
          <w:p w14:paraId="2D4FAE5A" w14:textId="2DE3524F" w:rsidR="00C370CD" w:rsidRPr="008D4B3B" w:rsidRDefault="006F7FDB" w:rsidP="00770FF5">
            <w:pPr>
              <w:pStyle w:val="Subhead1"/>
              <w:rPr>
                <w:color w:val="auto"/>
              </w:rPr>
            </w:pPr>
            <w:r w:rsidRPr="008D4B3B">
              <w:rPr>
                <w:color w:val="auto"/>
              </w:rPr>
              <w:t>Exclusions from ordinary time earnings</w:t>
            </w:r>
          </w:p>
          <w:p w14:paraId="64E0741B" w14:textId="16775623" w:rsidR="00C370CD" w:rsidRPr="00BA3C5B" w:rsidRDefault="00A200FD" w:rsidP="00770FF5">
            <w:pPr>
              <w:spacing w:after="200"/>
            </w:pPr>
            <w:r>
              <w:rPr>
                <w:color w:val="auto"/>
              </w:rPr>
              <w:t>ASFA recommends that c</w:t>
            </w:r>
            <w:r w:rsidR="00F71703" w:rsidRPr="00A81DB0">
              <w:rPr>
                <w:color w:val="auto"/>
              </w:rPr>
              <w:t xml:space="preserve">onsideration be given to </w:t>
            </w:r>
            <w:r w:rsidR="007B5948" w:rsidRPr="00A81DB0">
              <w:rPr>
                <w:color w:val="auto"/>
              </w:rPr>
              <w:t xml:space="preserve">reframing the </w:t>
            </w:r>
            <w:r w:rsidR="00FF6E48" w:rsidRPr="00A81DB0">
              <w:rPr>
                <w:color w:val="auto"/>
              </w:rPr>
              <w:t xml:space="preserve">proposed amendments to provide </w:t>
            </w:r>
            <w:r w:rsidR="00FC2EF0" w:rsidRPr="00A81DB0">
              <w:rPr>
                <w:color w:val="auto"/>
              </w:rPr>
              <w:t xml:space="preserve">broader clarification about amounts that are excluded from </w:t>
            </w:r>
            <w:r w:rsidR="002C687C" w:rsidRPr="00A81DB0">
              <w:rPr>
                <w:color w:val="auto"/>
              </w:rPr>
              <w:t>ordinary time earnings.</w:t>
            </w:r>
          </w:p>
        </w:tc>
      </w:tr>
    </w:tbl>
    <w:p w14:paraId="33E250AD" w14:textId="760C07FB" w:rsidR="00776CE4" w:rsidRPr="0091755A" w:rsidRDefault="001073E1" w:rsidP="00E20AC0">
      <w:pPr>
        <w:pStyle w:val="Numberedlist2"/>
        <w:tabs>
          <w:tab w:val="clear" w:pos="357"/>
          <w:tab w:val="clear" w:pos="794"/>
          <w:tab w:val="left" w:pos="567"/>
        </w:tabs>
        <w:spacing w:after="200"/>
        <w:ind w:hanging="792"/>
        <w:contextualSpacing w:val="0"/>
      </w:pPr>
      <w:r>
        <w:t>A</w:t>
      </w:r>
      <w:r w:rsidR="00942C0E" w:rsidRPr="0091755A">
        <w:t xml:space="preserve">mendments to the </w:t>
      </w:r>
      <w:r w:rsidR="00942C0E" w:rsidRPr="00EC501A">
        <w:rPr>
          <w:i/>
          <w:iCs/>
        </w:rPr>
        <w:t>Superannuation Industry (Supervision) Act 1993</w:t>
      </w:r>
    </w:p>
    <w:p w14:paraId="50CCFDE6" w14:textId="350C623F" w:rsidR="006A540C" w:rsidRPr="008A4565" w:rsidRDefault="006A540C" w:rsidP="00E20AC0">
      <w:pPr>
        <w:pStyle w:val="Numberedlist3"/>
        <w:tabs>
          <w:tab w:val="clear" w:pos="794"/>
        </w:tabs>
        <w:spacing w:after="200"/>
        <w:ind w:left="567" w:hanging="567"/>
        <w:contextualSpacing w:val="0"/>
      </w:pPr>
      <w:r w:rsidRPr="008A4565">
        <w:t>MySuper charging rules</w:t>
      </w:r>
    </w:p>
    <w:p w14:paraId="6DFB0539" w14:textId="70064484" w:rsidR="002901F6" w:rsidRPr="008D4B3B" w:rsidRDefault="002901F6" w:rsidP="002901F6">
      <w:pPr>
        <w:spacing w:after="200"/>
        <w:rPr>
          <w:color w:val="auto"/>
        </w:rPr>
      </w:pPr>
      <w:r w:rsidRPr="008D4B3B">
        <w:rPr>
          <w:color w:val="auto"/>
        </w:rPr>
        <w:t>ASFA welcome</w:t>
      </w:r>
      <w:r w:rsidR="0088438D" w:rsidRPr="008D4B3B">
        <w:rPr>
          <w:color w:val="auto"/>
        </w:rPr>
        <w:t>s</w:t>
      </w:r>
      <w:r w:rsidRPr="008D4B3B">
        <w:rPr>
          <w:color w:val="auto"/>
        </w:rPr>
        <w:t xml:space="preserve"> the amendments in item</w:t>
      </w:r>
      <w:r w:rsidR="00824A25" w:rsidRPr="008D4B3B">
        <w:rPr>
          <w:color w:val="auto"/>
        </w:rPr>
        <w:t>s</w:t>
      </w:r>
      <w:r w:rsidRPr="008D4B3B">
        <w:rPr>
          <w:color w:val="auto"/>
        </w:rPr>
        <w:t xml:space="preserve"> 65</w:t>
      </w:r>
      <w:r w:rsidR="006B3CB1" w:rsidRPr="0017218E">
        <w:rPr>
          <w:color w:val="auto"/>
        </w:rPr>
        <w:t>–</w:t>
      </w:r>
      <w:r w:rsidR="00824A25" w:rsidRPr="008D4B3B">
        <w:rPr>
          <w:color w:val="auto"/>
        </w:rPr>
        <w:t xml:space="preserve">69 to </w:t>
      </w:r>
      <w:r w:rsidRPr="008D4B3B">
        <w:rPr>
          <w:color w:val="auto"/>
        </w:rPr>
        <w:t xml:space="preserve">the MySuper charging rules in sub-section 29VA(9) of the </w:t>
      </w:r>
      <w:r w:rsidRPr="008D4B3B">
        <w:rPr>
          <w:i/>
          <w:iCs/>
          <w:color w:val="auto"/>
        </w:rPr>
        <w:t>Superannuation Industry (Supervision) Act 1993</w:t>
      </w:r>
      <w:r w:rsidRPr="00E20AC0">
        <w:rPr>
          <w:color w:val="auto"/>
        </w:rPr>
        <w:t xml:space="preserve"> (SIS Act)</w:t>
      </w:r>
      <w:r w:rsidR="00D20759">
        <w:rPr>
          <w:color w:val="auto"/>
        </w:rPr>
        <w:t>. The amendments will</w:t>
      </w:r>
      <w:r w:rsidRPr="008D4B3B">
        <w:rPr>
          <w:color w:val="auto"/>
        </w:rPr>
        <w:t xml:space="preserve"> allow the trustee of a fund that offers a lifecycle MySuper product to charge more than four differentiated investments fees with respect to the members in different lifecycle stages.</w:t>
      </w:r>
    </w:p>
    <w:p w14:paraId="520444E8" w14:textId="079D9AED" w:rsidR="002901F6" w:rsidRPr="008D4B3B" w:rsidRDefault="002901F6" w:rsidP="002901F6">
      <w:pPr>
        <w:spacing w:after="200"/>
        <w:rPr>
          <w:color w:val="auto"/>
        </w:rPr>
      </w:pPr>
      <w:r w:rsidRPr="008D4B3B">
        <w:rPr>
          <w:color w:val="auto"/>
        </w:rPr>
        <w:t>In our submissions to the Treasury and the Parliamentary Joint Committee on Corporations and Financial Services</w:t>
      </w:r>
      <w:r w:rsidR="004F1FD1" w:rsidRPr="008D4B3B">
        <w:rPr>
          <w:rStyle w:val="FootnoteReference"/>
          <w:color w:val="auto"/>
        </w:rPr>
        <w:footnoteReference w:id="2"/>
      </w:r>
      <w:r w:rsidRPr="008D4B3B">
        <w:rPr>
          <w:color w:val="auto"/>
        </w:rPr>
        <w:t xml:space="preserve"> on the </w:t>
      </w:r>
      <w:r w:rsidRPr="008D4B3B">
        <w:rPr>
          <w:i/>
          <w:iCs/>
          <w:color w:val="auto"/>
        </w:rPr>
        <w:t>Superannuation Legislation Amendment (My</w:t>
      </w:r>
      <w:r w:rsidR="00E469AE">
        <w:rPr>
          <w:i/>
          <w:iCs/>
          <w:color w:val="auto"/>
        </w:rPr>
        <w:t>S</w:t>
      </w:r>
      <w:r w:rsidRPr="008D4B3B">
        <w:rPr>
          <w:i/>
          <w:iCs/>
          <w:color w:val="auto"/>
        </w:rPr>
        <w:t>uper Core Provisions) Bill 2011</w:t>
      </w:r>
      <w:r w:rsidRPr="008D4B3B">
        <w:rPr>
          <w:color w:val="auto"/>
        </w:rPr>
        <w:t>, ASFA advocated for the legislation to allow a trustee to be able to recover a different quantum of investment fees with respect to each lifecycle stage/portfolio, based on the actual investment expenses incurred with respect to that lifecycle stage.</w:t>
      </w:r>
    </w:p>
    <w:p w14:paraId="08D46A1A" w14:textId="77777777" w:rsidR="002901F6" w:rsidRPr="008D4B3B" w:rsidRDefault="002901F6" w:rsidP="002901F6">
      <w:pPr>
        <w:spacing w:after="200"/>
        <w:rPr>
          <w:color w:val="auto"/>
        </w:rPr>
      </w:pPr>
      <w:r w:rsidRPr="008D4B3B">
        <w:rPr>
          <w:color w:val="auto"/>
        </w:rPr>
        <w:t>ASFA advocated that it was important that members within the same cohort, invested in the same portfolio, should have the same investment fee. Lifecycle strategy investment costs can vary significantly from stage to stage and so, in order to give effect to the policy of minimising the extent to which cross subsidisation occurs, we submitted that the legislation should allow the trustee to charge a different investment fee in each lifecycle stage.</w:t>
      </w:r>
    </w:p>
    <w:p w14:paraId="1B822F67" w14:textId="40A7F06A" w:rsidR="00C505F2" w:rsidRPr="008D4B3B" w:rsidRDefault="002901F6" w:rsidP="00C505F2">
      <w:pPr>
        <w:spacing w:after="200"/>
        <w:rPr>
          <w:color w:val="auto"/>
        </w:rPr>
      </w:pPr>
      <w:r w:rsidRPr="008D4B3B">
        <w:rPr>
          <w:color w:val="auto"/>
        </w:rPr>
        <w:t xml:space="preserve">Compelling trustees to categorise each lifecycle stage into one of up to four cohorts, which would then be charged the same investment fee, resulted in members in some stages cross-subsidising members in other stages. Given that one of the overarching principles of MySuper was that investment fees should be borne by members on a ‘cost recovery’ basis, this was an anomalous </w:t>
      </w:r>
      <w:r w:rsidR="00DB5C16" w:rsidRPr="008D4B3B">
        <w:rPr>
          <w:color w:val="auto"/>
        </w:rPr>
        <w:t>outcome,</w:t>
      </w:r>
      <w:r w:rsidRPr="008D4B3B">
        <w:rPr>
          <w:color w:val="auto"/>
        </w:rPr>
        <w:t xml:space="preserve"> and we support the amendment to remove it.</w:t>
      </w:r>
    </w:p>
    <w:p w14:paraId="1CD2D8BC" w14:textId="20D780CF" w:rsidR="00457D1C" w:rsidRPr="008D4B3B" w:rsidRDefault="001C21FE" w:rsidP="00915C09">
      <w:pPr>
        <w:spacing w:after="200"/>
        <w:rPr>
          <w:color w:val="auto"/>
        </w:rPr>
      </w:pPr>
      <w:r w:rsidRPr="008D4B3B">
        <w:rPr>
          <w:color w:val="auto"/>
        </w:rPr>
        <w:t xml:space="preserve">Further to this, we submit that the draft Bill should also amend </w:t>
      </w:r>
      <w:r w:rsidR="0076085D" w:rsidRPr="008D4B3B">
        <w:rPr>
          <w:color w:val="auto"/>
        </w:rPr>
        <w:t>sub-</w:t>
      </w:r>
      <w:r w:rsidRPr="008D4B3B">
        <w:rPr>
          <w:color w:val="auto"/>
        </w:rPr>
        <w:t xml:space="preserve">sections 29VA(5) and (6) of the SIS Act </w:t>
      </w:r>
      <w:r w:rsidR="0076085D" w:rsidRPr="008D4B3B">
        <w:rPr>
          <w:color w:val="auto"/>
        </w:rPr>
        <w:t xml:space="preserve">to </w:t>
      </w:r>
      <w:r w:rsidRPr="008D4B3B">
        <w:rPr>
          <w:color w:val="auto"/>
        </w:rPr>
        <w:t>permit buy-sell spreads</w:t>
      </w:r>
      <w:r w:rsidR="00477F6B" w:rsidRPr="008D4B3B">
        <w:rPr>
          <w:color w:val="auto"/>
        </w:rPr>
        <w:t>,</w:t>
      </w:r>
      <w:r w:rsidR="00792799" w:rsidRPr="008D4B3B">
        <w:rPr>
          <w:color w:val="auto"/>
        </w:rPr>
        <w:t xml:space="preserve"> </w:t>
      </w:r>
      <w:r w:rsidR="00477F6B" w:rsidRPr="008D4B3B">
        <w:rPr>
          <w:color w:val="auto"/>
        </w:rPr>
        <w:t xml:space="preserve">as they relate to investment transaction activity in a lifecycle </w:t>
      </w:r>
      <w:r w:rsidR="00475610" w:rsidRPr="008D4B3B">
        <w:rPr>
          <w:color w:val="auto"/>
        </w:rPr>
        <w:t>product,</w:t>
      </w:r>
      <w:r w:rsidR="00477F6B" w:rsidRPr="008D4B3B">
        <w:rPr>
          <w:color w:val="auto"/>
        </w:rPr>
        <w:t xml:space="preserve"> </w:t>
      </w:r>
      <w:r w:rsidR="00C14DF4" w:rsidRPr="008D4B3B">
        <w:rPr>
          <w:color w:val="auto"/>
        </w:rPr>
        <w:t>als</w:t>
      </w:r>
      <w:r w:rsidRPr="008D4B3B">
        <w:rPr>
          <w:color w:val="auto"/>
        </w:rPr>
        <w:t xml:space="preserve">o </w:t>
      </w:r>
      <w:r w:rsidR="00C14DF4" w:rsidRPr="008D4B3B">
        <w:rPr>
          <w:color w:val="auto"/>
        </w:rPr>
        <w:t>to</w:t>
      </w:r>
      <w:r w:rsidRPr="008D4B3B">
        <w:rPr>
          <w:color w:val="auto"/>
        </w:rPr>
        <w:t xml:space="preserve"> be charged on a fair and reasonable basis, as opposed to the current requirement that they be the same for each member</w:t>
      </w:r>
      <w:r w:rsidR="00C14DF4" w:rsidRPr="008D4B3B">
        <w:rPr>
          <w:color w:val="auto"/>
        </w:rPr>
        <w:t>. This would be i</w:t>
      </w:r>
      <w:r w:rsidR="00915C09" w:rsidRPr="008D4B3B">
        <w:rPr>
          <w:color w:val="auto"/>
        </w:rPr>
        <w:t>n keeping with the policy intent of the proposed amendments</w:t>
      </w:r>
      <w:r w:rsidR="00570160" w:rsidRPr="008D4B3B">
        <w:rPr>
          <w:color w:val="auto"/>
        </w:rPr>
        <w:t xml:space="preserve"> and </w:t>
      </w:r>
      <w:r w:rsidR="006B1F17" w:rsidRPr="008D4B3B">
        <w:rPr>
          <w:color w:val="auto"/>
        </w:rPr>
        <w:t xml:space="preserve">the </w:t>
      </w:r>
      <w:r w:rsidR="00C44E6B" w:rsidRPr="008D4B3B">
        <w:rPr>
          <w:color w:val="auto"/>
        </w:rPr>
        <w:t xml:space="preserve">requirement to </w:t>
      </w:r>
      <w:r w:rsidR="00915C09" w:rsidRPr="008D4B3B">
        <w:rPr>
          <w:color w:val="auto"/>
        </w:rPr>
        <w:t xml:space="preserve">stream gains and losses to MySuper members </w:t>
      </w:r>
      <w:r w:rsidR="009843DB" w:rsidRPr="008D4B3B">
        <w:rPr>
          <w:color w:val="auto"/>
        </w:rPr>
        <w:t>on</w:t>
      </w:r>
      <w:r w:rsidR="00915C09" w:rsidRPr="008D4B3B">
        <w:rPr>
          <w:color w:val="auto"/>
        </w:rPr>
        <w:t xml:space="preserve"> a fair and reasonable </w:t>
      </w:r>
      <w:r w:rsidR="009843DB" w:rsidRPr="008D4B3B">
        <w:rPr>
          <w:color w:val="auto"/>
        </w:rPr>
        <w:t>basis</w:t>
      </w:r>
      <w:r w:rsidR="00915C09" w:rsidRPr="008D4B3B">
        <w:rPr>
          <w:color w:val="auto"/>
        </w:rPr>
        <w:t>.</w:t>
      </w:r>
    </w:p>
    <w:p w14:paraId="3BF00CEB" w14:textId="76ADB88B" w:rsidR="001D26AA" w:rsidRPr="008D4B3B" w:rsidRDefault="00AE22EE" w:rsidP="00915C09">
      <w:pPr>
        <w:spacing w:after="200"/>
        <w:rPr>
          <w:color w:val="auto"/>
        </w:rPr>
      </w:pPr>
      <w:r w:rsidRPr="008D4B3B">
        <w:rPr>
          <w:color w:val="auto"/>
        </w:rPr>
        <w:t>Sub-s</w:t>
      </w:r>
      <w:r w:rsidR="00E66F34" w:rsidRPr="008D4B3B">
        <w:rPr>
          <w:color w:val="auto"/>
        </w:rPr>
        <w:t xml:space="preserve">ection 29V(4) of the SIS Act defines a buy-sell spread as </w:t>
      </w:r>
      <w:r w:rsidR="001D26AA" w:rsidRPr="008D4B3B">
        <w:rPr>
          <w:color w:val="auto"/>
        </w:rPr>
        <w:t>‘</w:t>
      </w:r>
      <w:r w:rsidR="00E66F34" w:rsidRPr="008D4B3B">
        <w:rPr>
          <w:color w:val="auto"/>
        </w:rPr>
        <w:t xml:space="preserve">a fee to recover transaction costs </w:t>
      </w:r>
      <w:r w:rsidR="00E66F34" w:rsidRPr="008D4B3B">
        <w:rPr>
          <w:i/>
          <w:color w:val="auto"/>
          <w:u w:val="single"/>
        </w:rPr>
        <w:t xml:space="preserve">incurred by the </w:t>
      </w:r>
      <w:r w:rsidR="00E66F34" w:rsidRPr="008D4B3B">
        <w:rPr>
          <w:i/>
          <w:iCs/>
          <w:color w:val="auto"/>
          <w:u w:val="single"/>
        </w:rPr>
        <w:t>trustee</w:t>
      </w:r>
      <w:r w:rsidR="001D26AA" w:rsidRPr="008D4B3B">
        <w:rPr>
          <w:i/>
          <w:iCs/>
          <w:color w:val="auto"/>
          <w:u w:val="single"/>
        </w:rPr>
        <w:t>’</w:t>
      </w:r>
      <w:r w:rsidR="00E66F34" w:rsidRPr="008D4B3B">
        <w:rPr>
          <w:color w:val="auto"/>
        </w:rPr>
        <w:t xml:space="preserve"> [emphasis added]. </w:t>
      </w:r>
      <w:r w:rsidR="006003C6" w:rsidRPr="008D4B3B">
        <w:rPr>
          <w:color w:val="auto"/>
        </w:rPr>
        <w:t xml:space="preserve">The ability to charge buy-sell spreads permits a trustee to pass on the costs of acquiring and disposing of assets to </w:t>
      </w:r>
      <w:r w:rsidR="00525F1C" w:rsidRPr="008D4B3B">
        <w:rPr>
          <w:color w:val="auto"/>
        </w:rPr>
        <w:t>the</w:t>
      </w:r>
      <w:r w:rsidR="006003C6" w:rsidRPr="008D4B3B">
        <w:rPr>
          <w:color w:val="auto"/>
        </w:rPr>
        <w:t xml:space="preserve"> members</w:t>
      </w:r>
      <w:r w:rsidR="00525F1C" w:rsidRPr="008D4B3B">
        <w:rPr>
          <w:color w:val="auto"/>
        </w:rPr>
        <w:t xml:space="preserve"> who have </w:t>
      </w:r>
      <w:r w:rsidR="006003C6" w:rsidRPr="008D4B3B">
        <w:rPr>
          <w:color w:val="auto"/>
        </w:rPr>
        <w:t>transact</w:t>
      </w:r>
      <w:r w:rsidR="00525F1C" w:rsidRPr="008D4B3B">
        <w:rPr>
          <w:color w:val="auto"/>
        </w:rPr>
        <w:t>ed</w:t>
      </w:r>
      <w:r w:rsidR="006003C6" w:rsidRPr="008D4B3B">
        <w:rPr>
          <w:color w:val="auto"/>
        </w:rPr>
        <w:t xml:space="preserve">, </w:t>
      </w:r>
      <w:r w:rsidR="00525F1C" w:rsidRPr="008D4B3B">
        <w:rPr>
          <w:color w:val="auto"/>
        </w:rPr>
        <w:t>as opposed to being passed on</w:t>
      </w:r>
      <w:r w:rsidR="006003C6" w:rsidRPr="008D4B3B">
        <w:rPr>
          <w:color w:val="auto"/>
        </w:rPr>
        <w:t xml:space="preserve"> to all members, and therefore is a more equitable and transparent mechanism.</w:t>
      </w:r>
    </w:p>
    <w:p w14:paraId="577F1BDB" w14:textId="68178208" w:rsidR="00915C09" w:rsidRPr="008D4B3B" w:rsidRDefault="00FB198F" w:rsidP="002901F6">
      <w:pPr>
        <w:spacing w:after="200"/>
        <w:rPr>
          <w:color w:val="auto"/>
        </w:rPr>
      </w:pPr>
      <w:r w:rsidRPr="008D4B3B">
        <w:rPr>
          <w:color w:val="auto"/>
        </w:rPr>
        <w:t>Given the current drafting of sub-section</w:t>
      </w:r>
      <w:r w:rsidR="00560D60" w:rsidRPr="008D4B3B">
        <w:rPr>
          <w:color w:val="auto"/>
        </w:rPr>
        <w:t>s</w:t>
      </w:r>
      <w:r w:rsidRPr="008D4B3B">
        <w:rPr>
          <w:color w:val="auto"/>
        </w:rPr>
        <w:t xml:space="preserve"> 29VA(5) and (6) </w:t>
      </w:r>
      <w:r w:rsidR="00385820" w:rsidRPr="008D4B3B">
        <w:rPr>
          <w:color w:val="auto"/>
        </w:rPr>
        <w:t xml:space="preserve">it is </w:t>
      </w:r>
      <w:r w:rsidR="00560D60" w:rsidRPr="008D4B3B">
        <w:rPr>
          <w:color w:val="auto"/>
        </w:rPr>
        <w:t>not p</w:t>
      </w:r>
      <w:r w:rsidR="00385820" w:rsidRPr="008D4B3B">
        <w:rPr>
          <w:color w:val="auto"/>
        </w:rPr>
        <w:t xml:space="preserve">ossible to achieve </w:t>
      </w:r>
      <w:r w:rsidR="00AA7229" w:rsidRPr="008D4B3B">
        <w:rPr>
          <w:color w:val="auto"/>
        </w:rPr>
        <w:t>a</w:t>
      </w:r>
      <w:r w:rsidR="00915C09" w:rsidRPr="008D4B3B">
        <w:rPr>
          <w:color w:val="auto"/>
        </w:rPr>
        <w:t xml:space="preserve"> fair and reasonable attribution of investment-related costs </w:t>
      </w:r>
      <w:r w:rsidR="00A409C9" w:rsidRPr="008D4B3B">
        <w:rPr>
          <w:color w:val="auto"/>
        </w:rPr>
        <w:t>as</w:t>
      </w:r>
      <w:r w:rsidR="00AA7229" w:rsidRPr="008D4B3B">
        <w:rPr>
          <w:color w:val="auto"/>
        </w:rPr>
        <w:t xml:space="preserve"> there </w:t>
      </w:r>
      <w:r w:rsidR="00602AF9" w:rsidRPr="008D4B3B">
        <w:rPr>
          <w:color w:val="auto"/>
        </w:rPr>
        <w:t>are</w:t>
      </w:r>
      <w:r w:rsidR="00AA7229" w:rsidRPr="008D4B3B">
        <w:rPr>
          <w:color w:val="auto"/>
        </w:rPr>
        <w:t xml:space="preserve"> different asset allocations in each subclass</w:t>
      </w:r>
      <w:r w:rsidR="00602AF9" w:rsidRPr="008D4B3B">
        <w:rPr>
          <w:color w:val="auto"/>
        </w:rPr>
        <w:t xml:space="preserve"> and so</w:t>
      </w:r>
      <w:r w:rsidR="00AA7229" w:rsidRPr="008D4B3B">
        <w:rPr>
          <w:color w:val="auto"/>
        </w:rPr>
        <w:t xml:space="preserve"> t</w:t>
      </w:r>
      <w:r w:rsidR="00385820" w:rsidRPr="008D4B3B">
        <w:rPr>
          <w:color w:val="auto"/>
        </w:rPr>
        <w:t>he</w:t>
      </w:r>
      <w:r w:rsidR="00915C09" w:rsidRPr="008D4B3B">
        <w:rPr>
          <w:color w:val="auto"/>
        </w:rPr>
        <w:t xml:space="preserve"> investment-related costs </w:t>
      </w:r>
      <w:r w:rsidR="0047373B" w:rsidRPr="008D4B3B">
        <w:rPr>
          <w:color w:val="auto"/>
        </w:rPr>
        <w:t xml:space="preserve">will </w:t>
      </w:r>
      <w:r w:rsidR="00915C09" w:rsidRPr="008D4B3B">
        <w:rPr>
          <w:color w:val="auto"/>
        </w:rPr>
        <w:t xml:space="preserve">vary </w:t>
      </w:r>
      <w:r w:rsidR="00E66F34" w:rsidRPr="008D4B3B">
        <w:rPr>
          <w:color w:val="auto"/>
        </w:rPr>
        <w:t>from</w:t>
      </w:r>
      <w:r w:rsidR="00915C09" w:rsidRPr="008D4B3B">
        <w:rPr>
          <w:color w:val="auto"/>
        </w:rPr>
        <w:t xml:space="preserve"> subclass </w:t>
      </w:r>
      <w:r w:rsidR="00E66F34" w:rsidRPr="008D4B3B">
        <w:rPr>
          <w:color w:val="auto"/>
        </w:rPr>
        <w:t>to subclass</w:t>
      </w:r>
      <w:r w:rsidR="00915C09" w:rsidRPr="008D4B3B">
        <w:rPr>
          <w:color w:val="auto"/>
        </w:rPr>
        <w:t>.</w:t>
      </w:r>
      <w:r w:rsidR="00BF396E" w:rsidRPr="008D4B3B">
        <w:rPr>
          <w:color w:val="auto"/>
        </w:rPr>
        <w:t xml:space="preserve"> </w:t>
      </w:r>
      <w:r w:rsidR="00915C09" w:rsidRPr="008D4B3B">
        <w:rPr>
          <w:color w:val="auto"/>
        </w:rPr>
        <w:t xml:space="preserve">In our view, </w:t>
      </w:r>
      <w:r w:rsidR="00B56B20" w:rsidRPr="008D4B3B">
        <w:rPr>
          <w:color w:val="auto"/>
        </w:rPr>
        <w:t>to enable the policy intent of the proposed amendments to be fully achieved</w:t>
      </w:r>
      <w:r w:rsidR="00915C09" w:rsidRPr="008D4B3B">
        <w:rPr>
          <w:color w:val="auto"/>
        </w:rPr>
        <w:t>, the charging of buy-sell spreads should follow the proposed amendments to the charging of investment fees</w:t>
      </w:r>
      <w:r w:rsidR="00B56B20" w:rsidRPr="008D4B3B">
        <w:rPr>
          <w:color w:val="auto"/>
        </w:rPr>
        <w:t xml:space="preserve"> and allow </w:t>
      </w:r>
      <w:r w:rsidR="00105AB8" w:rsidRPr="008D4B3B">
        <w:rPr>
          <w:color w:val="auto"/>
        </w:rPr>
        <w:t>bu</w:t>
      </w:r>
      <w:r w:rsidR="00A62085" w:rsidRPr="008D4B3B">
        <w:rPr>
          <w:color w:val="auto"/>
        </w:rPr>
        <w:t>y</w:t>
      </w:r>
      <w:r w:rsidR="00105AB8" w:rsidRPr="008D4B3B">
        <w:rPr>
          <w:color w:val="auto"/>
        </w:rPr>
        <w:t xml:space="preserve"> sell spreads</w:t>
      </w:r>
      <w:r w:rsidR="00B56B20" w:rsidRPr="008D4B3B">
        <w:rPr>
          <w:color w:val="auto"/>
        </w:rPr>
        <w:t xml:space="preserve"> to be </w:t>
      </w:r>
      <w:r w:rsidR="00A62085" w:rsidRPr="008D4B3B">
        <w:rPr>
          <w:color w:val="auto"/>
        </w:rPr>
        <w:t>charged</w:t>
      </w:r>
      <w:r w:rsidR="00B56B20" w:rsidRPr="008D4B3B">
        <w:rPr>
          <w:color w:val="auto"/>
        </w:rPr>
        <w:t xml:space="preserve"> on a </w:t>
      </w:r>
      <w:r w:rsidR="00B44CE6" w:rsidRPr="008D4B3B">
        <w:rPr>
          <w:color w:val="auto"/>
        </w:rPr>
        <w:t>subclass</w:t>
      </w:r>
      <w:r w:rsidR="00A62085" w:rsidRPr="008D4B3B">
        <w:rPr>
          <w:color w:val="auto"/>
        </w:rPr>
        <w:t xml:space="preserve"> by </w:t>
      </w:r>
      <w:r w:rsidR="00B44CE6" w:rsidRPr="008D4B3B">
        <w:rPr>
          <w:color w:val="auto"/>
        </w:rPr>
        <w:t>subclass</w:t>
      </w:r>
      <w:r w:rsidR="00A62085" w:rsidRPr="008D4B3B">
        <w:rPr>
          <w:color w:val="auto"/>
        </w:rPr>
        <w:t xml:space="preserve"> basis</w:t>
      </w:r>
      <w:r w:rsidR="00915C09" w:rsidRPr="008D4B3B">
        <w:rPr>
          <w:color w:val="auto"/>
        </w:rPr>
        <w:t>.</w:t>
      </w:r>
    </w:p>
    <w:tbl>
      <w:tblPr>
        <w:tblStyle w:val="Highlightbox1"/>
        <w:tblW w:w="0" w:type="auto"/>
        <w:tblLook w:val="04A0" w:firstRow="1" w:lastRow="0" w:firstColumn="1" w:lastColumn="0" w:noHBand="0" w:noVBand="1"/>
      </w:tblPr>
      <w:tblGrid>
        <w:gridCol w:w="9854"/>
      </w:tblGrid>
      <w:tr w:rsidR="001072CA" w14:paraId="700DC1BE" w14:textId="77777777" w:rsidTr="00770FF5">
        <w:trPr>
          <w:cnfStyle w:val="100000000000" w:firstRow="1" w:lastRow="0" w:firstColumn="0" w:lastColumn="0" w:oddVBand="0" w:evenVBand="0" w:oddHBand="0" w:evenHBand="0" w:firstRowFirstColumn="0" w:firstRowLastColumn="0" w:lastRowFirstColumn="0" w:lastRowLastColumn="0"/>
        </w:trPr>
        <w:tc>
          <w:tcPr>
            <w:tcW w:w="9854" w:type="dxa"/>
          </w:tcPr>
          <w:p w14:paraId="1A880AA9" w14:textId="77777777" w:rsidR="001072CA" w:rsidRDefault="001072CA" w:rsidP="00770FF5">
            <w:pPr>
              <w:pStyle w:val="Highlightboxheading"/>
              <w:spacing w:after="200"/>
            </w:pPr>
            <w:r>
              <w:t>Recommendation</w:t>
            </w:r>
          </w:p>
        </w:tc>
      </w:tr>
      <w:tr w:rsidR="001072CA" w14:paraId="1D2A8305" w14:textId="77777777" w:rsidTr="00770FF5">
        <w:tc>
          <w:tcPr>
            <w:tcW w:w="9854" w:type="dxa"/>
          </w:tcPr>
          <w:p w14:paraId="6EBDC6AB" w14:textId="2D194912" w:rsidR="00E20AC0" w:rsidRDefault="00E20AC0" w:rsidP="00FA618B">
            <w:pPr>
              <w:pStyle w:val="Subhead1"/>
              <w:rPr>
                <w:color w:val="auto"/>
              </w:rPr>
            </w:pPr>
            <w:r>
              <w:rPr>
                <w:color w:val="auto"/>
              </w:rPr>
              <w:t>MySuper charging rules</w:t>
            </w:r>
          </w:p>
          <w:p w14:paraId="42ED1AD0" w14:textId="583DDC93" w:rsidR="001072CA" w:rsidRPr="00BA3C5B" w:rsidRDefault="000A4C61" w:rsidP="00770FF5">
            <w:pPr>
              <w:spacing w:after="200"/>
            </w:pPr>
            <w:r w:rsidRPr="007C6591">
              <w:rPr>
                <w:rFonts w:eastAsiaTheme="majorEastAsia" w:cstheme="majorBidi"/>
                <w:color w:val="auto"/>
              </w:rPr>
              <w:t>ASFA welcomes allow</w:t>
            </w:r>
            <w:r>
              <w:rPr>
                <w:color w:val="auto"/>
              </w:rPr>
              <w:t xml:space="preserve">ing </w:t>
            </w:r>
            <w:r w:rsidRPr="006D4068">
              <w:rPr>
                <w:rFonts w:eastAsiaTheme="majorEastAsia" w:cstheme="majorBidi"/>
                <w:color w:val="auto"/>
              </w:rPr>
              <w:t xml:space="preserve">different investment fees </w:t>
            </w:r>
            <w:r w:rsidR="00482A3B">
              <w:rPr>
                <w:color w:val="auto"/>
              </w:rPr>
              <w:t>for</w:t>
            </w:r>
            <w:r w:rsidRPr="006D4068">
              <w:rPr>
                <w:rFonts w:eastAsiaTheme="majorEastAsia" w:cstheme="majorBidi"/>
                <w:color w:val="auto"/>
              </w:rPr>
              <w:t xml:space="preserve"> each lifecycle stage</w:t>
            </w:r>
            <w:r w:rsidR="00482A3B">
              <w:rPr>
                <w:color w:val="auto"/>
              </w:rPr>
              <w:t xml:space="preserve"> and </w:t>
            </w:r>
            <w:r w:rsidR="001D253E">
              <w:rPr>
                <w:color w:val="auto"/>
              </w:rPr>
              <w:t>recommend</w:t>
            </w:r>
            <w:r w:rsidR="00482A3B">
              <w:rPr>
                <w:color w:val="auto"/>
              </w:rPr>
              <w:t>s</w:t>
            </w:r>
            <w:r w:rsidRPr="000A4C61">
              <w:rPr>
                <w:color w:val="auto"/>
              </w:rPr>
              <w:t xml:space="preserve"> </w:t>
            </w:r>
            <w:r w:rsidR="004C33DB" w:rsidRPr="004C33DB">
              <w:rPr>
                <w:color w:val="auto"/>
              </w:rPr>
              <w:t xml:space="preserve">that </w:t>
            </w:r>
            <w:r w:rsidR="004C33DB" w:rsidRPr="000A4C61">
              <w:rPr>
                <w:color w:val="auto"/>
              </w:rPr>
              <w:t>sub</w:t>
            </w:r>
            <w:r w:rsidR="006D4846">
              <w:rPr>
                <w:color w:val="auto"/>
              </w:rPr>
              <w:noBreakHyphen/>
            </w:r>
            <w:r w:rsidR="004C33DB" w:rsidRPr="000A4C61">
              <w:rPr>
                <w:color w:val="auto"/>
              </w:rPr>
              <w:t xml:space="preserve">sections 29VA(5) and (6) </w:t>
            </w:r>
            <w:r w:rsidR="004C33DB" w:rsidRPr="004C33DB">
              <w:rPr>
                <w:color w:val="auto"/>
              </w:rPr>
              <w:t xml:space="preserve">be amended </w:t>
            </w:r>
            <w:r w:rsidR="00B014A9">
              <w:rPr>
                <w:color w:val="auto"/>
              </w:rPr>
              <w:t xml:space="preserve">to </w:t>
            </w:r>
            <w:r w:rsidR="00482A3B" w:rsidRPr="00777667">
              <w:rPr>
                <w:color w:val="auto"/>
              </w:rPr>
              <w:t>extend</w:t>
            </w:r>
            <w:r w:rsidR="00B014A9" w:rsidRPr="00777667">
              <w:rPr>
                <w:color w:val="auto"/>
              </w:rPr>
              <w:t xml:space="preserve"> this to</w:t>
            </w:r>
            <w:r w:rsidR="00482A3B" w:rsidRPr="00777667">
              <w:rPr>
                <w:color w:val="auto"/>
              </w:rPr>
              <w:t xml:space="preserve"> </w:t>
            </w:r>
            <w:r w:rsidRPr="006D4068">
              <w:rPr>
                <w:rFonts w:eastAsiaTheme="majorEastAsia" w:cstheme="majorBidi"/>
                <w:color w:val="auto"/>
              </w:rPr>
              <w:t>buy-sell spreads</w:t>
            </w:r>
            <w:r w:rsidRPr="000A4C61">
              <w:rPr>
                <w:rFonts w:eastAsiaTheme="majorEastAsia" w:cstheme="majorBidi"/>
                <w:b/>
                <w:color w:val="auto"/>
              </w:rPr>
              <w:t>.</w:t>
            </w:r>
          </w:p>
        </w:tc>
      </w:tr>
    </w:tbl>
    <w:p w14:paraId="1E5EBA92" w14:textId="4D0E4169" w:rsidR="006A540C" w:rsidRPr="00A81DB0" w:rsidRDefault="00A54FD0" w:rsidP="00D46812">
      <w:pPr>
        <w:pStyle w:val="Numberedlist3"/>
        <w:tabs>
          <w:tab w:val="clear" w:pos="794"/>
        </w:tabs>
        <w:spacing w:after="200"/>
        <w:ind w:left="567" w:hanging="567"/>
        <w:contextualSpacing w:val="0"/>
      </w:pPr>
      <w:r w:rsidRPr="00D46812">
        <w:t>I</w:t>
      </w:r>
      <w:r w:rsidR="006A540C" w:rsidRPr="00A81DB0">
        <w:t>mpact of successor fund transfer on insurance elections</w:t>
      </w:r>
    </w:p>
    <w:p w14:paraId="379C1B10" w14:textId="5D0797AE" w:rsidR="00232602" w:rsidRPr="0017218E" w:rsidRDefault="60AFEE96" w:rsidP="00232602">
      <w:pPr>
        <w:spacing w:after="200"/>
        <w:rPr>
          <w:color w:val="auto"/>
        </w:rPr>
      </w:pPr>
      <w:r w:rsidRPr="0017218E">
        <w:rPr>
          <w:color w:val="auto"/>
        </w:rPr>
        <w:t xml:space="preserve">ASFA welcomes the amendments in items 70–73 that implement the successor fund transfer </w:t>
      </w:r>
      <w:r w:rsidR="00D23973" w:rsidRPr="0017218E">
        <w:rPr>
          <w:color w:val="auto"/>
        </w:rPr>
        <w:t xml:space="preserve">(SFT) </w:t>
      </w:r>
      <w:r w:rsidRPr="0017218E">
        <w:rPr>
          <w:color w:val="auto"/>
        </w:rPr>
        <w:t>measures</w:t>
      </w:r>
      <w:r w:rsidR="436B7D47" w:rsidRPr="0017218E">
        <w:rPr>
          <w:color w:val="auto"/>
        </w:rPr>
        <w:t xml:space="preserve"> outlined in the APRA guidance for Putting Members’ Interests First (PMIF) </w:t>
      </w:r>
      <w:r w:rsidR="4EBE3CD0" w:rsidRPr="0017218E">
        <w:rPr>
          <w:color w:val="auto"/>
        </w:rPr>
        <w:t>implementation</w:t>
      </w:r>
      <w:r w:rsidR="436B7D47" w:rsidRPr="0017218E">
        <w:rPr>
          <w:color w:val="auto"/>
        </w:rPr>
        <w:t xml:space="preserve">. </w:t>
      </w:r>
    </w:p>
    <w:p w14:paraId="42F57F76" w14:textId="6F255F0E" w:rsidR="004E14D3" w:rsidRPr="0017218E" w:rsidRDefault="37F265A9" w:rsidP="765D6D84">
      <w:pPr>
        <w:spacing w:after="200"/>
        <w:rPr>
          <w:color w:val="auto"/>
        </w:rPr>
      </w:pPr>
      <w:r w:rsidRPr="0017218E">
        <w:rPr>
          <w:color w:val="auto"/>
        </w:rPr>
        <w:t>We understand that the amendments will not only ensure that member elections to maintain insurance will be</w:t>
      </w:r>
      <w:r w:rsidR="4BE250DD" w:rsidRPr="0017218E">
        <w:rPr>
          <w:color w:val="auto"/>
        </w:rPr>
        <w:t xml:space="preserve"> respected in the event of a </w:t>
      </w:r>
      <w:r w:rsidR="00D23973" w:rsidRPr="0017218E">
        <w:rPr>
          <w:color w:val="auto"/>
        </w:rPr>
        <w:t>SFT</w:t>
      </w:r>
      <w:r w:rsidR="4BE250DD" w:rsidRPr="0017218E">
        <w:rPr>
          <w:color w:val="auto"/>
        </w:rPr>
        <w:t xml:space="preserve"> they will also ensure that insurance maintained under the Protecting Your Super (PYS) and PM</w:t>
      </w:r>
      <w:r w:rsidR="25DA15B4" w:rsidRPr="0017218E">
        <w:rPr>
          <w:color w:val="auto"/>
        </w:rPr>
        <w:t xml:space="preserve">IF transitional arrangements will also be protected. </w:t>
      </w:r>
    </w:p>
    <w:p w14:paraId="3E68761C" w14:textId="2A1D6C77" w:rsidR="00582CC2" w:rsidRPr="0017218E" w:rsidRDefault="25DA15B4" w:rsidP="009E0FA5">
      <w:pPr>
        <w:rPr>
          <w:color w:val="auto"/>
        </w:rPr>
      </w:pPr>
      <w:r w:rsidRPr="0017218E">
        <w:rPr>
          <w:color w:val="auto"/>
        </w:rPr>
        <w:t>Specifically</w:t>
      </w:r>
      <w:r w:rsidR="004E14D3" w:rsidRPr="0017218E">
        <w:rPr>
          <w:color w:val="auto"/>
        </w:rPr>
        <w:t>,</w:t>
      </w:r>
      <w:r w:rsidRPr="0017218E">
        <w:rPr>
          <w:color w:val="auto"/>
        </w:rPr>
        <w:t xml:space="preserve"> this means that </w:t>
      </w:r>
      <w:r w:rsidR="2A75DDAA" w:rsidRPr="0017218E">
        <w:rPr>
          <w:color w:val="auto"/>
        </w:rPr>
        <w:t xml:space="preserve">insurance will be maintained through a </w:t>
      </w:r>
      <w:r w:rsidR="00D23973" w:rsidRPr="0017218E">
        <w:rPr>
          <w:color w:val="auto"/>
        </w:rPr>
        <w:t>SFT</w:t>
      </w:r>
      <w:r w:rsidR="00582CC2" w:rsidRPr="0017218E">
        <w:rPr>
          <w:color w:val="auto"/>
        </w:rPr>
        <w:t>:</w:t>
      </w:r>
    </w:p>
    <w:p w14:paraId="2D041833" w14:textId="5E08459C" w:rsidR="002D7944" w:rsidRPr="0017218E" w:rsidRDefault="2A75DDAA" w:rsidP="009E0FA5">
      <w:pPr>
        <w:pStyle w:val="ListParagraph"/>
        <w:numPr>
          <w:ilvl w:val="0"/>
          <w:numId w:val="50"/>
        </w:numPr>
        <w:contextualSpacing w:val="0"/>
        <w:rPr>
          <w:color w:val="auto"/>
        </w:rPr>
      </w:pPr>
      <w:r w:rsidRPr="0017218E">
        <w:rPr>
          <w:color w:val="auto"/>
        </w:rPr>
        <w:t xml:space="preserve">for </w:t>
      </w:r>
      <w:r w:rsidR="25DA15B4" w:rsidRPr="0017218E">
        <w:rPr>
          <w:color w:val="auto"/>
        </w:rPr>
        <w:t xml:space="preserve">any member </w:t>
      </w:r>
      <w:r w:rsidR="0085A85C" w:rsidRPr="0017218E">
        <w:rPr>
          <w:color w:val="auto"/>
        </w:rPr>
        <w:t xml:space="preserve">who has made an election under PYS between 1 July 2019 and the </w:t>
      </w:r>
      <w:r w:rsidR="00582CC2" w:rsidRPr="0017218E">
        <w:rPr>
          <w:color w:val="auto"/>
        </w:rPr>
        <w:t xml:space="preserve">proposed </w:t>
      </w:r>
      <w:r w:rsidR="0085A85C" w:rsidRPr="0017218E">
        <w:rPr>
          <w:color w:val="auto"/>
        </w:rPr>
        <w:t>start date for these measures</w:t>
      </w:r>
      <w:r w:rsidR="002D7944" w:rsidRPr="0017218E">
        <w:rPr>
          <w:color w:val="auto"/>
        </w:rPr>
        <w:t xml:space="preserve"> (the day after Royal Assent)</w:t>
      </w:r>
      <w:r w:rsidR="00582CC2" w:rsidRPr="0017218E">
        <w:rPr>
          <w:color w:val="auto"/>
        </w:rPr>
        <w:t>;</w:t>
      </w:r>
      <w:r w:rsidR="0085A85C" w:rsidRPr="0017218E">
        <w:rPr>
          <w:color w:val="auto"/>
        </w:rPr>
        <w:t xml:space="preserve"> </w:t>
      </w:r>
      <w:r w:rsidR="31204F4E" w:rsidRPr="0017218E">
        <w:rPr>
          <w:color w:val="auto"/>
        </w:rPr>
        <w:t xml:space="preserve">or </w:t>
      </w:r>
    </w:p>
    <w:p w14:paraId="0DF49C54" w14:textId="45908D04" w:rsidR="37F265A9" w:rsidRPr="0017218E" w:rsidRDefault="31204F4E" w:rsidP="009E0FA5">
      <w:pPr>
        <w:pStyle w:val="ListParagraph"/>
        <w:numPr>
          <w:ilvl w:val="0"/>
          <w:numId w:val="50"/>
        </w:numPr>
        <w:spacing w:after="200"/>
        <w:rPr>
          <w:color w:val="auto"/>
        </w:rPr>
      </w:pPr>
      <w:r w:rsidRPr="0017218E">
        <w:rPr>
          <w:color w:val="auto"/>
        </w:rPr>
        <w:t>where</w:t>
      </w:r>
      <w:r w:rsidR="748088F5" w:rsidRPr="0017218E">
        <w:rPr>
          <w:color w:val="auto"/>
        </w:rPr>
        <w:t xml:space="preserve"> insurance </w:t>
      </w:r>
      <w:r w:rsidR="4BE0C3B7" w:rsidRPr="0017218E">
        <w:rPr>
          <w:color w:val="auto"/>
        </w:rPr>
        <w:t xml:space="preserve">was </w:t>
      </w:r>
      <w:r w:rsidR="748088F5" w:rsidRPr="0017218E">
        <w:rPr>
          <w:color w:val="auto"/>
        </w:rPr>
        <w:t>maintained under the PMIF transitional arrangements (those under age 25 as of 1</w:t>
      </w:r>
      <w:r w:rsidR="003F7CEB" w:rsidRPr="0017218E">
        <w:rPr>
          <w:color w:val="auto"/>
        </w:rPr>
        <w:t> </w:t>
      </w:r>
      <w:r w:rsidR="748088F5" w:rsidRPr="0017218E">
        <w:rPr>
          <w:color w:val="auto"/>
        </w:rPr>
        <w:t>April 2020</w:t>
      </w:r>
      <w:r w:rsidR="1F2A928C" w:rsidRPr="0017218E">
        <w:rPr>
          <w:color w:val="auto"/>
        </w:rPr>
        <w:t xml:space="preserve"> and those who have had a</w:t>
      </w:r>
      <w:r w:rsidR="3AB17A09" w:rsidRPr="0017218E">
        <w:rPr>
          <w:color w:val="auto"/>
        </w:rPr>
        <w:t>n account</w:t>
      </w:r>
      <w:r w:rsidR="1F2A928C" w:rsidRPr="0017218E">
        <w:rPr>
          <w:color w:val="auto"/>
        </w:rPr>
        <w:t xml:space="preserve"> balance higher than $6,000</w:t>
      </w:r>
      <w:r w:rsidR="225A458F" w:rsidRPr="0017218E">
        <w:rPr>
          <w:color w:val="auto"/>
        </w:rPr>
        <w:t xml:space="preserve"> </w:t>
      </w:r>
      <w:r w:rsidR="10F559BB" w:rsidRPr="0017218E">
        <w:rPr>
          <w:color w:val="auto"/>
        </w:rPr>
        <w:t xml:space="preserve">at some point </w:t>
      </w:r>
      <w:r w:rsidR="225A458F" w:rsidRPr="0017218E">
        <w:rPr>
          <w:color w:val="auto"/>
        </w:rPr>
        <w:t>after 1</w:t>
      </w:r>
      <w:r w:rsidR="002D7944" w:rsidRPr="0017218E">
        <w:rPr>
          <w:color w:val="auto"/>
        </w:rPr>
        <w:t> </w:t>
      </w:r>
      <w:r w:rsidR="225A458F" w:rsidRPr="0017218E">
        <w:rPr>
          <w:color w:val="auto"/>
        </w:rPr>
        <w:t>November 2019</w:t>
      </w:r>
      <w:r w:rsidR="0860443A" w:rsidRPr="0017218E">
        <w:rPr>
          <w:color w:val="auto"/>
        </w:rPr>
        <w:t xml:space="preserve"> but which may have subsequently fallen below $6,000</w:t>
      </w:r>
      <w:r w:rsidR="225A458F" w:rsidRPr="0017218E">
        <w:rPr>
          <w:color w:val="auto"/>
        </w:rPr>
        <w:t>)</w:t>
      </w:r>
      <w:r w:rsidR="68DA6BF9" w:rsidRPr="0017218E">
        <w:rPr>
          <w:color w:val="auto"/>
        </w:rPr>
        <w:t xml:space="preserve">. </w:t>
      </w:r>
      <w:r w:rsidR="225A458F" w:rsidRPr="0017218E">
        <w:rPr>
          <w:color w:val="auto"/>
        </w:rPr>
        <w:t xml:space="preserve"> </w:t>
      </w:r>
    </w:p>
    <w:p w14:paraId="0A892A95" w14:textId="77777777" w:rsidR="00EE2D53" w:rsidRDefault="00EE2D53">
      <w:pPr>
        <w:tabs>
          <w:tab w:val="clear" w:pos="357"/>
          <w:tab w:val="clear" w:pos="794"/>
        </w:tabs>
        <w:spacing w:before="0" w:after="200" w:line="276" w:lineRule="auto"/>
        <w:rPr>
          <w:b/>
          <w:color w:val="009FC3"/>
        </w:rPr>
      </w:pPr>
      <w:r>
        <w:br w:type="page"/>
      </w:r>
    </w:p>
    <w:p w14:paraId="2352441B" w14:textId="52AE79F2" w:rsidR="00942C0E" w:rsidRPr="0091755A" w:rsidRDefault="000D2B6A" w:rsidP="00A81DB0">
      <w:pPr>
        <w:pStyle w:val="Numberedlist2"/>
        <w:tabs>
          <w:tab w:val="clear" w:pos="357"/>
          <w:tab w:val="clear" w:pos="794"/>
          <w:tab w:val="left" w:pos="567"/>
        </w:tabs>
        <w:spacing w:after="200"/>
        <w:ind w:hanging="792"/>
        <w:contextualSpacing w:val="0"/>
      </w:pPr>
      <w:r>
        <w:t>A</w:t>
      </w:r>
      <w:r w:rsidR="008D212D">
        <w:t>mendments</w:t>
      </w:r>
      <w:r w:rsidR="008D212D" w:rsidRPr="0091755A">
        <w:t xml:space="preserve"> to the </w:t>
      </w:r>
      <w:r w:rsidR="008D212D" w:rsidRPr="00EC501A">
        <w:rPr>
          <w:i/>
          <w:iCs/>
        </w:rPr>
        <w:t>Superannuation (Unclaimed Money and Lost Members) Act 1999</w:t>
      </w:r>
    </w:p>
    <w:p w14:paraId="23FB9F08" w14:textId="75974424" w:rsidR="00942C0E" w:rsidRDefault="5589F47D" w:rsidP="009041AD">
      <w:pPr>
        <w:spacing w:after="200"/>
        <w:rPr>
          <w:color w:val="auto"/>
        </w:rPr>
      </w:pPr>
      <w:r w:rsidRPr="765D6D84">
        <w:rPr>
          <w:color w:val="auto"/>
        </w:rPr>
        <w:t xml:space="preserve">ASFA welcomes the amendment in item 75 which clarifies that an account </w:t>
      </w:r>
      <w:r w:rsidR="63AB936C" w:rsidRPr="765D6D84">
        <w:rPr>
          <w:color w:val="auto"/>
        </w:rPr>
        <w:t xml:space="preserve">in </w:t>
      </w:r>
      <w:r w:rsidRPr="765D6D84">
        <w:rPr>
          <w:color w:val="auto"/>
        </w:rPr>
        <w:t xml:space="preserve">which </w:t>
      </w:r>
      <w:r w:rsidR="5383C637" w:rsidRPr="765D6D84">
        <w:rPr>
          <w:color w:val="auto"/>
        </w:rPr>
        <w:t xml:space="preserve">the member has elected to maintain insurance, including where the member is under age 25, </w:t>
      </w:r>
      <w:r w:rsidRPr="765D6D84">
        <w:rPr>
          <w:color w:val="auto"/>
        </w:rPr>
        <w:t xml:space="preserve">should be </w:t>
      </w:r>
      <w:r w:rsidR="698A7350" w:rsidRPr="765D6D84">
        <w:rPr>
          <w:color w:val="auto"/>
        </w:rPr>
        <w:t xml:space="preserve">exempt from the </w:t>
      </w:r>
      <w:r w:rsidR="11F30943" w:rsidRPr="765D6D84">
        <w:rPr>
          <w:color w:val="auto"/>
        </w:rPr>
        <w:t>‘</w:t>
      </w:r>
      <w:r w:rsidR="698A7350" w:rsidRPr="765D6D84">
        <w:rPr>
          <w:color w:val="auto"/>
        </w:rPr>
        <w:t xml:space="preserve">inactive low balance </w:t>
      </w:r>
      <w:r w:rsidR="459E0FD7" w:rsidRPr="765D6D84">
        <w:rPr>
          <w:color w:val="auto"/>
        </w:rPr>
        <w:t xml:space="preserve">account’ </w:t>
      </w:r>
      <w:r w:rsidR="698A7350" w:rsidRPr="765D6D84">
        <w:rPr>
          <w:color w:val="auto"/>
        </w:rPr>
        <w:t xml:space="preserve">definition. </w:t>
      </w:r>
    </w:p>
    <w:p w14:paraId="0BE26A65" w14:textId="4C1FD585" w:rsidR="00724756" w:rsidRDefault="004F606E" w:rsidP="00A81DB0">
      <w:pPr>
        <w:pStyle w:val="Numberedlist2"/>
        <w:tabs>
          <w:tab w:val="clear" w:pos="357"/>
          <w:tab w:val="clear" w:pos="794"/>
          <w:tab w:val="left" w:pos="567"/>
        </w:tabs>
        <w:spacing w:after="200"/>
        <w:ind w:hanging="792"/>
        <w:contextualSpacing w:val="0"/>
      </w:pPr>
      <w:r>
        <w:t>A</w:t>
      </w:r>
      <w:r w:rsidR="004673A4">
        <w:t xml:space="preserve">mendments to the </w:t>
      </w:r>
      <w:r w:rsidR="004673A4" w:rsidRPr="00EC501A">
        <w:rPr>
          <w:i/>
          <w:iCs/>
        </w:rPr>
        <w:t>Income Tax Assessment Act 1997</w:t>
      </w:r>
    </w:p>
    <w:p w14:paraId="7E8DC398" w14:textId="3C8D1F18" w:rsidR="00397E0D" w:rsidRPr="00E23D5F" w:rsidRDefault="002B5772" w:rsidP="00E23D5F">
      <w:pPr>
        <w:pStyle w:val="Numberedlist3"/>
        <w:tabs>
          <w:tab w:val="clear" w:pos="794"/>
        </w:tabs>
        <w:spacing w:after="200"/>
        <w:ind w:left="567" w:hanging="567"/>
        <w:contextualSpacing w:val="0"/>
      </w:pPr>
      <w:r w:rsidRPr="00E23D5F">
        <w:t>E</w:t>
      </w:r>
      <w:r w:rsidR="00384B8E" w:rsidRPr="00E23D5F">
        <w:t>xtension of the non-arm’s length income rules</w:t>
      </w:r>
    </w:p>
    <w:p w14:paraId="712FACEA" w14:textId="0752D1F2" w:rsidR="0061485B" w:rsidRPr="00186881" w:rsidRDefault="0061485B" w:rsidP="0061485B">
      <w:pPr>
        <w:rPr>
          <w:color w:val="auto"/>
        </w:rPr>
      </w:pPr>
      <w:r w:rsidRPr="00060E1C">
        <w:rPr>
          <w:color w:val="auto"/>
        </w:rPr>
        <w:t>ASFA is concerned that the amendment</w:t>
      </w:r>
      <w:r w:rsidR="009C0553">
        <w:rPr>
          <w:color w:val="auto"/>
        </w:rPr>
        <w:t>s</w:t>
      </w:r>
      <w:r w:rsidRPr="00060E1C">
        <w:rPr>
          <w:color w:val="auto"/>
        </w:rPr>
        <w:t xml:space="preserve"> </w:t>
      </w:r>
      <w:r w:rsidR="00696EA8" w:rsidRPr="00770FF5">
        <w:rPr>
          <w:color w:val="auto"/>
        </w:rPr>
        <w:t xml:space="preserve">proposed </w:t>
      </w:r>
      <w:r w:rsidR="00C41575">
        <w:rPr>
          <w:color w:val="auto"/>
        </w:rPr>
        <w:t>by items 9</w:t>
      </w:r>
      <w:r w:rsidR="009C0553">
        <w:rPr>
          <w:color w:val="auto"/>
        </w:rPr>
        <w:t>3</w:t>
      </w:r>
      <w:r w:rsidR="006B3CB1" w:rsidRPr="0017218E">
        <w:rPr>
          <w:color w:val="auto"/>
        </w:rPr>
        <w:t>–</w:t>
      </w:r>
      <w:r w:rsidR="00C41575">
        <w:rPr>
          <w:color w:val="auto"/>
        </w:rPr>
        <w:t xml:space="preserve">95, which </w:t>
      </w:r>
      <w:r w:rsidR="00BC6A45">
        <w:rPr>
          <w:color w:val="auto"/>
        </w:rPr>
        <w:t xml:space="preserve">will </w:t>
      </w:r>
      <w:r w:rsidRPr="00060E1C">
        <w:rPr>
          <w:color w:val="auto"/>
        </w:rPr>
        <w:t xml:space="preserve">extend the operation of the non-arm’s length income </w:t>
      </w:r>
      <w:r w:rsidR="00B85354">
        <w:rPr>
          <w:color w:val="auto"/>
        </w:rPr>
        <w:t xml:space="preserve">(NALI) </w:t>
      </w:r>
      <w:r w:rsidRPr="00060E1C">
        <w:rPr>
          <w:color w:val="auto"/>
        </w:rPr>
        <w:t>rules</w:t>
      </w:r>
      <w:r w:rsidR="00BC6A45">
        <w:rPr>
          <w:color w:val="auto"/>
        </w:rPr>
        <w:t>,</w:t>
      </w:r>
      <w:r w:rsidRPr="00060E1C">
        <w:rPr>
          <w:color w:val="auto"/>
        </w:rPr>
        <w:t xml:space="preserve"> may have an adverse impact on SFTs. </w:t>
      </w:r>
    </w:p>
    <w:p w14:paraId="4D09729C" w14:textId="1125A9A0" w:rsidR="0061485B" w:rsidRPr="00060E1C" w:rsidRDefault="0061485B" w:rsidP="0061485B">
      <w:pPr>
        <w:rPr>
          <w:color w:val="auto"/>
        </w:rPr>
      </w:pPr>
      <w:r w:rsidRPr="00060E1C">
        <w:rPr>
          <w:color w:val="auto"/>
        </w:rPr>
        <w:t xml:space="preserve">Ordinary income and statutory income of a complying superannuation fund earned from segregated current pension assets is tax exempt under section 295-385, </w:t>
      </w:r>
      <w:r w:rsidRPr="00060E1C">
        <w:rPr>
          <w:color w:val="auto"/>
          <w:u w:val="single"/>
        </w:rPr>
        <w:t>except</w:t>
      </w:r>
      <w:r w:rsidRPr="00060E1C">
        <w:rPr>
          <w:color w:val="auto"/>
        </w:rPr>
        <w:t xml:space="preserve"> where it is taxable at 47% as </w:t>
      </w:r>
      <w:r w:rsidR="00B85354">
        <w:rPr>
          <w:color w:val="auto"/>
        </w:rPr>
        <w:t>NALI</w:t>
      </w:r>
      <w:r w:rsidRPr="00060E1C">
        <w:rPr>
          <w:color w:val="auto"/>
        </w:rPr>
        <w:t xml:space="preserve"> under section 295-550. </w:t>
      </w:r>
    </w:p>
    <w:p w14:paraId="5D3A7316" w14:textId="05BEF3B2" w:rsidR="0061485B" w:rsidRPr="00060E1C" w:rsidRDefault="0061485B" w:rsidP="0061485B">
      <w:pPr>
        <w:rPr>
          <w:color w:val="auto"/>
        </w:rPr>
      </w:pPr>
      <w:r w:rsidRPr="00060E1C">
        <w:rPr>
          <w:color w:val="auto"/>
        </w:rPr>
        <w:t>Capital gains made by a complying superannuation fund from the disposal of those segregated current pension assets are disregarded under section 118-320 and are therefore tax exempt. However, as noted in the draft explanatory memorandum</w:t>
      </w:r>
      <w:r w:rsidR="00C37CAD" w:rsidRPr="00060E1C">
        <w:rPr>
          <w:rStyle w:val="FootnoteReference"/>
          <w:color w:val="auto"/>
        </w:rPr>
        <w:footnoteReference w:id="3"/>
      </w:r>
      <w:r w:rsidRPr="00060E1C">
        <w:rPr>
          <w:color w:val="auto"/>
        </w:rPr>
        <w:t xml:space="preserve">, due to an unintended legislative drafting oversight, there is currently no exception to this </w:t>
      </w:r>
      <w:r w:rsidR="00DB5C16" w:rsidRPr="00060E1C">
        <w:rPr>
          <w:color w:val="auto"/>
        </w:rPr>
        <w:t>tax-free</w:t>
      </w:r>
      <w:r w:rsidRPr="00060E1C">
        <w:rPr>
          <w:color w:val="auto"/>
        </w:rPr>
        <w:t xml:space="preserve"> status for non-arm’s length capital gains. </w:t>
      </w:r>
      <w:r w:rsidR="004A4DD4">
        <w:rPr>
          <w:color w:val="auto"/>
        </w:rPr>
        <w:t>I</w:t>
      </w:r>
      <w:r w:rsidRPr="00060E1C">
        <w:rPr>
          <w:color w:val="auto"/>
        </w:rPr>
        <w:t xml:space="preserve">tems 93-95 of the draft Bill </w:t>
      </w:r>
      <w:r w:rsidR="004A4DD4">
        <w:rPr>
          <w:color w:val="auto"/>
        </w:rPr>
        <w:t>proposed an amendment to section 118-</w:t>
      </w:r>
      <w:r w:rsidR="00F03D2F">
        <w:rPr>
          <w:color w:val="auto"/>
        </w:rPr>
        <w:t xml:space="preserve">320 </w:t>
      </w:r>
      <w:r w:rsidRPr="00060E1C">
        <w:rPr>
          <w:color w:val="auto"/>
        </w:rPr>
        <w:t>to introduce that exception, so that non-arm’s length capital gains will be taxable at 47% (in alignment with the treatment for ordinary income and statutory income).</w:t>
      </w:r>
    </w:p>
    <w:p w14:paraId="265DF5D3" w14:textId="5586152B" w:rsidR="0061485B" w:rsidRPr="00060E1C" w:rsidRDefault="0061485B" w:rsidP="0061485B">
      <w:pPr>
        <w:rPr>
          <w:color w:val="auto"/>
        </w:rPr>
      </w:pPr>
      <w:r w:rsidRPr="00060E1C">
        <w:rPr>
          <w:color w:val="auto"/>
        </w:rPr>
        <w:t xml:space="preserve">ASFA is generally supportive of amendments to overcome unintended tax outcomes. However, in this instance we are concerned that — in its current form — the </w:t>
      </w:r>
      <w:r w:rsidR="00411EC7" w:rsidRPr="00770FF5">
        <w:rPr>
          <w:color w:val="auto"/>
        </w:rPr>
        <w:t xml:space="preserve">proposed </w:t>
      </w:r>
      <w:r w:rsidRPr="00060E1C">
        <w:rPr>
          <w:color w:val="auto"/>
        </w:rPr>
        <w:t xml:space="preserve">amendment has the potential to create other unintended and adverse tax consequences. </w:t>
      </w:r>
    </w:p>
    <w:p w14:paraId="7DAC6987" w14:textId="77777777" w:rsidR="0061485B" w:rsidRPr="00060E1C" w:rsidRDefault="0061485B" w:rsidP="0061485B">
      <w:pPr>
        <w:rPr>
          <w:color w:val="auto"/>
        </w:rPr>
      </w:pPr>
      <w:r w:rsidRPr="00060E1C">
        <w:rPr>
          <w:color w:val="auto"/>
        </w:rPr>
        <w:t>Specifically, ASFA is concerned that the proposed amendment will have an adverse impact on some rollovers of assets undertaken, utilising Division 310, as part of superannuation fund mergers. This would apply to rollovers both future and past (to the extent that assets received by the continuing fund are still held), thereby in effect causing a retrospective tax liability.</w:t>
      </w:r>
    </w:p>
    <w:p w14:paraId="5A5963FE" w14:textId="0F4CDB54" w:rsidR="0061485B" w:rsidRPr="00060E1C" w:rsidRDefault="0061485B" w:rsidP="0061485B">
      <w:pPr>
        <w:rPr>
          <w:color w:val="auto"/>
        </w:rPr>
      </w:pPr>
      <w:r w:rsidRPr="00060E1C">
        <w:rPr>
          <w:color w:val="auto"/>
        </w:rPr>
        <w:t xml:space="preserve">These adverse tax outcomes may arise if the amendment is made in its current form because, under a Division 310 rollover, the successor fund inherits the cost base for the assets received from the closing </w:t>
      </w:r>
      <w:r w:rsidR="00711F00">
        <w:rPr>
          <w:color w:val="auto"/>
        </w:rPr>
        <w:t xml:space="preserve">(predecessor) </w:t>
      </w:r>
      <w:r w:rsidRPr="00060E1C">
        <w:rPr>
          <w:color w:val="auto"/>
        </w:rPr>
        <w:t>fund. Often that inherited cost base will be lower than the market value of the assets acquired</w:t>
      </w:r>
      <w:r w:rsidR="00721CB0">
        <w:rPr>
          <w:color w:val="auto"/>
        </w:rPr>
        <w:t>,</w:t>
      </w:r>
      <w:r w:rsidRPr="00060E1C">
        <w:rPr>
          <w:color w:val="auto"/>
        </w:rPr>
        <w:t xml:space="preserve"> and the member benefit liabilities assumed</w:t>
      </w:r>
      <w:r w:rsidR="00721CB0">
        <w:rPr>
          <w:color w:val="auto"/>
        </w:rPr>
        <w:t>,</w:t>
      </w:r>
      <w:r w:rsidRPr="00060E1C">
        <w:rPr>
          <w:color w:val="auto"/>
        </w:rPr>
        <w:t xml:space="preserve"> from the closing fund. The result is that later (perhaps years later) when the successor fund sells those segregated current pension assets that have an inherited cost base, it will make larger capital gains and consequently a larger net capital gain (</w:t>
      </w:r>
      <w:r w:rsidR="009A2C1F" w:rsidRPr="00060E1C">
        <w:rPr>
          <w:color w:val="auto"/>
        </w:rPr>
        <w:t>that is,</w:t>
      </w:r>
      <w:r w:rsidRPr="00060E1C">
        <w:rPr>
          <w:color w:val="auto"/>
        </w:rPr>
        <w:t xml:space="preserve"> statutory income) than if it had bought the same assets on-market at the time of the merger. The legislation currently does not prevent application of the</w:t>
      </w:r>
      <w:r w:rsidR="00810322">
        <w:rPr>
          <w:color w:val="auto"/>
        </w:rPr>
        <w:t xml:space="preserve"> capital gains tax (</w:t>
      </w:r>
      <w:r w:rsidRPr="00060E1C">
        <w:rPr>
          <w:color w:val="auto"/>
        </w:rPr>
        <w:t>CGT</w:t>
      </w:r>
      <w:r w:rsidR="00810322">
        <w:rPr>
          <w:color w:val="auto"/>
        </w:rPr>
        <w:t>)</w:t>
      </w:r>
      <w:r w:rsidRPr="00060E1C">
        <w:rPr>
          <w:color w:val="auto"/>
        </w:rPr>
        <w:t xml:space="preserve"> exemption in section 118</w:t>
      </w:r>
      <w:r w:rsidR="005F354D">
        <w:rPr>
          <w:color w:val="auto"/>
        </w:rPr>
        <w:noBreakHyphen/>
      </w:r>
      <w:r w:rsidRPr="00060E1C">
        <w:rPr>
          <w:color w:val="auto"/>
        </w:rPr>
        <w:t xml:space="preserve">320 in that circumstance. There is, in ASFA’s view, no mischief in funds applying the legislation in that manner. The proposed amendment will potentially deny that CGT exemption.  </w:t>
      </w:r>
    </w:p>
    <w:p w14:paraId="3CDEAA4F" w14:textId="77777777" w:rsidR="002C5268" w:rsidRDefault="0061485B" w:rsidP="0061485B">
      <w:pPr>
        <w:rPr>
          <w:color w:val="auto"/>
        </w:rPr>
      </w:pPr>
      <w:r w:rsidRPr="00060E1C">
        <w:rPr>
          <w:color w:val="auto"/>
        </w:rPr>
        <w:t xml:space="preserve">In the above circumstances where assets are rolled-over under a fund merger pursuant to Division 310, ASFA submits that section 295-550 should clearly not apply, as trustees acting in accordance with their fiduciary and statutory obligations (including members’ best interests requirements) should never deal on a non-arm’s length basis. </w:t>
      </w:r>
    </w:p>
    <w:p w14:paraId="6A50BDA6" w14:textId="77777777" w:rsidR="002C5268" w:rsidRDefault="002C5268">
      <w:pPr>
        <w:tabs>
          <w:tab w:val="clear" w:pos="357"/>
          <w:tab w:val="clear" w:pos="794"/>
        </w:tabs>
        <w:spacing w:before="0" w:after="200" w:line="276" w:lineRule="auto"/>
        <w:rPr>
          <w:color w:val="auto"/>
        </w:rPr>
      </w:pPr>
      <w:r>
        <w:rPr>
          <w:color w:val="auto"/>
        </w:rPr>
        <w:br w:type="page"/>
      </w:r>
    </w:p>
    <w:p w14:paraId="53C486EA" w14:textId="000210F2" w:rsidR="0046690B" w:rsidRPr="0024095A" w:rsidRDefault="0061485B" w:rsidP="0061485B">
      <w:pPr>
        <w:rPr>
          <w:color w:val="auto"/>
        </w:rPr>
      </w:pPr>
      <w:r w:rsidRPr="0024095A">
        <w:rPr>
          <w:color w:val="auto"/>
        </w:rPr>
        <w:t>However, the proposed amendments</w:t>
      </w:r>
      <w:r w:rsidR="00892A33" w:rsidRPr="0024095A">
        <w:rPr>
          <w:color w:val="auto"/>
        </w:rPr>
        <w:t>,</w:t>
      </w:r>
      <w:r w:rsidRPr="0024095A">
        <w:rPr>
          <w:color w:val="auto"/>
        </w:rPr>
        <w:t xml:space="preserve"> along with the recent extension of section 295-550 to non-arm’s length expenditure and subsequent pronouncements from the Australian Taxation Office (ATO)</w:t>
      </w:r>
      <w:r w:rsidR="00892A33" w:rsidRPr="0024095A">
        <w:rPr>
          <w:color w:val="auto"/>
        </w:rPr>
        <w:t>,</w:t>
      </w:r>
      <w:r w:rsidRPr="0024095A">
        <w:rPr>
          <w:color w:val="auto"/>
        </w:rPr>
        <w:t xml:space="preserve"> have created uncertainty for large APRA regulated superannuation funds. Even though the risk of section 295</w:t>
      </w:r>
      <w:r w:rsidR="0046690B" w:rsidRPr="0024095A">
        <w:rPr>
          <w:rFonts w:ascii="Helvetica" w:hAnsi="Helvetica" w:cs="Helvetica"/>
          <w:color w:val="auto"/>
        </w:rPr>
        <w:t>˗</w:t>
      </w:r>
      <w:r w:rsidRPr="0024095A">
        <w:rPr>
          <w:color w:val="auto"/>
        </w:rPr>
        <w:t>550 applying</w:t>
      </w:r>
      <w:r w:rsidR="005E2E1A" w:rsidRPr="0024095A">
        <w:rPr>
          <w:color w:val="auto"/>
        </w:rPr>
        <w:t xml:space="preserve"> </w:t>
      </w:r>
      <w:r w:rsidR="005E2E1A" w:rsidRPr="00EC501A">
        <w:rPr>
          <w:color w:val="auto"/>
        </w:rPr>
        <w:t>might be low (if not remote)</w:t>
      </w:r>
      <w:r w:rsidRPr="0024095A">
        <w:rPr>
          <w:color w:val="auto"/>
        </w:rPr>
        <w:t xml:space="preserve">, the consequences could be significant to the fund and its members. </w:t>
      </w:r>
    </w:p>
    <w:p w14:paraId="4CBFDEE8" w14:textId="0BD9DB06" w:rsidR="00821C7D" w:rsidRDefault="007D3FA3" w:rsidP="0061485B">
      <w:pPr>
        <w:rPr>
          <w:rFonts w:ascii="Calibri" w:eastAsia="Calibri" w:hAnsi="Calibri" w:cs="Times New Roman"/>
          <w:color w:val="auto"/>
        </w:rPr>
      </w:pPr>
      <w:r>
        <w:rPr>
          <w:color w:val="auto"/>
        </w:rPr>
        <w:t>T</w:t>
      </w:r>
      <w:r w:rsidR="0061485B" w:rsidRPr="00060E1C">
        <w:rPr>
          <w:color w:val="auto"/>
        </w:rPr>
        <w:t>he purpose of section 295-550 and the mischief it is directed toward</w:t>
      </w:r>
      <w:r w:rsidR="00DA3FCA">
        <w:rPr>
          <w:color w:val="auto"/>
        </w:rPr>
        <w:t xml:space="preserve"> is, </w:t>
      </w:r>
      <w:r w:rsidR="0061485B" w:rsidRPr="00060E1C">
        <w:rPr>
          <w:color w:val="auto"/>
        </w:rPr>
        <w:t>broadly “…</w:t>
      </w:r>
      <w:r w:rsidR="0061485B" w:rsidRPr="00060E1C">
        <w:rPr>
          <w:rFonts w:ascii="Calibri" w:eastAsia="Calibri" w:hAnsi="Calibri" w:cs="Times New Roman"/>
          <w:color w:val="auto"/>
        </w:rPr>
        <w:t>to prevent income from being unduly diverted into superannuation entities as a means of sheltering that income from the normal rates of tax applying to other entities…</w:t>
      </w:r>
      <w:r w:rsidR="00103258">
        <w:rPr>
          <w:rFonts w:ascii="Calibri" w:eastAsia="Calibri" w:hAnsi="Calibri" w:cs="Times New Roman"/>
          <w:color w:val="auto"/>
        </w:rPr>
        <w:t>”</w:t>
      </w:r>
      <w:r w:rsidR="0061485B" w:rsidRPr="00060E1C">
        <w:rPr>
          <w:rStyle w:val="FootnoteReference"/>
          <w:rFonts w:ascii="Calibri" w:eastAsia="Calibri" w:hAnsi="Calibri" w:cs="Times New Roman"/>
          <w:color w:val="auto"/>
        </w:rPr>
        <w:footnoteReference w:id="4"/>
      </w:r>
      <w:r w:rsidR="00CA4DC2">
        <w:rPr>
          <w:rFonts w:ascii="Calibri" w:eastAsia="Calibri" w:hAnsi="Calibri" w:cs="Times New Roman"/>
          <w:color w:val="auto"/>
        </w:rPr>
        <w:t xml:space="preserve"> </w:t>
      </w:r>
    </w:p>
    <w:p w14:paraId="325DDC2B" w14:textId="5EE9D4EB" w:rsidR="0061485B" w:rsidRPr="00060E1C" w:rsidRDefault="003524E8" w:rsidP="0061485B">
      <w:pPr>
        <w:rPr>
          <w:color w:val="auto"/>
        </w:rPr>
      </w:pPr>
      <w:r>
        <w:rPr>
          <w:rFonts w:ascii="Calibri" w:eastAsia="Calibri" w:hAnsi="Calibri" w:cs="Times New Roman"/>
          <w:color w:val="auto"/>
        </w:rPr>
        <w:t xml:space="preserve">Given the </w:t>
      </w:r>
      <w:r w:rsidR="00D77034">
        <w:rPr>
          <w:rFonts w:ascii="Calibri" w:eastAsia="Calibri" w:hAnsi="Calibri" w:cs="Times New Roman"/>
          <w:color w:val="auto"/>
        </w:rPr>
        <w:t xml:space="preserve">extensive </w:t>
      </w:r>
      <w:r w:rsidR="00387217">
        <w:rPr>
          <w:rFonts w:ascii="Calibri" w:eastAsia="Calibri" w:hAnsi="Calibri" w:cs="Times New Roman"/>
          <w:color w:val="auto"/>
        </w:rPr>
        <w:t xml:space="preserve">prudential </w:t>
      </w:r>
      <w:r w:rsidR="008B7770">
        <w:rPr>
          <w:rFonts w:ascii="Calibri" w:eastAsia="Calibri" w:hAnsi="Calibri" w:cs="Times New Roman"/>
          <w:color w:val="auto"/>
        </w:rPr>
        <w:t>regulation</w:t>
      </w:r>
      <w:r w:rsidR="00976CC6">
        <w:rPr>
          <w:rFonts w:ascii="Calibri" w:eastAsia="Calibri" w:hAnsi="Calibri" w:cs="Times New Roman"/>
          <w:color w:val="auto"/>
        </w:rPr>
        <w:t xml:space="preserve"> imposed on </w:t>
      </w:r>
      <w:r w:rsidR="008B7770">
        <w:rPr>
          <w:rFonts w:ascii="Calibri" w:eastAsia="Calibri" w:hAnsi="Calibri" w:cs="Times New Roman"/>
          <w:color w:val="auto"/>
        </w:rPr>
        <w:t>trustees of large APRA-regulated funds</w:t>
      </w:r>
      <w:r w:rsidR="00F87A4E">
        <w:rPr>
          <w:rFonts w:ascii="Calibri" w:eastAsia="Calibri" w:hAnsi="Calibri" w:cs="Times New Roman"/>
          <w:color w:val="auto"/>
        </w:rPr>
        <w:t>, there is in ASFA’s view little scope for the meaningful</w:t>
      </w:r>
      <w:r w:rsidR="00776407">
        <w:rPr>
          <w:rFonts w:ascii="Calibri" w:eastAsia="Calibri" w:hAnsi="Calibri" w:cs="Times New Roman"/>
          <w:color w:val="auto"/>
        </w:rPr>
        <w:t xml:space="preserve"> application of the NALI rules to such funds.</w:t>
      </w:r>
      <w:r w:rsidR="00FA60DB">
        <w:rPr>
          <w:rFonts w:ascii="Calibri" w:eastAsia="Calibri" w:hAnsi="Calibri" w:cs="Times New Roman"/>
          <w:color w:val="auto"/>
        </w:rPr>
        <w:t xml:space="preserve"> </w:t>
      </w:r>
      <w:r w:rsidR="007B1BA7">
        <w:rPr>
          <w:rFonts w:ascii="Calibri" w:eastAsia="Calibri" w:hAnsi="Calibri" w:cs="Times New Roman"/>
          <w:color w:val="auto"/>
        </w:rPr>
        <w:t xml:space="preserve">In light of this, ASFA is </w:t>
      </w:r>
      <w:r w:rsidR="00687827">
        <w:rPr>
          <w:rFonts w:ascii="Calibri" w:eastAsia="Calibri" w:hAnsi="Calibri" w:cs="Times New Roman"/>
          <w:color w:val="auto"/>
        </w:rPr>
        <w:t>of the view that</w:t>
      </w:r>
      <w:r w:rsidR="0061485B" w:rsidRPr="00060E1C">
        <w:rPr>
          <w:color w:val="auto"/>
        </w:rPr>
        <w:t xml:space="preserve"> large APRA</w:t>
      </w:r>
      <w:r w:rsidR="00775799">
        <w:rPr>
          <w:color w:val="auto"/>
        </w:rPr>
        <w:noBreakHyphen/>
      </w:r>
      <w:r w:rsidR="0061485B" w:rsidRPr="00060E1C">
        <w:rPr>
          <w:color w:val="auto"/>
        </w:rPr>
        <w:t xml:space="preserve">regulated superannuation funds should be entirely excluded from </w:t>
      </w:r>
      <w:r w:rsidR="00FA60DB">
        <w:rPr>
          <w:color w:val="auto"/>
        </w:rPr>
        <w:t>the</w:t>
      </w:r>
      <w:r w:rsidR="00FA60DB" w:rsidRPr="00060E1C">
        <w:rPr>
          <w:color w:val="auto"/>
        </w:rPr>
        <w:t xml:space="preserve"> </w:t>
      </w:r>
      <w:r w:rsidR="0061485B" w:rsidRPr="00060E1C">
        <w:rPr>
          <w:color w:val="auto"/>
        </w:rPr>
        <w:t>operation</w:t>
      </w:r>
      <w:r w:rsidR="00FA60DB">
        <w:rPr>
          <w:color w:val="auto"/>
        </w:rPr>
        <w:t xml:space="preserve"> of section 295-550</w:t>
      </w:r>
      <w:r w:rsidR="0061485B" w:rsidRPr="00060E1C">
        <w:rPr>
          <w:color w:val="auto"/>
        </w:rPr>
        <w:t>. At the very least, in the context of the proposed amendments, section 295</w:t>
      </w:r>
      <w:r w:rsidR="00821C7D">
        <w:rPr>
          <w:color w:val="auto"/>
        </w:rPr>
        <w:noBreakHyphen/>
      </w:r>
      <w:r w:rsidR="0061485B" w:rsidRPr="00060E1C">
        <w:rPr>
          <w:color w:val="auto"/>
        </w:rPr>
        <w:t xml:space="preserve">550 could </w:t>
      </w:r>
      <w:r w:rsidR="0019411B">
        <w:rPr>
          <w:color w:val="auto"/>
        </w:rPr>
        <w:t xml:space="preserve">be amended to </w:t>
      </w:r>
      <w:r w:rsidR="00872DA2">
        <w:rPr>
          <w:color w:val="auto"/>
        </w:rPr>
        <w:t>include</w:t>
      </w:r>
      <w:r w:rsidR="0061485B" w:rsidRPr="00060E1C">
        <w:rPr>
          <w:color w:val="auto"/>
        </w:rPr>
        <w:t xml:space="preserve"> clear wording to the effect that circumstances involving tax loss transfer and asset roll-over relief under Division 310 do not, of </w:t>
      </w:r>
      <w:r w:rsidR="00D2618D">
        <w:rPr>
          <w:color w:val="auto"/>
        </w:rPr>
        <w:t>themselves</w:t>
      </w:r>
      <w:r w:rsidR="0061485B" w:rsidRPr="00060E1C">
        <w:rPr>
          <w:color w:val="auto"/>
        </w:rPr>
        <w:t xml:space="preserve">, cause any increased amounts of ordinary or statutory income to be </w:t>
      </w:r>
      <w:r w:rsidR="00F007E5">
        <w:rPr>
          <w:color w:val="auto"/>
        </w:rPr>
        <w:t>NALI</w:t>
      </w:r>
      <w:r w:rsidR="0061485B" w:rsidRPr="00060E1C">
        <w:rPr>
          <w:color w:val="auto"/>
        </w:rPr>
        <w:t>.</w:t>
      </w:r>
    </w:p>
    <w:p w14:paraId="28F71687" w14:textId="14FAD5AA" w:rsidR="00BA61F1" w:rsidRDefault="0061485B" w:rsidP="0061485B">
      <w:pPr>
        <w:rPr>
          <w:color w:val="auto"/>
        </w:rPr>
      </w:pPr>
      <w:r w:rsidRPr="00060E1C">
        <w:rPr>
          <w:color w:val="auto"/>
        </w:rPr>
        <w:t xml:space="preserve">The tax risks </w:t>
      </w:r>
      <w:r w:rsidR="00E55386">
        <w:rPr>
          <w:color w:val="auto"/>
        </w:rPr>
        <w:t xml:space="preserve">associated with the </w:t>
      </w:r>
      <w:r w:rsidR="00C55750">
        <w:rPr>
          <w:color w:val="auto"/>
        </w:rPr>
        <w:t xml:space="preserve">proposed amendment </w:t>
      </w:r>
      <w:r w:rsidRPr="00060E1C">
        <w:rPr>
          <w:color w:val="auto"/>
        </w:rPr>
        <w:t xml:space="preserve">could impact all the segregated current pension assets </w:t>
      </w:r>
      <w:r w:rsidR="00DE4C7B">
        <w:rPr>
          <w:color w:val="auto"/>
        </w:rPr>
        <w:t xml:space="preserve">included as part of a Division 310 </w:t>
      </w:r>
      <w:r w:rsidRPr="00060E1C">
        <w:rPr>
          <w:color w:val="auto"/>
        </w:rPr>
        <w:t xml:space="preserve">rollover and </w:t>
      </w:r>
      <w:r w:rsidR="001B496F" w:rsidRPr="00060E1C">
        <w:rPr>
          <w:color w:val="auto"/>
        </w:rPr>
        <w:t xml:space="preserve">are </w:t>
      </w:r>
      <w:r w:rsidRPr="00060E1C">
        <w:rPr>
          <w:color w:val="auto"/>
        </w:rPr>
        <w:t xml:space="preserve">potentially significant, given the large scale of fund merger transactions. </w:t>
      </w:r>
    </w:p>
    <w:p w14:paraId="41EF2B74" w14:textId="75E3A875" w:rsidR="00E410BF" w:rsidRDefault="0061485B" w:rsidP="0061485B">
      <w:pPr>
        <w:rPr>
          <w:color w:val="auto"/>
        </w:rPr>
      </w:pPr>
      <w:r w:rsidRPr="00060E1C">
        <w:rPr>
          <w:color w:val="auto"/>
        </w:rPr>
        <w:t xml:space="preserve">The risk is particularly acute where the merger is between superannuation funds that have the same trustee. Due to having a single legal identity, this trustee is effectively dealing with itself in performing the merger. The risk would also be heightened where the trustees are related corporations within a wealth management company group. </w:t>
      </w:r>
    </w:p>
    <w:p w14:paraId="55D42FBE" w14:textId="016FF941" w:rsidR="0061485B" w:rsidRPr="00060E1C" w:rsidRDefault="0061485B" w:rsidP="0061485B">
      <w:pPr>
        <w:rPr>
          <w:rFonts w:ascii="Calibri" w:eastAsia="Calibri" w:hAnsi="Calibri" w:cs="Times New Roman"/>
          <w:color w:val="auto"/>
        </w:rPr>
      </w:pPr>
      <w:r w:rsidRPr="00060E1C">
        <w:rPr>
          <w:color w:val="auto"/>
        </w:rPr>
        <w:t>In both cases, again, ASFA submits that there should not be any non-arm’s length dealing between parties, however given the subjective nature of section 295-550 there remains a risk that the ATO might take a contrary view</w:t>
      </w:r>
      <w:r w:rsidR="002C70E1">
        <w:rPr>
          <w:color w:val="auto"/>
        </w:rPr>
        <w:t xml:space="preserve">. </w:t>
      </w:r>
      <w:r w:rsidR="00FE35F1">
        <w:rPr>
          <w:color w:val="auto"/>
        </w:rPr>
        <w:t>Depending on the circumstances, t</w:t>
      </w:r>
      <w:r w:rsidR="002C70E1">
        <w:rPr>
          <w:color w:val="auto"/>
        </w:rPr>
        <w:t xml:space="preserve">his </w:t>
      </w:r>
      <w:r w:rsidRPr="00060E1C">
        <w:rPr>
          <w:color w:val="auto"/>
        </w:rPr>
        <w:t>could have</w:t>
      </w:r>
      <w:r w:rsidRPr="00915C09">
        <w:rPr>
          <w:color w:val="auto"/>
        </w:rPr>
        <w:t xml:space="preserve"> </w:t>
      </w:r>
      <w:r w:rsidR="00EC3F86">
        <w:rPr>
          <w:color w:val="auto"/>
        </w:rPr>
        <w:t xml:space="preserve">a </w:t>
      </w:r>
      <w:r w:rsidRPr="00060E1C">
        <w:rPr>
          <w:color w:val="auto"/>
        </w:rPr>
        <w:t xml:space="preserve">significant </w:t>
      </w:r>
      <w:r w:rsidR="00EC3F86">
        <w:rPr>
          <w:color w:val="auto"/>
        </w:rPr>
        <w:t xml:space="preserve">adverse impact on </w:t>
      </w:r>
      <w:r w:rsidR="003D3E6D">
        <w:rPr>
          <w:color w:val="auto"/>
        </w:rPr>
        <w:t xml:space="preserve">the </w:t>
      </w:r>
      <w:r w:rsidR="004D0ABD">
        <w:rPr>
          <w:color w:val="auto"/>
        </w:rPr>
        <w:t>tax</w:t>
      </w:r>
      <w:r w:rsidR="001B1B90">
        <w:rPr>
          <w:color w:val="auto"/>
        </w:rPr>
        <w:t xml:space="preserve"> outcomes for the successor fund</w:t>
      </w:r>
      <w:r w:rsidR="00F307CE" w:rsidRPr="00060E1C">
        <w:rPr>
          <w:rStyle w:val="FootnoteReference"/>
          <w:color w:val="auto"/>
        </w:rPr>
        <w:footnoteReference w:id="5"/>
      </w:r>
      <w:r w:rsidRPr="00060E1C">
        <w:rPr>
          <w:rFonts w:ascii="Calibri" w:eastAsia="Calibri" w:hAnsi="Calibri" w:cs="Times New Roman"/>
          <w:color w:val="auto"/>
        </w:rPr>
        <w:t>.</w:t>
      </w:r>
    </w:p>
    <w:p w14:paraId="483868DC" w14:textId="1475E906" w:rsidR="0061485B" w:rsidRPr="00060E1C" w:rsidRDefault="0061485B" w:rsidP="0061485B">
      <w:pPr>
        <w:rPr>
          <w:color w:val="auto"/>
        </w:rPr>
      </w:pPr>
      <w:r w:rsidRPr="00060E1C">
        <w:rPr>
          <w:color w:val="auto"/>
        </w:rPr>
        <w:t xml:space="preserve">ASFA </w:t>
      </w:r>
      <w:r w:rsidR="00EF063D">
        <w:rPr>
          <w:color w:val="auto"/>
        </w:rPr>
        <w:t>considers</w:t>
      </w:r>
      <w:r w:rsidR="00EF063D" w:rsidRPr="00060E1C">
        <w:rPr>
          <w:color w:val="auto"/>
        </w:rPr>
        <w:t xml:space="preserve"> </w:t>
      </w:r>
      <w:r w:rsidR="00EF063D">
        <w:rPr>
          <w:color w:val="auto"/>
        </w:rPr>
        <w:t>there is a risk that</w:t>
      </w:r>
      <w:r w:rsidR="00EF063D" w:rsidRPr="00060E1C">
        <w:rPr>
          <w:color w:val="auto"/>
        </w:rPr>
        <w:t xml:space="preserve"> </w:t>
      </w:r>
      <w:r w:rsidRPr="00060E1C">
        <w:rPr>
          <w:color w:val="auto"/>
        </w:rPr>
        <w:t xml:space="preserve">the CGT impacts and risks associated with the amendment in its current form may </w:t>
      </w:r>
      <w:r w:rsidR="00EF063D">
        <w:rPr>
          <w:color w:val="auto"/>
        </w:rPr>
        <w:t>act</w:t>
      </w:r>
      <w:r w:rsidRPr="00060E1C">
        <w:rPr>
          <w:color w:val="auto"/>
        </w:rPr>
        <w:t xml:space="preserve"> as an impediment to fund mergers, potentially frustrating efforts to achieve or enhance scale efficiency and maximise Australians’ retirement outcomes through fund rationalisation.  </w:t>
      </w:r>
    </w:p>
    <w:p w14:paraId="371B9BC9" w14:textId="77777777" w:rsidR="0061485B" w:rsidRPr="00060E1C" w:rsidRDefault="0061485B" w:rsidP="0061485B">
      <w:pPr>
        <w:rPr>
          <w:color w:val="auto"/>
        </w:rPr>
      </w:pPr>
      <w:r w:rsidRPr="00060E1C">
        <w:rPr>
          <w:color w:val="auto"/>
        </w:rPr>
        <w:t>ASFA is accordingly of the view that the application of the pension tax exemption for capital gains should be explicitly preserved for assets acquired under Division 310 rollover.</w:t>
      </w:r>
    </w:p>
    <w:p w14:paraId="39343C05" w14:textId="77777777" w:rsidR="0061485B" w:rsidRPr="00060E1C" w:rsidRDefault="0061485B" w:rsidP="0061485B">
      <w:pPr>
        <w:rPr>
          <w:rFonts w:ascii="Calibri" w:eastAsia="Calibri" w:hAnsi="Calibri" w:cs="Times New Roman"/>
          <w:color w:val="auto"/>
        </w:rPr>
      </w:pPr>
      <w:r w:rsidRPr="00060E1C">
        <w:rPr>
          <w:rFonts w:ascii="Calibri" w:eastAsia="Calibri" w:hAnsi="Calibri" w:cs="Times New Roman"/>
          <w:color w:val="auto"/>
        </w:rPr>
        <w:t>Whilst the proposed amendment specifically affects only segregated superannuation funds, the issues discussed above in terms of the impact of section 295-550 in a successor fund context and more broadly are also relevant to unsegregated superannuation funds.</w:t>
      </w:r>
    </w:p>
    <w:p w14:paraId="13284A9D" w14:textId="05CBD005" w:rsidR="00D03C7C" w:rsidRDefault="0061485B" w:rsidP="0061485B">
      <w:pPr>
        <w:rPr>
          <w:rFonts w:ascii="Calibri" w:eastAsia="Calibri" w:hAnsi="Calibri" w:cs="Times New Roman"/>
          <w:color w:val="auto"/>
        </w:rPr>
      </w:pPr>
      <w:r w:rsidRPr="00060E1C">
        <w:rPr>
          <w:rFonts w:ascii="Calibri" w:eastAsia="Calibri" w:hAnsi="Calibri" w:cs="Times New Roman"/>
          <w:color w:val="auto"/>
        </w:rPr>
        <w:t>Accordingly,</w:t>
      </w:r>
      <w:r w:rsidR="00B7290B" w:rsidRPr="00060E1C">
        <w:rPr>
          <w:rFonts w:ascii="Calibri" w:eastAsia="Calibri" w:hAnsi="Calibri" w:cs="Times New Roman"/>
          <w:color w:val="auto"/>
        </w:rPr>
        <w:t xml:space="preserve"> ASFA considers</w:t>
      </w:r>
      <w:r w:rsidRPr="00060E1C">
        <w:rPr>
          <w:rFonts w:ascii="Calibri" w:eastAsia="Calibri" w:hAnsi="Calibri" w:cs="Times New Roman"/>
          <w:color w:val="auto"/>
        </w:rPr>
        <w:t xml:space="preserve"> there is a need for certainty by way of an exclusion from section 295-550 for all large APRA</w:t>
      </w:r>
      <w:r w:rsidR="00126685">
        <w:rPr>
          <w:rFonts w:ascii="Calibri" w:eastAsia="Calibri" w:hAnsi="Calibri" w:cs="Times New Roman"/>
          <w:color w:val="auto"/>
        </w:rPr>
        <w:t>-</w:t>
      </w:r>
      <w:r w:rsidRPr="00060E1C">
        <w:rPr>
          <w:rFonts w:ascii="Calibri" w:eastAsia="Calibri" w:hAnsi="Calibri" w:cs="Times New Roman"/>
          <w:color w:val="auto"/>
        </w:rPr>
        <w:t xml:space="preserve">regulated superannuation funds in the context of </w:t>
      </w:r>
      <w:r w:rsidR="00940234" w:rsidRPr="00060E1C">
        <w:rPr>
          <w:rFonts w:ascii="Calibri" w:eastAsia="Calibri" w:hAnsi="Calibri" w:cs="Times New Roman"/>
          <w:color w:val="auto"/>
        </w:rPr>
        <w:t>SFTs</w:t>
      </w:r>
      <w:r w:rsidRPr="00060E1C">
        <w:rPr>
          <w:rFonts w:ascii="Calibri" w:eastAsia="Calibri" w:hAnsi="Calibri" w:cs="Times New Roman"/>
          <w:color w:val="auto"/>
        </w:rPr>
        <w:t>, if not a complete exclusion.</w:t>
      </w:r>
    </w:p>
    <w:p w14:paraId="76F80097" w14:textId="77777777" w:rsidR="00D03C7C" w:rsidRDefault="00D03C7C">
      <w:pPr>
        <w:tabs>
          <w:tab w:val="clear" w:pos="357"/>
          <w:tab w:val="clear" w:pos="794"/>
        </w:tabs>
        <w:spacing w:before="0" w:after="200" w:line="276" w:lineRule="auto"/>
        <w:rPr>
          <w:rFonts w:ascii="Calibri" w:eastAsia="Calibri" w:hAnsi="Calibri" w:cs="Times New Roman"/>
          <w:color w:val="auto"/>
        </w:rPr>
      </w:pPr>
      <w:r>
        <w:rPr>
          <w:rFonts w:ascii="Calibri" w:eastAsia="Calibri" w:hAnsi="Calibri" w:cs="Times New Roman"/>
          <w:color w:val="auto"/>
        </w:rPr>
        <w:br w:type="page"/>
      </w:r>
    </w:p>
    <w:p w14:paraId="7EC92636" w14:textId="77777777" w:rsidR="004E332C" w:rsidRPr="00060E1C" w:rsidRDefault="004E332C" w:rsidP="0061485B">
      <w:pPr>
        <w:rPr>
          <w:rFonts w:ascii="Calibri" w:eastAsia="Calibri" w:hAnsi="Calibri" w:cs="Times New Roman"/>
          <w:color w:val="auto"/>
        </w:rPr>
      </w:pPr>
    </w:p>
    <w:tbl>
      <w:tblPr>
        <w:tblStyle w:val="Highlightbox1"/>
        <w:tblW w:w="0" w:type="auto"/>
        <w:tblLook w:val="04A0" w:firstRow="1" w:lastRow="0" w:firstColumn="1" w:lastColumn="0" w:noHBand="0" w:noVBand="1"/>
      </w:tblPr>
      <w:tblGrid>
        <w:gridCol w:w="9854"/>
      </w:tblGrid>
      <w:tr w:rsidR="004E332C" w14:paraId="25099F17" w14:textId="77777777" w:rsidTr="00770FF5">
        <w:trPr>
          <w:cnfStyle w:val="100000000000" w:firstRow="1" w:lastRow="0" w:firstColumn="0" w:lastColumn="0" w:oddVBand="0" w:evenVBand="0" w:oddHBand="0" w:evenHBand="0" w:firstRowFirstColumn="0" w:firstRowLastColumn="0" w:lastRowFirstColumn="0" w:lastRowLastColumn="0"/>
        </w:trPr>
        <w:tc>
          <w:tcPr>
            <w:tcW w:w="9854" w:type="dxa"/>
          </w:tcPr>
          <w:p w14:paraId="05839C23" w14:textId="77777777" w:rsidR="004E332C" w:rsidRDefault="004E332C" w:rsidP="00770FF5">
            <w:pPr>
              <w:pStyle w:val="Highlightboxheading"/>
              <w:spacing w:after="200"/>
            </w:pPr>
            <w:r>
              <w:t>Recommendation</w:t>
            </w:r>
          </w:p>
        </w:tc>
      </w:tr>
      <w:tr w:rsidR="004E332C" w14:paraId="68EA5D10" w14:textId="77777777" w:rsidTr="00770FF5">
        <w:tc>
          <w:tcPr>
            <w:tcW w:w="9854" w:type="dxa"/>
          </w:tcPr>
          <w:p w14:paraId="7D290DEB" w14:textId="0CB0C612" w:rsidR="004E332C" w:rsidRPr="00B97E66" w:rsidRDefault="001049B5" w:rsidP="00770FF5">
            <w:pPr>
              <w:pStyle w:val="Subhead1"/>
              <w:rPr>
                <w:color w:val="auto"/>
              </w:rPr>
            </w:pPr>
            <w:r>
              <w:rPr>
                <w:color w:val="auto"/>
              </w:rPr>
              <w:t>Non-arm’s length income rules</w:t>
            </w:r>
            <w:r w:rsidR="0052703E">
              <w:rPr>
                <w:color w:val="auto"/>
              </w:rPr>
              <w:t xml:space="preserve"> – potential impact on successor fund transfers</w:t>
            </w:r>
          </w:p>
          <w:p w14:paraId="2B07E509" w14:textId="115109EB" w:rsidR="002D65CE" w:rsidRPr="00BA3C5B" w:rsidRDefault="00A200FD" w:rsidP="00D31DC2">
            <w:pPr>
              <w:spacing w:after="200"/>
            </w:pPr>
            <w:r>
              <w:rPr>
                <w:color w:val="auto"/>
              </w:rPr>
              <w:t xml:space="preserve">ASFA recommends that </w:t>
            </w:r>
            <w:r w:rsidR="004F5B97">
              <w:rPr>
                <w:color w:val="auto"/>
              </w:rPr>
              <w:t>the</w:t>
            </w:r>
            <w:r w:rsidR="00417A6D">
              <w:rPr>
                <w:color w:val="auto"/>
              </w:rPr>
              <w:t xml:space="preserve"> amendment</w:t>
            </w:r>
            <w:r w:rsidR="00716055">
              <w:rPr>
                <w:color w:val="auto"/>
              </w:rPr>
              <w:t>s</w:t>
            </w:r>
            <w:r w:rsidR="00417A6D">
              <w:rPr>
                <w:color w:val="auto"/>
              </w:rPr>
              <w:t xml:space="preserve"> proposed by items 93</w:t>
            </w:r>
            <w:r w:rsidR="00930CF5" w:rsidRPr="0017218E">
              <w:rPr>
                <w:color w:val="auto"/>
              </w:rPr>
              <w:t>–</w:t>
            </w:r>
            <w:r w:rsidR="00930CF5">
              <w:rPr>
                <w:color w:val="auto"/>
              </w:rPr>
              <w:t>9</w:t>
            </w:r>
            <w:r w:rsidR="00A53B55">
              <w:rPr>
                <w:color w:val="auto"/>
              </w:rPr>
              <w:t>5</w:t>
            </w:r>
            <w:r w:rsidR="00A75B13">
              <w:rPr>
                <w:color w:val="auto"/>
              </w:rPr>
              <w:t xml:space="preserve"> </w:t>
            </w:r>
            <w:r>
              <w:rPr>
                <w:color w:val="auto"/>
              </w:rPr>
              <w:t>ar</w:t>
            </w:r>
            <w:r w:rsidR="00A75B13">
              <w:rPr>
                <w:color w:val="auto"/>
              </w:rPr>
              <w:t xml:space="preserve">e revised to </w:t>
            </w:r>
            <w:r w:rsidR="00826ACA">
              <w:rPr>
                <w:color w:val="auto"/>
              </w:rPr>
              <w:t>ensure th</w:t>
            </w:r>
            <w:r w:rsidR="00333F17">
              <w:rPr>
                <w:color w:val="auto"/>
              </w:rPr>
              <w:t xml:space="preserve">ere is no adverse impact on successor fund transfers </w:t>
            </w:r>
            <w:r w:rsidR="00D31DC2">
              <w:rPr>
                <w:color w:val="auto"/>
              </w:rPr>
              <w:t>involving large APRA-regulated funds</w:t>
            </w:r>
            <w:r w:rsidR="004E332C" w:rsidRPr="00B97E66">
              <w:rPr>
                <w:color w:val="auto"/>
              </w:rPr>
              <w:t>.</w:t>
            </w:r>
          </w:p>
        </w:tc>
      </w:tr>
    </w:tbl>
    <w:p w14:paraId="70A0D2DB" w14:textId="31750B1B" w:rsidR="00CA4F1D" w:rsidRPr="00A81DB0" w:rsidRDefault="003B6426" w:rsidP="00A81DB0">
      <w:pPr>
        <w:pStyle w:val="Numberedlist3"/>
        <w:tabs>
          <w:tab w:val="clear" w:pos="794"/>
        </w:tabs>
        <w:spacing w:after="200"/>
        <w:ind w:left="567" w:right="-143" w:hanging="567"/>
        <w:contextualSpacing w:val="0"/>
      </w:pPr>
      <w:r w:rsidRPr="00E23D5F">
        <w:t>C</w:t>
      </w:r>
      <w:r w:rsidR="00CA4F1D" w:rsidRPr="00A81DB0">
        <w:t>hange to deductibility of temporary incapacity insurance benefits</w:t>
      </w:r>
      <w:r w:rsidRPr="00A81DB0">
        <w:t xml:space="preserve"> paid from a superannuation fund</w:t>
      </w:r>
    </w:p>
    <w:p w14:paraId="1DF8E70A" w14:textId="77777777" w:rsidR="00CA4F1D" w:rsidRPr="00060E1C" w:rsidRDefault="00CA4F1D" w:rsidP="00CA4F1D">
      <w:pPr>
        <w:rPr>
          <w:color w:val="auto"/>
        </w:rPr>
      </w:pPr>
      <w:r w:rsidRPr="00060E1C">
        <w:rPr>
          <w:color w:val="auto"/>
        </w:rPr>
        <w:t xml:space="preserve">ASFA notes that there is not currently a universal view or practice in relation to the taxation treatment, within a complying superannuation fund, of periodic temporary incapacity insurance receipts from policies owned by the fund that are on-paid to sick and injured members. </w:t>
      </w:r>
    </w:p>
    <w:p w14:paraId="70C42B38" w14:textId="61DBED8C" w:rsidR="00CA4F1D" w:rsidRPr="000A597A" w:rsidRDefault="00CA4F1D">
      <w:pPr>
        <w:rPr>
          <w:color w:val="auto"/>
        </w:rPr>
      </w:pPr>
      <w:r w:rsidRPr="00060E1C">
        <w:rPr>
          <w:color w:val="auto"/>
        </w:rPr>
        <w:t xml:space="preserve">There are currently two approaches that may be adopted: </w:t>
      </w:r>
    </w:p>
    <w:p w14:paraId="30BAF337" w14:textId="77777777" w:rsidR="00CA4F1D" w:rsidRPr="00060E1C" w:rsidRDefault="00CA4F1D" w:rsidP="00415EF7">
      <w:pPr>
        <w:pStyle w:val="ListParagraph"/>
        <w:numPr>
          <w:ilvl w:val="0"/>
          <w:numId w:val="53"/>
        </w:numPr>
        <w:spacing w:before="0"/>
        <w:ind w:left="714" w:hanging="357"/>
        <w:contextualSpacing w:val="0"/>
        <w:rPr>
          <w:color w:val="auto"/>
        </w:rPr>
      </w:pPr>
      <w:r w:rsidRPr="00060E1C">
        <w:rPr>
          <w:color w:val="auto"/>
        </w:rPr>
        <w:t>the receipt is treated as not assessable and the on-payment is treated as non-deductible; or</w:t>
      </w:r>
    </w:p>
    <w:p w14:paraId="0F113FCD" w14:textId="77777777" w:rsidR="00CA4F1D" w:rsidRPr="00060E1C" w:rsidRDefault="00CA4F1D" w:rsidP="00415EF7">
      <w:pPr>
        <w:pStyle w:val="ListParagraph"/>
        <w:numPr>
          <w:ilvl w:val="0"/>
          <w:numId w:val="53"/>
        </w:numPr>
        <w:spacing w:before="0"/>
        <w:ind w:left="714" w:hanging="357"/>
        <w:contextualSpacing w:val="0"/>
        <w:rPr>
          <w:color w:val="auto"/>
        </w:rPr>
      </w:pPr>
      <w:r w:rsidRPr="00060E1C">
        <w:rPr>
          <w:color w:val="auto"/>
        </w:rPr>
        <w:t>the receipt is treated as assessable and the on-payment is treated as deductible.</w:t>
      </w:r>
    </w:p>
    <w:p w14:paraId="23C96581" w14:textId="77777777" w:rsidR="00CA4F1D" w:rsidRPr="00060E1C" w:rsidRDefault="00CA4F1D" w:rsidP="00CA4F1D">
      <w:pPr>
        <w:rPr>
          <w:color w:val="auto"/>
        </w:rPr>
      </w:pPr>
      <w:r w:rsidRPr="00060E1C">
        <w:rPr>
          <w:color w:val="auto"/>
        </w:rPr>
        <w:t>Both approaches effectively achieve tax neutrality for the fund and the tax outcome is largely the same.</w:t>
      </w:r>
    </w:p>
    <w:p w14:paraId="0047CB07" w14:textId="5B7AABBC" w:rsidR="00CA4F1D" w:rsidRPr="00060E1C" w:rsidRDefault="0019400E" w:rsidP="00CA4F1D">
      <w:pPr>
        <w:rPr>
          <w:color w:val="auto"/>
        </w:rPr>
      </w:pPr>
      <w:r w:rsidRPr="00E47829">
        <w:rPr>
          <w:color w:val="auto"/>
        </w:rPr>
        <w:t>Item 97 proposes a</w:t>
      </w:r>
      <w:r w:rsidR="00E47829">
        <w:rPr>
          <w:color w:val="auto"/>
        </w:rPr>
        <w:t xml:space="preserve">n </w:t>
      </w:r>
      <w:r w:rsidRPr="00E47829">
        <w:rPr>
          <w:color w:val="auto"/>
        </w:rPr>
        <w:t xml:space="preserve">amendment to section </w:t>
      </w:r>
      <w:r w:rsidR="004569A6" w:rsidRPr="00E47829">
        <w:rPr>
          <w:color w:val="auto"/>
        </w:rPr>
        <w:t>295-495</w:t>
      </w:r>
      <w:r w:rsidR="00205BA3" w:rsidRPr="00E47829">
        <w:rPr>
          <w:color w:val="auto"/>
        </w:rPr>
        <w:t xml:space="preserve"> that will have t</w:t>
      </w:r>
      <w:r w:rsidR="00CA4F1D" w:rsidRPr="00E47829">
        <w:rPr>
          <w:color w:val="auto"/>
        </w:rPr>
        <w:t xml:space="preserve">he effect </w:t>
      </w:r>
      <w:r w:rsidR="00205BA3" w:rsidRPr="00E47829">
        <w:rPr>
          <w:color w:val="auto"/>
        </w:rPr>
        <w:t>of</w:t>
      </w:r>
      <w:r w:rsidR="00CA4F1D" w:rsidRPr="00E47829">
        <w:rPr>
          <w:color w:val="auto"/>
        </w:rPr>
        <w:t xml:space="preserve"> deny</w:t>
      </w:r>
      <w:r w:rsidR="00205BA3" w:rsidRPr="00E47829">
        <w:rPr>
          <w:color w:val="auto"/>
        </w:rPr>
        <w:t>ing</w:t>
      </w:r>
      <w:r w:rsidR="00CA4F1D" w:rsidRPr="00E47829">
        <w:rPr>
          <w:color w:val="auto"/>
        </w:rPr>
        <w:t xml:space="preserve"> a tax deduction for </w:t>
      </w:r>
      <w:r w:rsidR="00CA4F1D" w:rsidRPr="00060E1C">
        <w:rPr>
          <w:color w:val="auto"/>
        </w:rPr>
        <w:t xml:space="preserve">the on-payment of benefits, without providing certainty as to the tax status of the receipt by the fund. </w:t>
      </w:r>
    </w:p>
    <w:p w14:paraId="5D4471C1" w14:textId="0C132042" w:rsidR="00CA4F1D" w:rsidRPr="00060E1C" w:rsidRDefault="00CA4F1D" w:rsidP="00CA4F1D">
      <w:pPr>
        <w:rPr>
          <w:color w:val="auto"/>
        </w:rPr>
      </w:pPr>
      <w:r w:rsidRPr="00060E1C">
        <w:rPr>
          <w:color w:val="auto"/>
        </w:rPr>
        <w:t>ASFA does not support the proposed amendment in its current form. We submit that the proposed amendment should be revised to provide corresponding certainty that the insurance receipts are non</w:t>
      </w:r>
      <w:r w:rsidR="00F523FF" w:rsidRPr="00060E1C">
        <w:rPr>
          <w:color w:val="auto"/>
        </w:rPr>
        <w:noBreakHyphen/>
      </w:r>
      <w:r w:rsidRPr="00060E1C">
        <w:rPr>
          <w:color w:val="auto"/>
        </w:rPr>
        <w:t>assessable to the fund.</w:t>
      </w:r>
    </w:p>
    <w:p w14:paraId="25CCEB62" w14:textId="77777777" w:rsidR="00CA4F1D" w:rsidRPr="00060E1C" w:rsidRDefault="00CA4F1D" w:rsidP="00CA4F1D">
      <w:pPr>
        <w:rPr>
          <w:color w:val="auto"/>
        </w:rPr>
      </w:pPr>
      <w:r w:rsidRPr="00060E1C">
        <w:rPr>
          <w:color w:val="auto"/>
        </w:rPr>
        <w:t xml:space="preserve">Further, we note that the amendment is proposed to have retrospective operation, back to 1 July 2007. </w:t>
      </w:r>
    </w:p>
    <w:p w14:paraId="416ED08A" w14:textId="77777777" w:rsidR="00CA4F1D" w:rsidRDefault="00CA4F1D" w:rsidP="00CA4F1D">
      <w:pPr>
        <w:spacing w:after="200"/>
        <w:rPr>
          <w:color w:val="auto"/>
        </w:rPr>
      </w:pPr>
      <w:r w:rsidRPr="00060E1C">
        <w:rPr>
          <w:color w:val="auto"/>
        </w:rPr>
        <w:t xml:space="preserve">Given the proposed amendment effectively amounts to the removal of what has, before now, been an acceptable method of treating temporary incapacity insurance receipts and on-payments, we are strongly </w:t>
      </w:r>
      <w:r w:rsidRPr="007D4D7C">
        <w:rPr>
          <w:color w:val="auto"/>
        </w:rPr>
        <w:t xml:space="preserve">of the view it should it should operate on a </w:t>
      </w:r>
      <w:r w:rsidRPr="007D4D7C">
        <w:rPr>
          <w:i/>
          <w:iCs/>
          <w:color w:val="auto"/>
        </w:rPr>
        <w:t>prospective</w:t>
      </w:r>
      <w:r w:rsidRPr="007D4D7C">
        <w:rPr>
          <w:color w:val="auto"/>
        </w:rPr>
        <w:t xml:space="preserve"> basis only.  </w:t>
      </w:r>
    </w:p>
    <w:tbl>
      <w:tblPr>
        <w:tblStyle w:val="Highlightbox1"/>
        <w:tblW w:w="0" w:type="auto"/>
        <w:tblLook w:val="04A0" w:firstRow="1" w:lastRow="0" w:firstColumn="1" w:lastColumn="0" w:noHBand="0" w:noVBand="1"/>
      </w:tblPr>
      <w:tblGrid>
        <w:gridCol w:w="9854"/>
      </w:tblGrid>
      <w:tr w:rsidR="004E332C" w14:paraId="010AF9B0" w14:textId="77777777" w:rsidTr="00770FF5">
        <w:trPr>
          <w:cnfStyle w:val="100000000000" w:firstRow="1" w:lastRow="0" w:firstColumn="0" w:lastColumn="0" w:oddVBand="0" w:evenVBand="0" w:oddHBand="0" w:evenHBand="0" w:firstRowFirstColumn="0" w:firstRowLastColumn="0" w:lastRowFirstColumn="0" w:lastRowLastColumn="0"/>
        </w:trPr>
        <w:tc>
          <w:tcPr>
            <w:tcW w:w="9854" w:type="dxa"/>
          </w:tcPr>
          <w:p w14:paraId="025B3B9F" w14:textId="77777777" w:rsidR="004E332C" w:rsidRDefault="004E332C" w:rsidP="00770FF5">
            <w:pPr>
              <w:pStyle w:val="Highlightboxheading"/>
              <w:spacing w:after="200"/>
            </w:pPr>
            <w:r>
              <w:t>Recommendation</w:t>
            </w:r>
          </w:p>
        </w:tc>
      </w:tr>
      <w:tr w:rsidR="004E332C" w14:paraId="57335AE8" w14:textId="77777777" w:rsidTr="00770FF5">
        <w:tc>
          <w:tcPr>
            <w:tcW w:w="9854" w:type="dxa"/>
          </w:tcPr>
          <w:p w14:paraId="1D198DE3" w14:textId="6300C1CF" w:rsidR="004E332C" w:rsidRPr="004754DF" w:rsidRDefault="004754DF" w:rsidP="00770FF5">
            <w:pPr>
              <w:pStyle w:val="Subhead1"/>
              <w:rPr>
                <w:color w:val="auto"/>
              </w:rPr>
            </w:pPr>
            <w:r w:rsidRPr="00E4105E">
              <w:rPr>
                <w:color w:val="auto"/>
              </w:rPr>
              <w:t>Deductibility of temporary incapacity insurance benefits</w:t>
            </w:r>
            <w:r w:rsidRPr="00E4105E">
              <w:rPr>
                <w:b w:val="0"/>
                <w:bCs w:val="0"/>
                <w:color w:val="auto"/>
              </w:rPr>
              <w:t xml:space="preserve"> </w:t>
            </w:r>
            <w:r w:rsidRPr="00E4105E">
              <w:rPr>
                <w:color w:val="auto"/>
              </w:rPr>
              <w:t>paid from a superannuation fund</w:t>
            </w:r>
          </w:p>
          <w:p w14:paraId="4E6D97F9" w14:textId="3AAD93FB" w:rsidR="000E3FA9" w:rsidRPr="00A25BF0" w:rsidRDefault="00A200FD" w:rsidP="00060E1C">
            <w:pPr>
              <w:rPr>
                <w:color w:val="auto"/>
              </w:rPr>
            </w:pPr>
            <w:r>
              <w:rPr>
                <w:color w:val="auto"/>
              </w:rPr>
              <w:t xml:space="preserve">ASFA recommends that </w:t>
            </w:r>
            <w:r w:rsidR="00712167">
              <w:rPr>
                <w:color w:val="auto"/>
              </w:rPr>
              <w:t>the</w:t>
            </w:r>
            <w:r w:rsidR="000E3FA9" w:rsidRPr="00A25BF0">
              <w:rPr>
                <w:color w:val="auto"/>
              </w:rPr>
              <w:t xml:space="preserve"> amendment proposed by item 97 should:</w:t>
            </w:r>
          </w:p>
          <w:p w14:paraId="4EC77A36" w14:textId="6A55A177" w:rsidR="00745DF7" w:rsidRPr="00A25BF0" w:rsidRDefault="00745DF7" w:rsidP="00060E1C">
            <w:pPr>
              <w:pStyle w:val="ListParagraph"/>
              <w:numPr>
                <w:ilvl w:val="0"/>
                <w:numId w:val="55"/>
              </w:numPr>
              <w:contextualSpacing w:val="0"/>
              <w:rPr>
                <w:color w:val="auto"/>
              </w:rPr>
            </w:pPr>
            <w:r w:rsidRPr="00A25BF0">
              <w:rPr>
                <w:color w:val="auto"/>
              </w:rPr>
              <w:t xml:space="preserve">be revised to provide corresponding certainty that the insurance receipts </w:t>
            </w:r>
            <w:r w:rsidR="000E6069">
              <w:rPr>
                <w:color w:val="auto"/>
              </w:rPr>
              <w:t xml:space="preserve">received by a superannuation fund </w:t>
            </w:r>
            <w:r w:rsidRPr="00A25BF0">
              <w:rPr>
                <w:color w:val="auto"/>
              </w:rPr>
              <w:t>are non</w:t>
            </w:r>
            <w:r w:rsidRPr="00A25BF0">
              <w:rPr>
                <w:color w:val="auto"/>
              </w:rPr>
              <w:noBreakHyphen/>
              <w:t xml:space="preserve">assessable to the fund </w:t>
            </w:r>
          </w:p>
          <w:p w14:paraId="786509BC" w14:textId="5FE77D86" w:rsidR="004E332C" w:rsidRPr="00BA3C5B" w:rsidRDefault="000E3FA9" w:rsidP="00E4105E">
            <w:pPr>
              <w:pStyle w:val="ListParagraph"/>
              <w:numPr>
                <w:ilvl w:val="0"/>
                <w:numId w:val="55"/>
              </w:numPr>
              <w:spacing w:after="200"/>
            </w:pPr>
            <w:r w:rsidRPr="00A25BF0">
              <w:rPr>
                <w:color w:val="auto"/>
              </w:rPr>
              <w:t>apply on a prospective basis only.</w:t>
            </w:r>
          </w:p>
        </w:tc>
      </w:tr>
    </w:tbl>
    <w:p w14:paraId="4446CD76" w14:textId="77777777" w:rsidR="00D03C7C" w:rsidRDefault="00D03C7C">
      <w:pPr>
        <w:tabs>
          <w:tab w:val="clear" w:pos="357"/>
          <w:tab w:val="clear" w:pos="794"/>
        </w:tabs>
        <w:spacing w:before="0" w:after="200" w:line="276" w:lineRule="auto"/>
        <w:rPr>
          <w:b/>
        </w:rPr>
      </w:pPr>
      <w:r>
        <w:br w:type="page"/>
      </w:r>
    </w:p>
    <w:p w14:paraId="6593F4B7" w14:textId="31311D89" w:rsidR="00AA2483" w:rsidRPr="00A81DB0" w:rsidRDefault="00AA2483" w:rsidP="00A81DB0">
      <w:pPr>
        <w:pStyle w:val="Numberedlist3"/>
        <w:tabs>
          <w:tab w:val="clear" w:pos="794"/>
        </w:tabs>
        <w:spacing w:after="200"/>
        <w:ind w:left="567" w:hanging="567"/>
        <w:contextualSpacing w:val="0"/>
        <w:rPr>
          <w:b w:val="0"/>
        </w:rPr>
      </w:pPr>
      <w:r w:rsidRPr="00B72C41">
        <w:t>Recovery of No-TFN contributions tax paid by predecessor fund</w:t>
      </w:r>
    </w:p>
    <w:p w14:paraId="61C789BD" w14:textId="3012D22F" w:rsidR="00F5799C" w:rsidRPr="00185B37" w:rsidRDefault="00F5799C" w:rsidP="00F5799C">
      <w:pPr>
        <w:rPr>
          <w:color w:val="auto"/>
        </w:rPr>
      </w:pPr>
      <w:r w:rsidRPr="00185B37">
        <w:rPr>
          <w:color w:val="auto"/>
        </w:rPr>
        <w:t xml:space="preserve">ASFA welcomes the amendments </w:t>
      </w:r>
      <w:r w:rsidR="000A0813" w:rsidRPr="00185B37">
        <w:rPr>
          <w:color w:val="auto"/>
        </w:rPr>
        <w:t>by items 98</w:t>
      </w:r>
      <w:r w:rsidR="00EF5C92" w:rsidRPr="0017218E">
        <w:rPr>
          <w:color w:val="auto"/>
        </w:rPr>
        <w:t>–</w:t>
      </w:r>
      <w:r w:rsidR="000A0813" w:rsidRPr="00185B37">
        <w:rPr>
          <w:color w:val="auto"/>
        </w:rPr>
        <w:t xml:space="preserve">99 </w:t>
      </w:r>
      <w:r w:rsidRPr="00185B37">
        <w:rPr>
          <w:color w:val="auto"/>
        </w:rPr>
        <w:t xml:space="preserve">to allow a successor fund to claim the no-TFN contributions tax offset in respect of no-contributions tax paid by a predecessor fund, provided eligibility conditions are satisfied, and the equivalent amendments in relation to SFTs involving retirement savings accounts. </w:t>
      </w:r>
    </w:p>
    <w:p w14:paraId="3EFC1085" w14:textId="77777777" w:rsidR="00F5799C" w:rsidRPr="00185B37" w:rsidRDefault="00F5799C" w:rsidP="00F5799C">
      <w:pPr>
        <w:rPr>
          <w:color w:val="auto"/>
        </w:rPr>
      </w:pPr>
      <w:r w:rsidRPr="00185B37">
        <w:rPr>
          <w:color w:val="auto"/>
        </w:rPr>
        <w:t>Given the level of rationalisation occurring within the industry currently, with the encouragement of the Government and the regulators, it is important to ensure that the legislative framework does not impede fund mergers or impose adverse impacts on the merged fund and/or its members.</w:t>
      </w:r>
    </w:p>
    <w:p w14:paraId="671297A1" w14:textId="77777777" w:rsidR="00F5799C" w:rsidRPr="00185B37" w:rsidRDefault="00F5799C" w:rsidP="00F5799C">
      <w:pPr>
        <w:rPr>
          <w:color w:val="auto"/>
        </w:rPr>
      </w:pPr>
      <w:r w:rsidRPr="00185B37">
        <w:rPr>
          <w:color w:val="auto"/>
        </w:rPr>
        <w:t xml:space="preserve">The current inability of a successor fund to recoup the no-TFN contributions tax paid by a predecessor fund is a matter that ASFA has highlighted previously and we strongly support the proposed amendments. </w:t>
      </w:r>
    </w:p>
    <w:p w14:paraId="0F8869A6" w14:textId="7461F044" w:rsidR="00557C1F" w:rsidRPr="00B365B3" w:rsidRDefault="00CB2F45" w:rsidP="00B365B3">
      <w:pPr>
        <w:pStyle w:val="Numberedlist1"/>
        <w:spacing w:after="200"/>
        <w:ind w:left="357" w:hanging="357"/>
        <w:contextualSpacing w:val="0"/>
      </w:pPr>
      <w:r w:rsidRPr="00B365B3">
        <w:t xml:space="preserve">Comments in relation to </w:t>
      </w:r>
      <w:r w:rsidR="001E0C4A">
        <w:t xml:space="preserve">aspects of </w:t>
      </w:r>
      <w:r w:rsidRPr="00B365B3">
        <w:t xml:space="preserve">the draft </w:t>
      </w:r>
      <w:r w:rsidRPr="00D56AD1">
        <w:t>Regulations</w:t>
      </w:r>
      <w:r w:rsidR="00E378C6" w:rsidRPr="00E378C6">
        <w:rPr>
          <w:i/>
          <w:iCs/>
        </w:rPr>
        <w:t xml:space="preserve"> </w:t>
      </w:r>
    </w:p>
    <w:p w14:paraId="4FA61BF4" w14:textId="22588BAF" w:rsidR="006C35A4" w:rsidRPr="00501205" w:rsidRDefault="00C674DB" w:rsidP="00D56AD1">
      <w:pPr>
        <w:pStyle w:val="Numberedlist2"/>
        <w:tabs>
          <w:tab w:val="clear" w:pos="357"/>
          <w:tab w:val="clear" w:pos="794"/>
          <w:tab w:val="left" w:pos="567"/>
        </w:tabs>
        <w:spacing w:after="200"/>
        <w:ind w:left="567" w:hanging="567"/>
        <w:contextualSpacing w:val="0"/>
      </w:pPr>
      <w:r>
        <w:t>A</w:t>
      </w:r>
      <w:r w:rsidR="00E70819" w:rsidRPr="00501205">
        <w:t xml:space="preserve">mendments to the </w:t>
      </w:r>
      <w:r w:rsidR="00E42305" w:rsidRPr="00D56AD1">
        <w:rPr>
          <w:i/>
          <w:iCs/>
        </w:rPr>
        <w:t>Retirement Savings Accounts Regulations 1997</w:t>
      </w:r>
      <w:r w:rsidR="00E42305">
        <w:t xml:space="preserve"> and the </w:t>
      </w:r>
      <w:r w:rsidR="00E70819" w:rsidRPr="00D56AD1">
        <w:rPr>
          <w:i/>
          <w:iCs/>
        </w:rPr>
        <w:t>Superannuation Industry (Supervision) Regulations 1994</w:t>
      </w:r>
    </w:p>
    <w:p w14:paraId="3DE89990" w14:textId="3793F2DC" w:rsidR="001B7ABA" w:rsidRDefault="007A6EAA" w:rsidP="006C35A4">
      <w:pPr>
        <w:spacing w:after="200"/>
        <w:rPr>
          <w:color w:val="auto"/>
        </w:rPr>
      </w:pPr>
      <w:r>
        <w:rPr>
          <w:color w:val="auto"/>
        </w:rPr>
        <w:t xml:space="preserve">ASFA </w:t>
      </w:r>
      <w:r w:rsidR="00A739AC">
        <w:rPr>
          <w:color w:val="auto"/>
        </w:rPr>
        <w:t xml:space="preserve">supports </w:t>
      </w:r>
      <w:r>
        <w:rPr>
          <w:color w:val="auto"/>
        </w:rPr>
        <w:t xml:space="preserve">the amendments in items </w:t>
      </w:r>
      <w:r w:rsidR="00DF28BF">
        <w:rPr>
          <w:color w:val="auto"/>
        </w:rPr>
        <w:t>64</w:t>
      </w:r>
      <w:r w:rsidR="00EF5C92" w:rsidRPr="0017218E">
        <w:rPr>
          <w:color w:val="auto"/>
        </w:rPr>
        <w:t>–</w:t>
      </w:r>
      <w:r w:rsidR="00DF28BF">
        <w:rPr>
          <w:color w:val="auto"/>
        </w:rPr>
        <w:t>6</w:t>
      </w:r>
      <w:r w:rsidR="00E42305">
        <w:rPr>
          <w:color w:val="auto"/>
        </w:rPr>
        <w:t>6</w:t>
      </w:r>
      <w:r w:rsidR="00DF28BF">
        <w:rPr>
          <w:color w:val="auto"/>
        </w:rPr>
        <w:t xml:space="preserve"> and 70</w:t>
      </w:r>
      <w:r w:rsidR="0041780E">
        <w:rPr>
          <w:color w:val="auto"/>
        </w:rPr>
        <w:t xml:space="preserve"> that </w:t>
      </w:r>
      <w:r w:rsidR="00C3391C">
        <w:rPr>
          <w:color w:val="auto"/>
        </w:rPr>
        <w:t xml:space="preserve">will retrospectively </w:t>
      </w:r>
      <w:r w:rsidR="0041780E">
        <w:rPr>
          <w:color w:val="auto"/>
        </w:rPr>
        <w:t xml:space="preserve">confirm the entitlement of New Zealand permanent residents to </w:t>
      </w:r>
      <w:r w:rsidR="007D18C4">
        <w:rPr>
          <w:color w:val="auto"/>
        </w:rPr>
        <w:t xml:space="preserve">access their superannuation under the Coronavirus early release initiative. </w:t>
      </w:r>
      <w:r w:rsidR="001B7ABA">
        <w:rPr>
          <w:color w:val="auto"/>
        </w:rPr>
        <w:t>The amendments rectify an oversight in the drafting of the provisions introducing the early release initiative and provide welcome confirmation of the status of New Zealand permanent residents under th</w:t>
      </w:r>
      <w:r w:rsidR="00480865">
        <w:rPr>
          <w:color w:val="auto"/>
        </w:rPr>
        <w:t>at</w:t>
      </w:r>
      <w:r w:rsidR="001B7ABA">
        <w:rPr>
          <w:color w:val="auto"/>
        </w:rPr>
        <w:t xml:space="preserve"> initiative. </w:t>
      </w:r>
    </w:p>
    <w:p w14:paraId="29A1F4E9" w14:textId="7FBEE528" w:rsidR="00102D80" w:rsidRPr="006C35A4" w:rsidRDefault="00C3391C" w:rsidP="006C35A4">
      <w:pPr>
        <w:spacing w:after="200"/>
        <w:rPr>
          <w:color w:val="auto"/>
        </w:rPr>
      </w:pPr>
      <w:r>
        <w:rPr>
          <w:color w:val="auto"/>
        </w:rPr>
        <w:t>We understand that the amendments reflect the original policy intent and</w:t>
      </w:r>
      <w:r w:rsidR="001B7ABA">
        <w:rPr>
          <w:color w:val="auto"/>
        </w:rPr>
        <w:t xml:space="preserve">, </w:t>
      </w:r>
      <w:r w:rsidR="00071E69">
        <w:rPr>
          <w:color w:val="auto"/>
        </w:rPr>
        <w:t>given</w:t>
      </w:r>
      <w:r w:rsidR="001B7ABA">
        <w:rPr>
          <w:color w:val="auto"/>
        </w:rPr>
        <w:t xml:space="preserve"> they </w:t>
      </w:r>
      <w:r>
        <w:rPr>
          <w:color w:val="auto"/>
        </w:rPr>
        <w:t xml:space="preserve">are </w:t>
      </w:r>
      <w:r w:rsidR="00FF004E">
        <w:rPr>
          <w:color w:val="auto"/>
        </w:rPr>
        <w:t>consistent with the manner in which the ATO has administered the initiative since its commencement</w:t>
      </w:r>
      <w:r w:rsidR="001B7ABA">
        <w:rPr>
          <w:color w:val="auto"/>
        </w:rPr>
        <w:t xml:space="preserve">, we do not </w:t>
      </w:r>
      <w:r w:rsidR="00A53037">
        <w:rPr>
          <w:color w:val="auto"/>
        </w:rPr>
        <w:t>have any concerns regarding their retrospective application</w:t>
      </w:r>
      <w:r w:rsidR="00FF004E">
        <w:rPr>
          <w:color w:val="auto"/>
        </w:rPr>
        <w:t>.</w:t>
      </w:r>
      <w:r w:rsidR="002509AB">
        <w:rPr>
          <w:color w:val="auto"/>
        </w:rPr>
        <w:t xml:space="preserve"> </w:t>
      </w:r>
    </w:p>
    <w:p w14:paraId="526E0EAD" w14:textId="77777777" w:rsidR="00BA3C5B" w:rsidRDefault="00BA3C5B" w:rsidP="00D56AD1">
      <w:pPr>
        <w:spacing w:after="200"/>
        <w:rPr>
          <w:b/>
        </w:rPr>
      </w:pPr>
    </w:p>
    <w:sectPr w:rsidR="00BA3C5B" w:rsidSect="002E6235">
      <w:footerReference w:type="default" r:id="rId18"/>
      <w:pgSz w:w="11906" w:h="16838" w:code="9"/>
      <w:pgMar w:top="170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6BACD" w14:textId="77777777" w:rsidR="002B04D2" w:rsidRDefault="002B04D2" w:rsidP="00557C1F">
      <w:pPr>
        <w:spacing w:after="0"/>
      </w:pPr>
      <w:r>
        <w:separator/>
      </w:r>
    </w:p>
  </w:endnote>
  <w:endnote w:type="continuationSeparator" w:id="0">
    <w:p w14:paraId="2ABAD635" w14:textId="77777777" w:rsidR="002B04D2" w:rsidRDefault="002B04D2" w:rsidP="00557C1F">
      <w:pPr>
        <w:spacing w:after="0"/>
      </w:pPr>
      <w:r>
        <w:continuationSeparator/>
      </w:r>
    </w:p>
  </w:endnote>
  <w:endnote w:type="continuationNotice" w:id="1">
    <w:p w14:paraId="2CF4C077" w14:textId="77777777" w:rsidR="002B04D2" w:rsidRDefault="002B04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954DF" w14:textId="77777777" w:rsidR="00557C1F" w:rsidRPr="00557C1F" w:rsidRDefault="00557C1F" w:rsidP="00557C1F">
    <w:pPr>
      <w:pStyle w:val="Footer"/>
      <w:tabs>
        <w:tab w:val="clear" w:pos="9026"/>
        <w:tab w:val="right" w:pos="9639"/>
      </w:tabs>
      <w:rPr>
        <w:color w:val="009FC3"/>
        <w:sz w:val="18"/>
        <w:szCs w:val="18"/>
      </w:rPr>
    </w:pPr>
    <w:r w:rsidRPr="00557C1F">
      <w:rPr>
        <w:b/>
        <w:color w:val="009FC3"/>
        <w:sz w:val="18"/>
        <w:szCs w:val="18"/>
      </w:rPr>
      <w:t>The Association of Superannuation Funds of Australia Limited</w:t>
    </w:r>
    <w:r w:rsidRPr="00557C1F">
      <w:rPr>
        <w:color w:val="009FC3"/>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49C48" w14:textId="77777777" w:rsidR="002E6235" w:rsidRPr="00557C1F" w:rsidRDefault="002E6235" w:rsidP="00557C1F">
    <w:pPr>
      <w:pStyle w:val="Footer"/>
      <w:tabs>
        <w:tab w:val="clear" w:pos="9026"/>
        <w:tab w:val="right" w:pos="9639"/>
      </w:tabs>
      <w:rPr>
        <w:color w:val="009FC3"/>
        <w:sz w:val="18"/>
        <w:szCs w:val="18"/>
      </w:rPr>
    </w:pPr>
    <w:r w:rsidRPr="00557C1F">
      <w:rPr>
        <w:b/>
        <w:color w:val="009FC3"/>
        <w:sz w:val="18"/>
        <w:szCs w:val="18"/>
      </w:rPr>
      <w:t>The Association of Superannuation Funds of Australia Limited</w:t>
    </w:r>
    <w:r w:rsidRPr="00557C1F">
      <w:rPr>
        <w:color w:val="009FC3"/>
      </w:rPr>
      <w:tab/>
    </w:r>
    <w:r w:rsidRPr="00557C1F">
      <w:rPr>
        <w:color w:val="009FC3"/>
        <w:sz w:val="18"/>
        <w:szCs w:val="18"/>
      </w:rPr>
      <w:t xml:space="preserve">Page </w:t>
    </w:r>
    <w:r w:rsidRPr="00557C1F">
      <w:rPr>
        <w:color w:val="009FC3"/>
        <w:sz w:val="18"/>
        <w:szCs w:val="18"/>
      </w:rPr>
      <w:fldChar w:fldCharType="begin"/>
    </w:r>
    <w:r w:rsidRPr="00557C1F">
      <w:rPr>
        <w:color w:val="009FC3"/>
        <w:sz w:val="18"/>
        <w:szCs w:val="18"/>
      </w:rPr>
      <w:instrText xml:space="preserve"> PAGE   \* MERGEFORMAT </w:instrText>
    </w:r>
    <w:r w:rsidRPr="00557C1F">
      <w:rPr>
        <w:color w:val="009FC3"/>
        <w:sz w:val="18"/>
        <w:szCs w:val="18"/>
      </w:rPr>
      <w:fldChar w:fldCharType="separate"/>
    </w:r>
    <w:r w:rsidR="00D72795">
      <w:rPr>
        <w:noProof/>
        <w:color w:val="009FC3"/>
        <w:sz w:val="18"/>
        <w:szCs w:val="18"/>
      </w:rPr>
      <w:t>2</w:t>
    </w:r>
    <w:r w:rsidRPr="00557C1F">
      <w:rPr>
        <w:color w:val="009FC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90EC3" w14:textId="77777777" w:rsidR="002B04D2" w:rsidRDefault="002B04D2" w:rsidP="00557C1F">
      <w:pPr>
        <w:spacing w:after="0"/>
      </w:pPr>
      <w:r>
        <w:separator/>
      </w:r>
    </w:p>
  </w:footnote>
  <w:footnote w:type="continuationSeparator" w:id="0">
    <w:p w14:paraId="7C019847" w14:textId="77777777" w:rsidR="002B04D2" w:rsidRDefault="002B04D2" w:rsidP="00557C1F">
      <w:pPr>
        <w:spacing w:after="0"/>
      </w:pPr>
      <w:r>
        <w:continuationSeparator/>
      </w:r>
    </w:p>
  </w:footnote>
  <w:footnote w:type="continuationNotice" w:id="1">
    <w:p w14:paraId="653D5C53" w14:textId="77777777" w:rsidR="002B04D2" w:rsidRDefault="002B04D2">
      <w:pPr>
        <w:spacing w:before="0" w:after="0"/>
      </w:pPr>
    </w:p>
  </w:footnote>
  <w:footnote w:id="2">
    <w:p w14:paraId="6F35D883" w14:textId="77777777" w:rsidR="00F8162C" w:rsidRPr="00770FF5" w:rsidRDefault="004F1FD1" w:rsidP="00F8162C">
      <w:pPr>
        <w:spacing w:after="200"/>
        <w:rPr>
          <w:i/>
          <w:iCs/>
          <w:color w:val="auto"/>
        </w:rPr>
      </w:pPr>
      <w:r>
        <w:rPr>
          <w:rStyle w:val="FootnoteReference"/>
        </w:rPr>
        <w:footnoteRef/>
      </w:r>
      <w:r>
        <w:t xml:space="preserve"> </w:t>
      </w:r>
      <w:hyperlink r:id="rId1" w:history="1">
        <w:r w:rsidR="005E75EB" w:rsidRPr="00770FF5">
          <w:rPr>
            <w:rStyle w:val="Hyperlink"/>
            <w:i/>
            <w:iCs/>
          </w:rPr>
          <w:t>ASFA, Submission to Treasury - Exposure Draft Superannuation Legislation Amendment (MySuper Core Provisions) Bill 2011</w:t>
        </w:r>
      </w:hyperlink>
      <w:r w:rsidR="005E75EB" w:rsidRPr="00770FF5">
        <w:rPr>
          <w:color w:val="auto"/>
        </w:rPr>
        <w:t>, 18 October 2011</w:t>
      </w:r>
      <w:r w:rsidR="005E75EB">
        <w:rPr>
          <w:color w:val="auto"/>
        </w:rPr>
        <w:t xml:space="preserve">; </w:t>
      </w:r>
      <w:hyperlink r:id="rId2" w:history="1">
        <w:r w:rsidR="00F8162C" w:rsidRPr="00A81DB0">
          <w:rPr>
            <w:rStyle w:val="Hyperlink"/>
          </w:rPr>
          <w:t>ASFA, Submission to the Parliamentary Joint Committee on Corporations &amp; Financial Services - Inquiry into</w:t>
        </w:r>
        <w:r w:rsidR="00F8162C">
          <w:rPr>
            <w:rStyle w:val="Hyperlink"/>
            <w:i/>
            <w:iCs/>
          </w:rPr>
          <w:t xml:space="preserve"> Superannuation Legislation (MySuper Core Provisions) Bill 2011</w:t>
        </w:r>
      </w:hyperlink>
      <w:r w:rsidR="00F8162C" w:rsidRPr="00A81DB0">
        <w:rPr>
          <w:color w:val="auto"/>
        </w:rPr>
        <w:t xml:space="preserve">, 22 January 2012 </w:t>
      </w:r>
    </w:p>
    <w:p w14:paraId="157AB43C" w14:textId="7FC00256" w:rsidR="004F1FD1" w:rsidRDefault="004F1FD1">
      <w:pPr>
        <w:pStyle w:val="FootnoteText"/>
      </w:pPr>
    </w:p>
  </w:footnote>
  <w:footnote w:id="3">
    <w:p w14:paraId="21BF518D" w14:textId="65F8E0F0" w:rsidR="00C37CAD" w:rsidRDefault="00C37CAD">
      <w:pPr>
        <w:pStyle w:val="FootnoteText"/>
      </w:pPr>
      <w:r>
        <w:rPr>
          <w:rStyle w:val="FootnoteReference"/>
        </w:rPr>
        <w:footnoteRef/>
      </w:r>
      <w:r>
        <w:t xml:space="preserve"> </w:t>
      </w:r>
      <w:r w:rsidR="006D71C1">
        <w:t>P</w:t>
      </w:r>
      <w:r w:rsidR="00085C0A">
        <w:t>aragraphs 1.98 and 1.99</w:t>
      </w:r>
    </w:p>
  </w:footnote>
  <w:footnote w:id="4">
    <w:p w14:paraId="368A1A92" w14:textId="77777777" w:rsidR="0061485B" w:rsidRPr="00C505F2" w:rsidRDefault="0061485B" w:rsidP="0061485B">
      <w:pPr>
        <w:pStyle w:val="FootnoteText"/>
      </w:pPr>
      <w:r w:rsidRPr="00C505F2">
        <w:rPr>
          <w:rStyle w:val="FootnoteReference"/>
        </w:rPr>
        <w:footnoteRef/>
      </w:r>
      <w:r w:rsidRPr="00C505F2">
        <w:t xml:space="preserve"> </w:t>
      </w:r>
      <w:r w:rsidRPr="00587DCD">
        <w:rPr>
          <w:rFonts w:ascii="Calibri" w:eastAsia="Calibri" w:hAnsi="Calibri" w:cs="Times New Roman"/>
        </w:rPr>
        <w:t xml:space="preserve">Explanatory Memorandum to the </w:t>
      </w:r>
      <w:r w:rsidRPr="00587DCD">
        <w:rPr>
          <w:rFonts w:ascii="Calibri" w:eastAsia="Calibri" w:hAnsi="Calibri" w:cs="Times New Roman"/>
          <w:i/>
          <w:iCs/>
        </w:rPr>
        <w:t xml:space="preserve">Superannuation Legislation Amendment </w:t>
      </w:r>
      <w:r w:rsidR="00A769DF" w:rsidRPr="00587DCD">
        <w:rPr>
          <w:rFonts w:ascii="Calibri" w:eastAsia="Calibri" w:hAnsi="Calibri" w:cs="Times New Roman"/>
          <w:i/>
          <w:iCs/>
        </w:rPr>
        <w:t>Bill</w:t>
      </w:r>
      <w:r w:rsidRPr="00587DCD">
        <w:rPr>
          <w:rFonts w:ascii="Calibri" w:eastAsia="Calibri" w:hAnsi="Calibri" w:cs="Times New Roman"/>
          <w:i/>
          <w:iCs/>
        </w:rPr>
        <w:t xml:space="preserve"> (No.2) 1999</w:t>
      </w:r>
      <w:r w:rsidR="00B43095" w:rsidRPr="00587DCD">
        <w:rPr>
          <w:rFonts w:ascii="Calibri" w:eastAsia="Calibri" w:hAnsi="Calibri" w:cs="Times New Roman"/>
        </w:rPr>
        <w:t>, paragraph 2.13</w:t>
      </w:r>
    </w:p>
  </w:footnote>
  <w:footnote w:id="5">
    <w:p w14:paraId="0E32BB07" w14:textId="2D4A31A2" w:rsidR="00F307CE" w:rsidRPr="00C505F2" w:rsidRDefault="00F307CE">
      <w:pPr>
        <w:pStyle w:val="FootnoteText"/>
      </w:pPr>
      <w:r w:rsidRPr="00C505F2">
        <w:rPr>
          <w:rStyle w:val="FootnoteReference"/>
        </w:rPr>
        <w:footnoteRef/>
      </w:r>
      <w:r w:rsidRPr="00C505F2">
        <w:t xml:space="preserve"> F</w:t>
      </w:r>
      <w:r w:rsidRPr="00C505F2">
        <w:rPr>
          <w:color w:val="auto"/>
        </w:rPr>
        <w:t xml:space="preserve">or example, as outlined in </w:t>
      </w:r>
      <w:r w:rsidRPr="00C505F2">
        <w:rPr>
          <w:rFonts w:ascii="Calibri" w:eastAsia="Calibri" w:hAnsi="Calibri" w:cs="Times New Roman"/>
          <w:color w:val="auto"/>
        </w:rPr>
        <w:t>Draft Law Companion Ruling LCR 2019/D3</w:t>
      </w:r>
      <w:r w:rsidR="00C505F2" w:rsidRPr="00C505F2">
        <w:rPr>
          <w:rFonts w:ascii="Calibri" w:eastAsia="Calibri" w:hAnsi="Calibri" w:cs="Times New Roman"/>
          <w:color w:val="auto"/>
        </w:rPr>
        <w:t xml:space="preserve">, paragraph 18 and Example 2 </w:t>
      </w:r>
      <w:r w:rsidRPr="00C505F2">
        <w:rPr>
          <w:rFonts w:ascii="Calibri" w:eastAsia="Calibri" w:hAnsi="Calibri" w:cs="Times New Roman"/>
          <w:color w:val="auto"/>
        </w:rPr>
        <w:t>(albeit in different circumstances)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361AA" w14:textId="0C888463" w:rsidR="00114624" w:rsidRDefault="00114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6AD4"/>
    <w:multiLevelType w:val="multilevel"/>
    <w:tmpl w:val="AD76079E"/>
    <w:lvl w:ilvl="0">
      <w:start w:val="1"/>
      <w:numFmt w:val="decimal"/>
      <w:lvlText w:val="%1."/>
      <w:lvlJc w:val="left"/>
      <w:pPr>
        <w:ind w:left="360" w:hanging="360"/>
      </w:pPr>
      <w:rPr>
        <w:rFonts w:asciiTheme="minorHAnsi" w:hAnsiTheme="minorHAnsi"/>
        <w:color w:val="009FC3"/>
        <w:sz w:val="32"/>
      </w:rPr>
    </w:lvl>
    <w:lvl w:ilvl="1">
      <w:start w:val="1"/>
      <w:numFmt w:val="decimal"/>
      <w:lvlText w:val="%1.%2."/>
      <w:lvlJc w:val="left"/>
      <w:pPr>
        <w:ind w:left="792" w:hanging="432"/>
      </w:pPr>
      <w:rPr>
        <w:rFonts w:asciiTheme="minorHAnsi" w:hAnsiTheme="minorHAnsi"/>
        <w:b/>
        <w:color w:val="009FC3"/>
        <w:sz w:val="22"/>
      </w:rPr>
    </w:lvl>
    <w:lvl w:ilvl="2">
      <w:start w:val="1"/>
      <w:numFmt w:val="decimal"/>
      <w:lvlText w:val="%1.%2.%3."/>
      <w:lvlJc w:val="left"/>
      <w:pPr>
        <w:ind w:left="1224" w:hanging="504"/>
      </w:pPr>
      <w:rPr>
        <w:rFonts w:asciiTheme="minorHAnsi" w:hAnsiTheme="minorHAnsi"/>
        <w:b/>
        <w:color w:val="3D3D3D"/>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423F1"/>
    <w:multiLevelType w:val="hybridMultilevel"/>
    <w:tmpl w:val="2752E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A328CA"/>
    <w:multiLevelType w:val="hybridMultilevel"/>
    <w:tmpl w:val="019CF5A6"/>
    <w:lvl w:ilvl="0" w:tplc="DA30E27A">
      <w:start w:val="1"/>
      <w:numFmt w:val="bullet"/>
      <w:lvlText w:val=""/>
      <w:lvlJc w:val="left"/>
      <w:pPr>
        <w:tabs>
          <w:tab w:val="num" w:pos="720"/>
        </w:tabs>
        <w:ind w:left="720" w:hanging="360"/>
      </w:pPr>
      <w:rPr>
        <w:rFonts w:ascii="Symbol" w:hAnsi="Symbol" w:hint="default"/>
        <w:sz w:val="20"/>
      </w:rPr>
    </w:lvl>
    <w:lvl w:ilvl="1" w:tplc="19DA478E">
      <w:start w:val="1"/>
      <w:numFmt w:val="bullet"/>
      <w:lvlText w:val=""/>
      <w:lvlJc w:val="left"/>
      <w:pPr>
        <w:tabs>
          <w:tab w:val="num" w:pos="1440"/>
        </w:tabs>
        <w:ind w:left="1440" w:hanging="360"/>
      </w:pPr>
      <w:rPr>
        <w:rFonts w:ascii="Symbol" w:hAnsi="Symbol" w:hint="default"/>
        <w:sz w:val="20"/>
      </w:rPr>
    </w:lvl>
    <w:lvl w:ilvl="2" w:tplc="9328F0CE">
      <w:start w:val="1"/>
      <w:numFmt w:val="bullet"/>
      <w:lvlText w:val=""/>
      <w:lvlJc w:val="left"/>
      <w:pPr>
        <w:tabs>
          <w:tab w:val="num" w:pos="2160"/>
        </w:tabs>
        <w:ind w:left="2160" w:hanging="360"/>
      </w:pPr>
      <w:rPr>
        <w:rFonts w:ascii="Symbol" w:hAnsi="Symbol" w:hint="default"/>
        <w:sz w:val="20"/>
      </w:rPr>
    </w:lvl>
    <w:lvl w:ilvl="3" w:tplc="AF249B52">
      <w:start w:val="1"/>
      <w:numFmt w:val="bullet"/>
      <w:lvlText w:val=""/>
      <w:lvlJc w:val="left"/>
      <w:pPr>
        <w:tabs>
          <w:tab w:val="num" w:pos="2880"/>
        </w:tabs>
        <w:ind w:left="2880" w:hanging="360"/>
      </w:pPr>
      <w:rPr>
        <w:rFonts w:ascii="Symbol" w:hAnsi="Symbol" w:hint="default"/>
        <w:sz w:val="20"/>
      </w:rPr>
    </w:lvl>
    <w:lvl w:ilvl="4" w:tplc="49DAC1C0">
      <w:start w:val="1"/>
      <w:numFmt w:val="bullet"/>
      <w:lvlText w:val=""/>
      <w:lvlJc w:val="left"/>
      <w:pPr>
        <w:tabs>
          <w:tab w:val="num" w:pos="3600"/>
        </w:tabs>
        <w:ind w:left="3600" w:hanging="360"/>
      </w:pPr>
      <w:rPr>
        <w:rFonts w:ascii="Symbol" w:hAnsi="Symbol" w:hint="default"/>
        <w:sz w:val="20"/>
      </w:rPr>
    </w:lvl>
    <w:lvl w:ilvl="5" w:tplc="77FEDF12">
      <w:start w:val="1"/>
      <w:numFmt w:val="bullet"/>
      <w:lvlText w:val=""/>
      <w:lvlJc w:val="left"/>
      <w:pPr>
        <w:tabs>
          <w:tab w:val="num" w:pos="4320"/>
        </w:tabs>
        <w:ind w:left="4320" w:hanging="360"/>
      </w:pPr>
      <w:rPr>
        <w:rFonts w:ascii="Symbol" w:hAnsi="Symbol" w:hint="default"/>
        <w:sz w:val="20"/>
      </w:rPr>
    </w:lvl>
    <w:lvl w:ilvl="6" w:tplc="4866DA1E">
      <w:start w:val="1"/>
      <w:numFmt w:val="bullet"/>
      <w:lvlText w:val=""/>
      <w:lvlJc w:val="left"/>
      <w:pPr>
        <w:tabs>
          <w:tab w:val="num" w:pos="5040"/>
        </w:tabs>
        <w:ind w:left="5040" w:hanging="360"/>
      </w:pPr>
      <w:rPr>
        <w:rFonts w:ascii="Symbol" w:hAnsi="Symbol" w:hint="default"/>
        <w:sz w:val="20"/>
      </w:rPr>
    </w:lvl>
    <w:lvl w:ilvl="7" w:tplc="4E884326">
      <w:start w:val="1"/>
      <w:numFmt w:val="bullet"/>
      <w:lvlText w:val=""/>
      <w:lvlJc w:val="left"/>
      <w:pPr>
        <w:tabs>
          <w:tab w:val="num" w:pos="5760"/>
        </w:tabs>
        <w:ind w:left="5760" w:hanging="360"/>
      </w:pPr>
      <w:rPr>
        <w:rFonts w:ascii="Symbol" w:hAnsi="Symbol" w:hint="default"/>
        <w:sz w:val="20"/>
      </w:rPr>
    </w:lvl>
    <w:lvl w:ilvl="8" w:tplc="85A200AC">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23502"/>
    <w:multiLevelType w:val="multilevel"/>
    <w:tmpl w:val="8B7A446C"/>
    <w:lvl w:ilvl="0">
      <w:start w:val="1"/>
      <w:numFmt w:val="decimal"/>
      <w:isLgl/>
      <w:lvlText w:val="%1."/>
      <w:lvlJc w:val="left"/>
      <w:pPr>
        <w:ind w:left="360" w:hanging="360"/>
      </w:pPr>
      <w:rPr>
        <w:rFonts w:asciiTheme="minorHAnsi" w:hAnsiTheme="minorHAnsi" w:hint="default"/>
        <w:color w:val="009FC3"/>
        <w:sz w:val="32"/>
      </w:rPr>
    </w:lvl>
    <w:lvl w:ilvl="1">
      <w:start w:val="1"/>
      <w:numFmt w:val="decimal"/>
      <w:isLgl/>
      <w:lvlText w:val="%1.%2."/>
      <w:lvlJc w:val="left"/>
      <w:pPr>
        <w:ind w:left="792" w:hanging="432"/>
      </w:pPr>
      <w:rPr>
        <w:rFonts w:asciiTheme="minorHAnsi" w:hAnsiTheme="minorHAnsi" w:hint="default"/>
        <w:b/>
        <w:color w:val="009FC3"/>
        <w:sz w:val="22"/>
      </w:rPr>
    </w:lvl>
    <w:lvl w:ilvl="2">
      <w:start w:val="1"/>
      <w:numFmt w:val="decimal"/>
      <w:isLgl/>
      <w:lvlText w:val="%1.%2.%3."/>
      <w:lvlJc w:val="left"/>
      <w:pPr>
        <w:ind w:left="1224" w:hanging="504"/>
      </w:pPr>
      <w:rPr>
        <w:rFonts w:asciiTheme="minorHAnsi" w:hAnsiTheme="minorHAnsi" w:hint="default"/>
        <w:b/>
        <w:color w:val="3D3D3D"/>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CC265A"/>
    <w:multiLevelType w:val="multilevel"/>
    <w:tmpl w:val="4ACCDC6E"/>
    <w:lvl w:ilvl="0">
      <w:start w:val="1"/>
      <w:numFmt w:val="decimal"/>
      <w:lvlText w:val="%1."/>
      <w:lvlJc w:val="left"/>
      <w:pPr>
        <w:ind w:left="360" w:hanging="360"/>
      </w:pPr>
      <w:rPr>
        <w:rFonts w:asciiTheme="minorHAnsi" w:hAnsiTheme="minorHAnsi"/>
        <w:color w:val="009FC3"/>
        <w:sz w:val="32"/>
      </w:rPr>
    </w:lvl>
    <w:lvl w:ilvl="1">
      <w:start w:val="1"/>
      <w:numFmt w:val="decimal"/>
      <w:lvlText w:val="%1.%2."/>
      <w:lvlJc w:val="left"/>
      <w:pPr>
        <w:ind w:left="792" w:hanging="432"/>
      </w:pPr>
      <w:rPr>
        <w:rFonts w:asciiTheme="minorHAnsi" w:hAnsiTheme="minorHAnsi"/>
        <w:b/>
        <w:color w:val="009FC3"/>
        <w:sz w:val="22"/>
      </w:rPr>
    </w:lvl>
    <w:lvl w:ilvl="2">
      <w:start w:val="1"/>
      <w:numFmt w:val="decimal"/>
      <w:lvlText w:val="%1.%2.%3."/>
      <w:lvlJc w:val="left"/>
      <w:pPr>
        <w:ind w:left="1224" w:hanging="504"/>
      </w:pPr>
      <w:rPr>
        <w:rFonts w:asciiTheme="minorHAnsi" w:hAnsiTheme="minorHAnsi"/>
        <w:b/>
        <w:color w:val="3D3D3D"/>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B54C8"/>
    <w:multiLevelType w:val="hybridMultilevel"/>
    <w:tmpl w:val="97BEEDBA"/>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6" w15:restartNumberingAfterBreak="0">
    <w:nsid w:val="1ADE668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153BA3"/>
    <w:multiLevelType w:val="hybridMultilevel"/>
    <w:tmpl w:val="3A72A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7B07E3"/>
    <w:multiLevelType w:val="multilevel"/>
    <w:tmpl w:val="2A9619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450173"/>
    <w:multiLevelType w:val="multilevel"/>
    <w:tmpl w:val="C6C4F706"/>
    <w:lvl w:ilvl="0">
      <w:start w:val="1"/>
      <w:numFmt w:val="decimal"/>
      <w:lvlText w:val="%1."/>
      <w:lvlJc w:val="left"/>
      <w:pPr>
        <w:ind w:left="360" w:hanging="360"/>
      </w:pPr>
      <w:rPr>
        <w:rFonts w:asciiTheme="minorHAnsi" w:hAnsiTheme="minorHAnsi" w:hint="default"/>
        <w:color w:val="009FC3"/>
        <w:sz w:val="32"/>
      </w:rPr>
    </w:lvl>
    <w:lvl w:ilvl="1">
      <w:start w:val="1"/>
      <w:numFmt w:val="decimal"/>
      <w:isLgl/>
      <w:lvlText w:val="%1.%2."/>
      <w:lvlJc w:val="left"/>
      <w:pPr>
        <w:ind w:left="792" w:hanging="432"/>
      </w:pPr>
      <w:rPr>
        <w:rFonts w:asciiTheme="minorHAnsi" w:hAnsiTheme="minorHAnsi" w:hint="default"/>
        <w:b/>
        <w:color w:val="009FC3"/>
        <w:sz w:val="22"/>
      </w:rPr>
    </w:lvl>
    <w:lvl w:ilvl="2">
      <w:start w:val="1"/>
      <w:numFmt w:val="decimal"/>
      <w:lvlRestart w:val="1"/>
      <w:isLgl/>
      <w:lvlText w:val="%1.%2.%3."/>
      <w:lvlJc w:val="left"/>
      <w:pPr>
        <w:ind w:left="1224" w:hanging="504"/>
      </w:pPr>
      <w:rPr>
        <w:rFonts w:asciiTheme="minorHAnsi" w:hAnsiTheme="minorHAnsi" w:hint="default"/>
        <w:b/>
        <w:color w:val="3D3D3D"/>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A60D3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3431D0"/>
    <w:multiLevelType w:val="multilevel"/>
    <w:tmpl w:val="48FECD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4737CA3"/>
    <w:multiLevelType w:val="hybridMultilevel"/>
    <w:tmpl w:val="B2CE1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BF3919"/>
    <w:multiLevelType w:val="multilevel"/>
    <w:tmpl w:val="9D565EF8"/>
    <w:lvl w:ilvl="0">
      <w:start w:val="1"/>
      <w:numFmt w:val="decimal"/>
      <w:lvlText w:val="%1."/>
      <w:lvlJc w:val="left"/>
      <w:pPr>
        <w:ind w:left="360" w:hanging="360"/>
      </w:pPr>
      <w:rPr>
        <w:rFonts w:asciiTheme="minorHAnsi" w:hAnsiTheme="minorHAnsi"/>
        <w:color w:val="009FC3"/>
        <w:sz w:val="32"/>
      </w:rPr>
    </w:lvl>
    <w:lvl w:ilvl="1">
      <w:start w:val="1"/>
      <w:numFmt w:val="decimal"/>
      <w:lvlText w:val="%1.%2."/>
      <w:lvlJc w:val="left"/>
      <w:pPr>
        <w:ind w:left="792" w:hanging="432"/>
      </w:pPr>
      <w:rPr>
        <w:rFonts w:asciiTheme="minorHAnsi" w:hAnsiTheme="minorHAnsi"/>
        <w:b/>
        <w:color w:val="009FC3"/>
        <w:sz w:val="22"/>
      </w:rPr>
    </w:lvl>
    <w:lvl w:ilvl="2">
      <w:start w:val="1"/>
      <w:numFmt w:val="decimal"/>
      <w:lvlText w:val="%1.%2.%3."/>
      <w:lvlJc w:val="left"/>
      <w:pPr>
        <w:ind w:left="1224" w:hanging="504"/>
      </w:pPr>
      <w:rPr>
        <w:rFonts w:asciiTheme="minorHAnsi" w:hAnsiTheme="minorHAnsi"/>
        <w:b/>
        <w:color w:val="3D3D3D"/>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87FDD"/>
    <w:multiLevelType w:val="hybridMultilevel"/>
    <w:tmpl w:val="1BAAB2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C40910"/>
    <w:multiLevelType w:val="multilevel"/>
    <w:tmpl w:val="AF68AA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17F1D99"/>
    <w:multiLevelType w:val="multilevel"/>
    <w:tmpl w:val="54D609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3BB599C"/>
    <w:multiLevelType w:val="hybridMultilevel"/>
    <w:tmpl w:val="07D25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65D47E6"/>
    <w:multiLevelType w:val="multilevel"/>
    <w:tmpl w:val="48FEC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402385"/>
    <w:multiLevelType w:val="multilevel"/>
    <w:tmpl w:val="9E022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FB76F1"/>
    <w:multiLevelType w:val="multilevel"/>
    <w:tmpl w:val="5E848834"/>
    <w:styleLink w:val="Numberedlist"/>
    <w:lvl w:ilvl="0">
      <w:start w:val="1"/>
      <w:numFmt w:val="decimal"/>
      <w:lvlText w:val="%1."/>
      <w:lvlJc w:val="left"/>
      <w:pPr>
        <w:ind w:left="360" w:hanging="360"/>
      </w:pPr>
      <w:rPr>
        <w:rFonts w:asciiTheme="minorHAnsi" w:hAnsiTheme="minorHAnsi"/>
        <w:color w:val="009FC3"/>
        <w:sz w:val="32"/>
      </w:rPr>
    </w:lvl>
    <w:lvl w:ilvl="1">
      <w:start w:val="1"/>
      <w:numFmt w:val="decimal"/>
      <w:lvlText w:val="%1.%2."/>
      <w:lvlJc w:val="left"/>
      <w:pPr>
        <w:ind w:left="792" w:hanging="432"/>
      </w:pPr>
      <w:rPr>
        <w:rFonts w:asciiTheme="minorHAnsi" w:hAnsiTheme="minorHAnsi"/>
        <w:b/>
        <w:color w:val="009FC3"/>
        <w:sz w:val="22"/>
      </w:rPr>
    </w:lvl>
    <w:lvl w:ilvl="2">
      <w:start w:val="1"/>
      <w:numFmt w:val="decimal"/>
      <w:lvlText w:val="%1.%2.%3."/>
      <w:lvlJc w:val="left"/>
      <w:pPr>
        <w:ind w:left="1224" w:hanging="504"/>
      </w:pPr>
      <w:rPr>
        <w:rFonts w:asciiTheme="minorHAnsi" w:hAnsiTheme="minorHAnsi"/>
        <w:b/>
        <w:color w:val="3D3D3D"/>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EA5D92"/>
    <w:multiLevelType w:val="multilevel"/>
    <w:tmpl w:val="48FEC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F24E2"/>
    <w:multiLevelType w:val="hybridMultilevel"/>
    <w:tmpl w:val="55FAC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210589"/>
    <w:multiLevelType w:val="multilevel"/>
    <w:tmpl w:val="53E01DD8"/>
    <w:lvl w:ilvl="0">
      <w:start w:val="1"/>
      <w:numFmt w:val="decimal"/>
      <w:pStyle w:val="Numberedlist1"/>
      <w:isLgl/>
      <w:lvlText w:val="%1."/>
      <w:lvlJc w:val="left"/>
      <w:pPr>
        <w:ind w:left="360" w:hanging="360"/>
      </w:pPr>
      <w:rPr>
        <w:rFonts w:asciiTheme="minorHAnsi" w:hAnsiTheme="minorHAnsi" w:hint="default"/>
        <w:color w:val="009FC3"/>
        <w:sz w:val="32"/>
      </w:rPr>
    </w:lvl>
    <w:lvl w:ilvl="1">
      <w:start w:val="1"/>
      <w:numFmt w:val="decimal"/>
      <w:pStyle w:val="Numberedlist2"/>
      <w:isLgl/>
      <w:lvlText w:val="%1.%2."/>
      <w:lvlJc w:val="left"/>
      <w:pPr>
        <w:ind w:left="792" w:hanging="432"/>
      </w:pPr>
      <w:rPr>
        <w:rFonts w:asciiTheme="minorHAnsi" w:hAnsiTheme="minorHAnsi" w:hint="default"/>
        <w:b/>
        <w:color w:val="009FC3"/>
        <w:sz w:val="22"/>
      </w:rPr>
    </w:lvl>
    <w:lvl w:ilvl="2">
      <w:start w:val="1"/>
      <w:numFmt w:val="decimal"/>
      <w:pStyle w:val="Numberedlist3"/>
      <w:isLgl/>
      <w:lvlText w:val="%1.%2.%3."/>
      <w:lvlJc w:val="left"/>
      <w:pPr>
        <w:ind w:left="1224" w:hanging="504"/>
      </w:pPr>
      <w:rPr>
        <w:rFonts w:asciiTheme="minorHAnsi" w:hAnsiTheme="minorHAnsi" w:hint="default"/>
        <w:b/>
        <w:color w:val="3D3D3D"/>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3E006F"/>
    <w:multiLevelType w:val="multilevel"/>
    <w:tmpl w:val="ADE838AA"/>
    <w:lvl w:ilvl="0">
      <w:start w:val="1"/>
      <w:numFmt w:val="decimal"/>
      <w:lvlText w:val="%1."/>
      <w:lvlJc w:val="left"/>
      <w:pPr>
        <w:ind w:left="360" w:hanging="360"/>
      </w:pPr>
      <w:rPr>
        <w:rFonts w:asciiTheme="minorHAnsi" w:hAnsiTheme="minorHAnsi"/>
        <w:color w:val="009FC3"/>
        <w:sz w:val="32"/>
      </w:rPr>
    </w:lvl>
    <w:lvl w:ilvl="1">
      <w:start w:val="1"/>
      <w:numFmt w:val="decimal"/>
      <w:lvlText w:val="%1.%2."/>
      <w:lvlJc w:val="left"/>
      <w:pPr>
        <w:ind w:left="792" w:hanging="432"/>
      </w:pPr>
      <w:rPr>
        <w:rFonts w:asciiTheme="minorHAnsi" w:hAnsiTheme="minorHAnsi"/>
        <w:b/>
        <w:color w:val="009FC3"/>
        <w:sz w:val="22"/>
      </w:rPr>
    </w:lvl>
    <w:lvl w:ilvl="2">
      <w:start w:val="1"/>
      <w:numFmt w:val="decimal"/>
      <w:lvlText w:val="%1.%2.%3."/>
      <w:lvlJc w:val="left"/>
      <w:pPr>
        <w:ind w:left="1224" w:hanging="504"/>
      </w:pPr>
      <w:rPr>
        <w:rFonts w:asciiTheme="minorHAnsi" w:hAnsiTheme="minorHAnsi"/>
        <w:b/>
        <w:color w:val="3D3D3D"/>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940797"/>
    <w:multiLevelType w:val="multilevel"/>
    <w:tmpl w:val="33CC9076"/>
    <w:lvl w:ilvl="0">
      <w:start w:val="1"/>
      <w:numFmt w:val="decimal"/>
      <w:lvlText w:val="%1."/>
      <w:lvlJc w:val="left"/>
      <w:pPr>
        <w:ind w:left="360" w:hanging="360"/>
      </w:pPr>
      <w:rPr>
        <w:rFonts w:asciiTheme="minorHAnsi" w:hAnsiTheme="minorHAnsi"/>
        <w:color w:val="009FC3"/>
        <w:sz w:val="32"/>
      </w:rPr>
    </w:lvl>
    <w:lvl w:ilvl="1">
      <w:start w:val="1"/>
      <w:numFmt w:val="decimal"/>
      <w:lvlText w:val="%1.%2."/>
      <w:lvlJc w:val="left"/>
      <w:pPr>
        <w:ind w:left="792" w:hanging="432"/>
      </w:pPr>
      <w:rPr>
        <w:rFonts w:asciiTheme="minorHAnsi" w:hAnsiTheme="minorHAnsi"/>
        <w:b/>
        <w:color w:val="009FC3"/>
        <w:sz w:val="22"/>
      </w:rPr>
    </w:lvl>
    <w:lvl w:ilvl="2">
      <w:start w:val="1"/>
      <w:numFmt w:val="decimal"/>
      <w:lvlText w:val="%1.%2.%3."/>
      <w:lvlJc w:val="left"/>
      <w:pPr>
        <w:ind w:left="1224" w:hanging="504"/>
      </w:pPr>
      <w:rPr>
        <w:rFonts w:asciiTheme="minorHAnsi" w:hAnsiTheme="minorHAnsi"/>
        <w:b/>
        <w:color w:val="3D3D3D"/>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D83CCE"/>
    <w:multiLevelType w:val="multilevel"/>
    <w:tmpl w:val="48FEC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2F30BF"/>
    <w:multiLevelType w:val="multilevel"/>
    <w:tmpl w:val="30AC90E8"/>
    <w:lvl w:ilvl="0">
      <w:start w:val="1"/>
      <w:numFmt w:val="decimal"/>
      <w:lvlText w:val="%1."/>
      <w:lvlJc w:val="left"/>
      <w:pPr>
        <w:ind w:left="360" w:hanging="360"/>
      </w:pPr>
      <w:rPr>
        <w:rFonts w:asciiTheme="minorHAnsi" w:hAnsiTheme="minorHAnsi"/>
        <w:color w:val="009FC3"/>
        <w:sz w:val="32"/>
      </w:rPr>
    </w:lvl>
    <w:lvl w:ilvl="1">
      <w:start w:val="1"/>
      <w:numFmt w:val="decimal"/>
      <w:lvlText w:val="%1.%2."/>
      <w:lvlJc w:val="left"/>
      <w:pPr>
        <w:ind w:left="792" w:hanging="432"/>
      </w:pPr>
      <w:rPr>
        <w:rFonts w:asciiTheme="minorHAnsi" w:hAnsiTheme="minorHAnsi"/>
        <w:b/>
        <w:color w:val="009FC3"/>
        <w:sz w:val="22"/>
      </w:rPr>
    </w:lvl>
    <w:lvl w:ilvl="2">
      <w:start w:val="1"/>
      <w:numFmt w:val="decimal"/>
      <w:lvlText w:val="%1.%2.%3."/>
      <w:lvlJc w:val="left"/>
      <w:pPr>
        <w:ind w:left="1224" w:hanging="504"/>
      </w:pPr>
      <w:rPr>
        <w:rFonts w:asciiTheme="minorHAnsi" w:hAnsiTheme="minorHAnsi"/>
        <w:b/>
        <w:color w:val="3D3D3D"/>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93027E"/>
    <w:multiLevelType w:val="multilevel"/>
    <w:tmpl w:val="B852949C"/>
    <w:lvl w:ilvl="0">
      <w:start w:val="1"/>
      <w:numFmt w:val="decimal"/>
      <w:lvlText w:val="%1."/>
      <w:lvlJc w:val="left"/>
      <w:pPr>
        <w:ind w:left="720" w:hanging="360"/>
      </w:pPr>
      <w:rPr>
        <w:rFonts w:asciiTheme="minorHAnsi" w:hAnsiTheme="minorHAnsi" w:hint="default"/>
        <w:color w:val="009FC3"/>
        <w:sz w:val="32"/>
      </w:rPr>
    </w:lvl>
    <w:lvl w:ilvl="1">
      <w:start w:val="1"/>
      <w:numFmt w:val="decimal"/>
      <w:isLgl/>
      <w:lvlText w:val="%1.%2."/>
      <w:lvlJc w:val="left"/>
      <w:pPr>
        <w:ind w:left="1152" w:hanging="432"/>
      </w:pPr>
      <w:rPr>
        <w:rFonts w:asciiTheme="minorHAnsi" w:hAnsiTheme="minorHAnsi" w:hint="default"/>
        <w:b/>
        <w:color w:val="009FC3"/>
        <w:sz w:val="22"/>
      </w:rPr>
    </w:lvl>
    <w:lvl w:ilvl="2">
      <w:start w:val="1"/>
      <w:numFmt w:val="decimal"/>
      <w:lvlRestart w:val="1"/>
      <w:isLgl/>
      <w:lvlText w:val="%1.%2.%3."/>
      <w:lvlJc w:val="left"/>
      <w:pPr>
        <w:ind w:left="1584" w:hanging="504"/>
      </w:pPr>
      <w:rPr>
        <w:rFonts w:asciiTheme="minorHAnsi" w:hAnsiTheme="minorHAnsi" w:hint="default"/>
        <w:b/>
        <w:color w:val="3D3D3D"/>
        <w:sz w:val="22"/>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3863A3E"/>
    <w:multiLevelType w:val="hybridMultilevel"/>
    <w:tmpl w:val="22E29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631E30"/>
    <w:multiLevelType w:val="multilevel"/>
    <w:tmpl w:val="B2E2002A"/>
    <w:lvl w:ilvl="0">
      <w:start w:val="1"/>
      <w:numFmt w:val="decimal"/>
      <w:lvlText w:val="%1."/>
      <w:lvlJc w:val="left"/>
      <w:pPr>
        <w:ind w:left="360" w:hanging="360"/>
      </w:pPr>
      <w:rPr>
        <w:rFonts w:asciiTheme="minorHAnsi" w:hAnsiTheme="minorHAnsi"/>
        <w:color w:val="009FC3"/>
        <w:sz w:val="32"/>
      </w:rPr>
    </w:lvl>
    <w:lvl w:ilvl="1">
      <w:start w:val="1"/>
      <w:numFmt w:val="decimal"/>
      <w:lvlText w:val="%1.%2."/>
      <w:lvlJc w:val="left"/>
      <w:pPr>
        <w:ind w:left="792" w:hanging="432"/>
      </w:pPr>
      <w:rPr>
        <w:rFonts w:asciiTheme="minorHAnsi" w:hAnsiTheme="minorHAnsi"/>
        <w:b/>
        <w:color w:val="009FC3"/>
        <w:sz w:val="22"/>
      </w:rPr>
    </w:lvl>
    <w:lvl w:ilvl="2">
      <w:start w:val="1"/>
      <w:numFmt w:val="decimal"/>
      <w:lvlText w:val="%1.%2.%3."/>
      <w:lvlJc w:val="left"/>
      <w:pPr>
        <w:ind w:left="1224" w:hanging="504"/>
      </w:pPr>
      <w:rPr>
        <w:rFonts w:asciiTheme="minorHAnsi" w:hAnsiTheme="minorHAnsi"/>
        <w:b/>
        <w:color w:val="3D3D3D"/>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340334"/>
    <w:multiLevelType w:val="multilevel"/>
    <w:tmpl w:val="AEAA5A18"/>
    <w:lvl w:ilvl="0">
      <w:start w:val="1"/>
      <w:numFmt w:val="decimal"/>
      <w:lvlText w:val="%1."/>
      <w:lvlJc w:val="left"/>
      <w:pPr>
        <w:ind w:left="360" w:hanging="360"/>
      </w:pPr>
      <w:rPr>
        <w:rFonts w:asciiTheme="minorHAnsi" w:hAnsiTheme="minorHAnsi"/>
        <w:color w:val="009FC3"/>
        <w:sz w:val="32"/>
      </w:rPr>
    </w:lvl>
    <w:lvl w:ilvl="1">
      <w:start w:val="1"/>
      <w:numFmt w:val="decimal"/>
      <w:lvlText w:val="%1.%2."/>
      <w:lvlJc w:val="left"/>
      <w:pPr>
        <w:ind w:left="792" w:hanging="432"/>
      </w:pPr>
      <w:rPr>
        <w:rFonts w:asciiTheme="minorHAnsi" w:hAnsiTheme="minorHAnsi"/>
        <w:b/>
        <w:color w:val="009FC3"/>
        <w:sz w:val="22"/>
      </w:rPr>
    </w:lvl>
    <w:lvl w:ilvl="2">
      <w:start w:val="1"/>
      <w:numFmt w:val="decimal"/>
      <w:lvlText w:val="%1.%2.%3."/>
      <w:lvlJc w:val="left"/>
      <w:pPr>
        <w:ind w:left="1224" w:hanging="504"/>
      </w:pPr>
      <w:rPr>
        <w:rFonts w:asciiTheme="minorHAnsi" w:hAnsiTheme="minorHAnsi"/>
        <w:b/>
        <w:color w:val="3D3D3D"/>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780E54"/>
    <w:multiLevelType w:val="multilevel"/>
    <w:tmpl w:val="5E848834"/>
    <w:numStyleLink w:val="Numberedlist"/>
  </w:abstractNum>
  <w:abstractNum w:abstractNumId="33" w15:restartNumberingAfterBreak="0">
    <w:nsid w:val="7A9A3C09"/>
    <w:multiLevelType w:val="multilevel"/>
    <w:tmpl w:val="D5A6E120"/>
    <w:lvl w:ilvl="0">
      <w:start w:val="1"/>
      <w:numFmt w:val="decimal"/>
      <w:lvlText w:val="%1."/>
      <w:lvlJc w:val="left"/>
      <w:pPr>
        <w:ind w:left="360" w:hanging="360"/>
      </w:pPr>
      <w:rPr>
        <w:rFonts w:asciiTheme="minorHAnsi" w:hAnsiTheme="minorHAnsi" w:hint="default"/>
        <w:color w:val="009FC3"/>
        <w:sz w:val="32"/>
      </w:rPr>
    </w:lvl>
    <w:lvl w:ilvl="1">
      <w:start w:val="1"/>
      <w:numFmt w:val="decimal"/>
      <w:isLgl/>
      <w:lvlText w:val="%1.%2."/>
      <w:lvlJc w:val="left"/>
      <w:pPr>
        <w:ind w:left="792" w:hanging="432"/>
      </w:pPr>
      <w:rPr>
        <w:rFonts w:asciiTheme="minorHAnsi" w:hAnsiTheme="minorHAnsi" w:hint="default"/>
        <w:b/>
        <w:color w:val="009FC3"/>
        <w:sz w:val="22"/>
      </w:rPr>
    </w:lvl>
    <w:lvl w:ilvl="2">
      <w:start w:val="1"/>
      <w:numFmt w:val="decimal"/>
      <w:lvlRestart w:val="1"/>
      <w:isLgl/>
      <w:lvlText w:val="%1.%2.%3."/>
      <w:lvlJc w:val="left"/>
      <w:pPr>
        <w:ind w:left="1224" w:hanging="504"/>
      </w:pPr>
      <w:rPr>
        <w:rFonts w:asciiTheme="minorHAnsi" w:hAnsiTheme="minorHAnsi" w:hint="default"/>
        <w:b/>
        <w:color w:val="3D3D3D"/>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44B67"/>
    <w:multiLevelType w:val="hybridMultilevel"/>
    <w:tmpl w:val="D61EF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34"/>
  </w:num>
  <w:num w:numId="3">
    <w:abstractNumId w:val="1"/>
  </w:num>
  <w:num w:numId="4">
    <w:abstractNumId w:val="32"/>
  </w:num>
  <w:num w:numId="5">
    <w:abstractNumId w:val="20"/>
  </w:num>
  <w:num w:numId="6">
    <w:abstractNumId w:val="31"/>
  </w:num>
  <w:num w:numId="7">
    <w:abstractNumId w:val="4"/>
  </w:num>
  <w:num w:numId="8">
    <w:abstractNumId w:val="27"/>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3"/>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0"/>
  </w:num>
  <w:num w:numId="18">
    <w:abstractNumId w:val="24"/>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
  </w:num>
  <w:num w:numId="26">
    <w:abstractNumId w:val="23"/>
  </w:num>
  <w:num w:numId="27">
    <w:abstractNumId w:val="14"/>
  </w:num>
  <w:num w:numId="28">
    <w:abstractNumId w:val="22"/>
  </w:num>
  <w:num w:numId="29">
    <w:abstractNumId w:val="29"/>
  </w:num>
  <w:num w:numId="30">
    <w:abstractNumId w:val="17"/>
  </w:num>
  <w:num w:numId="31">
    <w:abstractNumId w:val="5"/>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11"/>
  </w:num>
  <w:num w:numId="50">
    <w:abstractNumId w:val="21"/>
  </w:num>
  <w:num w:numId="51">
    <w:abstractNumId w:val="18"/>
  </w:num>
  <w:num w:numId="52">
    <w:abstractNumId w:val="2"/>
  </w:num>
  <w:num w:numId="53">
    <w:abstractNumId w:val="26"/>
  </w:num>
  <w:num w:numId="54">
    <w:abstractNumId w:val="23"/>
  </w:num>
  <w:num w:numId="55">
    <w:abstractNumId w:val="7"/>
  </w:num>
  <w:num w:numId="56">
    <w:abstractNumId w:val="23"/>
  </w:num>
  <w:num w:numId="57">
    <w:abstractNumId w:val="23"/>
  </w:num>
  <w:num w:numId="58">
    <w:abstractNumId w:val="23"/>
  </w:num>
  <w:num w:numId="59">
    <w:abstractNumId w:val="23"/>
  </w:num>
  <w:num w:numId="60">
    <w:abstractNumId w:val="23"/>
  </w:num>
  <w:num w:numId="61">
    <w:abstractNumId w:val="23"/>
  </w:num>
  <w:num w:numId="62">
    <w:abstractNumId w:val="23"/>
  </w:num>
  <w:num w:numId="63">
    <w:abstractNumId w:val="23"/>
  </w:num>
  <w:num w:numId="64">
    <w:abstractNumId w:val="23"/>
  </w:num>
  <w:num w:numId="65">
    <w:abstractNumId w:val="23"/>
  </w:num>
  <w:num w:numId="66">
    <w:abstractNumId w:val="12"/>
  </w:num>
  <w:num w:numId="67">
    <w:abstractNumId w:val="23"/>
  </w:num>
  <w:num w:numId="68">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3"/>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DE"/>
    <w:rsid w:val="0000293D"/>
    <w:rsid w:val="00002E98"/>
    <w:rsid w:val="000039A4"/>
    <w:rsid w:val="00010954"/>
    <w:rsid w:val="000131A6"/>
    <w:rsid w:val="00017112"/>
    <w:rsid w:val="00017A93"/>
    <w:rsid w:val="00021AD1"/>
    <w:rsid w:val="00021F07"/>
    <w:rsid w:val="000246B7"/>
    <w:rsid w:val="00025441"/>
    <w:rsid w:val="000256A8"/>
    <w:rsid w:val="00026B95"/>
    <w:rsid w:val="000277B0"/>
    <w:rsid w:val="000277E7"/>
    <w:rsid w:val="00035C9B"/>
    <w:rsid w:val="000367AF"/>
    <w:rsid w:val="00042993"/>
    <w:rsid w:val="00043830"/>
    <w:rsid w:val="00047BB1"/>
    <w:rsid w:val="00051747"/>
    <w:rsid w:val="0005561E"/>
    <w:rsid w:val="0005572C"/>
    <w:rsid w:val="00056E45"/>
    <w:rsid w:val="00060C00"/>
    <w:rsid w:val="00060E1C"/>
    <w:rsid w:val="00061624"/>
    <w:rsid w:val="00064029"/>
    <w:rsid w:val="0006441E"/>
    <w:rsid w:val="0006460E"/>
    <w:rsid w:val="00066A8E"/>
    <w:rsid w:val="000707A7"/>
    <w:rsid w:val="00071E69"/>
    <w:rsid w:val="00077199"/>
    <w:rsid w:val="000803B8"/>
    <w:rsid w:val="000839B1"/>
    <w:rsid w:val="00085C0A"/>
    <w:rsid w:val="00086519"/>
    <w:rsid w:val="0009443F"/>
    <w:rsid w:val="00094DD0"/>
    <w:rsid w:val="000976EF"/>
    <w:rsid w:val="000A0813"/>
    <w:rsid w:val="000A182B"/>
    <w:rsid w:val="000A4C61"/>
    <w:rsid w:val="000A597A"/>
    <w:rsid w:val="000A6AFA"/>
    <w:rsid w:val="000B0347"/>
    <w:rsid w:val="000B2C27"/>
    <w:rsid w:val="000B2EA7"/>
    <w:rsid w:val="000B32D9"/>
    <w:rsid w:val="000B5135"/>
    <w:rsid w:val="000B5498"/>
    <w:rsid w:val="000B6881"/>
    <w:rsid w:val="000B7074"/>
    <w:rsid w:val="000C3201"/>
    <w:rsid w:val="000D1128"/>
    <w:rsid w:val="000D19F0"/>
    <w:rsid w:val="000D2B6A"/>
    <w:rsid w:val="000D49B3"/>
    <w:rsid w:val="000E3FA9"/>
    <w:rsid w:val="000E6069"/>
    <w:rsid w:val="000E74BB"/>
    <w:rsid w:val="000F364E"/>
    <w:rsid w:val="00102239"/>
    <w:rsid w:val="00102D80"/>
    <w:rsid w:val="00103258"/>
    <w:rsid w:val="00104747"/>
    <w:rsid w:val="001049B5"/>
    <w:rsid w:val="00104C25"/>
    <w:rsid w:val="00105AB8"/>
    <w:rsid w:val="001072CA"/>
    <w:rsid w:val="001073E1"/>
    <w:rsid w:val="00111FC7"/>
    <w:rsid w:val="00113092"/>
    <w:rsid w:val="00114624"/>
    <w:rsid w:val="00117C32"/>
    <w:rsid w:val="0012019F"/>
    <w:rsid w:val="00125892"/>
    <w:rsid w:val="00126685"/>
    <w:rsid w:val="0013044E"/>
    <w:rsid w:val="00132A43"/>
    <w:rsid w:val="00133CF6"/>
    <w:rsid w:val="00136970"/>
    <w:rsid w:val="00137228"/>
    <w:rsid w:val="00142B88"/>
    <w:rsid w:val="001443DA"/>
    <w:rsid w:val="001463DE"/>
    <w:rsid w:val="00146E41"/>
    <w:rsid w:val="0015126F"/>
    <w:rsid w:val="00160832"/>
    <w:rsid w:val="0016160D"/>
    <w:rsid w:val="001628C8"/>
    <w:rsid w:val="0016394E"/>
    <w:rsid w:val="001708CB"/>
    <w:rsid w:val="00170A7A"/>
    <w:rsid w:val="0017218E"/>
    <w:rsid w:val="001735CF"/>
    <w:rsid w:val="00174528"/>
    <w:rsid w:val="00175021"/>
    <w:rsid w:val="0018264E"/>
    <w:rsid w:val="00185B37"/>
    <w:rsid w:val="00186881"/>
    <w:rsid w:val="0019400E"/>
    <w:rsid w:val="0019411B"/>
    <w:rsid w:val="001A011C"/>
    <w:rsid w:val="001A2436"/>
    <w:rsid w:val="001B06F7"/>
    <w:rsid w:val="001B1B90"/>
    <w:rsid w:val="001B496F"/>
    <w:rsid w:val="001B504C"/>
    <w:rsid w:val="001B6CC4"/>
    <w:rsid w:val="001B7278"/>
    <w:rsid w:val="001B7ABA"/>
    <w:rsid w:val="001C0984"/>
    <w:rsid w:val="001C21FE"/>
    <w:rsid w:val="001C4BDD"/>
    <w:rsid w:val="001C5093"/>
    <w:rsid w:val="001D253E"/>
    <w:rsid w:val="001D26AA"/>
    <w:rsid w:val="001D2DE3"/>
    <w:rsid w:val="001D478F"/>
    <w:rsid w:val="001D4D0E"/>
    <w:rsid w:val="001D57B1"/>
    <w:rsid w:val="001E026B"/>
    <w:rsid w:val="001E0B6B"/>
    <w:rsid w:val="001E0C4A"/>
    <w:rsid w:val="001E1DFD"/>
    <w:rsid w:val="001E4F53"/>
    <w:rsid w:val="001E75B4"/>
    <w:rsid w:val="001F0D33"/>
    <w:rsid w:val="001F1AE7"/>
    <w:rsid w:val="001F3C78"/>
    <w:rsid w:val="001F6B6E"/>
    <w:rsid w:val="00200210"/>
    <w:rsid w:val="00202412"/>
    <w:rsid w:val="00205BA3"/>
    <w:rsid w:val="00212022"/>
    <w:rsid w:val="00213DCE"/>
    <w:rsid w:val="002167C8"/>
    <w:rsid w:val="00232602"/>
    <w:rsid w:val="0024095A"/>
    <w:rsid w:val="00241113"/>
    <w:rsid w:val="002433FA"/>
    <w:rsid w:val="00244E76"/>
    <w:rsid w:val="00244F57"/>
    <w:rsid w:val="0024666F"/>
    <w:rsid w:val="00246703"/>
    <w:rsid w:val="002509AB"/>
    <w:rsid w:val="00251A11"/>
    <w:rsid w:val="00251C3E"/>
    <w:rsid w:val="002527FE"/>
    <w:rsid w:val="00254EB0"/>
    <w:rsid w:val="00255806"/>
    <w:rsid w:val="00256767"/>
    <w:rsid w:val="00256DB2"/>
    <w:rsid w:val="00261B32"/>
    <w:rsid w:val="0026405B"/>
    <w:rsid w:val="002657CA"/>
    <w:rsid w:val="00267608"/>
    <w:rsid w:val="00271C49"/>
    <w:rsid w:val="002767D5"/>
    <w:rsid w:val="00277538"/>
    <w:rsid w:val="00281A2B"/>
    <w:rsid w:val="00284F49"/>
    <w:rsid w:val="002863F1"/>
    <w:rsid w:val="0028708E"/>
    <w:rsid w:val="002901F6"/>
    <w:rsid w:val="0029183C"/>
    <w:rsid w:val="00292CB2"/>
    <w:rsid w:val="00296FD4"/>
    <w:rsid w:val="002972CA"/>
    <w:rsid w:val="002A1003"/>
    <w:rsid w:val="002A3A27"/>
    <w:rsid w:val="002A3DE9"/>
    <w:rsid w:val="002A3E63"/>
    <w:rsid w:val="002A5B23"/>
    <w:rsid w:val="002A63E0"/>
    <w:rsid w:val="002B04D2"/>
    <w:rsid w:val="002B0DAB"/>
    <w:rsid w:val="002B0F1B"/>
    <w:rsid w:val="002B5772"/>
    <w:rsid w:val="002C5268"/>
    <w:rsid w:val="002C687C"/>
    <w:rsid w:val="002C70E1"/>
    <w:rsid w:val="002D3185"/>
    <w:rsid w:val="002D65CE"/>
    <w:rsid w:val="002D7944"/>
    <w:rsid w:val="002E032E"/>
    <w:rsid w:val="002E046C"/>
    <w:rsid w:val="002E1BCB"/>
    <w:rsid w:val="002E2681"/>
    <w:rsid w:val="002E6235"/>
    <w:rsid w:val="002E6708"/>
    <w:rsid w:val="002E6F7A"/>
    <w:rsid w:val="002F1E05"/>
    <w:rsid w:val="002F31A7"/>
    <w:rsid w:val="002F68FC"/>
    <w:rsid w:val="003027CF"/>
    <w:rsid w:val="00305346"/>
    <w:rsid w:val="00307A2C"/>
    <w:rsid w:val="00313DB4"/>
    <w:rsid w:val="00315992"/>
    <w:rsid w:val="0031720F"/>
    <w:rsid w:val="00320286"/>
    <w:rsid w:val="0032150C"/>
    <w:rsid w:val="00327199"/>
    <w:rsid w:val="003277C9"/>
    <w:rsid w:val="00330699"/>
    <w:rsid w:val="00330811"/>
    <w:rsid w:val="00332F39"/>
    <w:rsid w:val="00333F17"/>
    <w:rsid w:val="00336324"/>
    <w:rsid w:val="00337A1A"/>
    <w:rsid w:val="00337F8E"/>
    <w:rsid w:val="00350380"/>
    <w:rsid w:val="00351643"/>
    <w:rsid w:val="003524E8"/>
    <w:rsid w:val="0036780B"/>
    <w:rsid w:val="00372B3E"/>
    <w:rsid w:val="00373E36"/>
    <w:rsid w:val="00373F6F"/>
    <w:rsid w:val="00377B24"/>
    <w:rsid w:val="0038166E"/>
    <w:rsid w:val="00383231"/>
    <w:rsid w:val="00384B8E"/>
    <w:rsid w:val="00385820"/>
    <w:rsid w:val="00387217"/>
    <w:rsid w:val="00392BCA"/>
    <w:rsid w:val="00397E0D"/>
    <w:rsid w:val="003A4B36"/>
    <w:rsid w:val="003A6C11"/>
    <w:rsid w:val="003B1A1A"/>
    <w:rsid w:val="003B2E7C"/>
    <w:rsid w:val="003B6426"/>
    <w:rsid w:val="003B77C6"/>
    <w:rsid w:val="003C0C6C"/>
    <w:rsid w:val="003C17A3"/>
    <w:rsid w:val="003C1F31"/>
    <w:rsid w:val="003C3DE8"/>
    <w:rsid w:val="003C4AFF"/>
    <w:rsid w:val="003C78ED"/>
    <w:rsid w:val="003D3E6D"/>
    <w:rsid w:val="003D6F5E"/>
    <w:rsid w:val="003E097F"/>
    <w:rsid w:val="003E144D"/>
    <w:rsid w:val="003F0319"/>
    <w:rsid w:val="003F4E1D"/>
    <w:rsid w:val="003F7CEB"/>
    <w:rsid w:val="00401B47"/>
    <w:rsid w:val="004023E1"/>
    <w:rsid w:val="00404F6B"/>
    <w:rsid w:val="00407EF1"/>
    <w:rsid w:val="00411EC7"/>
    <w:rsid w:val="0041470E"/>
    <w:rsid w:val="00415EF7"/>
    <w:rsid w:val="004164A7"/>
    <w:rsid w:val="0041780E"/>
    <w:rsid w:val="00417A6D"/>
    <w:rsid w:val="004216F2"/>
    <w:rsid w:val="00421E0B"/>
    <w:rsid w:val="00427F72"/>
    <w:rsid w:val="004304F5"/>
    <w:rsid w:val="004312D3"/>
    <w:rsid w:val="004329D9"/>
    <w:rsid w:val="004345D6"/>
    <w:rsid w:val="0043483D"/>
    <w:rsid w:val="0044165B"/>
    <w:rsid w:val="0044319A"/>
    <w:rsid w:val="004445D3"/>
    <w:rsid w:val="00444850"/>
    <w:rsid w:val="0045576C"/>
    <w:rsid w:val="004569A6"/>
    <w:rsid w:val="00457D1C"/>
    <w:rsid w:val="004619A5"/>
    <w:rsid w:val="00462DAA"/>
    <w:rsid w:val="00462E38"/>
    <w:rsid w:val="00463A41"/>
    <w:rsid w:val="0046690B"/>
    <w:rsid w:val="004673A4"/>
    <w:rsid w:val="00467BE9"/>
    <w:rsid w:val="0047373B"/>
    <w:rsid w:val="00474289"/>
    <w:rsid w:val="004754DF"/>
    <w:rsid w:val="00475610"/>
    <w:rsid w:val="00477F6B"/>
    <w:rsid w:val="00480865"/>
    <w:rsid w:val="00482A3B"/>
    <w:rsid w:val="00482E5F"/>
    <w:rsid w:val="00494167"/>
    <w:rsid w:val="00497CD8"/>
    <w:rsid w:val="004A078B"/>
    <w:rsid w:val="004A4DD4"/>
    <w:rsid w:val="004A64D5"/>
    <w:rsid w:val="004B1182"/>
    <w:rsid w:val="004B1FD3"/>
    <w:rsid w:val="004C2987"/>
    <w:rsid w:val="004C33DB"/>
    <w:rsid w:val="004C55AE"/>
    <w:rsid w:val="004C6F28"/>
    <w:rsid w:val="004D0ABD"/>
    <w:rsid w:val="004D5E8A"/>
    <w:rsid w:val="004E14D3"/>
    <w:rsid w:val="004E332C"/>
    <w:rsid w:val="004E46E1"/>
    <w:rsid w:val="004F1FD1"/>
    <w:rsid w:val="004F5B97"/>
    <w:rsid w:val="004F606E"/>
    <w:rsid w:val="004F6FAB"/>
    <w:rsid w:val="004F73FE"/>
    <w:rsid w:val="00501205"/>
    <w:rsid w:val="005074A1"/>
    <w:rsid w:val="00513841"/>
    <w:rsid w:val="005159A5"/>
    <w:rsid w:val="005206E0"/>
    <w:rsid w:val="00523D1D"/>
    <w:rsid w:val="00525F1C"/>
    <w:rsid w:val="00526066"/>
    <w:rsid w:val="0052703E"/>
    <w:rsid w:val="00530002"/>
    <w:rsid w:val="00531401"/>
    <w:rsid w:val="00531452"/>
    <w:rsid w:val="005319FF"/>
    <w:rsid w:val="00533D18"/>
    <w:rsid w:val="0053464E"/>
    <w:rsid w:val="005347D4"/>
    <w:rsid w:val="00534D88"/>
    <w:rsid w:val="00535666"/>
    <w:rsid w:val="005412E5"/>
    <w:rsid w:val="00547C48"/>
    <w:rsid w:val="00551932"/>
    <w:rsid w:val="00551F92"/>
    <w:rsid w:val="00554B89"/>
    <w:rsid w:val="00555327"/>
    <w:rsid w:val="005554E5"/>
    <w:rsid w:val="00556785"/>
    <w:rsid w:val="00557C1F"/>
    <w:rsid w:val="00560D60"/>
    <w:rsid w:val="00563210"/>
    <w:rsid w:val="00563F39"/>
    <w:rsid w:val="005669C8"/>
    <w:rsid w:val="00570160"/>
    <w:rsid w:val="0057301D"/>
    <w:rsid w:val="00577D47"/>
    <w:rsid w:val="005809CF"/>
    <w:rsid w:val="00582565"/>
    <w:rsid w:val="00582CC2"/>
    <w:rsid w:val="0058463F"/>
    <w:rsid w:val="005846F9"/>
    <w:rsid w:val="00585204"/>
    <w:rsid w:val="00587DCD"/>
    <w:rsid w:val="0059394D"/>
    <w:rsid w:val="00594277"/>
    <w:rsid w:val="00596379"/>
    <w:rsid w:val="005975F2"/>
    <w:rsid w:val="005A0891"/>
    <w:rsid w:val="005A4350"/>
    <w:rsid w:val="005A521C"/>
    <w:rsid w:val="005A52A6"/>
    <w:rsid w:val="005B29CA"/>
    <w:rsid w:val="005B3BE7"/>
    <w:rsid w:val="005B5913"/>
    <w:rsid w:val="005B7188"/>
    <w:rsid w:val="005C113D"/>
    <w:rsid w:val="005C2B39"/>
    <w:rsid w:val="005D0BFB"/>
    <w:rsid w:val="005D348C"/>
    <w:rsid w:val="005D36CF"/>
    <w:rsid w:val="005D7D2A"/>
    <w:rsid w:val="005E1A62"/>
    <w:rsid w:val="005E1E22"/>
    <w:rsid w:val="005E2E1A"/>
    <w:rsid w:val="005E5FAF"/>
    <w:rsid w:val="005E7558"/>
    <w:rsid w:val="005E75EB"/>
    <w:rsid w:val="005F0EDB"/>
    <w:rsid w:val="005F354D"/>
    <w:rsid w:val="005F35BA"/>
    <w:rsid w:val="006003C6"/>
    <w:rsid w:val="00600E1F"/>
    <w:rsid w:val="00601AB2"/>
    <w:rsid w:val="00602AF9"/>
    <w:rsid w:val="00604C08"/>
    <w:rsid w:val="00606DDB"/>
    <w:rsid w:val="00611579"/>
    <w:rsid w:val="006144AA"/>
    <w:rsid w:val="0061485B"/>
    <w:rsid w:val="006152DE"/>
    <w:rsid w:val="00616056"/>
    <w:rsid w:val="00616228"/>
    <w:rsid w:val="0062028F"/>
    <w:rsid w:val="00621208"/>
    <w:rsid w:val="00622C45"/>
    <w:rsid w:val="00623906"/>
    <w:rsid w:val="0063157E"/>
    <w:rsid w:val="00634D0A"/>
    <w:rsid w:val="0063540C"/>
    <w:rsid w:val="00636B19"/>
    <w:rsid w:val="00645560"/>
    <w:rsid w:val="00645BB8"/>
    <w:rsid w:val="006524D8"/>
    <w:rsid w:val="0065475C"/>
    <w:rsid w:val="00654CDC"/>
    <w:rsid w:val="00660B73"/>
    <w:rsid w:val="00662F97"/>
    <w:rsid w:val="006743B0"/>
    <w:rsid w:val="00676201"/>
    <w:rsid w:val="006770F5"/>
    <w:rsid w:val="0067737C"/>
    <w:rsid w:val="00682E23"/>
    <w:rsid w:val="00684079"/>
    <w:rsid w:val="00686928"/>
    <w:rsid w:val="00686AAD"/>
    <w:rsid w:val="00686CCB"/>
    <w:rsid w:val="00687827"/>
    <w:rsid w:val="00691227"/>
    <w:rsid w:val="00691765"/>
    <w:rsid w:val="00696EA8"/>
    <w:rsid w:val="00697B6D"/>
    <w:rsid w:val="0069F600"/>
    <w:rsid w:val="006A46B9"/>
    <w:rsid w:val="006A540C"/>
    <w:rsid w:val="006A64E5"/>
    <w:rsid w:val="006A7BE1"/>
    <w:rsid w:val="006B12B0"/>
    <w:rsid w:val="006B1F17"/>
    <w:rsid w:val="006B3CB1"/>
    <w:rsid w:val="006C0051"/>
    <w:rsid w:val="006C35A4"/>
    <w:rsid w:val="006C7F87"/>
    <w:rsid w:val="006D4068"/>
    <w:rsid w:val="006D4846"/>
    <w:rsid w:val="006D71C1"/>
    <w:rsid w:val="006E18F2"/>
    <w:rsid w:val="006E331C"/>
    <w:rsid w:val="006E5109"/>
    <w:rsid w:val="006E729F"/>
    <w:rsid w:val="006F33F1"/>
    <w:rsid w:val="006F4BD1"/>
    <w:rsid w:val="006F64F8"/>
    <w:rsid w:val="006F7FDB"/>
    <w:rsid w:val="0070056A"/>
    <w:rsid w:val="0070359E"/>
    <w:rsid w:val="00703AD3"/>
    <w:rsid w:val="00704B29"/>
    <w:rsid w:val="0071193D"/>
    <w:rsid w:val="00711F00"/>
    <w:rsid w:val="00712167"/>
    <w:rsid w:val="0071236D"/>
    <w:rsid w:val="00716055"/>
    <w:rsid w:val="007207B7"/>
    <w:rsid w:val="00721CB0"/>
    <w:rsid w:val="00721EAD"/>
    <w:rsid w:val="00722061"/>
    <w:rsid w:val="00724756"/>
    <w:rsid w:val="007260E9"/>
    <w:rsid w:val="00732462"/>
    <w:rsid w:val="00735BB0"/>
    <w:rsid w:val="00742B3F"/>
    <w:rsid w:val="007441F3"/>
    <w:rsid w:val="00745DF7"/>
    <w:rsid w:val="00745F89"/>
    <w:rsid w:val="00750796"/>
    <w:rsid w:val="00750CF9"/>
    <w:rsid w:val="0075110C"/>
    <w:rsid w:val="007521E5"/>
    <w:rsid w:val="00754303"/>
    <w:rsid w:val="00755E12"/>
    <w:rsid w:val="007607ED"/>
    <w:rsid w:val="0076085D"/>
    <w:rsid w:val="007632EE"/>
    <w:rsid w:val="007701E3"/>
    <w:rsid w:val="007713DB"/>
    <w:rsid w:val="007720ED"/>
    <w:rsid w:val="00772376"/>
    <w:rsid w:val="00773D55"/>
    <w:rsid w:val="00775799"/>
    <w:rsid w:val="00776407"/>
    <w:rsid w:val="00776CE4"/>
    <w:rsid w:val="00777667"/>
    <w:rsid w:val="00781883"/>
    <w:rsid w:val="00782744"/>
    <w:rsid w:val="00787828"/>
    <w:rsid w:val="00791662"/>
    <w:rsid w:val="00792799"/>
    <w:rsid w:val="007934E8"/>
    <w:rsid w:val="007A0DCF"/>
    <w:rsid w:val="007A10AB"/>
    <w:rsid w:val="007A2D21"/>
    <w:rsid w:val="007A2EF1"/>
    <w:rsid w:val="007A3077"/>
    <w:rsid w:val="007A6EAA"/>
    <w:rsid w:val="007B0A61"/>
    <w:rsid w:val="007B0C67"/>
    <w:rsid w:val="007B1BA7"/>
    <w:rsid w:val="007B5249"/>
    <w:rsid w:val="007B5948"/>
    <w:rsid w:val="007B77A8"/>
    <w:rsid w:val="007C16D3"/>
    <w:rsid w:val="007C503B"/>
    <w:rsid w:val="007C6591"/>
    <w:rsid w:val="007D18C4"/>
    <w:rsid w:val="007D1CC0"/>
    <w:rsid w:val="007D3FA3"/>
    <w:rsid w:val="007D4D7C"/>
    <w:rsid w:val="007D5A51"/>
    <w:rsid w:val="007D7D69"/>
    <w:rsid w:val="007E1CF5"/>
    <w:rsid w:val="007E25D1"/>
    <w:rsid w:val="007E2C6E"/>
    <w:rsid w:val="007E36C6"/>
    <w:rsid w:val="007E60EA"/>
    <w:rsid w:val="007E76BA"/>
    <w:rsid w:val="007F0029"/>
    <w:rsid w:val="007F07E7"/>
    <w:rsid w:val="007F35BB"/>
    <w:rsid w:val="007F4C53"/>
    <w:rsid w:val="007F51D6"/>
    <w:rsid w:val="007F5A52"/>
    <w:rsid w:val="007F7643"/>
    <w:rsid w:val="007F7873"/>
    <w:rsid w:val="007F78B9"/>
    <w:rsid w:val="00801631"/>
    <w:rsid w:val="008041F1"/>
    <w:rsid w:val="00805E58"/>
    <w:rsid w:val="00810322"/>
    <w:rsid w:val="00821C7D"/>
    <w:rsid w:val="00824A25"/>
    <w:rsid w:val="00826ACA"/>
    <w:rsid w:val="00830AA7"/>
    <w:rsid w:val="0083108B"/>
    <w:rsid w:val="008317D8"/>
    <w:rsid w:val="008326D4"/>
    <w:rsid w:val="008370C7"/>
    <w:rsid w:val="00853F53"/>
    <w:rsid w:val="00854660"/>
    <w:rsid w:val="0085538C"/>
    <w:rsid w:val="0085A85C"/>
    <w:rsid w:val="00863004"/>
    <w:rsid w:val="008640D3"/>
    <w:rsid w:val="00871DBF"/>
    <w:rsid w:val="0087292E"/>
    <w:rsid w:val="00872DA2"/>
    <w:rsid w:val="008756A0"/>
    <w:rsid w:val="00875F75"/>
    <w:rsid w:val="00876E55"/>
    <w:rsid w:val="00880E07"/>
    <w:rsid w:val="0088438D"/>
    <w:rsid w:val="00885C9E"/>
    <w:rsid w:val="00892A33"/>
    <w:rsid w:val="00893A3C"/>
    <w:rsid w:val="008A440C"/>
    <w:rsid w:val="008A4565"/>
    <w:rsid w:val="008A502E"/>
    <w:rsid w:val="008A5903"/>
    <w:rsid w:val="008A5EE6"/>
    <w:rsid w:val="008A6FCE"/>
    <w:rsid w:val="008B0713"/>
    <w:rsid w:val="008B1008"/>
    <w:rsid w:val="008B11E9"/>
    <w:rsid w:val="008B7770"/>
    <w:rsid w:val="008C1AFB"/>
    <w:rsid w:val="008C2370"/>
    <w:rsid w:val="008D10A6"/>
    <w:rsid w:val="008D2084"/>
    <w:rsid w:val="008D212D"/>
    <w:rsid w:val="008D2BB8"/>
    <w:rsid w:val="008D4883"/>
    <w:rsid w:val="008D4B3B"/>
    <w:rsid w:val="008D565E"/>
    <w:rsid w:val="008D5CA3"/>
    <w:rsid w:val="008E1CB2"/>
    <w:rsid w:val="008E4BB6"/>
    <w:rsid w:val="008E5393"/>
    <w:rsid w:val="008F2B1B"/>
    <w:rsid w:val="008F62D2"/>
    <w:rsid w:val="00902841"/>
    <w:rsid w:val="009041AD"/>
    <w:rsid w:val="00907527"/>
    <w:rsid w:val="0091005B"/>
    <w:rsid w:val="00913496"/>
    <w:rsid w:val="00915C09"/>
    <w:rsid w:val="0091755A"/>
    <w:rsid w:val="00921BE3"/>
    <w:rsid w:val="0092576D"/>
    <w:rsid w:val="00926520"/>
    <w:rsid w:val="009269F1"/>
    <w:rsid w:val="0093079C"/>
    <w:rsid w:val="00930CF5"/>
    <w:rsid w:val="0093125D"/>
    <w:rsid w:val="00935941"/>
    <w:rsid w:val="009367FC"/>
    <w:rsid w:val="00940234"/>
    <w:rsid w:val="00942C0E"/>
    <w:rsid w:val="00945937"/>
    <w:rsid w:val="00945998"/>
    <w:rsid w:val="00946387"/>
    <w:rsid w:val="00946737"/>
    <w:rsid w:val="00950229"/>
    <w:rsid w:val="00952530"/>
    <w:rsid w:val="00952CEC"/>
    <w:rsid w:val="00954DDF"/>
    <w:rsid w:val="0095608F"/>
    <w:rsid w:val="00957543"/>
    <w:rsid w:val="00962F5E"/>
    <w:rsid w:val="00970D5C"/>
    <w:rsid w:val="00973D01"/>
    <w:rsid w:val="00976CC6"/>
    <w:rsid w:val="00981D39"/>
    <w:rsid w:val="00983011"/>
    <w:rsid w:val="009843DB"/>
    <w:rsid w:val="00987F7C"/>
    <w:rsid w:val="00995AC6"/>
    <w:rsid w:val="009A1366"/>
    <w:rsid w:val="009A2C1F"/>
    <w:rsid w:val="009A4745"/>
    <w:rsid w:val="009A489D"/>
    <w:rsid w:val="009A72CA"/>
    <w:rsid w:val="009A7D35"/>
    <w:rsid w:val="009B08F9"/>
    <w:rsid w:val="009B3C96"/>
    <w:rsid w:val="009B4442"/>
    <w:rsid w:val="009C0553"/>
    <w:rsid w:val="009C4518"/>
    <w:rsid w:val="009C6105"/>
    <w:rsid w:val="009D63FA"/>
    <w:rsid w:val="009E0BF8"/>
    <w:rsid w:val="009E0FA5"/>
    <w:rsid w:val="009E2BCC"/>
    <w:rsid w:val="009E5784"/>
    <w:rsid w:val="00A03246"/>
    <w:rsid w:val="00A0457E"/>
    <w:rsid w:val="00A100BE"/>
    <w:rsid w:val="00A11F27"/>
    <w:rsid w:val="00A14EFB"/>
    <w:rsid w:val="00A15722"/>
    <w:rsid w:val="00A15E16"/>
    <w:rsid w:val="00A200FD"/>
    <w:rsid w:val="00A20D03"/>
    <w:rsid w:val="00A218CD"/>
    <w:rsid w:val="00A25BF0"/>
    <w:rsid w:val="00A26652"/>
    <w:rsid w:val="00A26A13"/>
    <w:rsid w:val="00A27F39"/>
    <w:rsid w:val="00A31240"/>
    <w:rsid w:val="00A3382B"/>
    <w:rsid w:val="00A3491C"/>
    <w:rsid w:val="00A409C9"/>
    <w:rsid w:val="00A41484"/>
    <w:rsid w:val="00A426CC"/>
    <w:rsid w:val="00A44ED2"/>
    <w:rsid w:val="00A4514D"/>
    <w:rsid w:val="00A53037"/>
    <w:rsid w:val="00A53B55"/>
    <w:rsid w:val="00A54DE2"/>
    <w:rsid w:val="00A54FD0"/>
    <w:rsid w:val="00A5538F"/>
    <w:rsid w:val="00A55CF2"/>
    <w:rsid w:val="00A56A54"/>
    <w:rsid w:val="00A62085"/>
    <w:rsid w:val="00A63B32"/>
    <w:rsid w:val="00A700EA"/>
    <w:rsid w:val="00A739AC"/>
    <w:rsid w:val="00A74BC1"/>
    <w:rsid w:val="00A75B13"/>
    <w:rsid w:val="00A769DF"/>
    <w:rsid w:val="00A77B7F"/>
    <w:rsid w:val="00A81779"/>
    <w:rsid w:val="00A81DB0"/>
    <w:rsid w:val="00A82CDB"/>
    <w:rsid w:val="00A82D34"/>
    <w:rsid w:val="00A92D83"/>
    <w:rsid w:val="00A97FB7"/>
    <w:rsid w:val="00AA1F15"/>
    <w:rsid w:val="00AA2483"/>
    <w:rsid w:val="00AA2C5C"/>
    <w:rsid w:val="00AA45E6"/>
    <w:rsid w:val="00AA7229"/>
    <w:rsid w:val="00AA7489"/>
    <w:rsid w:val="00AA7B26"/>
    <w:rsid w:val="00AA7C6A"/>
    <w:rsid w:val="00AB0F46"/>
    <w:rsid w:val="00AB292A"/>
    <w:rsid w:val="00AB4925"/>
    <w:rsid w:val="00AC0E85"/>
    <w:rsid w:val="00AD3207"/>
    <w:rsid w:val="00AD42AF"/>
    <w:rsid w:val="00AD4A7C"/>
    <w:rsid w:val="00AD5831"/>
    <w:rsid w:val="00AD649A"/>
    <w:rsid w:val="00AD7595"/>
    <w:rsid w:val="00AE14FB"/>
    <w:rsid w:val="00AE22EE"/>
    <w:rsid w:val="00AE5365"/>
    <w:rsid w:val="00AF1F79"/>
    <w:rsid w:val="00AF4017"/>
    <w:rsid w:val="00AF420E"/>
    <w:rsid w:val="00AF5B74"/>
    <w:rsid w:val="00AF5E2B"/>
    <w:rsid w:val="00B014A9"/>
    <w:rsid w:val="00B01BDC"/>
    <w:rsid w:val="00B03446"/>
    <w:rsid w:val="00B12C07"/>
    <w:rsid w:val="00B13DA6"/>
    <w:rsid w:val="00B17B6B"/>
    <w:rsid w:val="00B23892"/>
    <w:rsid w:val="00B27B3A"/>
    <w:rsid w:val="00B31944"/>
    <w:rsid w:val="00B33D1A"/>
    <w:rsid w:val="00B365B3"/>
    <w:rsid w:val="00B36B14"/>
    <w:rsid w:val="00B43095"/>
    <w:rsid w:val="00B44CE6"/>
    <w:rsid w:val="00B52195"/>
    <w:rsid w:val="00B56B20"/>
    <w:rsid w:val="00B56C20"/>
    <w:rsid w:val="00B57D5E"/>
    <w:rsid w:val="00B61951"/>
    <w:rsid w:val="00B6282A"/>
    <w:rsid w:val="00B65D75"/>
    <w:rsid w:val="00B7290B"/>
    <w:rsid w:val="00B72C41"/>
    <w:rsid w:val="00B77EA7"/>
    <w:rsid w:val="00B81671"/>
    <w:rsid w:val="00B85354"/>
    <w:rsid w:val="00B85ADF"/>
    <w:rsid w:val="00B90768"/>
    <w:rsid w:val="00B95361"/>
    <w:rsid w:val="00B957B6"/>
    <w:rsid w:val="00B95E89"/>
    <w:rsid w:val="00B97E66"/>
    <w:rsid w:val="00BA038E"/>
    <w:rsid w:val="00BA358D"/>
    <w:rsid w:val="00BA3C5B"/>
    <w:rsid w:val="00BA61F1"/>
    <w:rsid w:val="00BA7755"/>
    <w:rsid w:val="00BB082A"/>
    <w:rsid w:val="00BB188D"/>
    <w:rsid w:val="00BB71B6"/>
    <w:rsid w:val="00BB7345"/>
    <w:rsid w:val="00BB7ACA"/>
    <w:rsid w:val="00BC1090"/>
    <w:rsid w:val="00BC1DA0"/>
    <w:rsid w:val="00BC34D7"/>
    <w:rsid w:val="00BC56EF"/>
    <w:rsid w:val="00BC6A45"/>
    <w:rsid w:val="00BC7F95"/>
    <w:rsid w:val="00BD090F"/>
    <w:rsid w:val="00BD53E0"/>
    <w:rsid w:val="00BE1097"/>
    <w:rsid w:val="00BE1ED7"/>
    <w:rsid w:val="00BE26DC"/>
    <w:rsid w:val="00BE4B35"/>
    <w:rsid w:val="00BF1BE9"/>
    <w:rsid w:val="00BF396E"/>
    <w:rsid w:val="00BF3C1E"/>
    <w:rsid w:val="00BF3CBE"/>
    <w:rsid w:val="00BF3F80"/>
    <w:rsid w:val="00BF5D39"/>
    <w:rsid w:val="00BF7F35"/>
    <w:rsid w:val="00C00547"/>
    <w:rsid w:val="00C028AA"/>
    <w:rsid w:val="00C028EA"/>
    <w:rsid w:val="00C047D0"/>
    <w:rsid w:val="00C04E38"/>
    <w:rsid w:val="00C061F1"/>
    <w:rsid w:val="00C1325A"/>
    <w:rsid w:val="00C14DF4"/>
    <w:rsid w:val="00C16629"/>
    <w:rsid w:val="00C173D5"/>
    <w:rsid w:val="00C17DB3"/>
    <w:rsid w:val="00C21806"/>
    <w:rsid w:val="00C3391C"/>
    <w:rsid w:val="00C370CD"/>
    <w:rsid w:val="00C37CAD"/>
    <w:rsid w:val="00C41575"/>
    <w:rsid w:val="00C42374"/>
    <w:rsid w:val="00C44593"/>
    <w:rsid w:val="00C44E6B"/>
    <w:rsid w:val="00C47DB6"/>
    <w:rsid w:val="00C505F2"/>
    <w:rsid w:val="00C51618"/>
    <w:rsid w:val="00C51F57"/>
    <w:rsid w:val="00C532EA"/>
    <w:rsid w:val="00C55750"/>
    <w:rsid w:val="00C559B8"/>
    <w:rsid w:val="00C56FB1"/>
    <w:rsid w:val="00C57A7D"/>
    <w:rsid w:val="00C66554"/>
    <w:rsid w:val="00C67185"/>
    <w:rsid w:val="00C674DB"/>
    <w:rsid w:val="00C715B5"/>
    <w:rsid w:val="00C71C39"/>
    <w:rsid w:val="00C77ADE"/>
    <w:rsid w:val="00C831AB"/>
    <w:rsid w:val="00C83E0C"/>
    <w:rsid w:val="00C83F39"/>
    <w:rsid w:val="00C86B1D"/>
    <w:rsid w:val="00C8715F"/>
    <w:rsid w:val="00CA00C5"/>
    <w:rsid w:val="00CA4DC2"/>
    <w:rsid w:val="00CA4F1D"/>
    <w:rsid w:val="00CB2F45"/>
    <w:rsid w:val="00CB57A9"/>
    <w:rsid w:val="00CB7AA3"/>
    <w:rsid w:val="00CC38FF"/>
    <w:rsid w:val="00CC72EF"/>
    <w:rsid w:val="00CC7818"/>
    <w:rsid w:val="00CD4AD0"/>
    <w:rsid w:val="00CD5F87"/>
    <w:rsid w:val="00CE0513"/>
    <w:rsid w:val="00CE3A27"/>
    <w:rsid w:val="00CE3CC9"/>
    <w:rsid w:val="00CE6F0A"/>
    <w:rsid w:val="00CF0FB5"/>
    <w:rsid w:val="00CF3093"/>
    <w:rsid w:val="00D00930"/>
    <w:rsid w:val="00D034F4"/>
    <w:rsid w:val="00D03561"/>
    <w:rsid w:val="00D03754"/>
    <w:rsid w:val="00D03C7C"/>
    <w:rsid w:val="00D12AF6"/>
    <w:rsid w:val="00D12D75"/>
    <w:rsid w:val="00D1776F"/>
    <w:rsid w:val="00D20759"/>
    <w:rsid w:val="00D23973"/>
    <w:rsid w:val="00D2618D"/>
    <w:rsid w:val="00D3011A"/>
    <w:rsid w:val="00D3043F"/>
    <w:rsid w:val="00D30682"/>
    <w:rsid w:val="00D31DC2"/>
    <w:rsid w:val="00D354FF"/>
    <w:rsid w:val="00D362E3"/>
    <w:rsid w:val="00D45378"/>
    <w:rsid w:val="00D46452"/>
    <w:rsid w:val="00D46812"/>
    <w:rsid w:val="00D469A0"/>
    <w:rsid w:val="00D56AD1"/>
    <w:rsid w:val="00D56F8D"/>
    <w:rsid w:val="00D63EF0"/>
    <w:rsid w:val="00D72795"/>
    <w:rsid w:val="00D75EBD"/>
    <w:rsid w:val="00D77034"/>
    <w:rsid w:val="00D81476"/>
    <w:rsid w:val="00D81D29"/>
    <w:rsid w:val="00D827B7"/>
    <w:rsid w:val="00D91264"/>
    <w:rsid w:val="00D924AE"/>
    <w:rsid w:val="00D95968"/>
    <w:rsid w:val="00DA1B25"/>
    <w:rsid w:val="00DA2265"/>
    <w:rsid w:val="00DA3FCA"/>
    <w:rsid w:val="00DA5738"/>
    <w:rsid w:val="00DB3181"/>
    <w:rsid w:val="00DB5C16"/>
    <w:rsid w:val="00DC274A"/>
    <w:rsid w:val="00DD0E8A"/>
    <w:rsid w:val="00DD4A63"/>
    <w:rsid w:val="00DE1E7E"/>
    <w:rsid w:val="00DE3BE6"/>
    <w:rsid w:val="00DE4C7B"/>
    <w:rsid w:val="00DE6EC1"/>
    <w:rsid w:val="00DE7DE9"/>
    <w:rsid w:val="00DF066C"/>
    <w:rsid w:val="00DF09ED"/>
    <w:rsid w:val="00DF28BF"/>
    <w:rsid w:val="00DF3764"/>
    <w:rsid w:val="00DF566A"/>
    <w:rsid w:val="00E0355B"/>
    <w:rsid w:val="00E04826"/>
    <w:rsid w:val="00E07D5B"/>
    <w:rsid w:val="00E10D34"/>
    <w:rsid w:val="00E112B2"/>
    <w:rsid w:val="00E144B8"/>
    <w:rsid w:val="00E209B2"/>
    <w:rsid w:val="00E20AC0"/>
    <w:rsid w:val="00E219B9"/>
    <w:rsid w:val="00E23D5F"/>
    <w:rsid w:val="00E27562"/>
    <w:rsid w:val="00E32CC0"/>
    <w:rsid w:val="00E362DA"/>
    <w:rsid w:val="00E363CB"/>
    <w:rsid w:val="00E378C6"/>
    <w:rsid w:val="00E37AF4"/>
    <w:rsid w:val="00E37F34"/>
    <w:rsid w:val="00E40A3E"/>
    <w:rsid w:val="00E4105E"/>
    <w:rsid w:val="00E410BF"/>
    <w:rsid w:val="00E42305"/>
    <w:rsid w:val="00E444C7"/>
    <w:rsid w:val="00E45AAA"/>
    <w:rsid w:val="00E469AE"/>
    <w:rsid w:val="00E47829"/>
    <w:rsid w:val="00E51C8F"/>
    <w:rsid w:val="00E521D8"/>
    <w:rsid w:val="00E5469F"/>
    <w:rsid w:val="00E55386"/>
    <w:rsid w:val="00E613CA"/>
    <w:rsid w:val="00E64B76"/>
    <w:rsid w:val="00E662DD"/>
    <w:rsid w:val="00E66830"/>
    <w:rsid w:val="00E66F34"/>
    <w:rsid w:val="00E70819"/>
    <w:rsid w:val="00E75B4E"/>
    <w:rsid w:val="00E86F98"/>
    <w:rsid w:val="00E933A8"/>
    <w:rsid w:val="00E957A8"/>
    <w:rsid w:val="00EA4A87"/>
    <w:rsid w:val="00EA50D6"/>
    <w:rsid w:val="00EA77C2"/>
    <w:rsid w:val="00EB07B2"/>
    <w:rsid w:val="00EB23A6"/>
    <w:rsid w:val="00EC1008"/>
    <w:rsid w:val="00EC221A"/>
    <w:rsid w:val="00EC3772"/>
    <w:rsid w:val="00EC3F86"/>
    <w:rsid w:val="00EC501A"/>
    <w:rsid w:val="00EC5A53"/>
    <w:rsid w:val="00ED0F18"/>
    <w:rsid w:val="00ED2A3C"/>
    <w:rsid w:val="00EE0DD4"/>
    <w:rsid w:val="00EE193C"/>
    <w:rsid w:val="00EE28C6"/>
    <w:rsid w:val="00EE2D53"/>
    <w:rsid w:val="00EE4E14"/>
    <w:rsid w:val="00EE4EC2"/>
    <w:rsid w:val="00EF063D"/>
    <w:rsid w:val="00EF5C92"/>
    <w:rsid w:val="00F007E5"/>
    <w:rsid w:val="00F00992"/>
    <w:rsid w:val="00F010D6"/>
    <w:rsid w:val="00F02623"/>
    <w:rsid w:val="00F02E89"/>
    <w:rsid w:val="00F03D2F"/>
    <w:rsid w:val="00F05200"/>
    <w:rsid w:val="00F20EBD"/>
    <w:rsid w:val="00F22A0F"/>
    <w:rsid w:val="00F23CEB"/>
    <w:rsid w:val="00F25F35"/>
    <w:rsid w:val="00F26A75"/>
    <w:rsid w:val="00F307CE"/>
    <w:rsid w:val="00F32EBC"/>
    <w:rsid w:val="00F364C3"/>
    <w:rsid w:val="00F37626"/>
    <w:rsid w:val="00F413C5"/>
    <w:rsid w:val="00F429E0"/>
    <w:rsid w:val="00F4695A"/>
    <w:rsid w:val="00F523FF"/>
    <w:rsid w:val="00F55385"/>
    <w:rsid w:val="00F55D93"/>
    <w:rsid w:val="00F56883"/>
    <w:rsid w:val="00F5799C"/>
    <w:rsid w:val="00F609F1"/>
    <w:rsid w:val="00F64F78"/>
    <w:rsid w:val="00F66CC0"/>
    <w:rsid w:val="00F71703"/>
    <w:rsid w:val="00F73C4D"/>
    <w:rsid w:val="00F749B9"/>
    <w:rsid w:val="00F7723C"/>
    <w:rsid w:val="00F8162C"/>
    <w:rsid w:val="00F820A9"/>
    <w:rsid w:val="00F85394"/>
    <w:rsid w:val="00F86120"/>
    <w:rsid w:val="00F87A4E"/>
    <w:rsid w:val="00F94ECD"/>
    <w:rsid w:val="00F95D57"/>
    <w:rsid w:val="00F9656E"/>
    <w:rsid w:val="00F96B04"/>
    <w:rsid w:val="00F96FC6"/>
    <w:rsid w:val="00FA1F4C"/>
    <w:rsid w:val="00FA2000"/>
    <w:rsid w:val="00FA4F7E"/>
    <w:rsid w:val="00FA60DB"/>
    <w:rsid w:val="00FA618B"/>
    <w:rsid w:val="00FB13F2"/>
    <w:rsid w:val="00FB198F"/>
    <w:rsid w:val="00FB1D90"/>
    <w:rsid w:val="00FB538C"/>
    <w:rsid w:val="00FB7B7E"/>
    <w:rsid w:val="00FC1E62"/>
    <w:rsid w:val="00FC2594"/>
    <w:rsid w:val="00FC277C"/>
    <w:rsid w:val="00FC2EF0"/>
    <w:rsid w:val="00FC4CE4"/>
    <w:rsid w:val="00FC6C57"/>
    <w:rsid w:val="00FC7722"/>
    <w:rsid w:val="00FD14BF"/>
    <w:rsid w:val="00FD3F4F"/>
    <w:rsid w:val="00FD683E"/>
    <w:rsid w:val="00FE0E3B"/>
    <w:rsid w:val="00FE16C9"/>
    <w:rsid w:val="00FE35F1"/>
    <w:rsid w:val="00FE4C80"/>
    <w:rsid w:val="00FF004E"/>
    <w:rsid w:val="00FF037C"/>
    <w:rsid w:val="00FF1CF3"/>
    <w:rsid w:val="00FF2387"/>
    <w:rsid w:val="00FF5BD4"/>
    <w:rsid w:val="00FF676C"/>
    <w:rsid w:val="00FF6E48"/>
    <w:rsid w:val="00FF7932"/>
    <w:rsid w:val="021DF29F"/>
    <w:rsid w:val="0571560C"/>
    <w:rsid w:val="05A60D48"/>
    <w:rsid w:val="068E4BC3"/>
    <w:rsid w:val="074F2804"/>
    <w:rsid w:val="07DC3D10"/>
    <w:rsid w:val="0828246B"/>
    <w:rsid w:val="0860443A"/>
    <w:rsid w:val="08D91B7E"/>
    <w:rsid w:val="09BCD18F"/>
    <w:rsid w:val="0ACC8903"/>
    <w:rsid w:val="0BBCB589"/>
    <w:rsid w:val="10F559BB"/>
    <w:rsid w:val="11F30943"/>
    <w:rsid w:val="122CCAF3"/>
    <w:rsid w:val="1F2A928C"/>
    <w:rsid w:val="225A458F"/>
    <w:rsid w:val="22BFC511"/>
    <w:rsid w:val="2304892F"/>
    <w:rsid w:val="232F8E73"/>
    <w:rsid w:val="25DA15B4"/>
    <w:rsid w:val="2624317F"/>
    <w:rsid w:val="26A03D8A"/>
    <w:rsid w:val="27AEF8DF"/>
    <w:rsid w:val="282B04EA"/>
    <w:rsid w:val="288F1883"/>
    <w:rsid w:val="2A75DDAA"/>
    <w:rsid w:val="2BF48110"/>
    <w:rsid w:val="2C23A9A1"/>
    <w:rsid w:val="2FFA3C56"/>
    <w:rsid w:val="304623B1"/>
    <w:rsid w:val="31204F4E"/>
    <w:rsid w:val="314EB7E8"/>
    <w:rsid w:val="31A64B6F"/>
    <w:rsid w:val="329EA0EE"/>
    <w:rsid w:val="3331DD18"/>
    <w:rsid w:val="34269C2A"/>
    <w:rsid w:val="35657C2F"/>
    <w:rsid w:val="368C63C2"/>
    <w:rsid w:val="37F265A9"/>
    <w:rsid w:val="37FD2EDF"/>
    <w:rsid w:val="3AB17A09"/>
    <w:rsid w:val="3CED5ECC"/>
    <w:rsid w:val="3D686EB8"/>
    <w:rsid w:val="3FB43A0D"/>
    <w:rsid w:val="4162E374"/>
    <w:rsid w:val="41FAB22A"/>
    <w:rsid w:val="4201D567"/>
    <w:rsid w:val="420CB6CF"/>
    <w:rsid w:val="436B7D47"/>
    <w:rsid w:val="459E0FD7"/>
    <w:rsid w:val="46F628A1"/>
    <w:rsid w:val="47DC0ABC"/>
    <w:rsid w:val="493AD0B9"/>
    <w:rsid w:val="4BE0C3B7"/>
    <w:rsid w:val="4BE250DD"/>
    <w:rsid w:val="4C386707"/>
    <w:rsid w:val="4C4348EA"/>
    <w:rsid w:val="4EBE3CD0"/>
    <w:rsid w:val="4F8110CA"/>
    <w:rsid w:val="5248E82A"/>
    <w:rsid w:val="525AC511"/>
    <w:rsid w:val="526DC650"/>
    <w:rsid w:val="5383C637"/>
    <w:rsid w:val="547C8741"/>
    <w:rsid w:val="55705A38"/>
    <w:rsid w:val="5589F47D"/>
    <w:rsid w:val="55AE3C6A"/>
    <w:rsid w:val="56F2E851"/>
    <w:rsid w:val="57D0E6CD"/>
    <w:rsid w:val="58A8E715"/>
    <w:rsid w:val="59B40BFD"/>
    <w:rsid w:val="5F901157"/>
    <w:rsid w:val="60AFEE96"/>
    <w:rsid w:val="60CCF91E"/>
    <w:rsid w:val="617CF412"/>
    <w:rsid w:val="61EAB9A3"/>
    <w:rsid w:val="6227C407"/>
    <w:rsid w:val="6261A642"/>
    <w:rsid w:val="63AB936C"/>
    <w:rsid w:val="68DA6BF9"/>
    <w:rsid w:val="697B2043"/>
    <w:rsid w:val="698A7350"/>
    <w:rsid w:val="6C94A175"/>
    <w:rsid w:val="70EB0A6E"/>
    <w:rsid w:val="70FBDFA3"/>
    <w:rsid w:val="72C1B929"/>
    <w:rsid w:val="7361A73B"/>
    <w:rsid w:val="748088F5"/>
    <w:rsid w:val="756B70F9"/>
    <w:rsid w:val="765D6D84"/>
    <w:rsid w:val="78FED22C"/>
    <w:rsid w:val="7B6F7BA7"/>
    <w:rsid w:val="7C897D86"/>
    <w:rsid w:val="7C9A86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4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34"/>
    <w:pPr>
      <w:tabs>
        <w:tab w:val="left" w:pos="357"/>
        <w:tab w:val="left" w:pos="794"/>
      </w:tabs>
      <w:spacing w:before="120" w:after="120" w:line="240" w:lineRule="auto"/>
    </w:pPr>
    <w:rPr>
      <w:color w:val="3D3D3D"/>
    </w:rPr>
  </w:style>
  <w:style w:type="paragraph" w:styleId="Heading1">
    <w:name w:val="heading 1"/>
    <w:basedOn w:val="Normal"/>
    <w:next w:val="Normal"/>
    <w:link w:val="Heading1Char"/>
    <w:uiPriority w:val="9"/>
    <w:qFormat/>
    <w:rsid w:val="00FE0E3B"/>
    <w:pPr>
      <w:keepNext/>
      <w:keepLines/>
      <w:outlineLvl w:val="0"/>
    </w:pPr>
    <w:rPr>
      <w:rFonts w:eastAsiaTheme="majorEastAsia" w:cstheme="majorBidi"/>
      <w:bCs/>
      <w:color w:val="009FC3"/>
      <w:sz w:val="32"/>
      <w:szCs w:val="28"/>
    </w:rPr>
  </w:style>
  <w:style w:type="paragraph" w:styleId="Heading2">
    <w:name w:val="heading 2"/>
    <w:basedOn w:val="Normal"/>
    <w:next w:val="Normal"/>
    <w:link w:val="Heading2Char"/>
    <w:uiPriority w:val="9"/>
    <w:unhideWhenUsed/>
    <w:qFormat/>
    <w:rsid w:val="006F64F8"/>
    <w:pPr>
      <w:keepNext/>
      <w:keepLines/>
      <w:outlineLvl w:val="1"/>
    </w:pPr>
    <w:rPr>
      <w:rFonts w:eastAsiaTheme="majorEastAsia" w:cstheme="majorBidi"/>
      <w:b/>
      <w:bCs/>
      <w:color w:val="009FC3"/>
      <w:szCs w:val="26"/>
    </w:rPr>
  </w:style>
  <w:style w:type="paragraph" w:styleId="Heading3">
    <w:name w:val="heading 3"/>
    <w:basedOn w:val="Normal"/>
    <w:next w:val="Normal"/>
    <w:link w:val="Heading3Char"/>
    <w:uiPriority w:val="9"/>
    <w:unhideWhenUsed/>
    <w:qFormat/>
    <w:rsid w:val="006F64F8"/>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6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6EF"/>
    <w:rPr>
      <w:rFonts w:ascii="Tahoma" w:hAnsi="Tahoma" w:cs="Tahoma"/>
      <w:sz w:val="16"/>
      <w:szCs w:val="16"/>
    </w:rPr>
  </w:style>
  <w:style w:type="table" w:styleId="TableGrid">
    <w:name w:val="Table Grid"/>
    <w:basedOn w:val="TableNormal"/>
    <w:uiPriority w:val="59"/>
    <w:rsid w:val="001B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C1F"/>
    <w:pPr>
      <w:tabs>
        <w:tab w:val="center" w:pos="4513"/>
        <w:tab w:val="right" w:pos="9026"/>
      </w:tabs>
      <w:spacing w:after="0"/>
    </w:pPr>
  </w:style>
  <w:style w:type="character" w:customStyle="1" w:styleId="HeaderChar">
    <w:name w:val="Header Char"/>
    <w:basedOn w:val="DefaultParagraphFont"/>
    <w:link w:val="Header"/>
    <w:uiPriority w:val="99"/>
    <w:rsid w:val="00557C1F"/>
  </w:style>
  <w:style w:type="paragraph" w:styleId="Footer">
    <w:name w:val="footer"/>
    <w:basedOn w:val="Normal"/>
    <w:link w:val="FooterChar"/>
    <w:uiPriority w:val="99"/>
    <w:unhideWhenUsed/>
    <w:rsid w:val="00557C1F"/>
    <w:pPr>
      <w:tabs>
        <w:tab w:val="center" w:pos="4513"/>
        <w:tab w:val="right" w:pos="9026"/>
      </w:tabs>
      <w:spacing w:after="0"/>
    </w:pPr>
  </w:style>
  <w:style w:type="character" w:customStyle="1" w:styleId="FooterChar">
    <w:name w:val="Footer Char"/>
    <w:basedOn w:val="DefaultParagraphFont"/>
    <w:link w:val="Footer"/>
    <w:uiPriority w:val="99"/>
    <w:rsid w:val="00557C1F"/>
  </w:style>
  <w:style w:type="paragraph" w:styleId="ListParagraph">
    <w:name w:val="List Paragraph"/>
    <w:basedOn w:val="Normal"/>
    <w:uiPriority w:val="34"/>
    <w:qFormat/>
    <w:rsid w:val="00FE0E3B"/>
    <w:pPr>
      <w:ind w:left="720"/>
      <w:contextualSpacing/>
    </w:pPr>
  </w:style>
  <w:style w:type="table" w:customStyle="1" w:styleId="Highlightbox1">
    <w:name w:val="Highlight box 1"/>
    <w:basedOn w:val="TableNormal"/>
    <w:uiPriority w:val="99"/>
    <w:rsid w:val="000039A4"/>
    <w:pPr>
      <w:spacing w:after="0" w:line="240" w:lineRule="auto"/>
    </w:pPr>
    <w:tblPr/>
    <w:tcPr>
      <w:shd w:val="clear" w:color="auto" w:fill="D3D3D3"/>
    </w:tcPr>
    <w:tblStylePr w:type="firstRow">
      <w:tblPr/>
      <w:tcPr>
        <w:shd w:val="clear" w:color="auto" w:fill="009FC3"/>
      </w:tcPr>
    </w:tblStylePr>
  </w:style>
  <w:style w:type="table" w:styleId="LightShading-Accent5">
    <w:name w:val="Light Shading Accent 5"/>
    <w:basedOn w:val="TableNormal"/>
    <w:uiPriority w:val="60"/>
    <w:rsid w:val="00FC772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uiPriority w:val="1"/>
    <w:rsid w:val="00FE0E3B"/>
    <w:pPr>
      <w:spacing w:after="0" w:line="240" w:lineRule="auto"/>
    </w:pPr>
  </w:style>
  <w:style w:type="character" w:customStyle="1" w:styleId="Heading1Char">
    <w:name w:val="Heading 1 Char"/>
    <w:basedOn w:val="DefaultParagraphFont"/>
    <w:link w:val="Heading1"/>
    <w:uiPriority w:val="9"/>
    <w:rsid w:val="00FE0E3B"/>
    <w:rPr>
      <w:rFonts w:eastAsiaTheme="majorEastAsia" w:cstheme="majorBidi"/>
      <w:bCs/>
      <w:color w:val="009FC3"/>
      <w:sz w:val="32"/>
      <w:szCs w:val="28"/>
    </w:rPr>
  </w:style>
  <w:style w:type="paragraph" w:customStyle="1" w:styleId="StyleHeading1LatinBodyCalibri">
    <w:name w:val="Style Heading 1 + (Latin) +Body (Calibri)"/>
    <w:basedOn w:val="Heading1"/>
    <w:rsid w:val="00FE0E3B"/>
    <w:rPr>
      <w:b/>
    </w:rPr>
  </w:style>
  <w:style w:type="character" w:customStyle="1" w:styleId="Heading2Char">
    <w:name w:val="Heading 2 Char"/>
    <w:basedOn w:val="DefaultParagraphFont"/>
    <w:link w:val="Heading2"/>
    <w:uiPriority w:val="9"/>
    <w:rsid w:val="006F64F8"/>
    <w:rPr>
      <w:rFonts w:eastAsiaTheme="majorEastAsia" w:cstheme="majorBidi"/>
      <w:b/>
      <w:bCs/>
      <w:color w:val="009FC3"/>
      <w:szCs w:val="26"/>
    </w:rPr>
  </w:style>
  <w:style w:type="character" w:customStyle="1" w:styleId="Heading3Char">
    <w:name w:val="Heading 3 Char"/>
    <w:basedOn w:val="DefaultParagraphFont"/>
    <w:link w:val="Heading3"/>
    <w:uiPriority w:val="9"/>
    <w:rsid w:val="006F64F8"/>
    <w:rPr>
      <w:rFonts w:eastAsiaTheme="majorEastAsia" w:cstheme="majorBidi"/>
      <w:b/>
      <w:bCs/>
      <w:color w:val="3D3D3D"/>
    </w:rPr>
  </w:style>
  <w:style w:type="paragraph" w:customStyle="1" w:styleId="Numberedlist1">
    <w:name w:val="Numbered list 1"/>
    <w:basedOn w:val="ListParagraph"/>
    <w:next w:val="Numberedlist2"/>
    <w:qFormat/>
    <w:rsid w:val="00D56F8D"/>
    <w:pPr>
      <w:numPr>
        <w:numId w:val="26"/>
      </w:numPr>
      <w:spacing w:before="240"/>
    </w:pPr>
    <w:rPr>
      <w:color w:val="009FC3"/>
      <w:sz w:val="32"/>
    </w:rPr>
  </w:style>
  <w:style w:type="numbering" w:customStyle="1" w:styleId="Numberedlist">
    <w:name w:val="Numbered list"/>
    <w:uiPriority w:val="99"/>
    <w:rsid w:val="00735BB0"/>
    <w:pPr>
      <w:numPr>
        <w:numId w:val="5"/>
      </w:numPr>
    </w:pPr>
  </w:style>
  <w:style w:type="paragraph" w:customStyle="1" w:styleId="Numberedlist2">
    <w:name w:val="Numbered list 2"/>
    <w:basedOn w:val="Numberedlist1"/>
    <w:next w:val="Numberedlist3"/>
    <w:qFormat/>
    <w:rsid w:val="00D12D75"/>
    <w:pPr>
      <w:numPr>
        <w:ilvl w:val="1"/>
      </w:numPr>
    </w:pPr>
    <w:rPr>
      <w:b/>
      <w:sz w:val="22"/>
    </w:rPr>
  </w:style>
  <w:style w:type="paragraph" w:customStyle="1" w:styleId="Numberedlist3">
    <w:name w:val="Numbered list 3"/>
    <w:basedOn w:val="Numberedlist1"/>
    <w:qFormat/>
    <w:rsid w:val="00E37F34"/>
    <w:pPr>
      <w:numPr>
        <w:ilvl w:val="2"/>
      </w:numPr>
    </w:pPr>
    <w:rPr>
      <w:b/>
      <w:color w:val="3D3D3D"/>
      <w:sz w:val="22"/>
    </w:rPr>
  </w:style>
  <w:style w:type="paragraph" w:customStyle="1" w:styleId="Lettertext">
    <w:name w:val="Letter text"/>
    <w:basedOn w:val="Normal"/>
    <w:link w:val="LettertextChar"/>
    <w:rsid w:val="001B06F7"/>
    <w:pPr>
      <w:spacing w:before="0" w:after="0"/>
    </w:pPr>
  </w:style>
  <w:style w:type="paragraph" w:customStyle="1" w:styleId="Highlightboxheading">
    <w:name w:val="Highlight box heading"/>
    <w:basedOn w:val="Normal"/>
    <w:qFormat/>
    <w:rsid w:val="00F64F78"/>
    <w:rPr>
      <w:b/>
      <w:color w:val="FFFFFF" w:themeColor="background1"/>
    </w:rPr>
  </w:style>
  <w:style w:type="table" w:customStyle="1" w:styleId="Highlightbox2">
    <w:name w:val="Highlight box 2"/>
    <w:basedOn w:val="TableNormal"/>
    <w:uiPriority w:val="99"/>
    <w:rsid w:val="00F64F78"/>
    <w:pPr>
      <w:spacing w:after="0" w:line="240" w:lineRule="auto"/>
    </w:pPr>
    <w:tblPr>
      <w:tblBorders>
        <w:top w:val="single" w:sz="4" w:space="0" w:color="009FC3"/>
        <w:bottom w:val="single" w:sz="4" w:space="0" w:color="009FC3"/>
      </w:tblBorders>
    </w:tblPr>
  </w:style>
  <w:style w:type="table" w:customStyle="1" w:styleId="Datatable">
    <w:name w:val="Data table"/>
    <w:basedOn w:val="TableNormal"/>
    <w:uiPriority w:val="99"/>
    <w:rsid w:val="00F00992"/>
    <w:pPr>
      <w:spacing w:after="0" w:line="240" w:lineRule="auto"/>
    </w:pPr>
    <w:tblPr>
      <w:tblBorders>
        <w:top w:val="single" w:sz="4" w:space="0" w:color="3D3D3D"/>
        <w:left w:val="single" w:sz="4" w:space="0" w:color="3D3D3D"/>
        <w:bottom w:val="single" w:sz="4" w:space="0" w:color="3D3D3D"/>
        <w:right w:val="single" w:sz="4" w:space="0" w:color="3D3D3D"/>
        <w:insideH w:val="single" w:sz="4" w:space="0" w:color="3D3D3D"/>
        <w:insideV w:val="single" w:sz="4" w:space="0" w:color="3D3D3D"/>
      </w:tblBorders>
    </w:tblPr>
    <w:tblStylePr w:type="firstRow">
      <w:tblPr/>
      <w:tcPr>
        <w:shd w:val="clear" w:color="auto" w:fill="595959" w:themeFill="text1" w:themeFillTint="A6"/>
      </w:tcPr>
    </w:tblStylePr>
  </w:style>
  <w:style w:type="paragraph" w:customStyle="1" w:styleId="Tabletext">
    <w:name w:val="Table text"/>
    <w:basedOn w:val="Lettertext"/>
    <w:link w:val="TabletextChar"/>
    <w:qFormat/>
    <w:rsid w:val="00F00992"/>
    <w:pPr>
      <w:spacing w:before="20" w:after="20"/>
    </w:pPr>
    <w:rPr>
      <w:sz w:val="20"/>
      <w:szCs w:val="20"/>
    </w:rPr>
  </w:style>
  <w:style w:type="paragraph" w:customStyle="1" w:styleId="Tableheading">
    <w:name w:val="Table heading"/>
    <w:basedOn w:val="Heading3"/>
    <w:link w:val="TableheadingChar"/>
    <w:qFormat/>
    <w:rsid w:val="00F00992"/>
    <w:pPr>
      <w:ind w:left="-98"/>
    </w:pPr>
  </w:style>
  <w:style w:type="character" w:customStyle="1" w:styleId="LettertextChar">
    <w:name w:val="Letter text Char"/>
    <w:basedOn w:val="DefaultParagraphFont"/>
    <w:link w:val="Lettertext"/>
    <w:rsid w:val="00F00992"/>
    <w:rPr>
      <w:color w:val="3D3D3D"/>
    </w:rPr>
  </w:style>
  <w:style w:type="character" w:customStyle="1" w:styleId="TabletextChar">
    <w:name w:val="Table text Char"/>
    <w:basedOn w:val="LettertextChar"/>
    <w:link w:val="Tabletext"/>
    <w:rsid w:val="00F00992"/>
    <w:rPr>
      <w:color w:val="3D3D3D"/>
      <w:sz w:val="20"/>
      <w:szCs w:val="20"/>
    </w:rPr>
  </w:style>
  <w:style w:type="character" w:customStyle="1" w:styleId="TableheadingChar">
    <w:name w:val="Table heading Char"/>
    <w:basedOn w:val="Heading3Char"/>
    <w:link w:val="Tableheading"/>
    <w:rsid w:val="00F00992"/>
    <w:rPr>
      <w:rFonts w:eastAsiaTheme="majorEastAsia" w:cstheme="majorBidi"/>
      <w:b/>
      <w:bCs/>
      <w:color w:val="3D3D3D"/>
    </w:rPr>
  </w:style>
  <w:style w:type="paragraph" w:customStyle="1" w:styleId="Subhead2">
    <w:name w:val="Subhead 2"/>
    <w:basedOn w:val="Heading2"/>
    <w:link w:val="Subhead2Char"/>
    <w:qFormat/>
    <w:rsid w:val="00DE1E7E"/>
  </w:style>
  <w:style w:type="paragraph" w:customStyle="1" w:styleId="Subhead1">
    <w:name w:val="Subhead 1"/>
    <w:basedOn w:val="Heading3"/>
    <w:link w:val="Subhead1Char"/>
    <w:qFormat/>
    <w:rsid w:val="009269F1"/>
    <w:pPr>
      <w:spacing w:after="240"/>
    </w:pPr>
  </w:style>
  <w:style w:type="character" w:customStyle="1" w:styleId="Subhead2Char">
    <w:name w:val="Subhead 2 Char"/>
    <w:basedOn w:val="Heading2Char"/>
    <w:link w:val="Subhead2"/>
    <w:rsid w:val="00DE1E7E"/>
    <w:rPr>
      <w:rFonts w:eastAsiaTheme="majorEastAsia" w:cstheme="majorBidi"/>
      <w:b/>
      <w:bCs/>
      <w:color w:val="009FC3"/>
      <w:szCs w:val="26"/>
    </w:rPr>
  </w:style>
  <w:style w:type="character" w:customStyle="1" w:styleId="Subhead1Char">
    <w:name w:val="Subhead 1 Char"/>
    <w:basedOn w:val="Heading3Char"/>
    <w:link w:val="Subhead1"/>
    <w:rsid w:val="009269F1"/>
    <w:rPr>
      <w:rFonts w:eastAsiaTheme="majorEastAsia" w:cstheme="majorBidi"/>
      <w:b/>
      <w:bCs/>
      <w:color w:val="3D3D3D"/>
    </w:rPr>
  </w:style>
  <w:style w:type="character" w:styleId="Hyperlink">
    <w:name w:val="Hyperlink"/>
    <w:basedOn w:val="DefaultParagraphFont"/>
    <w:uiPriority w:val="99"/>
    <w:unhideWhenUsed/>
    <w:rsid w:val="0009443F"/>
    <w:rPr>
      <w:color w:val="0000FF" w:themeColor="hyperlink"/>
      <w:u w:val="single"/>
    </w:rPr>
  </w:style>
  <w:style w:type="paragraph" w:customStyle="1" w:styleId="LetterText0">
    <w:name w:val="Letter Text"/>
    <w:basedOn w:val="Normal"/>
    <w:link w:val="LetterTextChar0"/>
    <w:qFormat/>
    <w:rsid w:val="00D72795"/>
    <w:pPr>
      <w:spacing w:before="0" w:after="200"/>
      <w:ind w:right="-471"/>
    </w:pPr>
    <w:rPr>
      <w:lang w:val="en-US"/>
    </w:rPr>
  </w:style>
  <w:style w:type="character" w:customStyle="1" w:styleId="LetterTextChar0">
    <w:name w:val="Letter Text Char"/>
    <w:basedOn w:val="DefaultParagraphFont"/>
    <w:link w:val="LetterText0"/>
    <w:rsid w:val="00D72795"/>
    <w:rPr>
      <w:color w:val="3D3D3D"/>
      <w:lang w:val="en-US"/>
    </w:rPr>
  </w:style>
  <w:style w:type="character" w:customStyle="1" w:styleId="UnresolvedMention">
    <w:name w:val="Unresolved Mention"/>
    <w:basedOn w:val="DefaultParagraphFont"/>
    <w:uiPriority w:val="99"/>
    <w:semiHidden/>
    <w:unhideWhenUsed/>
    <w:rsid w:val="00ED0F18"/>
    <w:rPr>
      <w:color w:val="605E5C"/>
      <w:shd w:val="clear" w:color="auto" w:fill="E1DFDD"/>
    </w:rPr>
  </w:style>
  <w:style w:type="character" w:styleId="CommentReference">
    <w:name w:val="annotation reference"/>
    <w:basedOn w:val="DefaultParagraphFont"/>
    <w:uiPriority w:val="99"/>
    <w:semiHidden/>
    <w:unhideWhenUsed/>
    <w:rsid w:val="00987F7C"/>
    <w:rPr>
      <w:sz w:val="16"/>
      <w:szCs w:val="16"/>
    </w:rPr>
  </w:style>
  <w:style w:type="paragraph" w:styleId="CommentText">
    <w:name w:val="annotation text"/>
    <w:basedOn w:val="Normal"/>
    <w:link w:val="CommentTextChar"/>
    <w:uiPriority w:val="99"/>
    <w:semiHidden/>
    <w:unhideWhenUsed/>
    <w:rsid w:val="00987F7C"/>
    <w:rPr>
      <w:sz w:val="20"/>
      <w:szCs w:val="20"/>
    </w:rPr>
  </w:style>
  <w:style w:type="character" w:customStyle="1" w:styleId="CommentTextChar">
    <w:name w:val="Comment Text Char"/>
    <w:basedOn w:val="DefaultParagraphFont"/>
    <w:link w:val="CommentText"/>
    <w:uiPriority w:val="99"/>
    <w:semiHidden/>
    <w:rsid w:val="00987F7C"/>
    <w:rPr>
      <w:color w:val="3D3D3D"/>
      <w:sz w:val="20"/>
      <w:szCs w:val="20"/>
    </w:rPr>
  </w:style>
  <w:style w:type="paragraph" w:styleId="CommentSubject">
    <w:name w:val="annotation subject"/>
    <w:basedOn w:val="CommentText"/>
    <w:next w:val="CommentText"/>
    <w:link w:val="CommentSubjectChar"/>
    <w:uiPriority w:val="99"/>
    <w:semiHidden/>
    <w:unhideWhenUsed/>
    <w:rsid w:val="00987F7C"/>
    <w:rPr>
      <w:b/>
      <w:bCs/>
    </w:rPr>
  </w:style>
  <w:style w:type="character" w:customStyle="1" w:styleId="CommentSubjectChar">
    <w:name w:val="Comment Subject Char"/>
    <w:basedOn w:val="CommentTextChar"/>
    <w:link w:val="CommentSubject"/>
    <w:uiPriority w:val="99"/>
    <w:semiHidden/>
    <w:rsid w:val="00987F7C"/>
    <w:rPr>
      <w:b/>
      <w:bCs/>
      <w:color w:val="3D3D3D"/>
      <w:sz w:val="20"/>
      <w:szCs w:val="20"/>
    </w:rPr>
  </w:style>
  <w:style w:type="paragraph" w:styleId="FootnoteText">
    <w:name w:val="footnote text"/>
    <w:basedOn w:val="Normal"/>
    <w:link w:val="FootnoteTextChar"/>
    <w:uiPriority w:val="99"/>
    <w:semiHidden/>
    <w:unhideWhenUsed/>
    <w:rsid w:val="004F1FD1"/>
    <w:pPr>
      <w:spacing w:before="0" w:after="0"/>
    </w:pPr>
    <w:rPr>
      <w:sz w:val="20"/>
      <w:szCs w:val="20"/>
    </w:rPr>
  </w:style>
  <w:style w:type="character" w:customStyle="1" w:styleId="FootnoteTextChar">
    <w:name w:val="Footnote Text Char"/>
    <w:basedOn w:val="DefaultParagraphFont"/>
    <w:link w:val="FootnoteText"/>
    <w:uiPriority w:val="99"/>
    <w:semiHidden/>
    <w:rsid w:val="004F1FD1"/>
    <w:rPr>
      <w:color w:val="3D3D3D"/>
      <w:sz w:val="20"/>
      <w:szCs w:val="20"/>
    </w:rPr>
  </w:style>
  <w:style w:type="character" w:styleId="FootnoteReference">
    <w:name w:val="footnote reference"/>
    <w:basedOn w:val="DefaultParagraphFont"/>
    <w:uiPriority w:val="99"/>
    <w:semiHidden/>
    <w:unhideWhenUsed/>
    <w:rsid w:val="004F1FD1"/>
    <w:rPr>
      <w:vertAlign w:val="superscript"/>
    </w:rPr>
  </w:style>
  <w:style w:type="paragraph" w:styleId="Revision">
    <w:name w:val="Revision"/>
    <w:hidden/>
    <w:uiPriority w:val="99"/>
    <w:semiHidden/>
    <w:rsid w:val="00D56AD1"/>
    <w:pPr>
      <w:spacing w:after="0" w:line="240" w:lineRule="auto"/>
    </w:pPr>
    <w:rPr>
      <w:color w:val="3D3D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1293">
      <w:bodyDiv w:val="1"/>
      <w:marLeft w:val="0"/>
      <w:marRight w:val="0"/>
      <w:marTop w:val="0"/>
      <w:marBottom w:val="0"/>
      <w:divBdr>
        <w:top w:val="none" w:sz="0" w:space="0" w:color="auto"/>
        <w:left w:val="none" w:sz="0" w:space="0" w:color="auto"/>
        <w:bottom w:val="none" w:sz="0" w:space="0" w:color="auto"/>
        <w:right w:val="none" w:sz="0" w:space="0" w:color="auto"/>
      </w:divBdr>
    </w:div>
    <w:div w:id="789932236">
      <w:bodyDiv w:val="1"/>
      <w:marLeft w:val="0"/>
      <w:marRight w:val="0"/>
      <w:marTop w:val="0"/>
      <w:marBottom w:val="0"/>
      <w:divBdr>
        <w:top w:val="none" w:sz="0" w:space="0" w:color="auto"/>
        <w:left w:val="none" w:sz="0" w:space="0" w:color="auto"/>
        <w:bottom w:val="none" w:sz="0" w:space="0" w:color="auto"/>
        <w:right w:val="none" w:sz="0" w:space="0" w:color="auto"/>
      </w:divBdr>
    </w:div>
    <w:div w:id="897940025">
      <w:bodyDiv w:val="1"/>
      <w:marLeft w:val="0"/>
      <w:marRight w:val="0"/>
      <w:marTop w:val="0"/>
      <w:marBottom w:val="0"/>
      <w:divBdr>
        <w:top w:val="none" w:sz="0" w:space="0" w:color="auto"/>
        <w:left w:val="none" w:sz="0" w:space="0" w:color="auto"/>
        <w:bottom w:val="none" w:sz="0" w:space="0" w:color="auto"/>
        <w:right w:val="none" w:sz="0" w:space="0" w:color="auto"/>
      </w:divBdr>
    </w:div>
    <w:div w:id="1127434386">
      <w:bodyDiv w:val="1"/>
      <w:marLeft w:val="0"/>
      <w:marRight w:val="0"/>
      <w:marTop w:val="0"/>
      <w:marBottom w:val="0"/>
      <w:divBdr>
        <w:top w:val="none" w:sz="0" w:space="0" w:color="auto"/>
        <w:left w:val="none" w:sz="0" w:space="0" w:color="auto"/>
        <w:bottom w:val="none" w:sz="0" w:space="0" w:color="auto"/>
        <w:right w:val="none" w:sz="0" w:space="0" w:color="auto"/>
      </w:divBdr>
    </w:div>
    <w:div w:id="1270967279">
      <w:bodyDiv w:val="1"/>
      <w:marLeft w:val="0"/>
      <w:marRight w:val="0"/>
      <w:marTop w:val="0"/>
      <w:marBottom w:val="0"/>
      <w:divBdr>
        <w:top w:val="none" w:sz="0" w:space="0" w:color="auto"/>
        <w:left w:val="none" w:sz="0" w:space="0" w:color="auto"/>
        <w:bottom w:val="none" w:sz="0" w:space="0" w:color="auto"/>
        <w:right w:val="none" w:sz="0" w:space="0" w:color="auto"/>
      </w:divBdr>
    </w:div>
    <w:div w:id="1401443088">
      <w:bodyDiv w:val="1"/>
      <w:marLeft w:val="0"/>
      <w:marRight w:val="0"/>
      <w:marTop w:val="0"/>
      <w:marBottom w:val="0"/>
      <w:divBdr>
        <w:top w:val="none" w:sz="0" w:space="0" w:color="auto"/>
        <w:left w:val="none" w:sz="0" w:space="0" w:color="auto"/>
        <w:bottom w:val="none" w:sz="0" w:space="0" w:color="auto"/>
        <w:right w:val="none" w:sz="0" w:space="0" w:color="auto"/>
      </w:divBdr>
    </w:div>
    <w:div w:id="1722054972">
      <w:bodyDiv w:val="1"/>
      <w:marLeft w:val="0"/>
      <w:marRight w:val="0"/>
      <w:marTop w:val="0"/>
      <w:marBottom w:val="0"/>
      <w:divBdr>
        <w:top w:val="none" w:sz="0" w:space="0" w:color="auto"/>
        <w:left w:val="none" w:sz="0" w:space="0" w:color="auto"/>
        <w:bottom w:val="none" w:sz="0" w:space="0" w:color="auto"/>
        <w:right w:val="none" w:sz="0" w:space="0" w:color="auto"/>
      </w:divBdr>
    </w:div>
    <w:div w:id="1845047107">
      <w:bodyDiv w:val="1"/>
      <w:marLeft w:val="0"/>
      <w:marRight w:val="0"/>
      <w:marTop w:val="0"/>
      <w:marBottom w:val="0"/>
      <w:divBdr>
        <w:top w:val="none" w:sz="0" w:space="0" w:color="auto"/>
        <w:left w:val="none" w:sz="0" w:space="0" w:color="auto"/>
        <w:bottom w:val="none" w:sz="0" w:space="0" w:color="auto"/>
        <w:right w:val="none" w:sz="0" w:space="0" w:color="auto"/>
      </w:divBdr>
    </w:div>
    <w:div w:id="1893957427">
      <w:bodyDiv w:val="1"/>
      <w:marLeft w:val="0"/>
      <w:marRight w:val="0"/>
      <w:marTop w:val="0"/>
      <w:marBottom w:val="0"/>
      <w:divBdr>
        <w:top w:val="none" w:sz="0" w:space="0" w:color="auto"/>
        <w:left w:val="none" w:sz="0" w:space="0" w:color="auto"/>
        <w:bottom w:val="none" w:sz="0" w:space="0" w:color="auto"/>
        <w:right w:val="none" w:sz="0" w:space="0" w:color="auto"/>
      </w:divBdr>
    </w:div>
    <w:div w:id="19217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stannard@superannuation.asn.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iscamendments@treasury.gov.a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uperannuation.asn.au/ArticleDocuments/282/sub1206A_PJC_MySuper_tranche1.pdf.aspx?Embed=Y" TargetMode="External"/><Relationship Id="rId1" Type="http://schemas.openxmlformats.org/officeDocument/2006/relationships/hyperlink" Target="https://www.superannuation.asn.au/ArticleDocuments/283/sub1110_Treasury_MySuper_CoreProvisions.pdf.aspx?Emb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2020RG-136-57755</_dlc_DocId>
    <_dlc_DocIdUrl xmlns="0f563589-9cf9-4143-b1eb-fb0534803d38">
      <Url>http://tweb/sites/rg/ldp/_layouts/15/DocIdRedir.aspx?ID=2020RG-136-57755</Url>
      <Description>2020RG-136-57755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4281" ma:contentTypeDescription="" ma:contentTypeScope="" ma:versionID="90789bc56aa8e6cf2911c809d6d5f8fb">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D1293-0F55-45E5-BC7C-58ECEF3AC87A}">
  <ds:schemaRefs>
    <ds:schemaRef ds:uri="http://schemas.microsoft.com/sharepoint/events"/>
  </ds:schemaRefs>
</ds:datastoreItem>
</file>

<file path=customXml/itemProps2.xml><?xml version="1.0" encoding="utf-8"?>
<ds:datastoreItem xmlns:ds="http://schemas.openxmlformats.org/officeDocument/2006/customXml" ds:itemID="{CDB79A8D-5A75-4B24-8A9C-FFC3945A9D8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51bf3c8-ea15-46e4-9131-361fb9195b7d"/>
    <ds:schemaRef ds:uri="448efb42-2dae-428c-97b6-fb08df1811b4"/>
    <ds:schemaRef ds:uri="http://www.w3.org/XML/1998/namespace"/>
    <ds:schemaRef ds:uri="http://purl.org/dc/dcmitype/"/>
    <ds:schemaRef ds:uri="9f7bc583-7cbe-45b9-a2bd-8bbb6543b37e"/>
    <ds:schemaRef ds:uri="687b78b0-2ddd-4441-8a8b-c9638c2a1939"/>
    <ds:schemaRef ds:uri="http://schemas.microsoft.com/sharepoint/v4"/>
    <ds:schemaRef ds:uri="0f563589-9cf9-4143-b1eb-fb0534803d38"/>
  </ds:schemaRefs>
</ds:datastoreItem>
</file>

<file path=customXml/itemProps3.xml><?xml version="1.0" encoding="utf-8"?>
<ds:datastoreItem xmlns:ds="http://schemas.openxmlformats.org/officeDocument/2006/customXml" ds:itemID="{9DBF0DD2-B403-469E-BC5B-5FEBA66E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9CE1D-F2C9-40CA-A2E9-7A9BDD4B7C53}">
  <ds:schemaRefs>
    <ds:schemaRef ds:uri="http://schemas.microsoft.com/sharepoint/v3/contenttype/forms"/>
  </ds:schemaRefs>
</ds:datastoreItem>
</file>

<file path=customXml/itemProps5.xml><?xml version="1.0" encoding="utf-8"?>
<ds:datastoreItem xmlns:ds="http://schemas.openxmlformats.org/officeDocument/2006/customXml" ds:itemID="{F0DDF864-CB9E-458E-A1A6-A9BFE6A2350D}">
  <ds:schemaRefs>
    <ds:schemaRef ds:uri="office.server.policy"/>
  </ds:schemaRefs>
</ds:datastoreItem>
</file>

<file path=customXml/itemProps6.xml><?xml version="1.0" encoding="utf-8"?>
<ds:datastoreItem xmlns:ds="http://schemas.openxmlformats.org/officeDocument/2006/customXml" ds:itemID="{8C0DE5E7-379F-4725-A6F4-96AF413E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2875</Words>
  <Characters>15941</Characters>
  <Application>Microsoft Office Word</Application>
  <DocSecurity>0</DocSecurity>
  <Lines>248</Lines>
  <Paragraphs>100</Paragraphs>
  <ScaleCrop>false</ScaleCrop>
  <Company/>
  <LinksUpToDate>false</LinksUpToDate>
  <CharactersWithSpaces>18756</CharactersWithSpaces>
  <SharedDoc>false</SharedDoc>
  <HLinks>
    <vt:vector size="24" baseType="variant">
      <vt:variant>
        <vt:i4>6291475</vt:i4>
      </vt:variant>
      <vt:variant>
        <vt:i4>3</vt:i4>
      </vt:variant>
      <vt:variant>
        <vt:i4>0</vt:i4>
      </vt:variant>
      <vt:variant>
        <vt:i4>5</vt:i4>
      </vt:variant>
      <vt:variant>
        <vt:lpwstr>mailto:jstannard@superannuation.asn.au</vt:lpwstr>
      </vt:variant>
      <vt:variant>
        <vt:lpwstr/>
      </vt:variant>
      <vt:variant>
        <vt:i4>2228300</vt:i4>
      </vt:variant>
      <vt:variant>
        <vt:i4>0</vt:i4>
      </vt:variant>
      <vt:variant>
        <vt:i4>0</vt:i4>
      </vt:variant>
      <vt:variant>
        <vt:i4>5</vt:i4>
      </vt:variant>
      <vt:variant>
        <vt:lpwstr>mailto:miscamendments@treasury.gov.au</vt:lpwstr>
      </vt:variant>
      <vt:variant>
        <vt:lpwstr/>
      </vt:variant>
      <vt:variant>
        <vt:i4>7405586</vt:i4>
      </vt:variant>
      <vt:variant>
        <vt:i4>3</vt:i4>
      </vt:variant>
      <vt:variant>
        <vt:i4>0</vt:i4>
      </vt:variant>
      <vt:variant>
        <vt:i4>5</vt:i4>
      </vt:variant>
      <vt:variant>
        <vt:lpwstr>https://www.superannuation.asn.au/ArticleDocuments/282/sub1206A_PJC_MySuper_tranche1.pdf.aspx?Embed=Y</vt:lpwstr>
      </vt:variant>
      <vt:variant>
        <vt:lpwstr/>
      </vt:variant>
      <vt:variant>
        <vt:i4>7602258</vt:i4>
      </vt:variant>
      <vt:variant>
        <vt:i4>0</vt:i4>
      </vt:variant>
      <vt:variant>
        <vt:i4>0</vt:i4>
      </vt:variant>
      <vt:variant>
        <vt:i4>5</vt:i4>
      </vt:variant>
      <vt:variant>
        <vt:lpwstr>https://www.superannuation.asn.au/ArticleDocuments/283/sub1110_Treasury_MySuper_CoreProvisions.pdf.aspx?Embed=Y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Superannuation Funds of Australia Ltd - Submission in response to: Miscellaneous amendments to Treasury portfolio laws 2020</dc:title>
  <dc:creator/>
  <cp:lastModifiedBy/>
  <cp:revision>1</cp:revision>
  <dcterms:created xsi:type="dcterms:W3CDTF">2021-01-06T01:19:00Z</dcterms:created>
  <dcterms:modified xsi:type="dcterms:W3CDTF">2021-01-06T01:19:00Z</dcterms:modified>
  <dc:language>English</dc:language>
</cp:coreProperties>
</file>