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D9ED6" w14:textId="77777777" w:rsidR="00092FF5" w:rsidRPr="00762E15" w:rsidRDefault="00092FF5" w:rsidP="00092FF5">
      <w:pPr>
        <w:pStyle w:val="Baseparagraphcentred"/>
      </w:pPr>
      <w:r w:rsidRPr="00762E15">
        <w:t>2019-2020-2021</w:t>
      </w:r>
    </w:p>
    <w:p w14:paraId="65E330C3" w14:textId="77777777" w:rsidR="00092FF5" w:rsidRPr="00762E15" w:rsidRDefault="00092FF5" w:rsidP="00092FF5">
      <w:pPr>
        <w:pStyle w:val="Baseparagraphcentred"/>
      </w:pPr>
    </w:p>
    <w:p w14:paraId="57D28B72" w14:textId="77777777" w:rsidR="00092FF5" w:rsidRPr="00762E15" w:rsidRDefault="00092FF5" w:rsidP="00092FF5">
      <w:pPr>
        <w:pStyle w:val="Baseparagraphcentred"/>
      </w:pPr>
      <w:r w:rsidRPr="00762E15">
        <w:t>THE PARLIAMENT OF THE COMMONWEALTH OF AUSTRALIA</w:t>
      </w:r>
    </w:p>
    <w:p w14:paraId="433C6FC0" w14:textId="77777777" w:rsidR="00092FF5" w:rsidRPr="00762E15" w:rsidRDefault="00092FF5" w:rsidP="00092FF5">
      <w:pPr>
        <w:pStyle w:val="Baseparagraphcentred"/>
      </w:pPr>
    </w:p>
    <w:p w14:paraId="009802B4" w14:textId="77777777" w:rsidR="00092FF5" w:rsidRPr="00762E15" w:rsidRDefault="00092FF5" w:rsidP="00092FF5">
      <w:pPr>
        <w:pStyle w:val="Baseparagraphcentred"/>
      </w:pPr>
    </w:p>
    <w:p w14:paraId="62AC60B8" w14:textId="77777777" w:rsidR="00092FF5" w:rsidRPr="00762E15" w:rsidRDefault="00092FF5" w:rsidP="00092FF5">
      <w:pPr>
        <w:pStyle w:val="Baseparagraphcentred"/>
      </w:pPr>
    </w:p>
    <w:p w14:paraId="0A076EEE" w14:textId="77777777" w:rsidR="00092FF5" w:rsidRPr="00762E15" w:rsidRDefault="00092FF5" w:rsidP="00092FF5">
      <w:pPr>
        <w:pStyle w:val="Baseparagraphcentred"/>
      </w:pPr>
      <w:r w:rsidRPr="00762E15">
        <w:t>HOUSE OF REPRESENTATIVES</w:t>
      </w:r>
    </w:p>
    <w:p w14:paraId="5A37579B" w14:textId="77777777" w:rsidR="00092FF5" w:rsidRPr="00762E15" w:rsidRDefault="00092FF5" w:rsidP="00092FF5">
      <w:pPr>
        <w:pStyle w:val="Baseparagraphcentred"/>
      </w:pPr>
    </w:p>
    <w:p w14:paraId="1828C986" w14:textId="77777777" w:rsidR="00092FF5" w:rsidRPr="00762E15" w:rsidRDefault="00092FF5" w:rsidP="00092FF5">
      <w:pPr>
        <w:pStyle w:val="Baseparagraphcentred"/>
      </w:pPr>
    </w:p>
    <w:p w14:paraId="6FC7E8F4" w14:textId="77777777" w:rsidR="00092FF5" w:rsidRPr="00762E15" w:rsidRDefault="00092FF5" w:rsidP="00092FF5">
      <w:pPr>
        <w:pStyle w:val="Baseparagraphcentred"/>
      </w:pPr>
    </w:p>
    <w:p w14:paraId="6340B939" w14:textId="77777777" w:rsidR="00092FF5" w:rsidRPr="00762E15" w:rsidRDefault="00092FF5" w:rsidP="00092FF5">
      <w:pPr>
        <w:pStyle w:val="BillName"/>
      </w:pPr>
      <w:bookmarkStart w:id="0" w:name="BillName"/>
      <w:bookmarkEnd w:id="0"/>
      <w:r w:rsidRPr="00762E15">
        <w:t>Financial Accountability Regime (Consequential Amendments and Transitional Provisions) Bill 2021</w:t>
      </w:r>
    </w:p>
    <w:p w14:paraId="450E9ECB" w14:textId="77777777" w:rsidR="00092FF5" w:rsidRPr="00762E15" w:rsidRDefault="00092FF5" w:rsidP="00092FF5">
      <w:pPr>
        <w:pStyle w:val="Baseparagraphcentred"/>
      </w:pPr>
    </w:p>
    <w:p w14:paraId="5CEE987A" w14:textId="77777777" w:rsidR="00092FF5" w:rsidRPr="00762E15" w:rsidRDefault="00092FF5" w:rsidP="00092FF5">
      <w:pPr>
        <w:pStyle w:val="Baseparagraphcentred"/>
      </w:pPr>
    </w:p>
    <w:p w14:paraId="485C6C24" w14:textId="77777777" w:rsidR="00092FF5" w:rsidRPr="00762E15" w:rsidRDefault="00092FF5" w:rsidP="00092FF5">
      <w:pPr>
        <w:pStyle w:val="Baseparagraphcentred"/>
      </w:pPr>
    </w:p>
    <w:p w14:paraId="1CAD8988" w14:textId="77777777" w:rsidR="00092FF5" w:rsidRPr="00762E15" w:rsidRDefault="00092FF5" w:rsidP="00092FF5">
      <w:pPr>
        <w:pStyle w:val="Baseparagraphcentred"/>
      </w:pPr>
    </w:p>
    <w:p w14:paraId="4881E1D3" w14:textId="77777777" w:rsidR="00092FF5" w:rsidRPr="00762E15" w:rsidRDefault="00092FF5" w:rsidP="00092FF5">
      <w:pPr>
        <w:pStyle w:val="Baseparagraphcentred"/>
      </w:pPr>
      <w:r w:rsidRPr="00762E15">
        <w:t>EXPLANATORY MEMORANDUM</w:t>
      </w:r>
    </w:p>
    <w:p w14:paraId="39C13711" w14:textId="77777777" w:rsidR="00092FF5" w:rsidRPr="00762E15" w:rsidRDefault="00092FF5" w:rsidP="00092FF5">
      <w:pPr>
        <w:pStyle w:val="Baseparagraphcentred"/>
      </w:pPr>
    </w:p>
    <w:p w14:paraId="446A51BB" w14:textId="77777777" w:rsidR="00092FF5" w:rsidRPr="00762E15" w:rsidRDefault="00092FF5" w:rsidP="00092FF5">
      <w:pPr>
        <w:pStyle w:val="Baseparagraphcentred"/>
      </w:pPr>
    </w:p>
    <w:p w14:paraId="3DCE4282" w14:textId="77777777" w:rsidR="00092FF5" w:rsidRPr="00762E15" w:rsidRDefault="00092FF5" w:rsidP="00092FF5">
      <w:pPr>
        <w:pStyle w:val="Baseparagraphcentred"/>
      </w:pPr>
    </w:p>
    <w:p w14:paraId="2CDA4B52" w14:textId="77777777" w:rsidR="00092FF5" w:rsidRPr="00762E15" w:rsidRDefault="00092FF5" w:rsidP="00092FF5">
      <w:pPr>
        <w:pStyle w:val="ParaCentredNoSpacing"/>
      </w:pPr>
      <w:r w:rsidRPr="00762E15">
        <w:t xml:space="preserve">(Circulated by authority of the </w:t>
      </w:r>
    </w:p>
    <w:p w14:paraId="4D885750" w14:textId="77777777" w:rsidR="00092FF5" w:rsidRPr="00762E15" w:rsidRDefault="00092FF5" w:rsidP="00092FF5">
      <w:pPr>
        <w:pStyle w:val="ParaCentredNoSpacing"/>
      </w:pPr>
      <w:r w:rsidRPr="00762E15">
        <w:t>Treasurer, the Hon Josh Frydenberg MP)</w:t>
      </w:r>
    </w:p>
    <w:p w14:paraId="028A7FB1" w14:textId="77777777" w:rsidR="00092FF5" w:rsidRPr="00762E15" w:rsidRDefault="00092FF5" w:rsidP="00092FF5">
      <w:pPr>
        <w:pStyle w:val="ParaCentredNoSpacing"/>
      </w:pPr>
    </w:p>
    <w:p w14:paraId="165164CC" w14:textId="77777777" w:rsidR="00092FF5" w:rsidRPr="00762E15" w:rsidRDefault="00092FF5" w:rsidP="00092FF5"/>
    <w:p w14:paraId="4B94A221" w14:textId="77777777" w:rsidR="00092FF5" w:rsidRPr="00762E15" w:rsidRDefault="00092FF5" w:rsidP="00092FF5">
      <w:pPr>
        <w:sectPr w:rsidR="00092FF5" w:rsidRPr="00762E15" w:rsidSect="00C10AAF">
          <w:headerReference w:type="even" r:id="rId15"/>
          <w:headerReference w:type="default" r:id="rId16"/>
          <w:footerReference w:type="even" r:id="rId17"/>
          <w:footerReference w:type="default" r:id="rId18"/>
          <w:headerReference w:type="first" r:id="rId19"/>
          <w:footerReference w:type="first" r:id="rId20"/>
          <w:type w:val="oddPage"/>
          <w:pgSz w:w="9979" w:h="14175" w:code="138"/>
          <w:pgMar w:top="567" w:right="1134" w:bottom="567" w:left="1134" w:header="709" w:footer="709" w:gutter="0"/>
          <w:cols w:space="708"/>
          <w:titlePg/>
          <w:docGrid w:linePitch="360"/>
        </w:sectPr>
      </w:pPr>
    </w:p>
    <w:p w14:paraId="201CA96D" w14:textId="77777777" w:rsidR="00092FF5" w:rsidRPr="00762E15" w:rsidRDefault="00092FF5" w:rsidP="00092FF5">
      <w:pPr>
        <w:pStyle w:val="TOCHeading"/>
      </w:pPr>
      <w:r w:rsidRPr="00762E15">
        <w:lastRenderedPageBreak/>
        <w:t>Table of contents</w:t>
      </w:r>
    </w:p>
    <w:p w14:paraId="069C817C" w14:textId="77777777" w:rsidR="00092FF5" w:rsidRPr="00762E15" w:rsidRDefault="00092FF5" w:rsidP="00092FF5">
      <w:pPr>
        <w:pStyle w:val="TOC2"/>
        <w:rPr>
          <w:rFonts w:asciiTheme="minorHAnsi" w:eastAsiaTheme="minorEastAsia" w:hAnsiTheme="minorHAnsi" w:cstheme="minorBidi"/>
          <w:sz w:val="22"/>
          <w:szCs w:val="22"/>
        </w:rPr>
      </w:pPr>
      <w:r w:rsidRPr="00762E15">
        <w:fldChar w:fldCharType="begin"/>
      </w:r>
      <w:r w:rsidRPr="00762E15">
        <w:instrText xml:space="preserve"> TOC \t "Chapter Heading,1,Chapter heading subdocument,2" </w:instrText>
      </w:r>
      <w:r w:rsidRPr="00762E15">
        <w:fldChar w:fldCharType="separate"/>
      </w:r>
      <w:r w:rsidRPr="00762E15">
        <w:t>Glossary</w:t>
      </w:r>
      <w:r w:rsidRPr="00762E15">
        <w:tab/>
      </w:r>
      <w:r w:rsidRPr="00762E15">
        <w:fldChar w:fldCharType="begin"/>
      </w:r>
      <w:r w:rsidRPr="00762E15">
        <w:instrText xml:space="preserve"> PAGEREF _Toc80179044 \h </w:instrText>
      </w:r>
      <w:r w:rsidRPr="00762E15">
        <w:fldChar w:fldCharType="separate"/>
      </w:r>
      <w:r w:rsidRPr="00762E15">
        <w:t>1</w:t>
      </w:r>
      <w:r w:rsidRPr="00762E15">
        <w:fldChar w:fldCharType="end"/>
      </w:r>
    </w:p>
    <w:p w14:paraId="3D201F14" w14:textId="77777777" w:rsidR="00092FF5" w:rsidRPr="00762E15" w:rsidRDefault="00092FF5" w:rsidP="00092FF5">
      <w:pPr>
        <w:pStyle w:val="TOC1"/>
        <w:rPr>
          <w:rFonts w:asciiTheme="minorHAnsi" w:eastAsiaTheme="minorEastAsia" w:hAnsiTheme="minorHAnsi" w:cstheme="minorBidi"/>
          <w:noProof/>
          <w:sz w:val="22"/>
          <w:szCs w:val="22"/>
        </w:rPr>
      </w:pPr>
      <w:r w:rsidRPr="00762E15">
        <w:rPr>
          <w:noProof/>
        </w:rPr>
        <w:t>Chapter 1</w:t>
      </w:r>
      <w:r w:rsidRPr="00762E15">
        <w:rPr>
          <w:rFonts w:asciiTheme="minorHAnsi" w:eastAsiaTheme="minorEastAsia" w:hAnsiTheme="minorHAnsi" w:cstheme="minorBidi"/>
          <w:noProof/>
          <w:sz w:val="22"/>
          <w:szCs w:val="22"/>
        </w:rPr>
        <w:tab/>
      </w:r>
      <w:r w:rsidRPr="00762E15">
        <w:rPr>
          <w:noProof/>
        </w:rPr>
        <w:t>Consequential Amendments and Transitional Provisions</w:t>
      </w:r>
      <w:r w:rsidRPr="00762E15">
        <w:rPr>
          <w:noProof/>
        </w:rPr>
        <w:tab/>
      </w:r>
      <w:r w:rsidRPr="00762E15">
        <w:rPr>
          <w:noProof/>
        </w:rPr>
        <w:fldChar w:fldCharType="begin"/>
      </w:r>
      <w:r w:rsidRPr="00762E15">
        <w:rPr>
          <w:noProof/>
        </w:rPr>
        <w:instrText xml:space="preserve"> PAGEREF _Toc80179045 \h </w:instrText>
      </w:r>
      <w:r w:rsidRPr="00762E15">
        <w:rPr>
          <w:noProof/>
        </w:rPr>
      </w:r>
      <w:r w:rsidRPr="00762E15">
        <w:rPr>
          <w:noProof/>
        </w:rPr>
        <w:fldChar w:fldCharType="separate"/>
      </w:r>
      <w:r w:rsidRPr="00762E15">
        <w:rPr>
          <w:noProof/>
        </w:rPr>
        <w:t>5</w:t>
      </w:r>
      <w:r w:rsidRPr="00762E15">
        <w:rPr>
          <w:noProof/>
        </w:rPr>
        <w:fldChar w:fldCharType="end"/>
      </w:r>
    </w:p>
    <w:p w14:paraId="1455227A" w14:textId="77777777" w:rsidR="00092FF5" w:rsidRPr="00762E15" w:rsidRDefault="00092FF5" w:rsidP="00092FF5">
      <w:pPr>
        <w:rPr>
          <w:rFonts w:ascii="Helvetica" w:hAnsi="Helvetica"/>
          <w:noProof/>
          <w:sz w:val="24"/>
        </w:rPr>
      </w:pPr>
      <w:r w:rsidRPr="00762E15">
        <w:rPr>
          <w:rFonts w:ascii="Helvetica" w:hAnsi="Helvetica"/>
          <w:noProof/>
          <w:sz w:val="24"/>
        </w:rPr>
        <w:fldChar w:fldCharType="end"/>
      </w:r>
    </w:p>
    <w:p w14:paraId="21185E7D" w14:textId="77777777" w:rsidR="00092FF5" w:rsidRPr="00762E15" w:rsidRDefault="00092FF5" w:rsidP="00092FF5">
      <w:pPr>
        <w:pStyle w:val="Hiddentext"/>
      </w:pPr>
    </w:p>
    <w:p w14:paraId="3EEDB5C8" w14:textId="77777777" w:rsidR="00092FF5" w:rsidRPr="00762E15" w:rsidRDefault="00092FF5" w:rsidP="00092FF5">
      <w:pPr>
        <w:pStyle w:val="base-text-paragraphnonumbers"/>
        <w:sectPr w:rsidR="00092FF5" w:rsidRPr="00762E15" w:rsidSect="00C10AAF">
          <w:headerReference w:type="even" r:id="rId21"/>
          <w:headerReference w:type="default" r:id="rId22"/>
          <w:footerReference w:type="even" r:id="rId23"/>
          <w:footerReference w:type="default" r:id="rId24"/>
          <w:headerReference w:type="first" r:id="rId25"/>
          <w:footerReference w:type="first" r:id="rId26"/>
          <w:type w:val="oddPage"/>
          <w:pgSz w:w="9979" w:h="14175" w:code="9"/>
          <w:pgMar w:top="567" w:right="1134" w:bottom="567" w:left="1134" w:header="709" w:footer="709" w:gutter="0"/>
          <w:cols w:space="708"/>
          <w:titlePg/>
          <w:docGrid w:linePitch="360"/>
        </w:sectPr>
      </w:pPr>
    </w:p>
    <w:p w14:paraId="4063815D" w14:textId="77777777" w:rsidR="00092FF5" w:rsidRPr="00762E15" w:rsidRDefault="00092FF5" w:rsidP="00092FF5">
      <w:pPr>
        <w:pStyle w:val="Chapterheadingsubdocument"/>
      </w:pPr>
      <w:bookmarkStart w:id="25" w:name="_Toc80179044"/>
      <w:r w:rsidRPr="00762E15">
        <w:rPr>
          <w:rStyle w:val="ChapterNameOnly"/>
        </w:rPr>
        <w:lastRenderedPageBreak/>
        <w:t>Glossary</w:t>
      </w:r>
      <w:bookmarkEnd w:id="25"/>
    </w:p>
    <w:p w14:paraId="4466A01B" w14:textId="77777777" w:rsidR="00092FF5" w:rsidRPr="00762E15" w:rsidRDefault="00092FF5" w:rsidP="00092FF5">
      <w:pPr>
        <w:pStyle w:val="BTPwithextraspacing"/>
      </w:pPr>
      <w:r w:rsidRPr="00762E15">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092FF5" w:rsidRPr="00762E15" w14:paraId="154C3B16" w14:textId="77777777" w:rsidTr="00877570">
        <w:tc>
          <w:tcPr>
            <w:tcW w:w="2721" w:type="dxa"/>
          </w:tcPr>
          <w:p w14:paraId="3019050D" w14:textId="77777777" w:rsidR="00092FF5" w:rsidRPr="00762E15" w:rsidRDefault="00092FF5" w:rsidP="00877570">
            <w:pPr>
              <w:pStyle w:val="tableheaderwithintable"/>
            </w:pPr>
            <w:r w:rsidRPr="00762E15">
              <w:t>Abbreviation</w:t>
            </w:r>
          </w:p>
        </w:tc>
        <w:tc>
          <w:tcPr>
            <w:tcW w:w="3885" w:type="dxa"/>
          </w:tcPr>
          <w:p w14:paraId="4AE38403" w14:textId="77777777" w:rsidR="00092FF5" w:rsidRPr="00762E15" w:rsidRDefault="00092FF5" w:rsidP="00877570">
            <w:pPr>
              <w:pStyle w:val="tableheaderwithintable"/>
            </w:pPr>
            <w:r w:rsidRPr="00762E15">
              <w:t>Definition</w:t>
            </w:r>
          </w:p>
        </w:tc>
      </w:tr>
      <w:tr w:rsidR="00092FF5" w:rsidRPr="00762E15" w14:paraId="7E4E006E" w14:textId="77777777" w:rsidTr="00877570">
        <w:tc>
          <w:tcPr>
            <w:tcW w:w="2721" w:type="dxa"/>
          </w:tcPr>
          <w:p w14:paraId="28838639" w14:textId="77777777" w:rsidR="00092FF5" w:rsidRPr="00762E15" w:rsidRDefault="00092FF5" w:rsidP="00877570">
            <w:pPr>
              <w:pStyle w:val="Glossarytabletext"/>
              <w:rPr>
                <w:lang w:eastAsia="en-US"/>
              </w:rPr>
            </w:pPr>
            <w:r w:rsidRPr="00762E15">
              <w:rPr>
                <w:lang w:eastAsia="en-US"/>
              </w:rPr>
              <w:t>APRA</w:t>
            </w:r>
          </w:p>
        </w:tc>
        <w:tc>
          <w:tcPr>
            <w:tcW w:w="3885" w:type="dxa"/>
          </w:tcPr>
          <w:p w14:paraId="58C0FA45" w14:textId="77777777" w:rsidR="00092FF5" w:rsidRPr="00762E15" w:rsidRDefault="00092FF5" w:rsidP="00877570">
            <w:pPr>
              <w:pStyle w:val="Glossarytabletext"/>
              <w:rPr>
                <w:lang w:eastAsia="en-US"/>
              </w:rPr>
            </w:pPr>
            <w:r w:rsidRPr="00762E15">
              <w:rPr>
                <w:lang w:eastAsia="en-US"/>
              </w:rPr>
              <w:t>The Australian Prudential Regulation Authority</w:t>
            </w:r>
          </w:p>
        </w:tc>
      </w:tr>
      <w:tr w:rsidR="00092FF5" w:rsidRPr="00762E15" w14:paraId="185D1350" w14:textId="77777777" w:rsidTr="00877570">
        <w:tc>
          <w:tcPr>
            <w:tcW w:w="2721" w:type="dxa"/>
          </w:tcPr>
          <w:p w14:paraId="11737439" w14:textId="77777777" w:rsidR="00092FF5" w:rsidRPr="00762E15" w:rsidRDefault="00092FF5" w:rsidP="00877570">
            <w:pPr>
              <w:pStyle w:val="Glossarytabletext"/>
              <w:rPr>
                <w:lang w:eastAsia="en-US"/>
              </w:rPr>
            </w:pPr>
            <w:r w:rsidRPr="00762E15">
              <w:rPr>
                <w:lang w:eastAsia="en-US"/>
              </w:rPr>
              <w:t>ASIC</w:t>
            </w:r>
          </w:p>
        </w:tc>
        <w:tc>
          <w:tcPr>
            <w:tcW w:w="3885" w:type="dxa"/>
          </w:tcPr>
          <w:p w14:paraId="153E76B7" w14:textId="77777777" w:rsidR="00092FF5" w:rsidRPr="00762E15" w:rsidRDefault="00092FF5" w:rsidP="00877570">
            <w:pPr>
              <w:pStyle w:val="Glossarytabletext"/>
              <w:rPr>
                <w:lang w:eastAsia="en-US"/>
              </w:rPr>
            </w:pPr>
            <w:r w:rsidRPr="00762E15">
              <w:rPr>
                <w:lang w:eastAsia="en-US"/>
              </w:rPr>
              <w:t>The Australian Securities and Investments Commission</w:t>
            </w:r>
          </w:p>
        </w:tc>
      </w:tr>
      <w:tr w:rsidR="001D32A4" w:rsidRPr="00762E15" w14:paraId="4169D1EF" w14:textId="77777777" w:rsidTr="00877570">
        <w:tc>
          <w:tcPr>
            <w:tcW w:w="2721" w:type="dxa"/>
          </w:tcPr>
          <w:p w14:paraId="3A21058D" w14:textId="72B2CCF9" w:rsidR="001D32A4" w:rsidRPr="00762E15" w:rsidRDefault="00213D01" w:rsidP="00877570">
            <w:pPr>
              <w:pStyle w:val="Glossarytabletext"/>
              <w:rPr>
                <w:lang w:eastAsia="en-US"/>
              </w:rPr>
            </w:pPr>
            <w:r w:rsidRPr="00762E15">
              <w:rPr>
                <w:lang w:eastAsia="en-US"/>
              </w:rPr>
              <w:t xml:space="preserve">the </w:t>
            </w:r>
            <w:r w:rsidR="001D32A4" w:rsidRPr="00762E15">
              <w:rPr>
                <w:lang w:eastAsia="en-US"/>
              </w:rPr>
              <w:t xml:space="preserve">Bill </w:t>
            </w:r>
          </w:p>
        </w:tc>
        <w:tc>
          <w:tcPr>
            <w:tcW w:w="3885" w:type="dxa"/>
          </w:tcPr>
          <w:p w14:paraId="1FDECCF7" w14:textId="7502082C" w:rsidR="001D32A4" w:rsidRPr="00762E15" w:rsidRDefault="00F605FC" w:rsidP="00877570">
            <w:pPr>
              <w:pStyle w:val="Glossarytabletext"/>
              <w:rPr>
                <w:lang w:eastAsia="en-US"/>
              </w:rPr>
            </w:pPr>
            <w:r w:rsidRPr="00762E15">
              <w:rPr>
                <w:lang w:eastAsia="en-US"/>
              </w:rPr>
              <w:t xml:space="preserve">The </w:t>
            </w:r>
            <w:r w:rsidR="001D32A4" w:rsidRPr="00762E15">
              <w:rPr>
                <w:lang w:eastAsia="en-US"/>
              </w:rPr>
              <w:t>Financial Accountability Regime (Consequential Amendments and Transitional Provisions) Bill 2021</w:t>
            </w:r>
          </w:p>
        </w:tc>
      </w:tr>
      <w:tr w:rsidR="00092FF5" w:rsidRPr="00762E15" w14:paraId="6F49E32C" w14:textId="77777777" w:rsidTr="00877570">
        <w:tc>
          <w:tcPr>
            <w:tcW w:w="2721" w:type="dxa"/>
          </w:tcPr>
          <w:p w14:paraId="45BAACD1" w14:textId="77777777" w:rsidR="00092FF5" w:rsidRPr="00762E15" w:rsidRDefault="00092FF5" w:rsidP="00877570">
            <w:pPr>
              <w:pStyle w:val="Glossarytabletext"/>
              <w:rPr>
                <w:lang w:eastAsia="en-US"/>
              </w:rPr>
            </w:pPr>
            <w:r w:rsidRPr="00762E15">
              <w:rPr>
                <w:lang w:eastAsia="en-US"/>
              </w:rPr>
              <w:t>Financial Services Royal Commission</w:t>
            </w:r>
          </w:p>
        </w:tc>
        <w:tc>
          <w:tcPr>
            <w:tcW w:w="3885" w:type="dxa"/>
          </w:tcPr>
          <w:p w14:paraId="2584B614" w14:textId="77777777" w:rsidR="00092FF5" w:rsidRPr="00762E15" w:rsidRDefault="00092FF5" w:rsidP="00877570">
            <w:pPr>
              <w:pStyle w:val="Glossarytabletext"/>
              <w:rPr>
                <w:lang w:eastAsia="en-US"/>
              </w:rPr>
            </w:pPr>
            <w:r w:rsidRPr="00762E15">
              <w:rPr>
                <w:lang w:eastAsia="en-US"/>
              </w:rPr>
              <w:t>Royal Commission into Misconduct in the Banking, Superannuation and Financial Services Industry</w:t>
            </w:r>
          </w:p>
        </w:tc>
      </w:tr>
      <w:tr w:rsidR="00092FF5" w:rsidRPr="00762E15" w14:paraId="725A2370" w14:textId="77777777" w:rsidTr="00877570">
        <w:tc>
          <w:tcPr>
            <w:tcW w:w="2721" w:type="dxa"/>
          </w:tcPr>
          <w:p w14:paraId="21DE6626" w14:textId="77777777" w:rsidR="00092FF5" w:rsidRPr="00762E15" w:rsidRDefault="00092FF5" w:rsidP="00877570">
            <w:pPr>
              <w:pStyle w:val="Glossarytabletext"/>
              <w:rPr>
                <w:lang w:eastAsia="en-US"/>
              </w:rPr>
            </w:pPr>
            <w:r w:rsidRPr="00762E15">
              <w:rPr>
                <w:lang w:eastAsia="en-US"/>
              </w:rPr>
              <w:t>the Regulator</w:t>
            </w:r>
          </w:p>
        </w:tc>
        <w:tc>
          <w:tcPr>
            <w:tcW w:w="3885" w:type="dxa"/>
          </w:tcPr>
          <w:p w14:paraId="6C01796C" w14:textId="77777777" w:rsidR="00092FF5" w:rsidRPr="00762E15" w:rsidRDefault="00092FF5" w:rsidP="00877570">
            <w:pPr>
              <w:pStyle w:val="Glossarytabletext"/>
              <w:rPr>
                <w:lang w:eastAsia="en-US"/>
              </w:rPr>
            </w:pPr>
            <w:r w:rsidRPr="00762E15">
              <w:rPr>
                <w:lang w:eastAsia="en-US"/>
              </w:rPr>
              <w:t>Generally, the Regulator is both APRA and ASIC.</w:t>
            </w:r>
          </w:p>
          <w:p w14:paraId="0F9C183A" w14:textId="77777777" w:rsidR="00092FF5" w:rsidRPr="00762E15" w:rsidRDefault="00092FF5" w:rsidP="00877570">
            <w:pPr>
              <w:pStyle w:val="Glossarytabletext"/>
              <w:rPr>
                <w:lang w:eastAsia="en-US"/>
              </w:rPr>
            </w:pPr>
            <w:r w:rsidRPr="00762E15">
              <w:rPr>
                <w:lang w:eastAsia="en-US"/>
              </w:rPr>
              <w:t xml:space="preserve">However, if an accountable entity does </w:t>
            </w:r>
            <w:r w:rsidRPr="00762E15">
              <w:rPr>
                <w:i/>
                <w:lang w:eastAsia="en-US"/>
              </w:rPr>
              <w:t>not</w:t>
            </w:r>
            <w:r w:rsidRPr="00762E15">
              <w:rPr>
                <w:lang w:eastAsia="en-US"/>
              </w:rPr>
              <w:t xml:space="preserve"> hold an Australian financial services licence or an Australian credit licence, then the Regulator for that accountable entity and its significant related entities and accountable persons is only APRA.</w:t>
            </w:r>
          </w:p>
        </w:tc>
      </w:tr>
    </w:tbl>
    <w:p w14:paraId="070E6CA3" w14:textId="77777777" w:rsidR="00092FF5" w:rsidRPr="00762E15" w:rsidRDefault="00092FF5" w:rsidP="00092FF5"/>
    <w:p w14:paraId="4F6A60E3" w14:textId="77777777" w:rsidR="00092FF5" w:rsidRPr="00762E15" w:rsidRDefault="00092FF5" w:rsidP="00092FF5">
      <w:pPr>
        <w:sectPr w:rsidR="00092FF5" w:rsidRPr="00762E15" w:rsidSect="00C10AAF">
          <w:footerReference w:type="even" r:id="rId27"/>
          <w:footerReference w:type="default" r:id="rId28"/>
          <w:footerReference w:type="first" r:id="rId29"/>
          <w:type w:val="oddPage"/>
          <w:pgSz w:w="9979" w:h="14175" w:code="9"/>
          <w:pgMar w:top="567" w:right="1134" w:bottom="567" w:left="1134" w:header="709" w:footer="709" w:gutter="0"/>
          <w:cols w:space="708"/>
          <w:titlePg/>
          <w:docGrid w:linePitch="360"/>
        </w:sectPr>
      </w:pPr>
    </w:p>
    <w:p w14:paraId="3F13BCBB" w14:textId="77777777" w:rsidR="00092FF5" w:rsidRPr="00762E15" w:rsidRDefault="00092FF5" w:rsidP="004D7E24">
      <w:pPr>
        <w:pStyle w:val="ChapterHeading"/>
        <w:numPr>
          <w:ilvl w:val="0"/>
          <w:numId w:val="19"/>
        </w:numPr>
      </w:pPr>
      <w:bookmarkStart w:id="32" w:name="_Toc80179045"/>
      <w:r w:rsidRPr="00762E15">
        <w:rPr>
          <w:rStyle w:val="ChapterNameOnly"/>
        </w:rPr>
        <w:lastRenderedPageBreak/>
        <w:t>Consequential Amendments and Transitional Provisions</w:t>
      </w:r>
      <w:bookmarkEnd w:id="32"/>
    </w:p>
    <w:p w14:paraId="733C2AB9" w14:textId="77777777" w:rsidR="00092FF5" w:rsidRPr="00762E15" w:rsidRDefault="00092FF5" w:rsidP="00092FF5">
      <w:pPr>
        <w:pStyle w:val="Heading2"/>
      </w:pPr>
      <w:r w:rsidRPr="00762E15">
        <w:t>Outline of chapter</w:t>
      </w:r>
    </w:p>
    <w:p w14:paraId="7876E8CB" w14:textId="5C8DD509" w:rsidR="00041D38" w:rsidRPr="00762E15" w:rsidRDefault="00092FF5" w:rsidP="004D7E24">
      <w:pPr>
        <w:pStyle w:val="base-text-paragraph"/>
        <w:numPr>
          <w:ilvl w:val="1"/>
          <w:numId w:val="23"/>
        </w:numPr>
      </w:pPr>
      <w:r w:rsidRPr="00762E15">
        <w:t>The Financial Accountability Regime (Consequential Amendments and Transitional Provisions) Bill 2021</w:t>
      </w:r>
      <w:r w:rsidR="003E2F51" w:rsidRPr="00762E15">
        <w:t xml:space="preserve"> </w:t>
      </w:r>
      <w:r w:rsidR="00F37142" w:rsidRPr="00762E15">
        <w:t xml:space="preserve">operates </w:t>
      </w:r>
      <w:r w:rsidR="00041D38" w:rsidRPr="00762E15">
        <w:t>together</w:t>
      </w:r>
      <w:r w:rsidR="003E2F51" w:rsidRPr="00762E15">
        <w:t xml:space="preserve"> with the Financial Accountability Regime Bill 2021 </w:t>
      </w:r>
      <w:r w:rsidR="00AC20F4" w:rsidRPr="00762E15">
        <w:t xml:space="preserve">and </w:t>
      </w:r>
      <w:r w:rsidR="00772B66" w:rsidRPr="00762E15">
        <w:t>give</w:t>
      </w:r>
      <w:r w:rsidR="00AC20F4" w:rsidRPr="00762E15">
        <w:t>s</w:t>
      </w:r>
      <w:r w:rsidR="00197B7D" w:rsidRPr="00762E15">
        <w:t xml:space="preserve"> </w:t>
      </w:r>
      <w:r w:rsidR="00772B66" w:rsidRPr="00762E15">
        <w:t xml:space="preserve">effect to recommendations 3.9, 4.12, 6.6, 6.7 and 6.8 of the Financial Services Royal Commission to </w:t>
      </w:r>
      <w:r w:rsidR="003E2F51" w:rsidRPr="00762E15">
        <w:t xml:space="preserve">establish the </w:t>
      </w:r>
      <w:r w:rsidR="00041D38" w:rsidRPr="00762E15">
        <w:t>F</w:t>
      </w:r>
      <w:r w:rsidR="003E2F51" w:rsidRPr="00762E15">
        <w:t xml:space="preserve">inancial Accountability </w:t>
      </w:r>
      <w:r w:rsidR="00041D38" w:rsidRPr="00762E15">
        <w:t>Regime.</w:t>
      </w:r>
    </w:p>
    <w:p w14:paraId="59D761C7" w14:textId="3437AA62" w:rsidR="00041D38" w:rsidRPr="00762E15" w:rsidRDefault="00041D38" w:rsidP="004D7E24">
      <w:pPr>
        <w:pStyle w:val="base-text-paragraph"/>
        <w:numPr>
          <w:ilvl w:val="1"/>
          <w:numId w:val="23"/>
        </w:numPr>
      </w:pPr>
      <w:r w:rsidRPr="00762E15">
        <w:t>The Financial Accountability Regime (Consequential Amendments and Transitional Provisions) Bill 2021:</w:t>
      </w:r>
    </w:p>
    <w:p w14:paraId="512B10E7" w14:textId="214A439F" w:rsidR="00E97BEC" w:rsidRPr="00762E15" w:rsidRDefault="00092FF5" w:rsidP="00E97BEC">
      <w:pPr>
        <w:pStyle w:val="dotpoint"/>
      </w:pPr>
      <w:r w:rsidRPr="00762E15">
        <w:t xml:space="preserve">makes consequential </w:t>
      </w:r>
      <w:r w:rsidR="00F35A97" w:rsidRPr="00762E15">
        <w:t>amendments</w:t>
      </w:r>
      <w:r w:rsidR="00001F0A" w:rsidRPr="00762E15">
        <w:t xml:space="preserve"> to various Commonwealth laws</w:t>
      </w:r>
      <w:r w:rsidR="00F35A97" w:rsidRPr="00762E15">
        <w:t xml:space="preserve"> to </w:t>
      </w:r>
      <w:r w:rsidR="00DE7E09">
        <w:t>support</w:t>
      </w:r>
      <w:r w:rsidR="00DE7E09" w:rsidRPr="00762E15">
        <w:t xml:space="preserve"> </w:t>
      </w:r>
      <w:r w:rsidR="00E97BEC" w:rsidRPr="00762E15">
        <w:t>the</w:t>
      </w:r>
      <w:r w:rsidRPr="00762E15">
        <w:t xml:space="preserve"> </w:t>
      </w:r>
      <w:r w:rsidR="00E97BEC" w:rsidRPr="00762E15">
        <w:t>Financial Accountability Regime; and</w:t>
      </w:r>
    </w:p>
    <w:p w14:paraId="236A7D95" w14:textId="12E8F941" w:rsidR="00E97BEC" w:rsidRPr="00762E15" w:rsidRDefault="00E97BEC" w:rsidP="00E70B1D">
      <w:pPr>
        <w:pStyle w:val="dotpoint"/>
      </w:pPr>
      <w:r w:rsidRPr="00762E15">
        <w:t>provides for transitional arrangements relating to the repeal of</w:t>
      </w:r>
      <w:r w:rsidR="0050703D" w:rsidRPr="00762E15">
        <w:t xml:space="preserve"> the</w:t>
      </w:r>
      <w:r w:rsidRPr="00762E15">
        <w:t xml:space="preserve"> Banking Executive Accountability Regime under the</w:t>
      </w:r>
      <w:r w:rsidRPr="00762E15">
        <w:rPr>
          <w:i/>
        </w:rPr>
        <w:t xml:space="preserve"> Banking Act 1959.</w:t>
      </w:r>
    </w:p>
    <w:p w14:paraId="469263A1" w14:textId="53B32AFA" w:rsidR="00092FF5" w:rsidRPr="00762E15" w:rsidRDefault="00092FF5" w:rsidP="00E224A8">
      <w:pPr>
        <w:pStyle w:val="base-text-paragraph"/>
        <w:numPr>
          <w:ilvl w:val="1"/>
          <w:numId w:val="23"/>
        </w:numPr>
      </w:pPr>
      <w:r w:rsidRPr="00762E15">
        <w:t xml:space="preserve">Throughout this chapter, </w:t>
      </w:r>
      <w:r w:rsidR="006D2389">
        <w:t>‘</w:t>
      </w:r>
      <w:r w:rsidRPr="00762E15">
        <w:t>the Bill</w:t>
      </w:r>
      <w:r w:rsidR="006D2389">
        <w:t>’</w:t>
      </w:r>
      <w:r w:rsidRPr="00762E15">
        <w:t xml:space="preserve"> refers to the Financial Accountability Regime (Consequential Amendments and Transitional Provisions) Bill 2021. </w:t>
      </w:r>
    </w:p>
    <w:p w14:paraId="0E32D246" w14:textId="4F2D0CA0" w:rsidR="00E224A8" w:rsidRPr="00762E15" w:rsidRDefault="00E224A8" w:rsidP="00E70B1D">
      <w:pPr>
        <w:pStyle w:val="Heading2"/>
      </w:pPr>
      <w:r w:rsidRPr="00762E15">
        <w:t>Summary of new law</w:t>
      </w:r>
    </w:p>
    <w:p w14:paraId="2AAE678C" w14:textId="6CD79039" w:rsidR="00E224A8" w:rsidRPr="00762E15" w:rsidRDefault="00E224A8" w:rsidP="00E224A8">
      <w:pPr>
        <w:pStyle w:val="base-text-paragraph"/>
        <w:numPr>
          <w:ilvl w:val="1"/>
          <w:numId w:val="23"/>
        </w:numPr>
      </w:pPr>
      <w:r w:rsidRPr="00762E15">
        <w:t>The Bill</w:t>
      </w:r>
      <w:r w:rsidR="006E0D31" w:rsidRPr="00762E15">
        <w:t xml:space="preserve"> supports the Financial Accountability Regime Bill 2021 to establish the Financial Accountability Regime by</w:t>
      </w:r>
      <w:r w:rsidRPr="00762E15">
        <w:t>:</w:t>
      </w:r>
    </w:p>
    <w:p w14:paraId="0007C5A8" w14:textId="1FD2FA26" w:rsidR="00B53F5E" w:rsidRPr="00762E15" w:rsidRDefault="006E0D31" w:rsidP="00B53F5E">
      <w:pPr>
        <w:pStyle w:val="dotpoint"/>
      </w:pPr>
      <w:r w:rsidRPr="00762E15">
        <w:t>making</w:t>
      </w:r>
      <w:r w:rsidR="00B53F5E" w:rsidRPr="00762E15">
        <w:t xml:space="preserve"> consequential amendments to various Commonwealth</w:t>
      </w:r>
      <w:r w:rsidR="00550A60" w:rsidRPr="00762E15">
        <w:t xml:space="preserve"> laws</w:t>
      </w:r>
      <w:r w:rsidR="00B53F5E" w:rsidRPr="00762E15">
        <w:t xml:space="preserve"> at the commencement of the Financial Accountability Regime to ensure the regime functions </w:t>
      </w:r>
      <w:proofErr w:type="gramStart"/>
      <w:r w:rsidR="00230300" w:rsidRPr="00762E15">
        <w:t>appropriately</w:t>
      </w:r>
      <w:r w:rsidR="00B53F5E" w:rsidRPr="00762E15">
        <w:t>;</w:t>
      </w:r>
      <w:proofErr w:type="gramEnd"/>
      <w:r w:rsidR="00B53F5E" w:rsidRPr="00762E15">
        <w:t xml:space="preserve"> </w:t>
      </w:r>
    </w:p>
    <w:p w14:paraId="0D30496B" w14:textId="75A6956F" w:rsidR="007F0F5F" w:rsidRPr="00762E15" w:rsidRDefault="006E0D31" w:rsidP="00E224A8">
      <w:pPr>
        <w:pStyle w:val="dotpoint"/>
      </w:pPr>
      <w:r w:rsidRPr="00762E15">
        <w:t>repealing</w:t>
      </w:r>
      <w:r w:rsidR="004127D1" w:rsidRPr="00762E15">
        <w:t xml:space="preserve"> the </w:t>
      </w:r>
      <w:r w:rsidR="007F0F5F" w:rsidRPr="00762E15">
        <w:t xml:space="preserve">Banking Executive Accountability Regime </w:t>
      </w:r>
      <w:r w:rsidR="00096AF4" w:rsidRPr="00762E15">
        <w:t xml:space="preserve">following the </w:t>
      </w:r>
      <w:r w:rsidR="00256F29" w:rsidRPr="00762E15">
        <w:t>application</w:t>
      </w:r>
      <w:r w:rsidR="00096AF4" w:rsidRPr="00762E15">
        <w:t xml:space="preserve"> of</w:t>
      </w:r>
      <w:r w:rsidR="007F0F5F" w:rsidRPr="00762E15">
        <w:t xml:space="preserve"> the Financial Accountability Regime</w:t>
      </w:r>
      <w:r w:rsidR="00256F29" w:rsidRPr="00762E15">
        <w:t xml:space="preserve"> to the banking </w:t>
      </w:r>
      <w:r w:rsidR="00F37142" w:rsidRPr="00762E15">
        <w:t xml:space="preserve">sector </w:t>
      </w:r>
      <w:bookmarkStart w:id="33" w:name="_Hlk81197710"/>
      <w:r w:rsidR="00F37142" w:rsidRPr="00762E15">
        <w:t xml:space="preserve">(authorised deposit-taking institutions and </w:t>
      </w:r>
      <w:r w:rsidR="00E126C9" w:rsidRPr="00762E15">
        <w:t xml:space="preserve">their authorised </w:t>
      </w:r>
      <w:r w:rsidR="00F37142" w:rsidRPr="00762E15">
        <w:t>non-operating holding companies)</w:t>
      </w:r>
      <w:bookmarkEnd w:id="33"/>
      <w:r w:rsidR="007F0F5F" w:rsidRPr="00762E15">
        <w:t>;</w:t>
      </w:r>
      <w:r w:rsidR="00B53F5E" w:rsidRPr="00762E15">
        <w:t xml:space="preserve"> and</w:t>
      </w:r>
    </w:p>
    <w:p w14:paraId="32ED076B" w14:textId="5F7EF7EC" w:rsidR="00C15FAA" w:rsidRPr="00762E15" w:rsidRDefault="003E4B79" w:rsidP="004028D5">
      <w:pPr>
        <w:pStyle w:val="dotpoint"/>
      </w:pPr>
      <w:r>
        <w:t>postponing</w:t>
      </w:r>
      <w:r w:rsidR="004127D1" w:rsidRPr="00762E15" w:rsidDel="007F0F5F">
        <w:t xml:space="preserve"> the application of the </w:t>
      </w:r>
      <w:r w:rsidR="004127D1" w:rsidRPr="00762E15">
        <w:t>deferred remuneration obligation</w:t>
      </w:r>
      <w:r w:rsidR="00C94356" w:rsidRPr="00762E15">
        <w:t>s</w:t>
      </w:r>
      <w:r w:rsidR="004127D1" w:rsidRPr="00762E15">
        <w:t xml:space="preserve"> </w:t>
      </w:r>
      <w:r w:rsidR="007F0F5F" w:rsidRPr="00762E15">
        <w:t xml:space="preserve">under the Financial Accountability Regime </w:t>
      </w:r>
      <w:r w:rsidR="00184D61" w:rsidRPr="00762E15">
        <w:t>so that</w:t>
      </w:r>
      <w:r w:rsidR="000B3AAE" w:rsidRPr="00762E15">
        <w:t xml:space="preserve"> </w:t>
      </w:r>
      <w:r w:rsidR="00184D61" w:rsidRPr="00762E15">
        <w:t xml:space="preserve">the obligations apply </w:t>
      </w:r>
      <w:r w:rsidR="007F0F5F" w:rsidRPr="00762E15">
        <w:t xml:space="preserve">to </w:t>
      </w:r>
      <w:r w:rsidR="00C94356" w:rsidRPr="00762E15">
        <w:t xml:space="preserve">the banking </w:t>
      </w:r>
      <w:r w:rsidR="00DB7CFE" w:rsidRPr="00762E15">
        <w:t>sector (authorised deposit-taking</w:t>
      </w:r>
      <w:r w:rsidR="00480917">
        <w:t xml:space="preserve"> </w:t>
      </w:r>
      <w:r w:rsidR="00DB7CFE" w:rsidRPr="00762E15">
        <w:t xml:space="preserve">institutions and their </w:t>
      </w:r>
      <w:r w:rsidR="00E126C9" w:rsidRPr="00762E15">
        <w:t xml:space="preserve">authorised </w:t>
      </w:r>
      <w:r w:rsidR="00DB7CFE" w:rsidRPr="00762E15">
        <w:t xml:space="preserve">non-operating </w:t>
      </w:r>
      <w:r w:rsidR="00DB7CFE" w:rsidRPr="00762E15">
        <w:lastRenderedPageBreak/>
        <w:t>holding companies)</w:t>
      </w:r>
      <w:r w:rsidR="00DE120D" w:rsidRPr="00762E15">
        <w:t xml:space="preserve"> </w:t>
      </w:r>
      <w:r w:rsidR="00C94356" w:rsidRPr="00762E15">
        <w:t>six</w:t>
      </w:r>
      <w:r w:rsidR="004127D1" w:rsidRPr="00762E15" w:rsidDel="000D30A5">
        <w:t xml:space="preserve"> months</w:t>
      </w:r>
      <w:r w:rsidR="00C15FAA" w:rsidRPr="00762E15" w:rsidDel="000D30A5">
        <w:t xml:space="preserve"> after the </w:t>
      </w:r>
      <w:r w:rsidR="00C94356" w:rsidRPr="00762E15">
        <w:t>rest</w:t>
      </w:r>
      <w:r w:rsidR="00C15FAA" w:rsidRPr="00762E15" w:rsidDel="000D30A5">
        <w:t xml:space="preserve"> of the </w:t>
      </w:r>
      <w:r w:rsidR="00C94356" w:rsidRPr="00762E15">
        <w:t>Financial Accountability Regime</w:t>
      </w:r>
      <w:r w:rsidR="00372E6F" w:rsidRPr="00762E15">
        <w:t xml:space="preserve"> applies to </w:t>
      </w:r>
      <w:r w:rsidR="00F37142" w:rsidRPr="00762E15">
        <w:t>that</w:t>
      </w:r>
      <w:r w:rsidR="00372E6F" w:rsidRPr="00762E15">
        <w:t xml:space="preserve"> </w:t>
      </w:r>
      <w:r w:rsidR="00DB7CFE" w:rsidRPr="00762E15">
        <w:t>sector</w:t>
      </w:r>
      <w:r w:rsidR="000B3AAE" w:rsidRPr="00762E15">
        <w:t>.</w:t>
      </w:r>
    </w:p>
    <w:p w14:paraId="02B38CAA" w14:textId="4957A414" w:rsidR="00184D61" w:rsidRPr="00762E15" w:rsidRDefault="000B3AAE" w:rsidP="00184D61">
      <w:pPr>
        <w:pStyle w:val="dotpoint"/>
        <w:numPr>
          <w:ilvl w:val="1"/>
          <w:numId w:val="4"/>
        </w:numPr>
      </w:pPr>
      <w:r w:rsidRPr="00762E15">
        <w:t>The existing deferred remuneration obligations under the</w:t>
      </w:r>
      <w:r w:rsidR="00086E93" w:rsidRPr="00762E15">
        <w:t xml:space="preserve"> Banking Executive Accountability Regime continue to apply to the banking </w:t>
      </w:r>
      <w:r w:rsidR="006E0D31" w:rsidRPr="00762E15">
        <w:t>sector</w:t>
      </w:r>
      <w:r w:rsidRPr="00762E15">
        <w:t xml:space="preserve"> </w:t>
      </w:r>
      <w:r w:rsidR="00BA68F1" w:rsidRPr="00762E15">
        <w:t xml:space="preserve">(authorised deposit-taking institutions and their subsidiaries) </w:t>
      </w:r>
      <w:r w:rsidRPr="00762E15">
        <w:t xml:space="preserve">during </w:t>
      </w:r>
      <w:r w:rsidR="00692578" w:rsidRPr="00762E15">
        <w:t>the six-month deferral period</w:t>
      </w:r>
      <w:r w:rsidR="00B53F5E" w:rsidRPr="00762E15">
        <w:t>.</w:t>
      </w:r>
    </w:p>
    <w:p w14:paraId="75B6B26D" w14:textId="18B3F691" w:rsidR="00092FF5" w:rsidRPr="00762E15" w:rsidRDefault="00092FF5" w:rsidP="00092FF5">
      <w:pPr>
        <w:pStyle w:val="Heading2"/>
      </w:pPr>
      <w:r w:rsidRPr="00762E15">
        <w:t>Detailed explanation of new law</w:t>
      </w:r>
    </w:p>
    <w:p w14:paraId="06A27DFE" w14:textId="1DA08B44" w:rsidR="00C13AAE" w:rsidRPr="00762E15" w:rsidRDefault="006E0D31" w:rsidP="00F217BD">
      <w:pPr>
        <w:pStyle w:val="Heading4"/>
      </w:pPr>
      <w:r w:rsidRPr="00762E15">
        <w:t>Consequential am</w:t>
      </w:r>
      <w:r w:rsidR="00C13AAE" w:rsidRPr="00762E15">
        <w:t xml:space="preserve">endments relating to </w:t>
      </w:r>
      <w:r w:rsidR="0006430B" w:rsidRPr="00762E15">
        <w:t>the establishment of</w:t>
      </w:r>
      <w:r w:rsidR="008C463E" w:rsidRPr="00762E15">
        <w:t xml:space="preserve"> the Financial Accountability Regime</w:t>
      </w:r>
      <w:r w:rsidR="00C13AAE" w:rsidRPr="00762E15">
        <w:t xml:space="preserve"> </w:t>
      </w:r>
    </w:p>
    <w:p w14:paraId="53AEAB50" w14:textId="2DD4EF8C" w:rsidR="00500FC9" w:rsidRPr="00762E15" w:rsidRDefault="00E91307" w:rsidP="00D53134">
      <w:pPr>
        <w:pStyle w:val="base-text-paragraph"/>
        <w:numPr>
          <w:ilvl w:val="1"/>
          <w:numId w:val="23"/>
        </w:numPr>
      </w:pPr>
      <w:r w:rsidRPr="00762E15">
        <w:t>The</w:t>
      </w:r>
      <w:r w:rsidR="00C13AAE" w:rsidRPr="00762E15">
        <w:rPr>
          <w:bCs/>
          <w:iCs/>
        </w:rPr>
        <w:t xml:space="preserve"> Bill makes </w:t>
      </w:r>
      <w:r w:rsidRPr="00762E15">
        <w:rPr>
          <w:bCs/>
          <w:iCs/>
        </w:rPr>
        <w:t xml:space="preserve">a number of </w:t>
      </w:r>
      <w:r w:rsidR="00C13AAE" w:rsidRPr="00762E15">
        <w:rPr>
          <w:bCs/>
          <w:iCs/>
        </w:rPr>
        <w:t xml:space="preserve">consequential amendments to enable </w:t>
      </w:r>
      <w:r w:rsidR="00B56D79" w:rsidRPr="00762E15">
        <w:t>APRA to</w:t>
      </w:r>
      <w:r w:rsidR="00C054F9" w:rsidRPr="00762E15">
        <w:t xml:space="preserve"> use</w:t>
      </w:r>
      <w:r w:rsidR="00B56D79" w:rsidRPr="00762E15">
        <w:t xml:space="preserve"> </w:t>
      </w:r>
      <w:r w:rsidR="00C054F9" w:rsidRPr="00762E15">
        <w:t>its</w:t>
      </w:r>
      <w:r w:rsidR="00B56D79" w:rsidRPr="00762E15">
        <w:t xml:space="preserve"> existing powers under the </w:t>
      </w:r>
      <w:r w:rsidR="00B56D79" w:rsidRPr="00762E15">
        <w:rPr>
          <w:i/>
          <w:iCs/>
        </w:rPr>
        <w:t>Banking Act</w:t>
      </w:r>
      <w:r w:rsidR="00C054F9" w:rsidRPr="00762E15">
        <w:rPr>
          <w:i/>
          <w:iCs/>
        </w:rPr>
        <w:t xml:space="preserve"> 1959</w:t>
      </w:r>
      <w:r w:rsidR="006E0D31" w:rsidRPr="00762E15">
        <w:t xml:space="preserve"> in relation to the Financial Accountability Regime</w:t>
      </w:r>
      <w:r w:rsidRPr="00762E15">
        <w:rPr>
          <w:i/>
          <w:iCs/>
        </w:rPr>
        <w:t>.</w:t>
      </w:r>
      <w:r w:rsidR="006B008F" w:rsidRPr="00762E15">
        <w:rPr>
          <w:i/>
          <w:iCs/>
        </w:rPr>
        <w:t xml:space="preserve"> </w:t>
      </w:r>
      <w:r w:rsidRPr="00762E15">
        <w:t>The changes include allowing APRA to</w:t>
      </w:r>
      <w:r w:rsidR="00500FC9" w:rsidRPr="00762E15">
        <w:t xml:space="preserve">: </w:t>
      </w:r>
    </w:p>
    <w:p w14:paraId="517D0923" w14:textId="58584E5C" w:rsidR="007D4174" w:rsidRPr="00762E15" w:rsidRDefault="007D4174" w:rsidP="007D4174">
      <w:pPr>
        <w:pStyle w:val="dotpoint"/>
        <w:numPr>
          <w:ilvl w:val="1"/>
          <w:numId w:val="4"/>
        </w:numPr>
        <w:rPr>
          <w:rStyle w:val="Referencingstyle"/>
        </w:rPr>
      </w:pPr>
      <w:r w:rsidRPr="00762E15">
        <w:t xml:space="preserve">revoke </w:t>
      </w:r>
      <w:r w:rsidR="00CC5C6F" w:rsidRPr="00762E15">
        <w:rPr>
          <w:bCs/>
          <w:iCs/>
        </w:rPr>
        <w:t xml:space="preserve">the </w:t>
      </w:r>
      <w:r w:rsidR="009C510A" w:rsidRPr="00762E15">
        <w:rPr>
          <w:bCs/>
          <w:iCs/>
        </w:rPr>
        <w:t>authorisation</w:t>
      </w:r>
      <w:r w:rsidRPr="00762E15">
        <w:t xml:space="preserve"> of a</w:t>
      </w:r>
      <w:r w:rsidR="00FB183E" w:rsidRPr="00762E15">
        <w:t>n authorised deposit</w:t>
      </w:r>
      <w:r w:rsidR="00C83099">
        <w:noBreakHyphen/>
      </w:r>
      <w:r w:rsidR="00FB183E" w:rsidRPr="00762E15">
        <w:t>taking</w:t>
      </w:r>
      <w:r w:rsidR="00480917">
        <w:t xml:space="preserve"> </w:t>
      </w:r>
      <w:r w:rsidR="00FB183E" w:rsidRPr="00762E15">
        <w:t xml:space="preserve">institution or its </w:t>
      </w:r>
      <w:r w:rsidR="00E126C9" w:rsidRPr="00762E15">
        <w:t xml:space="preserve">authorised </w:t>
      </w:r>
      <w:r w:rsidR="00FB183E" w:rsidRPr="00762E15">
        <w:t xml:space="preserve">non-operating holding company </w:t>
      </w:r>
      <w:r w:rsidRPr="00762E15">
        <w:t xml:space="preserve">for failure to comply with the Financial Accountability Regime; </w:t>
      </w:r>
      <w:r w:rsidR="00036A7D" w:rsidRPr="00762E15">
        <w:rPr>
          <w:bCs/>
          <w:iCs/>
        </w:rPr>
        <w:t>and</w:t>
      </w:r>
      <w:r w:rsidRPr="00762E15">
        <w:rPr>
          <w:bCs/>
          <w:iCs/>
        </w:rPr>
        <w:t xml:space="preserve"> </w:t>
      </w:r>
    </w:p>
    <w:p w14:paraId="39A486B1" w14:textId="7FE53551" w:rsidR="00FB183E" w:rsidRPr="00762E15" w:rsidRDefault="00C50507" w:rsidP="007D4174">
      <w:pPr>
        <w:pStyle w:val="dotpoint"/>
        <w:numPr>
          <w:ilvl w:val="1"/>
          <w:numId w:val="4"/>
        </w:numPr>
        <w:rPr>
          <w:rStyle w:val="Referencingstyle"/>
          <w:b w:val="0"/>
          <w:i w:val="0"/>
          <w:sz w:val="22"/>
        </w:rPr>
      </w:pPr>
      <w:r w:rsidRPr="00762E15">
        <w:t xml:space="preserve">require an auditor </w:t>
      </w:r>
      <w:r w:rsidR="00C604F5" w:rsidRPr="00762E15">
        <w:t>of</w:t>
      </w:r>
      <w:r w:rsidR="004F105B" w:rsidRPr="00762E15">
        <w:rPr>
          <w:bCs/>
          <w:iCs/>
        </w:rPr>
        <w:t xml:space="preserve"> </w:t>
      </w:r>
      <w:r w:rsidR="006B008F" w:rsidRPr="00762E15">
        <w:rPr>
          <w:bCs/>
          <w:iCs/>
        </w:rPr>
        <w:t>an authorised deposit</w:t>
      </w:r>
      <w:r w:rsidR="00C83099">
        <w:rPr>
          <w:bCs/>
          <w:iCs/>
        </w:rPr>
        <w:noBreakHyphen/>
      </w:r>
      <w:r w:rsidR="006B008F" w:rsidRPr="00762E15">
        <w:rPr>
          <w:bCs/>
          <w:iCs/>
        </w:rPr>
        <w:t>taking</w:t>
      </w:r>
      <w:r w:rsidR="00480917">
        <w:rPr>
          <w:bCs/>
          <w:iCs/>
        </w:rPr>
        <w:t xml:space="preserve"> </w:t>
      </w:r>
      <w:r w:rsidR="006B008F" w:rsidRPr="00762E15">
        <w:rPr>
          <w:bCs/>
          <w:iCs/>
        </w:rPr>
        <w:t xml:space="preserve">institution, its </w:t>
      </w:r>
      <w:r w:rsidR="00E126C9" w:rsidRPr="00762E15">
        <w:rPr>
          <w:bCs/>
          <w:iCs/>
        </w:rPr>
        <w:t xml:space="preserve">authorised </w:t>
      </w:r>
      <w:r w:rsidR="006B008F" w:rsidRPr="00762E15">
        <w:rPr>
          <w:bCs/>
          <w:iCs/>
        </w:rPr>
        <w:t>non-operating holding company</w:t>
      </w:r>
      <w:r w:rsidR="004F105B" w:rsidRPr="00762E15">
        <w:rPr>
          <w:bCs/>
          <w:iCs/>
        </w:rPr>
        <w:t xml:space="preserve"> </w:t>
      </w:r>
      <w:r w:rsidR="00C604F5" w:rsidRPr="00762E15">
        <w:rPr>
          <w:bCs/>
          <w:iCs/>
        </w:rPr>
        <w:t xml:space="preserve">or </w:t>
      </w:r>
      <w:r w:rsidR="004F105B" w:rsidRPr="00762E15">
        <w:rPr>
          <w:bCs/>
          <w:iCs/>
        </w:rPr>
        <w:t>a significant related entity</w:t>
      </w:r>
      <w:r w:rsidR="00C604F5" w:rsidRPr="00762E15">
        <w:t xml:space="preserve"> </w:t>
      </w:r>
      <w:r w:rsidRPr="00762E15">
        <w:t xml:space="preserve">to provide information that will assist APRA in </w:t>
      </w:r>
      <w:r w:rsidR="00F010BC" w:rsidRPr="00762E15">
        <w:t>performing</w:t>
      </w:r>
      <w:r w:rsidRPr="00762E15">
        <w:t xml:space="preserve"> functions under the </w:t>
      </w:r>
      <w:r w:rsidR="00273BD7" w:rsidRPr="00762E15">
        <w:t>Financial Accountability Regime</w:t>
      </w:r>
      <w:r w:rsidR="00036A7D" w:rsidRPr="00762E15">
        <w:rPr>
          <w:bCs/>
          <w:iCs/>
        </w:rPr>
        <w:t>.</w:t>
      </w:r>
      <w:r w:rsidR="000D53C8" w:rsidRPr="00762E15">
        <w:rPr>
          <w:rStyle w:val="Referencingstyle"/>
        </w:rPr>
        <w:t xml:space="preserve"> </w:t>
      </w:r>
    </w:p>
    <w:p w14:paraId="339C9843" w14:textId="7B69BFAB" w:rsidR="000D53C8" w:rsidRPr="00762E15" w:rsidRDefault="000D53C8" w:rsidP="00FB183E">
      <w:pPr>
        <w:pStyle w:val="dotpoint"/>
        <w:numPr>
          <w:ilvl w:val="0"/>
          <w:numId w:val="0"/>
        </w:numPr>
        <w:ind w:left="2268"/>
      </w:pPr>
      <w:r w:rsidRPr="00762E15">
        <w:rPr>
          <w:rStyle w:val="Referencingstyle"/>
        </w:rPr>
        <w:t>[Schedule 1</w:t>
      </w:r>
      <w:r w:rsidR="00FB183E" w:rsidRPr="00762E15">
        <w:rPr>
          <w:rStyle w:val="Referencingstyle"/>
        </w:rPr>
        <w:t xml:space="preserve"> </w:t>
      </w:r>
      <w:r w:rsidRPr="00762E15">
        <w:rPr>
          <w:rStyle w:val="Referencingstyle"/>
        </w:rPr>
        <w:t xml:space="preserve">items </w:t>
      </w:r>
      <w:r w:rsidR="00FB183E" w:rsidRPr="00762E15">
        <w:rPr>
          <w:rStyle w:val="Referencingstyle"/>
        </w:rPr>
        <w:t>18, 19</w:t>
      </w:r>
      <w:r w:rsidR="00425C90" w:rsidRPr="00762E15">
        <w:rPr>
          <w:rStyle w:val="Referencingstyle"/>
        </w:rPr>
        <w:t xml:space="preserve"> and</w:t>
      </w:r>
      <w:r w:rsidR="00FB183E" w:rsidRPr="00762E15">
        <w:rPr>
          <w:rStyle w:val="Referencingstyle"/>
        </w:rPr>
        <w:t xml:space="preserve"> </w:t>
      </w:r>
      <w:r w:rsidR="002204EB" w:rsidRPr="00762E15">
        <w:rPr>
          <w:rStyle w:val="Referencingstyle"/>
        </w:rPr>
        <w:t xml:space="preserve">22 </w:t>
      </w:r>
      <w:r w:rsidR="00036A7D" w:rsidRPr="00762E15">
        <w:rPr>
          <w:rStyle w:val="Referencingstyle"/>
        </w:rPr>
        <w:t>to</w:t>
      </w:r>
      <w:r w:rsidR="002204EB" w:rsidRPr="00762E15">
        <w:rPr>
          <w:rStyle w:val="Referencingstyle"/>
        </w:rPr>
        <w:t xml:space="preserve"> 2</w:t>
      </w:r>
      <w:r w:rsidR="005A44AA" w:rsidRPr="00762E15">
        <w:rPr>
          <w:rStyle w:val="Referencingstyle"/>
        </w:rPr>
        <w:t>4</w:t>
      </w:r>
      <w:r w:rsidR="00EB135D">
        <w:rPr>
          <w:rStyle w:val="Referencingstyle"/>
        </w:rPr>
        <w:t>;</w:t>
      </w:r>
      <w:r w:rsidR="00B93C7F" w:rsidRPr="00762E15">
        <w:rPr>
          <w:rStyle w:val="Referencingstyle"/>
        </w:rPr>
        <w:t xml:space="preserve"> section</w:t>
      </w:r>
      <w:r w:rsidR="00036A7D" w:rsidRPr="00762E15">
        <w:rPr>
          <w:rStyle w:val="Referencingstyle"/>
        </w:rPr>
        <w:t>s</w:t>
      </w:r>
      <w:r w:rsidR="00B93C7F" w:rsidRPr="00762E15">
        <w:rPr>
          <w:rStyle w:val="Referencingstyle"/>
        </w:rPr>
        <w:t xml:space="preserve"> </w:t>
      </w:r>
      <w:r w:rsidR="005A44AA" w:rsidRPr="00762E15">
        <w:rPr>
          <w:rStyle w:val="Referencingstyle"/>
        </w:rPr>
        <w:t xml:space="preserve">9A, 11AB, </w:t>
      </w:r>
      <w:r w:rsidR="00B93C7F" w:rsidRPr="00762E15">
        <w:rPr>
          <w:rStyle w:val="Referencingstyle"/>
        </w:rPr>
        <w:t>16B</w:t>
      </w:r>
      <w:r w:rsidR="00036A7D" w:rsidRPr="00762E15">
        <w:rPr>
          <w:rStyle w:val="Referencingstyle"/>
        </w:rPr>
        <w:t>, 16BA</w:t>
      </w:r>
      <w:r w:rsidRPr="00762E15">
        <w:rPr>
          <w:rStyle w:val="Referencingstyle"/>
        </w:rPr>
        <w:t xml:space="preserve"> and </w:t>
      </w:r>
      <w:r w:rsidR="00036A7D" w:rsidRPr="00762E15">
        <w:rPr>
          <w:rStyle w:val="Referencingstyle"/>
        </w:rPr>
        <w:t>16C</w:t>
      </w:r>
      <w:r w:rsidR="00B93C7F" w:rsidRPr="00762E15">
        <w:rPr>
          <w:rStyle w:val="Referencingstyle"/>
        </w:rPr>
        <w:t xml:space="preserve"> of the Banking Act</w:t>
      </w:r>
      <w:r w:rsidR="003D28F3" w:rsidRPr="00762E15">
        <w:rPr>
          <w:rStyle w:val="Referencingstyle"/>
        </w:rPr>
        <w:t xml:space="preserve"> 1959</w:t>
      </w:r>
      <w:r w:rsidRPr="00762E15">
        <w:rPr>
          <w:rStyle w:val="Referencingstyle"/>
        </w:rPr>
        <w:t>]</w:t>
      </w:r>
      <w:r w:rsidR="00420393" w:rsidRPr="00762E15">
        <w:rPr>
          <w:rStyle w:val="Referencingstyle"/>
        </w:rPr>
        <w:t xml:space="preserve"> </w:t>
      </w:r>
    </w:p>
    <w:p w14:paraId="65AD7DD0" w14:textId="5BE04CE3" w:rsidR="00425C90" w:rsidRPr="00762E15" w:rsidRDefault="00C04B8B" w:rsidP="00420393">
      <w:pPr>
        <w:pStyle w:val="base-text-paragraph"/>
        <w:numPr>
          <w:ilvl w:val="1"/>
          <w:numId w:val="23"/>
        </w:numPr>
        <w:rPr>
          <w:rStyle w:val="Referencingstyle"/>
        </w:rPr>
      </w:pPr>
      <w:r w:rsidRPr="00762E15">
        <w:rPr>
          <w:bCs/>
          <w:iCs/>
        </w:rPr>
        <w:t>The Bill applies the</w:t>
      </w:r>
      <w:r w:rsidR="00C25210" w:rsidRPr="00762E15">
        <w:rPr>
          <w:bCs/>
          <w:iCs/>
        </w:rPr>
        <w:t xml:space="preserve"> </w:t>
      </w:r>
      <w:r w:rsidR="00BB503B" w:rsidRPr="00762E15">
        <w:rPr>
          <w:bCs/>
          <w:iCs/>
        </w:rPr>
        <w:t xml:space="preserve">standard liability protections </w:t>
      </w:r>
      <w:r w:rsidR="00A92E89" w:rsidRPr="00762E15">
        <w:rPr>
          <w:bCs/>
          <w:iCs/>
        </w:rPr>
        <w:t xml:space="preserve">under the </w:t>
      </w:r>
      <w:r w:rsidR="00A92E89" w:rsidRPr="00762E15">
        <w:rPr>
          <w:bCs/>
          <w:i/>
        </w:rPr>
        <w:t>Australian Prudential Regulatory Authority Act 1998</w:t>
      </w:r>
      <w:r w:rsidRPr="00762E15">
        <w:rPr>
          <w:bCs/>
          <w:i/>
        </w:rPr>
        <w:t xml:space="preserve"> </w:t>
      </w:r>
      <w:r w:rsidR="006D55CF" w:rsidRPr="00762E15">
        <w:rPr>
          <w:bCs/>
          <w:iCs/>
        </w:rPr>
        <w:t xml:space="preserve">for APRA </w:t>
      </w:r>
      <w:r w:rsidR="008A5335" w:rsidRPr="00762E15">
        <w:rPr>
          <w:bCs/>
          <w:iCs/>
        </w:rPr>
        <w:t>staff</w:t>
      </w:r>
      <w:r w:rsidR="006D55CF" w:rsidRPr="00762E15">
        <w:rPr>
          <w:bCs/>
          <w:iCs/>
        </w:rPr>
        <w:t xml:space="preserve"> </w:t>
      </w:r>
      <w:r w:rsidR="007E2816" w:rsidRPr="00762E15">
        <w:rPr>
          <w:bCs/>
          <w:iCs/>
        </w:rPr>
        <w:t>in relation to</w:t>
      </w:r>
      <w:r w:rsidR="006D55CF" w:rsidRPr="00762E15">
        <w:rPr>
          <w:bCs/>
          <w:iCs/>
        </w:rPr>
        <w:t xml:space="preserve"> actions </w:t>
      </w:r>
      <w:r w:rsidR="007E2816" w:rsidRPr="00762E15">
        <w:rPr>
          <w:bCs/>
          <w:iCs/>
        </w:rPr>
        <w:t xml:space="preserve">APRA </w:t>
      </w:r>
      <w:r w:rsidR="008A5335" w:rsidRPr="00762E15">
        <w:rPr>
          <w:bCs/>
          <w:iCs/>
        </w:rPr>
        <w:t>staff</w:t>
      </w:r>
      <w:r w:rsidR="007E2816" w:rsidRPr="00762E15">
        <w:rPr>
          <w:bCs/>
          <w:iCs/>
        </w:rPr>
        <w:t xml:space="preserve"> </w:t>
      </w:r>
      <w:r w:rsidR="006D55CF" w:rsidRPr="00762E15">
        <w:rPr>
          <w:bCs/>
          <w:iCs/>
        </w:rPr>
        <w:t xml:space="preserve">take under the Financial Accountability Regime. </w:t>
      </w:r>
      <w:r w:rsidR="006D55CF" w:rsidRPr="00762E15">
        <w:rPr>
          <w:rStyle w:val="Referencingstyle"/>
        </w:rPr>
        <w:t xml:space="preserve">[Schedule 1 item </w:t>
      </w:r>
      <w:r w:rsidR="00C1544C" w:rsidRPr="00762E15">
        <w:rPr>
          <w:rStyle w:val="Referencingstyle"/>
        </w:rPr>
        <w:t>12</w:t>
      </w:r>
      <w:r w:rsidR="00F86483">
        <w:rPr>
          <w:rStyle w:val="Referencingstyle"/>
        </w:rPr>
        <w:t>;</w:t>
      </w:r>
      <w:r w:rsidR="00C1544C" w:rsidRPr="00762E15">
        <w:rPr>
          <w:rStyle w:val="Referencingstyle"/>
        </w:rPr>
        <w:t xml:space="preserve"> section 58 of the </w:t>
      </w:r>
      <w:r w:rsidR="008A5335" w:rsidRPr="00762E15">
        <w:rPr>
          <w:rStyle w:val="Referencingstyle"/>
        </w:rPr>
        <w:t>Australian Prudential Regulation Authority Act 1998</w:t>
      </w:r>
      <w:r w:rsidR="006D55CF" w:rsidRPr="00762E15">
        <w:rPr>
          <w:rStyle w:val="Referencingstyle"/>
        </w:rPr>
        <w:t>]</w:t>
      </w:r>
      <w:r w:rsidR="00420393" w:rsidRPr="00762E15">
        <w:rPr>
          <w:rStyle w:val="Referencingstyle"/>
        </w:rPr>
        <w:t xml:space="preserve"> </w:t>
      </w:r>
    </w:p>
    <w:p w14:paraId="5AD7EB3F" w14:textId="6E30A044" w:rsidR="00425C90" w:rsidRPr="00762E15" w:rsidRDefault="00425C90" w:rsidP="00420393">
      <w:pPr>
        <w:pStyle w:val="base-text-paragraph"/>
        <w:numPr>
          <w:ilvl w:val="1"/>
          <w:numId w:val="23"/>
        </w:numPr>
        <w:rPr>
          <w:rStyle w:val="Referencingstyle"/>
          <w:b w:val="0"/>
          <w:bCs/>
          <w:i w:val="0"/>
          <w:iCs/>
          <w:sz w:val="22"/>
        </w:rPr>
      </w:pPr>
      <w:r w:rsidRPr="00762E15">
        <w:rPr>
          <w:bCs/>
          <w:iCs/>
        </w:rPr>
        <w:t xml:space="preserve">The Bill makes amendments to the </w:t>
      </w:r>
      <w:r w:rsidRPr="00762E15">
        <w:rPr>
          <w:bCs/>
          <w:i/>
        </w:rPr>
        <w:t xml:space="preserve">Australian Prudential Regulation </w:t>
      </w:r>
      <w:r w:rsidRPr="008157FF">
        <w:rPr>
          <w:i/>
        </w:rPr>
        <w:t>Authority</w:t>
      </w:r>
      <w:r w:rsidRPr="00762E15">
        <w:rPr>
          <w:bCs/>
          <w:i/>
        </w:rPr>
        <w:t xml:space="preserve"> Act 1998</w:t>
      </w:r>
      <w:r w:rsidRPr="00762E15">
        <w:rPr>
          <w:bCs/>
          <w:iCs/>
        </w:rPr>
        <w:t xml:space="preserve"> to replicate the secrecy provisions </w:t>
      </w:r>
      <w:r w:rsidR="009077B7">
        <w:rPr>
          <w:bCs/>
          <w:iCs/>
        </w:rPr>
        <w:t>relating to</w:t>
      </w:r>
      <w:r w:rsidR="009077B7" w:rsidRPr="00762E15">
        <w:rPr>
          <w:bCs/>
          <w:iCs/>
        </w:rPr>
        <w:t xml:space="preserve"> </w:t>
      </w:r>
      <w:r w:rsidRPr="00762E15">
        <w:rPr>
          <w:bCs/>
          <w:iCs/>
        </w:rPr>
        <w:t xml:space="preserve">the Banking Executive Accountability Regime for the Financial Accountability Regime. Information provided to APRA is subject to the secrecy provisions in the </w:t>
      </w:r>
      <w:r w:rsidRPr="00762E15">
        <w:rPr>
          <w:bCs/>
          <w:i/>
        </w:rPr>
        <w:t>Australian Prudential Regulation Authority</w:t>
      </w:r>
      <w:r w:rsidRPr="00762E15">
        <w:rPr>
          <w:bCs/>
          <w:iCs/>
        </w:rPr>
        <w:t xml:space="preserve"> </w:t>
      </w:r>
      <w:r w:rsidRPr="00762E15">
        <w:rPr>
          <w:bCs/>
          <w:i/>
        </w:rPr>
        <w:t xml:space="preserve">Act 1998. </w:t>
      </w:r>
      <w:r w:rsidRPr="00762E15">
        <w:rPr>
          <w:bCs/>
          <w:iCs/>
        </w:rPr>
        <w:t xml:space="preserve">The Bill applies these provisions to information collected under the Banking Executive Accountability Regime by making amendments to the definitions of </w:t>
      </w:r>
      <w:r w:rsidRPr="00762E15">
        <w:rPr>
          <w:b/>
          <w:i/>
        </w:rPr>
        <w:t>protected information</w:t>
      </w:r>
      <w:r w:rsidRPr="00762E15">
        <w:rPr>
          <w:bCs/>
          <w:iCs/>
        </w:rPr>
        <w:t xml:space="preserve">, </w:t>
      </w:r>
      <w:r w:rsidRPr="00762E15">
        <w:rPr>
          <w:b/>
          <w:i/>
        </w:rPr>
        <w:t>protected document</w:t>
      </w:r>
      <w:r w:rsidRPr="00762E15">
        <w:rPr>
          <w:bCs/>
          <w:iCs/>
        </w:rPr>
        <w:t xml:space="preserve"> and </w:t>
      </w:r>
      <w:r w:rsidRPr="00762E15">
        <w:rPr>
          <w:b/>
          <w:i/>
        </w:rPr>
        <w:t>prudential regulation framework law</w:t>
      </w:r>
      <w:r w:rsidRPr="00762E15">
        <w:rPr>
          <w:bCs/>
          <w:iCs/>
        </w:rPr>
        <w:t xml:space="preserve">. The Bill also introduces exemptions in the secrecy provisions to allow for the sharing of information between </w:t>
      </w:r>
      <w:r w:rsidR="005A44AA" w:rsidRPr="00762E15">
        <w:rPr>
          <w:bCs/>
          <w:iCs/>
        </w:rPr>
        <w:t xml:space="preserve">APRA </w:t>
      </w:r>
      <w:r w:rsidR="005A44AA" w:rsidRPr="00762E15">
        <w:rPr>
          <w:bCs/>
          <w:iCs/>
        </w:rPr>
        <w:lastRenderedPageBreak/>
        <w:t xml:space="preserve">and </w:t>
      </w:r>
      <w:r w:rsidRPr="00762E15">
        <w:rPr>
          <w:bCs/>
          <w:iCs/>
        </w:rPr>
        <w:t xml:space="preserve">ASIC under the mechanisms in section 36 of the </w:t>
      </w:r>
      <w:r w:rsidRPr="00762E15">
        <w:rPr>
          <w:bCs/>
          <w:i/>
        </w:rPr>
        <w:t xml:space="preserve">Financial Accountability Regime Act </w:t>
      </w:r>
      <w:r w:rsidR="0077421F" w:rsidRPr="00762E15">
        <w:rPr>
          <w:bCs/>
          <w:i/>
        </w:rPr>
        <w:t>2021</w:t>
      </w:r>
      <w:r w:rsidR="0077421F">
        <w:rPr>
          <w:bCs/>
          <w:iCs/>
        </w:rPr>
        <w:t xml:space="preserve"> and</w:t>
      </w:r>
      <w:r w:rsidR="009077B7">
        <w:rPr>
          <w:bCs/>
          <w:iCs/>
        </w:rPr>
        <w:t xml:space="preserve"> sharing of information to regulated entities and individuals</w:t>
      </w:r>
      <w:r w:rsidRPr="00762E15">
        <w:rPr>
          <w:bCs/>
          <w:iCs/>
        </w:rPr>
        <w:t>.</w:t>
      </w:r>
      <w:r w:rsidR="00F86483">
        <w:rPr>
          <w:bCs/>
          <w:iCs/>
        </w:rPr>
        <w:t xml:space="preserve"> A defendant bears an evidential burden in relation to exemptions established by item 10; this is justified and not unduly onerous as the information subject to the new provisions would be peculiarly within the knowledge and control of the defendant.</w:t>
      </w:r>
      <w:r w:rsidRPr="00762E15">
        <w:rPr>
          <w:bCs/>
          <w:iCs/>
        </w:rPr>
        <w:t xml:space="preserve"> </w:t>
      </w:r>
      <w:r w:rsidRPr="00762E15">
        <w:rPr>
          <w:rStyle w:val="Referencingstyle"/>
        </w:rPr>
        <w:t>[Schedule 1 items 1 and 5 to 11</w:t>
      </w:r>
      <w:r w:rsidR="00F86483">
        <w:rPr>
          <w:rStyle w:val="Referencingstyle"/>
        </w:rPr>
        <w:t>;</w:t>
      </w:r>
      <w:r w:rsidRPr="00762E15">
        <w:rPr>
          <w:rStyle w:val="Referencingstyle"/>
        </w:rPr>
        <w:t xml:space="preserve"> section</w:t>
      </w:r>
      <w:r w:rsidR="00A41F99" w:rsidRPr="00762E15">
        <w:rPr>
          <w:rStyle w:val="Referencingstyle"/>
        </w:rPr>
        <w:t>s 3 and</w:t>
      </w:r>
      <w:r w:rsidRPr="00762E15">
        <w:rPr>
          <w:rStyle w:val="Referencingstyle"/>
        </w:rPr>
        <w:t xml:space="preserve"> 56 of the </w:t>
      </w:r>
      <w:r w:rsidR="00733B10" w:rsidRPr="00762E15">
        <w:rPr>
          <w:rStyle w:val="Referencingstyle"/>
        </w:rPr>
        <w:t>Australian Prudential Regulation Authority Act 1998</w:t>
      </w:r>
      <w:r w:rsidRPr="00762E15">
        <w:rPr>
          <w:rStyle w:val="Referencingstyle"/>
        </w:rPr>
        <w:t>]</w:t>
      </w:r>
    </w:p>
    <w:p w14:paraId="250F99D8" w14:textId="5A81472A" w:rsidR="0042251E" w:rsidRPr="00762E15" w:rsidRDefault="00FA08B6" w:rsidP="00D53134">
      <w:pPr>
        <w:pStyle w:val="base-text-paragraph"/>
        <w:numPr>
          <w:ilvl w:val="1"/>
          <w:numId w:val="23"/>
        </w:numPr>
        <w:rPr>
          <w:i/>
        </w:rPr>
      </w:pPr>
      <w:r w:rsidRPr="00762E15">
        <w:rPr>
          <w:iCs/>
        </w:rPr>
        <w:t xml:space="preserve">The Bill amends the </w:t>
      </w:r>
      <w:r w:rsidRPr="00762E15">
        <w:rPr>
          <w:i/>
        </w:rPr>
        <w:t xml:space="preserve">Financial Regulator Assessment Authority Act 2021 </w:t>
      </w:r>
      <w:r w:rsidR="00555D0E" w:rsidRPr="0077421F">
        <w:rPr>
          <w:iCs/>
        </w:rPr>
        <w:t xml:space="preserve">to </w:t>
      </w:r>
      <w:r w:rsidR="0042251E" w:rsidRPr="00762E15">
        <w:rPr>
          <w:iCs/>
        </w:rPr>
        <w:t xml:space="preserve">allow individuals working for the Financial Regulator Assessment Authority to disclose the fact that directions have been given under the Financial Accountability Regime. </w:t>
      </w:r>
      <w:r w:rsidR="0042251E" w:rsidRPr="00762E15">
        <w:rPr>
          <w:rStyle w:val="Referencingstyle"/>
        </w:rPr>
        <w:t>[Schedule 1</w:t>
      </w:r>
      <w:r w:rsidR="00521918" w:rsidRPr="00762E15">
        <w:rPr>
          <w:rStyle w:val="Referencingstyle"/>
        </w:rPr>
        <w:t xml:space="preserve"> items </w:t>
      </w:r>
      <w:r w:rsidR="008074C9">
        <w:rPr>
          <w:rStyle w:val="Referencingstyle"/>
        </w:rPr>
        <w:t>27</w:t>
      </w:r>
      <w:r w:rsidR="00521918" w:rsidRPr="00762E15">
        <w:rPr>
          <w:rStyle w:val="Referencingstyle"/>
        </w:rPr>
        <w:t xml:space="preserve"> and </w:t>
      </w:r>
      <w:r w:rsidR="008074C9">
        <w:rPr>
          <w:rStyle w:val="Referencingstyle"/>
        </w:rPr>
        <w:t>28</w:t>
      </w:r>
      <w:r w:rsidR="00F86483">
        <w:rPr>
          <w:rStyle w:val="Referencingstyle"/>
        </w:rPr>
        <w:t>;</w:t>
      </w:r>
      <w:r w:rsidR="00521918" w:rsidRPr="00762E15">
        <w:rPr>
          <w:rStyle w:val="Referencingstyle"/>
        </w:rPr>
        <w:t xml:space="preserve"> section 40 of the Financial Regulator Assessment Authority </w:t>
      </w:r>
      <w:r w:rsidR="00E00F5C" w:rsidRPr="00762E15">
        <w:rPr>
          <w:rStyle w:val="Referencingstyle"/>
        </w:rPr>
        <w:t>A</w:t>
      </w:r>
      <w:r w:rsidR="00521918" w:rsidRPr="00762E15">
        <w:rPr>
          <w:rStyle w:val="Referencingstyle"/>
        </w:rPr>
        <w:t>ct 2021]</w:t>
      </w:r>
    </w:p>
    <w:p w14:paraId="6D1D4C89" w14:textId="2C93F6D8" w:rsidR="00FA08B6" w:rsidRPr="00D8262E" w:rsidRDefault="0042251E" w:rsidP="00420393">
      <w:pPr>
        <w:pStyle w:val="base-text-paragraph"/>
        <w:numPr>
          <w:ilvl w:val="1"/>
          <w:numId w:val="23"/>
        </w:numPr>
        <w:rPr>
          <w:rStyle w:val="Referencingstyle"/>
          <w:b w:val="0"/>
          <w:sz w:val="22"/>
        </w:rPr>
      </w:pPr>
      <w:r w:rsidRPr="00762E15">
        <w:rPr>
          <w:iCs/>
        </w:rPr>
        <w:t xml:space="preserve"> </w:t>
      </w:r>
      <w:r w:rsidR="00521918" w:rsidRPr="00762E15">
        <w:rPr>
          <w:iCs/>
        </w:rPr>
        <w:t xml:space="preserve">The Bill amends the </w:t>
      </w:r>
      <w:r w:rsidR="00521918" w:rsidRPr="00762E15">
        <w:rPr>
          <w:i/>
        </w:rPr>
        <w:t xml:space="preserve">Financial Sector (Transfer and Restructure) Act 1999 </w:t>
      </w:r>
      <w:r w:rsidR="00521918" w:rsidRPr="00762E15">
        <w:rPr>
          <w:iCs/>
        </w:rPr>
        <w:t xml:space="preserve">to allow businesses undertaking a restructure because of an order under the Financial Accountability Regime to take advantage of the regulatory relief under that Act in certain circumstances. </w:t>
      </w:r>
      <w:r w:rsidR="00521918" w:rsidRPr="00762E15">
        <w:rPr>
          <w:i/>
        </w:rPr>
        <w:t xml:space="preserve"> </w:t>
      </w:r>
      <w:r w:rsidR="00521918" w:rsidRPr="00762E15">
        <w:rPr>
          <w:rStyle w:val="Referencingstyle"/>
        </w:rPr>
        <w:t xml:space="preserve">[Schedule 1 item </w:t>
      </w:r>
      <w:r w:rsidR="008074C9">
        <w:rPr>
          <w:rStyle w:val="Referencingstyle"/>
        </w:rPr>
        <w:t>29</w:t>
      </w:r>
      <w:r w:rsidR="00521918" w:rsidRPr="00762E15">
        <w:rPr>
          <w:rStyle w:val="Referencingstyle"/>
        </w:rPr>
        <w:t xml:space="preserve">, section </w:t>
      </w:r>
      <w:r w:rsidR="00E00F5C" w:rsidRPr="00762E15">
        <w:rPr>
          <w:rStyle w:val="Referencingstyle"/>
        </w:rPr>
        <w:t>36B of the Financial Sector (Transfer and Restructure) Act 1999</w:t>
      </w:r>
      <w:r w:rsidR="00521918" w:rsidRPr="00762E15">
        <w:rPr>
          <w:rStyle w:val="Referencingstyle"/>
        </w:rPr>
        <w:t>]</w:t>
      </w:r>
    </w:p>
    <w:p w14:paraId="3FDF1E53" w14:textId="72A6BFA9" w:rsidR="00D8262E" w:rsidRPr="00762E15" w:rsidRDefault="00D8262E" w:rsidP="00D8262E">
      <w:pPr>
        <w:pStyle w:val="base-text-paragraph"/>
        <w:numPr>
          <w:ilvl w:val="1"/>
          <w:numId w:val="23"/>
        </w:numPr>
        <w:rPr>
          <w:rStyle w:val="Referencingstyle"/>
          <w:b w:val="0"/>
          <w:i w:val="0"/>
          <w:sz w:val="22"/>
        </w:rPr>
      </w:pPr>
      <w:r w:rsidRPr="00762E15">
        <w:t xml:space="preserve">The Bill amends the </w:t>
      </w:r>
      <w:r w:rsidRPr="00762E15">
        <w:rPr>
          <w:i/>
          <w:iCs/>
        </w:rPr>
        <w:t xml:space="preserve">Payment Systems and Netting Act 1998 </w:t>
      </w:r>
      <w:r w:rsidRPr="00762E15">
        <w:t xml:space="preserve">to ensure the directions </w:t>
      </w:r>
      <w:r w:rsidR="00CB5987">
        <w:t>given</w:t>
      </w:r>
      <w:r w:rsidR="00CB5987" w:rsidRPr="00762E15">
        <w:t xml:space="preserve"> </w:t>
      </w:r>
      <w:r w:rsidRPr="00762E15">
        <w:t xml:space="preserve">under the Financial Accountability Regime operate consistently with the legal framework governing payment systems in Australia. </w:t>
      </w:r>
      <w:r w:rsidRPr="00762E15">
        <w:rPr>
          <w:rStyle w:val="Referencingstyle"/>
        </w:rPr>
        <w:t xml:space="preserve">[Schedule 1 items </w:t>
      </w:r>
      <w:r w:rsidR="00A26DFE">
        <w:rPr>
          <w:rStyle w:val="Referencingstyle"/>
        </w:rPr>
        <w:t>66</w:t>
      </w:r>
      <w:r w:rsidRPr="00762E15">
        <w:rPr>
          <w:rStyle w:val="Referencingstyle"/>
        </w:rPr>
        <w:t xml:space="preserve"> to </w:t>
      </w:r>
      <w:r w:rsidR="00A26DFE">
        <w:rPr>
          <w:rStyle w:val="Referencingstyle"/>
        </w:rPr>
        <w:t>67</w:t>
      </w:r>
      <w:r w:rsidRPr="00762E15">
        <w:rPr>
          <w:rStyle w:val="Referencingstyle"/>
        </w:rPr>
        <w:t>, section 5 of the Payment Systems and Netting Act 1998]</w:t>
      </w:r>
    </w:p>
    <w:p w14:paraId="78082893" w14:textId="0213A657" w:rsidR="00D8262E" w:rsidRPr="00D8262E" w:rsidRDefault="00D8262E" w:rsidP="00D8262E">
      <w:pPr>
        <w:pStyle w:val="Heading4"/>
      </w:pPr>
      <w:r>
        <w:t xml:space="preserve">Consequential amendments to the insurance and superannuation </w:t>
      </w:r>
      <w:r w:rsidR="000C404E">
        <w:t>legislation</w:t>
      </w:r>
    </w:p>
    <w:p w14:paraId="4013C56D" w14:textId="2F3D7DE4" w:rsidR="00D8262E" w:rsidRPr="00D8262E" w:rsidRDefault="001C508B" w:rsidP="00420393">
      <w:pPr>
        <w:pStyle w:val="base-text-paragraph"/>
        <w:numPr>
          <w:ilvl w:val="1"/>
          <w:numId w:val="23"/>
        </w:numPr>
        <w:rPr>
          <w:i/>
        </w:rPr>
      </w:pPr>
      <w:r>
        <w:rPr>
          <w:iCs/>
        </w:rPr>
        <w:t xml:space="preserve">The Bill amends the </w:t>
      </w:r>
      <w:r>
        <w:rPr>
          <w:i/>
        </w:rPr>
        <w:t xml:space="preserve">Insurance Act 1973, Life Insurance Act 1995, Private Health Insurance Act (Prudential Supervision) Act 2015 </w:t>
      </w:r>
      <w:r>
        <w:rPr>
          <w:iCs/>
        </w:rPr>
        <w:t xml:space="preserve">and the </w:t>
      </w:r>
      <w:r>
        <w:rPr>
          <w:i/>
        </w:rPr>
        <w:t>Superannuation Industry (Supervision)</w:t>
      </w:r>
      <w:r w:rsidR="00D8262E">
        <w:rPr>
          <w:i/>
        </w:rPr>
        <w:t xml:space="preserve"> Act 1993 </w:t>
      </w:r>
      <w:r w:rsidR="00D8262E">
        <w:rPr>
          <w:iCs/>
        </w:rPr>
        <w:t>in similar ways</w:t>
      </w:r>
      <w:r w:rsidR="00FC73E7">
        <w:rPr>
          <w:iCs/>
        </w:rPr>
        <w:t xml:space="preserve"> to amendments of legislation applying to the banking sector</w:t>
      </w:r>
      <w:r w:rsidR="00D8262E">
        <w:rPr>
          <w:iCs/>
        </w:rPr>
        <w:t xml:space="preserve">. </w:t>
      </w:r>
    </w:p>
    <w:p w14:paraId="5BA60BD9" w14:textId="7B55319D" w:rsidR="001C508B" w:rsidRPr="001C508B" w:rsidRDefault="00D8262E" w:rsidP="00420393">
      <w:pPr>
        <w:pStyle w:val="base-text-paragraph"/>
        <w:numPr>
          <w:ilvl w:val="1"/>
          <w:numId w:val="23"/>
        </w:numPr>
        <w:rPr>
          <w:i/>
        </w:rPr>
      </w:pPr>
      <w:r>
        <w:rPr>
          <w:iCs/>
        </w:rPr>
        <w:t xml:space="preserve">The Bill gives </w:t>
      </w:r>
      <w:r w:rsidR="005174FE">
        <w:rPr>
          <w:iCs/>
        </w:rPr>
        <w:t>APRA</w:t>
      </w:r>
      <w:r>
        <w:rPr>
          <w:iCs/>
        </w:rPr>
        <w:t xml:space="preserve"> the power to revoke the authorisation for accountable entities under those </w:t>
      </w:r>
      <w:r w:rsidR="00320260">
        <w:rPr>
          <w:iCs/>
        </w:rPr>
        <w:t>A</w:t>
      </w:r>
      <w:r>
        <w:rPr>
          <w:iCs/>
        </w:rPr>
        <w:t xml:space="preserve">cts and clarifies the roles of auditors </w:t>
      </w:r>
      <w:r w:rsidR="00375519">
        <w:rPr>
          <w:iCs/>
        </w:rPr>
        <w:t xml:space="preserve">and actuaries </w:t>
      </w:r>
      <w:r>
        <w:rPr>
          <w:iCs/>
        </w:rPr>
        <w:t xml:space="preserve">of those entities under the Financial Accountability Regime. </w:t>
      </w:r>
    </w:p>
    <w:p w14:paraId="340BFF8A" w14:textId="4D94AC78" w:rsidR="00E00F5C" w:rsidRPr="00762E15" w:rsidRDefault="00425C90" w:rsidP="00420393">
      <w:pPr>
        <w:pStyle w:val="base-text-paragraph"/>
        <w:numPr>
          <w:ilvl w:val="1"/>
          <w:numId w:val="23"/>
        </w:numPr>
        <w:rPr>
          <w:i/>
        </w:rPr>
      </w:pPr>
      <w:r w:rsidRPr="00762E15">
        <w:t>The Bill amends the</w:t>
      </w:r>
      <w:r w:rsidRPr="00762E15">
        <w:rPr>
          <w:i/>
        </w:rPr>
        <w:t xml:space="preserve"> Insurance Act 197</w:t>
      </w:r>
      <w:r w:rsidR="007B00E1">
        <w:rPr>
          <w:i/>
        </w:rPr>
        <w:t xml:space="preserve">3 </w:t>
      </w:r>
      <w:r w:rsidR="007B00E1">
        <w:rPr>
          <w:iCs/>
        </w:rPr>
        <w:t>to</w:t>
      </w:r>
      <w:r w:rsidR="00D8262E">
        <w:rPr>
          <w:i/>
        </w:rPr>
        <w:t>:</w:t>
      </w:r>
    </w:p>
    <w:p w14:paraId="2868AA8D" w14:textId="33C5FC7C" w:rsidR="00425C90" w:rsidRPr="00762E15" w:rsidRDefault="00AD082E" w:rsidP="009874D2">
      <w:pPr>
        <w:pStyle w:val="dotpoint"/>
        <w:rPr>
          <w:rStyle w:val="Referencingstyle"/>
          <w:b w:val="0"/>
          <w:sz w:val="22"/>
        </w:rPr>
      </w:pPr>
      <w:r>
        <w:t>extend</w:t>
      </w:r>
      <w:r w:rsidR="00EA216E" w:rsidRPr="00762E15">
        <w:t xml:space="preserve"> </w:t>
      </w:r>
      <w:r w:rsidR="005174FE">
        <w:rPr>
          <w:bCs/>
          <w:iCs/>
        </w:rPr>
        <w:t>APRA</w:t>
      </w:r>
      <w:r>
        <w:rPr>
          <w:bCs/>
          <w:iCs/>
        </w:rPr>
        <w:t>’s</w:t>
      </w:r>
      <w:r w:rsidR="00425C90" w:rsidRPr="00762E15">
        <w:t xml:space="preserve"> </w:t>
      </w:r>
      <w:r w:rsidR="00EA216E" w:rsidRPr="00762E15">
        <w:t>power to</w:t>
      </w:r>
      <w:r w:rsidR="00425C90" w:rsidRPr="00762E15">
        <w:t xml:space="preserve"> revoke a general insurer’s authorisation or a </w:t>
      </w:r>
      <w:r w:rsidR="003E4B79">
        <w:t>non-operating holding company</w:t>
      </w:r>
      <w:r w:rsidR="00064DE9">
        <w:t xml:space="preserve"> of a general insurer</w:t>
      </w:r>
      <w:r w:rsidR="003E4B79">
        <w:t>’s</w:t>
      </w:r>
      <w:r w:rsidR="00425C90" w:rsidRPr="00762E15">
        <w:t xml:space="preserve"> authorisation </w:t>
      </w:r>
      <w:r>
        <w:t>for failure to comply with certain laws, to a</w:t>
      </w:r>
      <w:r w:rsidR="00425C90" w:rsidRPr="00762E15">
        <w:t xml:space="preserve"> failure to comply with the Financial Accountability Regime</w:t>
      </w:r>
      <w:r w:rsidR="009874D2" w:rsidRPr="008074C9">
        <w:rPr>
          <w:iCs/>
        </w:rPr>
        <w:t>;</w:t>
      </w:r>
      <w:r w:rsidR="00425C90" w:rsidRPr="008074C9">
        <w:rPr>
          <w:iCs/>
        </w:rPr>
        <w:t xml:space="preserve"> </w:t>
      </w:r>
      <w:r w:rsidR="00425C90" w:rsidRPr="00762E15">
        <w:rPr>
          <w:rStyle w:val="Referencingstyle"/>
        </w:rPr>
        <w:t xml:space="preserve">[Schedule </w:t>
      </w:r>
      <w:r w:rsidR="009874D2" w:rsidRPr="00762E15">
        <w:rPr>
          <w:rStyle w:val="Referencingstyle"/>
        </w:rPr>
        <w:t>1</w:t>
      </w:r>
      <w:r w:rsidR="00425C90" w:rsidRPr="00762E15">
        <w:rPr>
          <w:rStyle w:val="Referencingstyle"/>
        </w:rPr>
        <w:t xml:space="preserve"> items </w:t>
      </w:r>
      <w:r w:rsidR="00114A2A">
        <w:rPr>
          <w:rStyle w:val="Referencingstyle"/>
        </w:rPr>
        <w:t>30</w:t>
      </w:r>
      <w:r w:rsidR="009874D2" w:rsidRPr="00762E15">
        <w:rPr>
          <w:rStyle w:val="Referencingstyle"/>
        </w:rPr>
        <w:t xml:space="preserve"> and </w:t>
      </w:r>
      <w:r w:rsidR="00114A2A">
        <w:rPr>
          <w:rStyle w:val="Referencingstyle"/>
        </w:rPr>
        <w:t>31</w:t>
      </w:r>
      <w:r w:rsidR="009874D2" w:rsidRPr="00762E15">
        <w:rPr>
          <w:rStyle w:val="Referencingstyle"/>
        </w:rPr>
        <w:t>, sections 15 and 21 of the Insurance Act 1973</w:t>
      </w:r>
      <w:r w:rsidR="00425C90" w:rsidRPr="00762E15">
        <w:rPr>
          <w:rStyle w:val="Referencingstyle"/>
        </w:rPr>
        <w:t>]</w:t>
      </w:r>
    </w:p>
    <w:p w14:paraId="2807B72B" w14:textId="5811FD5C" w:rsidR="009874D2" w:rsidRPr="00762E15" w:rsidRDefault="009874D2" w:rsidP="009874D2">
      <w:pPr>
        <w:pStyle w:val="dotpoint"/>
        <w:rPr>
          <w:rStyle w:val="Referencingstyle"/>
          <w:b w:val="0"/>
          <w:sz w:val="22"/>
        </w:rPr>
      </w:pPr>
      <w:r w:rsidRPr="00762E15">
        <w:t xml:space="preserve">have a person disqualified from being able to act for a general insurer or a general </w:t>
      </w:r>
      <w:proofErr w:type="gramStart"/>
      <w:r w:rsidRPr="00762E15">
        <w:t>insurer’s</w:t>
      </w:r>
      <w:proofErr w:type="gramEnd"/>
      <w:r w:rsidRPr="00762E15">
        <w:t xml:space="preserve"> authorised </w:t>
      </w:r>
      <w:r w:rsidR="00375519">
        <w:t>non</w:t>
      </w:r>
      <w:r w:rsidR="00870E7C">
        <w:noBreakHyphen/>
      </w:r>
      <w:r w:rsidR="00375519">
        <w:t>operating holding company</w:t>
      </w:r>
      <w:r w:rsidR="00375519" w:rsidRPr="00762E15">
        <w:t xml:space="preserve"> </w:t>
      </w:r>
      <w:r w:rsidRPr="00762E15">
        <w:t xml:space="preserve">if </w:t>
      </w:r>
      <w:r w:rsidR="00114A2A">
        <w:t xml:space="preserve">the person has committed </w:t>
      </w:r>
      <w:r w:rsidR="00114A2A">
        <w:lastRenderedPageBreak/>
        <w:t xml:space="preserve">an </w:t>
      </w:r>
      <w:r w:rsidRPr="00762E15">
        <w:t xml:space="preserve">offence </w:t>
      </w:r>
      <w:r w:rsidR="00114A2A">
        <w:t>under</w:t>
      </w:r>
      <w:r w:rsidRPr="00762E15">
        <w:t xml:space="preserve"> the Financial Accountability Regime</w:t>
      </w:r>
      <w:r w:rsidRPr="00762E15">
        <w:rPr>
          <w:i/>
        </w:rPr>
        <w:t>;</w:t>
      </w:r>
      <w:r w:rsidRPr="00762E15">
        <w:t xml:space="preserve"> </w:t>
      </w:r>
      <w:r w:rsidRPr="00762E15">
        <w:rPr>
          <w:rStyle w:val="Referencingstyle"/>
        </w:rPr>
        <w:t>[Schedule 1 item</w:t>
      </w:r>
      <w:r w:rsidR="00397B73" w:rsidRPr="00762E15">
        <w:rPr>
          <w:rStyle w:val="Referencingstyle"/>
        </w:rPr>
        <w:t xml:space="preserve"> </w:t>
      </w:r>
      <w:r w:rsidR="001F68CD">
        <w:rPr>
          <w:rStyle w:val="Referencingstyle"/>
        </w:rPr>
        <w:t>32</w:t>
      </w:r>
      <w:r w:rsidR="00397B73" w:rsidRPr="00762E15">
        <w:rPr>
          <w:rStyle w:val="Referencingstyle"/>
        </w:rPr>
        <w:t>,</w:t>
      </w:r>
      <w:r w:rsidRPr="00762E15">
        <w:rPr>
          <w:rStyle w:val="Referencingstyle"/>
        </w:rPr>
        <w:t xml:space="preserve"> </w:t>
      </w:r>
      <w:r w:rsidR="00397B73" w:rsidRPr="00762E15">
        <w:rPr>
          <w:rStyle w:val="Referencingstyle"/>
        </w:rPr>
        <w:t>section 25</w:t>
      </w:r>
      <w:r w:rsidRPr="00762E15">
        <w:rPr>
          <w:rStyle w:val="Referencingstyle"/>
        </w:rPr>
        <w:t xml:space="preserve"> of the Insurance Act 1973]</w:t>
      </w:r>
    </w:p>
    <w:p w14:paraId="2DB44D04" w14:textId="73750950" w:rsidR="009874D2" w:rsidRPr="00762E15" w:rsidRDefault="00397B73" w:rsidP="009874D2">
      <w:pPr>
        <w:pStyle w:val="dotpoint"/>
        <w:rPr>
          <w:i/>
        </w:rPr>
      </w:pPr>
      <w:bookmarkStart w:id="34" w:name="_Hlk81301036"/>
      <w:r w:rsidRPr="00762E15">
        <w:t xml:space="preserve">require a general insurer to end an </w:t>
      </w:r>
      <w:r w:rsidR="00AD082E">
        <w:t>auditor or actuary’s appointment</w:t>
      </w:r>
      <w:r w:rsidR="009874D2" w:rsidRPr="00762E15">
        <w:t xml:space="preserve"> </w:t>
      </w:r>
      <w:bookmarkEnd w:id="34"/>
      <w:r w:rsidRPr="00762E15">
        <w:t>if they fail to comply with a requirement of the Financial Accountability Regime</w:t>
      </w:r>
      <w:r w:rsidR="009874D2" w:rsidRPr="00762E15">
        <w:rPr>
          <w:iCs/>
        </w:rPr>
        <w:t>;</w:t>
      </w:r>
      <w:r w:rsidR="009874D2" w:rsidRPr="00762E15">
        <w:t xml:space="preserve"> </w:t>
      </w:r>
      <w:r w:rsidR="009874D2" w:rsidRPr="00762E15">
        <w:rPr>
          <w:rStyle w:val="Referencingstyle"/>
        </w:rPr>
        <w:t>[Schedule 1 item</w:t>
      </w:r>
      <w:r w:rsidRPr="00762E15">
        <w:rPr>
          <w:rStyle w:val="Referencingstyle"/>
        </w:rPr>
        <w:t xml:space="preserve">s </w:t>
      </w:r>
      <w:r w:rsidR="00AD082E">
        <w:rPr>
          <w:rStyle w:val="Referencingstyle"/>
        </w:rPr>
        <w:t>33</w:t>
      </w:r>
      <w:r w:rsidRPr="00762E15">
        <w:rPr>
          <w:rStyle w:val="Referencingstyle"/>
        </w:rPr>
        <w:t xml:space="preserve"> to </w:t>
      </w:r>
      <w:r w:rsidR="00AD082E">
        <w:rPr>
          <w:rStyle w:val="Referencingstyle"/>
        </w:rPr>
        <w:t>35</w:t>
      </w:r>
      <w:r w:rsidR="009874D2" w:rsidRPr="00762E15">
        <w:rPr>
          <w:rStyle w:val="Referencingstyle"/>
        </w:rPr>
        <w:t xml:space="preserve">, </w:t>
      </w:r>
      <w:r w:rsidRPr="00762E15">
        <w:rPr>
          <w:rStyle w:val="Referencingstyle"/>
        </w:rPr>
        <w:t xml:space="preserve">sections 43 and 44 </w:t>
      </w:r>
      <w:r w:rsidR="009874D2" w:rsidRPr="00762E15">
        <w:rPr>
          <w:rStyle w:val="Referencingstyle"/>
        </w:rPr>
        <w:t>of the Insurance Act 1973]</w:t>
      </w:r>
    </w:p>
    <w:p w14:paraId="3C0AE842" w14:textId="15208BC2" w:rsidR="00397B73" w:rsidRPr="00762E15" w:rsidRDefault="00AD082E" w:rsidP="00397B73">
      <w:pPr>
        <w:pStyle w:val="dotpoint"/>
        <w:rPr>
          <w:i/>
        </w:rPr>
      </w:pPr>
      <w:r>
        <w:t>exten</w:t>
      </w:r>
      <w:r w:rsidR="00612810">
        <w:t>d</w:t>
      </w:r>
      <w:r w:rsidR="00AE33A1" w:rsidRPr="00762E15">
        <w:t xml:space="preserve"> APRA</w:t>
      </w:r>
      <w:r>
        <w:t>’s power</w:t>
      </w:r>
      <w:r w:rsidR="00AE33A1" w:rsidRPr="00762E15">
        <w:t xml:space="preserve"> to refer </w:t>
      </w:r>
      <w:r>
        <w:t>an auditor or actuary</w:t>
      </w:r>
      <w:r w:rsidR="00AE33A1" w:rsidRPr="00762E15">
        <w:t xml:space="preserve"> to a professional association for auditors and actuaries </w:t>
      </w:r>
      <w:r>
        <w:t xml:space="preserve">for failing to carry out their duties under certain laws, </w:t>
      </w:r>
      <w:r w:rsidR="00AE33A1" w:rsidRPr="00762E15">
        <w:t>if they consider that the auditor or actuary has failed to perform their duties under the Financial Accountability Regime</w:t>
      </w:r>
      <w:r w:rsidR="00397B73" w:rsidRPr="00762E15">
        <w:rPr>
          <w:iCs/>
        </w:rPr>
        <w:t>;</w:t>
      </w:r>
      <w:r w:rsidR="00397B73" w:rsidRPr="00762E15">
        <w:t xml:space="preserve"> </w:t>
      </w:r>
      <w:r w:rsidR="00397B73" w:rsidRPr="00762E15">
        <w:rPr>
          <w:rStyle w:val="Referencingstyle"/>
        </w:rPr>
        <w:t>[Schedule 1 item</w:t>
      </w:r>
      <w:r w:rsidR="00AE33A1" w:rsidRPr="00762E15">
        <w:rPr>
          <w:rStyle w:val="Referencingstyle"/>
        </w:rPr>
        <w:t xml:space="preserve"> </w:t>
      </w:r>
      <w:r>
        <w:rPr>
          <w:rStyle w:val="Referencingstyle"/>
        </w:rPr>
        <w:t>36</w:t>
      </w:r>
      <w:r w:rsidR="00397B73" w:rsidRPr="00762E15">
        <w:rPr>
          <w:rStyle w:val="Referencingstyle"/>
        </w:rPr>
        <w:t>, section</w:t>
      </w:r>
      <w:r w:rsidR="00AE33A1" w:rsidRPr="00762E15">
        <w:rPr>
          <w:rStyle w:val="Referencingstyle"/>
        </w:rPr>
        <w:t xml:space="preserve"> 48 </w:t>
      </w:r>
      <w:r w:rsidR="00397B73" w:rsidRPr="00762E15">
        <w:rPr>
          <w:rStyle w:val="Referencingstyle"/>
        </w:rPr>
        <w:t>of the Insurance Act 1973]</w:t>
      </w:r>
    </w:p>
    <w:p w14:paraId="0EFD5738" w14:textId="14B3EC13" w:rsidR="009874D2" w:rsidRPr="00762E15" w:rsidRDefault="00612810" w:rsidP="009874D2">
      <w:pPr>
        <w:pStyle w:val="dotpoint"/>
        <w:rPr>
          <w:rStyle w:val="Referencingstyle"/>
          <w:b w:val="0"/>
          <w:sz w:val="22"/>
        </w:rPr>
      </w:pPr>
      <w:r>
        <w:rPr>
          <w:iCs/>
        </w:rPr>
        <w:t>extend</w:t>
      </w:r>
      <w:r w:rsidR="005E08D0" w:rsidRPr="00762E15">
        <w:rPr>
          <w:iCs/>
        </w:rPr>
        <w:t xml:space="preserve"> the duties for auditors </w:t>
      </w:r>
      <w:r w:rsidR="001B45DF">
        <w:rPr>
          <w:iCs/>
        </w:rPr>
        <w:t xml:space="preserve">and actuaries </w:t>
      </w:r>
      <w:r w:rsidR="005E08D0" w:rsidRPr="00762E15">
        <w:rPr>
          <w:iCs/>
        </w:rPr>
        <w:t xml:space="preserve">to provide information to APRA </w:t>
      </w:r>
      <w:r>
        <w:rPr>
          <w:iCs/>
        </w:rPr>
        <w:t>to assist APRA performing its duties under certain legislation, to</w:t>
      </w:r>
      <w:r w:rsidR="005E08D0" w:rsidRPr="00762E15">
        <w:rPr>
          <w:iCs/>
        </w:rPr>
        <w:t xml:space="preserve"> situations where APRA is performing duties under the Financial Accountability Regime; </w:t>
      </w:r>
      <w:r w:rsidR="005E08D0" w:rsidRPr="00762E15">
        <w:rPr>
          <w:rStyle w:val="Referencingstyle"/>
        </w:rPr>
        <w:t>[Schedule 1 item</w:t>
      </w:r>
      <w:r w:rsidR="009C5D1C" w:rsidRPr="00762E15">
        <w:rPr>
          <w:rStyle w:val="Referencingstyle"/>
        </w:rPr>
        <w:t>s</w:t>
      </w:r>
      <w:r w:rsidR="005E08D0" w:rsidRPr="00762E15">
        <w:rPr>
          <w:rStyle w:val="Referencingstyle"/>
        </w:rPr>
        <w:t xml:space="preserve"> </w:t>
      </w:r>
      <w:r w:rsidR="00904A0D">
        <w:rPr>
          <w:rStyle w:val="Referencingstyle"/>
        </w:rPr>
        <w:t>37</w:t>
      </w:r>
      <w:r w:rsidR="009C5D1C" w:rsidRPr="00762E15">
        <w:rPr>
          <w:rStyle w:val="Referencingstyle"/>
        </w:rPr>
        <w:t xml:space="preserve"> to </w:t>
      </w:r>
      <w:r w:rsidR="00904A0D">
        <w:rPr>
          <w:rStyle w:val="Referencingstyle"/>
        </w:rPr>
        <w:t>39</w:t>
      </w:r>
      <w:r w:rsidR="005E08D0" w:rsidRPr="00762E15">
        <w:rPr>
          <w:rStyle w:val="Referencingstyle"/>
        </w:rPr>
        <w:t>, section</w:t>
      </w:r>
      <w:r w:rsidR="009C5D1C" w:rsidRPr="00762E15">
        <w:rPr>
          <w:rStyle w:val="Referencingstyle"/>
        </w:rPr>
        <w:t>s</w:t>
      </w:r>
      <w:r w:rsidR="005E08D0" w:rsidRPr="00762E15">
        <w:rPr>
          <w:rStyle w:val="Referencingstyle"/>
        </w:rPr>
        <w:t xml:space="preserve"> 49</w:t>
      </w:r>
      <w:r w:rsidR="009C5D1C" w:rsidRPr="00762E15">
        <w:rPr>
          <w:rStyle w:val="Referencingstyle"/>
        </w:rPr>
        <w:t xml:space="preserve"> to 49B</w:t>
      </w:r>
      <w:r w:rsidR="005E08D0" w:rsidRPr="00762E15">
        <w:rPr>
          <w:rStyle w:val="Referencingstyle"/>
        </w:rPr>
        <w:t xml:space="preserve"> of the Insurance Act 1973]</w:t>
      </w:r>
    </w:p>
    <w:p w14:paraId="24B06D29" w14:textId="27D60782" w:rsidR="005E08D0" w:rsidRPr="00762E15" w:rsidRDefault="00904A0D" w:rsidP="009874D2">
      <w:pPr>
        <w:pStyle w:val="dotpoint"/>
        <w:rPr>
          <w:rStyle w:val="Referencingstyle"/>
          <w:b w:val="0"/>
          <w:sz w:val="22"/>
        </w:rPr>
      </w:pPr>
      <w:r>
        <w:rPr>
          <w:iCs/>
        </w:rPr>
        <w:t>expand</w:t>
      </w:r>
      <w:r w:rsidR="009C5D1C" w:rsidRPr="00762E15">
        <w:rPr>
          <w:iCs/>
        </w:rPr>
        <w:t xml:space="preserve"> the grounds upon which a general insurer can be put under judicial management </w:t>
      </w:r>
      <w:r>
        <w:rPr>
          <w:iCs/>
        </w:rPr>
        <w:t xml:space="preserve">for failing to comply with certain legislation, </w:t>
      </w:r>
      <w:r w:rsidR="009C5D1C" w:rsidRPr="00762E15">
        <w:rPr>
          <w:iCs/>
        </w:rPr>
        <w:t xml:space="preserve">to include failing to comply with the Financial Accountability Regime; </w:t>
      </w:r>
      <w:r w:rsidR="00255875" w:rsidRPr="00762E15">
        <w:rPr>
          <w:iCs/>
        </w:rPr>
        <w:t xml:space="preserve">and </w:t>
      </w:r>
      <w:r w:rsidR="009C5D1C" w:rsidRPr="00762E15">
        <w:rPr>
          <w:rStyle w:val="Referencingstyle"/>
        </w:rPr>
        <w:t xml:space="preserve">[Schedule 1 items </w:t>
      </w:r>
      <w:r>
        <w:rPr>
          <w:rStyle w:val="Referencingstyle"/>
        </w:rPr>
        <w:t>40</w:t>
      </w:r>
      <w:r w:rsidR="009C5D1C" w:rsidRPr="00762E15">
        <w:rPr>
          <w:rStyle w:val="Referencingstyle"/>
        </w:rPr>
        <w:t xml:space="preserve"> to </w:t>
      </w:r>
      <w:r>
        <w:rPr>
          <w:rStyle w:val="Referencingstyle"/>
        </w:rPr>
        <w:t>42</w:t>
      </w:r>
      <w:r w:rsidR="009C5D1C" w:rsidRPr="00762E15">
        <w:rPr>
          <w:rStyle w:val="Referencingstyle"/>
        </w:rPr>
        <w:t>, sections 62M, 62</w:t>
      </w:r>
      <w:r w:rsidR="008C409E" w:rsidRPr="00762E15">
        <w:rPr>
          <w:rStyle w:val="Referencingstyle"/>
        </w:rPr>
        <w:t>W and 62ZO</w:t>
      </w:r>
      <w:r w:rsidR="001B45DF">
        <w:rPr>
          <w:rStyle w:val="Referencingstyle"/>
        </w:rPr>
        <w:t>Y</w:t>
      </w:r>
      <w:r w:rsidR="009C5D1C" w:rsidRPr="00762E15">
        <w:rPr>
          <w:rStyle w:val="Referencingstyle"/>
        </w:rPr>
        <w:t xml:space="preserve"> of the Insurance Act 1973]</w:t>
      </w:r>
    </w:p>
    <w:p w14:paraId="622275AB" w14:textId="1B0535A8" w:rsidR="00255875" w:rsidRPr="00762E15" w:rsidRDefault="00255875" w:rsidP="009874D2">
      <w:pPr>
        <w:pStyle w:val="dotpoint"/>
        <w:rPr>
          <w:i/>
        </w:rPr>
      </w:pPr>
      <w:r w:rsidRPr="00762E15">
        <w:rPr>
          <w:iCs/>
        </w:rPr>
        <w:t xml:space="preserve">ensure that institution of </w:t>
      </w:r>
      <w:r w:rsidR="00426F93" w:rsidRPr="00762E15">
        <w:rPr>
          <w:iCs/>
        </w:rPr>
        <w:t xml:space="preserve">proceedings against a body corporate under the Financial Accountability Regime does not prevent winding up or statutory management. </w:t>
      </w:r>
      <w:r w:rsidR="00426F93" w:rsidRPr="00762E15">
        <w:rPr>
          <w:rStyle w:val="Referencingstyle"/>
        </w:rPr>
        <w:t xml:space="preserve">[Schedule 1 item </w:t>
      </w:r>
      <w:r w:rsidR="001C508B">
        <w:rPr>
          <w:rStyle w:val="Referencingstyle"/>
        </w:rPr>
        <w:t>43</w:t>
      </w:r>
      <w:r w:rsidR="00426F93" w:rsidRPr="00762E15">
        <w:rPr>
          <w:rStyle w:val="Referencingstyle"/>
        </w:rPr>
        <w:t xml:space="preserve">, section </w:t>
      </w:r>
      <w:r w:rsidR="00DE45B6" w:rsidRPr="00762E15">
        <w:rPr>
          <w:rStyle w:val="Referencingstyle"/>
        </w:rPr>
        <w:t xml:space="preserve">129AA </w:t>
      </w:r>
      <w:r w:rsidR="00426F93" w:rsidRPr="00762E15">
        <w:rPr>
          <w:rStyle w:val="Referencingstyle"/>
        </w:rPr>
        <w:t>of the Insurance Act 1973]</w:t>
      </w:r>
    </w:p>
    <w:p w14:paraId="0602A4E3" w14:textId="77777777" w:rsidR="00EA216E" w:rsidRPr="00762E15" w:rsidRDefault="00425C90" w:rsidP="00420393">
      <w:pPr>
        <w:pStyle w:val="base-text-paragraph"/>
        <w:numPr>
          <w:ilvl w:val="1"/>
          <w:numId w:val="23"/>
        </w:numPr>
        <w:rPr>
          <w:i/>
        </w:rPr>
      </w:pPr>
      <w:r w:rsidRPr="00762E15">
        <w:t>The Bill amends the</w:t>
      </w:r>
      <w:r w:rsidRPr="00762E15">
        <w:rPr>
          <w:i/>
        </w:rPr>
        <w:t xml:space="preserve"> Life Insurance Act 1995</w:t>
      </w:r>
      <w:r w:rsidRPr="00762E15">
        <w:t xml:space="preserve"> to</w:t>
      </w:r>
      <w:r w:rsidR="00EA216E" w:rsidRPr="00762E15">
        <w:t>:</w:t>
      </w:r>
    </w:p>
    <w:p w14:paraId="04180B39" w14:textId="02D9EAA4" w:rsidR="00DE45B6" w:rsidRPr="00762E15" w:rsidRDefault="00DE45B6" w:rsidP="00EA216E">
      <w:pPr>
        <w:pStyle w:val="dotpoint"/>
        <w:rPr>
          <w:i/>
        </w:rPr>
      </w:pPr>
      <w:r w:rsidRPr="00762E15">
        <w:rPr>
          <w:iCs/>
        </w:rPr>
        <w:t xml:space="preserve">allow </w:t>
      </w:r>
      <w:r w:rsidR="00495A4F">
        <w:rPr>
          <w:iCs/>
        </w:rPr>
        <w:t>APRA</w:t>
      </w:r>
      <w:r w:rsidRPr="00762E15">
        <w:rPr>
          <w:iCs/>
        </w:rPr>
        <w:t xml:space="preserve"> to refuse to register a company under that Act if the company is unlikely to be able to meet the obligations under the Financial Accountability Regime;</w:t>
      </w:r>
      <w:r w:rsidRPr="00762E15">
        <w:rPr>
          <w:rStyle w:val="Referencingstyle"/>
        </w:rPr>
        <w:t xml:space="preserve"> [Schedule 1 item </w:t>
      </w:r>
      <w:r w:rsidR="007B00E1">
        <w:rPr>
          <w:rStyle w:val="Referencingstyle"/>
        </w:rPr>
        <w:t>44</w:t>
      </w:r>
      <w:r w:rsidRPr="00762E15">
        <w:rPr>
          <w:rStyle w:val="Referencingstyle"/>
        </w:rPr>
        <w:t>, section 21 of the Life Insurance Act 1995]</w:t>
      </w:r>
      <w:r w:rsidRPr="00762E15">
        <w:rPr>
          <w:iCs/>
        </w:rPr>
        <w:t xml:space="preserve"> </w:t>
      </w:r>
    </w:p>
    <w:p w14:paraId="5263B4D2" w14:textId="69BE73EE" w:rsidR="00425C90" w:rsidRPr="00762E15" w:rsidRDefault="00425C90" w:rsidP="00EA216E">
      <w:pPr>
        <w:pStyle w:val="dotpoint"/>
        <w:rPr>
          <w:rStyle w:val="Referencingstyle"/>
          <w:b w:val="0"/>
          <w:sz w:val="22"/>
        </w:rPr>
      </w:pPr>
      <w:r w:rsidRPr="00762E15">
        <w:t xml:space="preserve">allow </w:t>
      </w:r>
      <w:r w:rsidR="00495A4F">
        <w:rPr>
          <w:bCs/>
          <w:iCs/>
        </w:rPr>
        <w:t>APRA</w:t>
      </w:r>
      <w:r w:rsidRPr="00762E15">
        <w:t xml:space="preserve"> to revoke a </w:t>
      </w:r>
      <w:r w:rsidR="007F5815">
        <w:t xml:space="preserve">life </w:t>
      </w:r>
      <w:r w:rsidR="00493582">
        <w:t>company</w:t>
      </w:r>
      <w:r w:rsidR="007F5815">
        <w:t>’s</w:t>
      </w:r>
      <w:r w:rsidRPr="00762E15">
        <w:t xml:space="preserve"> registration, or a </w:t>
      </w:r>
      <w:r w:rsidR="007B00E1">
        <w:t>non-operating holding company</w:t>
      </w:r>
      <w:r w:rsidR="009E5F1D">
        <w:t xml:space="preserve"> of a life company</w:t>
      </w:r>
      <w:r w:rsidR="007B00E1">
        <w:t>’s</w:t>
      </w:r>
      <w:r w:rsidRPr="00762E15">
        <w:t xml:space="preserve"> registration, for failure to comply with the Financial Accountability Regime</w:t>
      </w:r>
      <w:r w:rsidR="00255875" w:rsidRPr="00762E15">
        <w:rPr>
          <w:iCs/>
        </w:rPr>
        <w:t>;</w:t>
      </w:r>
      <w:r w:rsidRPr="00762E15">
        <w:t xml:space="preserve"> </w:t>
      </w:r>
      <w:r w:rsidRPr="00762E15">
        <w:rPr>
          <w:rStyle w:val="Referencingstyle"/>
        </w:rPr>
        <w:t>[</w:t>
      </w:r>
      <w:r w:rsidR="00EC0469" w:rsidRPr="00762E15">
        <w:rPr>
          <w:rStyle w:val="Referencingstyle"/>
        </w:rPr>
        <w:t>Schedule 1 ite</w:t>
      </w:r>
      <w:r w:rsidR="00635054" w:rsidRPr="00762E15">
        <w:rPr>
          <w:rStyle w:val="Referencingstyle"/>
        </w:rPr>
        <w:t xml:space="preserve">ms </w:t>
      </w:r>
      <w:r w:rsidR="007F5815">
        <w:rPr>
          <w:rStyle w:val="Referencingstyle"/>
        </w:rPr>
        <w:t>45</w:t>
      </w:r>
      <w:r w:rsidR="00635054" w:rsidRPr="00762E15">
        <w:rPr>
          <w:rStyle w:val="Referencingstyle"/>
        </w:rPr>
        <w:t xml:space="preserve"> and </w:t>
      </w:r>
      <w:r w:rsidR="007F5815">
        <w:rPr>
          <w:rStyle w:val="Referencingstyle"/>
        </w:rPr>
        <w:t>46</w:t>
      </w:r>
      <w:r w:rsidR="00EC0469" w:rsidRPr="00762E15">
        <w:rPr>
          <w:rStyle w:val="Referencingstyle"/>
        </w:rPr>
        <w:t>, sections 26 and 28 of the Life Insurance Act 1995]</w:t>
      </w:r>
    </w:p>
    <w:p w14:paraId="7E9F05DE" w14:textId="4164F547" w:rsidR="00EC0469" w:rsidRPr="00762E15" w:rsidRDefault="007F5815" w:rsidP="00EC0469">
      <w:pPr>
        <w:pStyle w:val="dotpoint"/>
        <w:rPr>
          <w:rStyle w:val="Referencingstyle"/>
          <w:b w:val="0"/>
          <w:sz w:val="22"/>
        </w:rPr>
      </w:pPr>
      <w:r>
        <w:t>require a life company to end the appointment of an auditor or actuary if the life company is satisfied that the auditor or actuary has failed to perform their duties under the Financial Accountability Regime</w:t>
      </w:r>
      <w:r w:rsidR="00EC0469" w:rsidRPr="00762E15">
        <w:rPr>
          <w:iCs/>
        </w:rPr>
        <w:t>;</w:t>
      </w:r>
      <w:r w:rsidR="00EC0469" w:rsidRPr="00762E15">
        <w:t xml:space="preserve"> </w:t>
      </w:r>
      <w:r w:rsidR="00EC0469" w:rsidRPr="00762E15">
        <w:rPr>
          <w:rStyle w:val="Referencingstyle"/>
        </w:rPr>
        <w:t>[Schedule 1 item</w:t>
      </w:r>
      <w:r w:rsidR="00ED3360">
        <w:rPr>
          <w:rStyle w:val="Referencingstyle"/>
        </w:rPr>
        <w:t>s</w:t>
      </w:r>
      <w:r w:rsidR="00EC0469" w:rsidRPr="00762E15">
        <w:rPr>
          <w:rStyle w:val="Referencingstyle"/>
        </w:rPr>
        <w:t xml:space="preserve"> </w:t>
      </w:r>
      <w:r>
        <w:rPr>
          <w:rStyle w:val="Referencingstyle"/>
        </w:rPr>
        <w:t>47</w:t>
      </w:r>
      <w:r w:rsidR="00ED3360">
        <w:rPr>
          <w:rStyle w:val="Referencingstyle"/>
        </w:rPr>
        <w:t xml:space="preserve"> and 53</w:t>
      </w:r>
      <w:r w:rsidR="00EC0469" w:rsidRPr="00762E15">
        <w:rPr>
          <w:rStyle w:val="Referencingstyle"/>
        </w:rPr>
        <w:t>, section</w:t>
      </w:r>
      <w:r w:rsidR="00EF2ABA">
        <w:rPr>
          <w:rStyle w:val="Referencingstyle"/>
        </w:rPr>
        <w:t>s</w:t>
      </w:r>
      <w:r w:rsidR="00EC0469" w:rsidRPr="00762E15">
        <w:rPr>
          <w:rStyle w:val="Referencingstyle"/>
        </w:rPr>
        <w:t xml:space="preserve"> 85 </w:t>
      </w:r>
      <w:r w:rsidR="00EF2ABA">
        <w:rPr>
          <w:rStyle w:val="Referencingstyle"/>
        </w:rPr>
        <w:t xml:space="preserve">and 94 </w:t>
      </w:r>
      <w:r w:rsidR="00EC0469" w:rsidRPr="00762E15">
        <w:rPr>
          <w:rStyle w:val="Referencingstyle"/>
        </w:rPr>
        <w:t>of the Life Insurance Act 1995]</w:t>
      </w:r>
    </w:p>
    <w:p w14:paraId="0AB435B1" w14:textId="0F1C3047" w:rsidR="00F02B6A" w:rsidRPr="00762E15" w:rsidRDefault="00A02397" w:rsidP="00F02B6A">
      <w:pPr>
        <w:pStyle w:val="dotpoint"/>
        <w:rPr>
          <w:rStyle w:val="Referencingstyle"/>
          <w:b w:val="0"/>
          <w:sz w:val="22"/>
        </w:rPr>
      </w:pPr>
      <w:r w:rsidRPr="00762E15">
        <w:rPr>
          <w:rStyle w:val="Referencingstyle"/>
          <w:b w:val="0"/>
          <w:i w:val="0"/>
          <w:iCs/>
          <w:sz w:val="22"/>
        </w:rPr>
        <w:lastRenderedPageBreak/>
        <w:t xml:space="preserve">expand the obligations for auditors and actuaries to report information to APRA, either by their own motion or by request, to situations where there have been breaches of the Financial Accountability Regime; </w:t>
      </w:r>
      <w:r w:rsidRPr="00762E15">
        <w:rPr>
          <w:rStyle w:val="Referencingstyle"/>
        </w:rPr>
        <w:t xml:space="preserve">[Schedule 1 items </w:t>
      </w:r>
      <w:r w:rsidR="00F82C6D">
        <w:rPr>
          <w:rStyle w:val="Referencingstyle"/>
        </w:rPr>
        <w:t>48</w:t>
      </w:r>
      <w:r w:rsidRPr="00762E15">
        <w:rPr>
          <w:rStyle w:val="Referencingstyle"/>
        </w:rPr>
        <w:t xml:space="preserve"> to </w:t>
      </w:r>
      <w:r w:rsidR="00F82C6D">
        <w:rPr>
          <w:rStyle w:val="Referencingstyle"/>
        </w:rPr>
        <w:t>5</w:t>
      </w:r>
      <w:r w:rsidR="00ED3360">
        <w:rPr>
          <w:rStyle w:val="Referencingstyle"/>
        </w:rPr>
        <w:t>2 and 54 to 5</w:t>
      </w:r>
      <w:r w:rsidR="00F82C6D">
        <w:rPr>
          <w:rStyle w:val="Referencingstyle"/>
        </w:rPr>
        <w:t>8</w:t>
      </w:r>
      <w:r w:rsidR="00F02B6A" w:rsidRPr="00762E15">
        <w:rPr>
          <w:rStyle w:val="Referencingstyle"/>
        </w:rPr>
        <w:t xml:space="preserve">, </w:t>
      </w:r>
      <w:r w:rsidRPr="00762E15">
        <w:rPr>
          <w:rStyle w:val="Referencingstyle"/>
        </w:rPr>
        <w:t>sections 88 to 89 and 9</w:t>
      </w:r>
      <w:r w:rsidR="00ED3360">
        <w:rPr>
          <w:rStyle w:val="Referencingstyle"/>
        </w:rPr>
        <w:t>5</w:t>
      </w:r>
      <w:r w:rsidRPr="00762E15">
        <w:rPr>
          <w:rStyle w:val="Referencingstyle"/>
        </w:rPr>
        <w:t xml:space="preserve"> to 99 of the Life Insurance Act 1995]</w:t>
      </w:r>
    </w:p>
    <w:p w14:paraId="6728C399" w14:textId="2F622E6F" w:rsidR="00BC3E92" w:rsidRPr="00762E15" w:rsidRDefault="00AD5A99" w:rsidP="00F02B6A">
      <w:pPr>
        <w:pStyle w:val="dotpoint"/>
        <w:rPr>
          <w:i/>
        </w:rPr>
      </w:pPr>
      <w:r>
        <w:rPr>
          <w:iCs/>
        </w:rPr>
        <w:t>allow</w:t>
      </w:r>
      <w:r w:rsidR="00BC3E92" w:rsidRPr="00762E15">
        <w:rPr>
          <w:iCs/>
        </w:rPr>
        <w:t xml:space="preserve"> APRA to direct a life company to remove an actuary if they have failed to perform their duties under the Financial Accountability Regime; </w:t>
      </w:r>
      <w:r w:rsidR="00BC3E92" w:rsidRPr="00762E15">
        <w:rPr>
          <w:rStyle w:val="Referencingstyle"/>
        </w:rPr>
        <w:t>[Schedule 1 ite</w:t>
      </w:r>
      <w:r w:rsidR="0074034B" w:rsidRPr="00762E15">
        <w:rPr>
          <w:rStyle w:val="Referencingstyle"/>
        </w:rPr>
        <w:t xml:space="preserve">m </w:t>
      </w:r>
      <w:r w:rsidR="001A283A">
        <w:rPr>
          <w:rStyle w:val="Referencingstyle"/>
        </w:rPr>
        <w:t>59</w:t>
      </w:r>
      <w:r w:rsidR="0074034B" w:rsidRPr="00762E15">
        <w:rPr>
          <w:rStyle w:val="Referencingstyle"/>
        </w:rPr>
        <w:t>, section 125A of the Life Insurance Act 1995</w:t>
      </w:r>
      <w:r w:rsidR="00BC3E92" w:rsidRPr="00762E15">
        <w:rPr>
          <w:rStyle w:val="Referencingstyle"/>
        </w:rPr>
        <w:t>]</w:t>
      </w:r>
    </w:p>
    <w:p w14:paraId="3896EA76" w14:textId="43EA8C50" w:rsidR="0074034B" w:rsidRPr="00762E15" w:rsidRDefault="0074034B" w:rsidP="0074034B">
      <w:pPr>
        <w:pStyle w:val="dotpoint"/>
        <w:rPr>
          <w:i/>
        </w:rPr>
      </w:pPr>
      <w:r w:rsidRPr="00762E15">
        <w:rPr>
          <w:iCs/>
        </w:rPr>
        <w:t xml:space="preserve">ensure that institution of proceedings against a body corporate under the Financial Accountability Regime does not prevent winding up or statutory management; </w:t>
      </w:r>
      <w:r w:rsidRPr="00762E15">
        <w:rPr>
          <w:rStyle w:val="Referencingstyle"/>
        </w:rPr>
        <w:t xml:space="preserve">[Schedule 1 items </w:t>
      </w:r>
      <w:r w:rsidR="001A283A">
        <w:rPr>
          <w:rStyle w:val="Referencingstyle"/>
        </w:rPr>
        <w:t>60</w:t>
      </w:r>
      <w:r w:rsidRPr="00762E15">
        <w:rPr>
          <w:rStyle w:val="Referencingstyle"/>
        </w:rPr>
        <w:t xml:space="preserve"> and </w:t>
      </w:r>
      <w:r w:rsidR="001A283A">
        <w:rPr>
          <w:rStyle w:val="Referencingstyle"/>
        </w:rPr>
        <w:t>61</w:t>
      </w:r>
      <w:r w:rsidRPr="00762E15">
        <w:rPr>
          <w:rStyle w:val="Referencingstyle"/>
        </w:rPr>
        <w:t>, sections 166 and 179A</w:t>
      </w:r>
      <w:r w:rsidR="00FF2EB2">
        <w:rPr>
          <w:rStyle w:val="Referencingstyle"/>
        </w:rPr>
        <w:t>Y</w:t>
      </w:r>
      <w:r w:rsidRPr="00762E15">
        <w:rPr>
          <w:rStyle w:val="Referencingstyle"/>
        </w:rPr>
        <w:t xml:space="preserve"> of the Life Insurance Act 1995]</w:t>
      </w:r>
    </w:p>
    <w:p w14:paraId="0378BD8E" w14:textId="46E888AC" w:rsidR="00FF2EB2" w:rsidRPr="00762E15" w:rsidRDefault="00FF2EB2" w:rsidP="00FF2EB2">
      <w:pPr>
        <w:pStyle w:val="dotpoint"/>
        <w:rPr>
          <w:i/>
        </w:rPr>
      </w:pPr>
      <w:r w:rsidRPr="00762E15">
        <w:rPr>
          <w:iCs/>
        </w:rPr>
        <w:t>ensure individuals who commit offences against the Financial Accountability Regime cannot act as directors, princip</w:t>
      </w:r>
      <w:r>
        <w:rPr>
          <w:iCs/>
        </w:rPr>
        <w:t>a</w:t>
      </w:r>
      <w:r w:rsidRPr="00762E15">
        <w:rPr>
          <w:iCs/>
        </w:rPr>
        <w:t xml:space="preserve">l </w:t>
      </w:r>
      <w:r>
        <w:rPr>
          <w:iCs/>
        </w:rPr>
        <w:t xml:space="preserve">executive </w:t>
      </w:r>
      <w:r w:rsidRPr="00762E15">
        <w:rPr>
          <w:iCs/>
        </w:rPr>
        <w:t>officers or otherwise act for life companies</w:t>
      </w:r>
      <w:r w:rsidR="00632918">
        <w:rPr>
          <w:iCs/>
        </w:rPr>
        <w:t>; and</w:t>
      </w:r>
      <w:r w:rsidRPr="00762E15">
        <w:rPr>
          <w:iCs/>
        </w:rPr>
        <w:t xml:space="preserve"> </w:t>
      </w:r>
      <w:r w:rsidRPr="00762E15">
        <w:rPr>
          <w:rStyle w:val="Referencingstyle"/>
        </w:rPr>
        <w:t xml:space="preserve">[Schedule 1 item </w:t>
      </w:r>
      <w:r>
        <w:rPr>
          <w:rStyle w:val="Referencingstyle"/>
        </w:rPr>
        <w:t>62</w:t>
      </w:r>
      <w:r w:rsidRPr="00762E15">
        <w:rPr>
          <w:rStyle w:val="Referencingstyle"/>
        </w:rPr>
        <w:t>, section 245 of the Life Insurance Act 1995]</w:t>
      </w:r>
    </w:p>
    <w:p w14:paraId="2132BEB9" w14:textId="1918356E" w:rsidR="00F02B6A" w:rsidRPr="00762E15" w:rsidRDefault="0074034B" w:rsidP="00F02B6A">
      <w:pPr>
        <w:pStyle w:val="dotpoint"/>
        <w:rPr>
          <w:i/>
        </w:rPr>
      </w:pPr>
      <w:r w:rsidRPr="00762E15">
        <w:rPr>
          <w:iCs/>
        </w:rPr>
        <w:t xml:space="preserve">ensure that institution of proceedings against a body corporate under the </w:t>
      </w:r>
      <w:r w:rsidRPr="00762E15">
        <w:rPr>
          <w:i/>
        </w:rPr>
        <w:t xml:space="preserve">Life Insurance Act 1995 </w:t>
      </w:r>
      <w:r w:rsidRPr="00762E15">
        <w:rPr>
          <w:iCs/>
        </w:rPr>
        <w:t>does not prevent the institution of proceedings under the Financial Accountability Regime</w:t>
      </w:r>
      <w:r w:rsidR="00632918">
        <w:rPr>
          <w:iCs/>
        </w:rPr>
        <w:t>.</w:t>
      </w:r>
      <w:r w:rsidRPr="00762E15">
        <w:rPr>
          <w:iCs/>
        </w:rPr>
        <w:t xml:space="preserve"> </w:t>
      </w:r>
      <w:r w:rsidRPr="00762E15">
        <w:rPr>
          <w:rStyle w:val="Referencingstyle"/>
        </w:rPr>
        <w:t>[Schedule 1 item</w:t>
      </w:r>
      <w:r w:rsidR="004B2E1B" w:rsidRPr="00762E15">
        <w:rPr>
          <w:rStyle w:val="Referencingstyle"/>
        </w:rPr>
        <w:t xml:space="preserve"> </w:t>
      </w:r>
      <w:r w:rsidR="001A283A">
        <w:rPr>
          <w:rStyle w:val="Referencingstyle"/>
        </w:rPr>
        <w:t>63</w:t>
      </w:r>
      <w:r w:rsidR="004B2E1B" w:rsidRPr="00762E15">
        <w:rPr>
          <w:rStyle w:val="Referencingstyle"/>
        </w:rPr>
        <w:t xml:space="preserve">, section 248 </w:t>
      </w:r>
      <w:r w:rsidRPr="00762E15">
        <w:rPr>
          <w:rStyle w:val="Referencingstyle"/>
        </w:rPr>
        <w:t>of the Life Insurance Act 1995]</w:t>
      </w:r>
    </w:p>
    <w:p w14:paraId="7515107E" w14:textId="357C54C4" w:rsidR="00BB61DD" w:rsidRPr="00762E15" w:rsidRDefault="00BB61DD" w:rsidP="00D53134">
      <w:pPr>
        <w:pStyle w:val="base-text-paragraph"/>
        <w:numPr>
          <w:ilvl w:val="1"/>
          <w:numId w:val="23"/>
        </w:numPr>
      </w:pPr>
      <w:r w:rsidRPr="00762E15">
        <w:t xml:space="preserve">The Bill amends the </w:t>
      </w:r>
      <w:r w:rsidRPr="00762E15">
        <w:rPr>
          <w:i/>
          <w:iCs/>
        </w:rPr>
        <w:t xml:space="preserve">Private Health Insurance (Prudential Supervision) Act 2015 </w:t>
      </w:r>
      <w:r w:rsidRPr="00762E15">
        <w:t>to:</w:t>
      </w:r>
    </w:p>
    <w:p w14:paraId="7DCCBAA4" w14:textId="48820DEA" w:rsidR="00BB61DD" w:rsidRPr="00762E15" w:rsidRDefault="00BB61DD" w:rsidP="00BB61DD">
      <w:pPr>
        <w:pStyle w:val="dotpoint"/>
        <w:rPr>
          <w:rStyle w:val="Referencingstyle"/>
          <w:b w:val="0"/>
          <w:i w:val="0"/>
          <w:sz w:val="22"/>
        </w:rPr>
      </w:pPr>
      <w:r w:rsidRPr="00762E15">
        <w:t xml:space="preserve">provide APRA </w:t>
      </w:r>
      <w:r w:rsidR="003964D9" w:rsidRPr="00762E15">
        <w:t>the ability to cancel a private health insurers registration if APRA is satisfied the insurer has failed to comply with a requirement of the Financial Accountability Regime</w:t>
      </w:r>
      <w:r w:rsidR="00A67AA6" w:rsidRPr="00762E15">
        <w:t>, and make the decision reviewable under the Act</w:t>
      </w:r>
      <w:r w:rsidR="003964D9" w:rsidRPr="00762E15">
        <w:t xml:space="preserve">; </w:t>
      </w:r>
      <w:r w:rsidR="003964D9" w:rsidRPr="00762E15">
        <w:rPr>
          <w:rStyle w:val="Referencingstyle"/>
        </w:rPr>
        <w:t>[Schedule 1 item</w:t>
      </w:r>
      <w:r w:rsidR="00A67AA6" w:rsidRPr="00762E15">
        <w:rPr>
          <w:rStyle w:val="Referencingstyle"/>
        </w:rPr>
        <w:t>s</w:t>
      </w:r>
      <w:r w:rsidR="003964D9" w:rsidRPr="00762E15">
        <w:rPr>
          <w:rStyle w:val="Referencingstyle"/>
        </w:rPr>
        <w:t xml:space="preserve"> </w:t>
      </w:r>
      <w:r w:rsidR="00A26DFE">
        <w:rPr>
          <w:rStyle w:val="Referencingstyle"/>
        </w:rPr>
        <w:t>69</w:t>
      </w:r>
      <w:r w:rsidR="00A67AA6" w:rsidRPr="00762E15">
        <w:rPr>
          <w:rStyle w:val="Referencingstyle"/>
        </w:rPr>
        <w:t xml:space="preserve"> and </w:t>
      </w:r>
      <w:r w:rsidR="00A26DFE">
        <w:rPr>
          <w:rStyle w:val="Referencingstyle"/>
        </w:rPr>
        <w:t>78</w:t>
      </w:r>
      <w:r w:rsidR="003964D9" w:rsidRPr="00762E15">
        <w:rPr>
          <w:rStyle w:val="Referencingstyle"/>
        </w:rPr>
        <w:t>, section</w:t>
      </w:r>
      <w:r w:rsidR="00A67AA6" w:rsidRPr="00762E15">
        <w:rPr>
          <w:rStyle w:val="Referencingstyle"/>
        </w:rPr>
        <w:t>s</w:t>
      </w:r>
      <w:r w:rsidR="003964D9" w:rsidRPr="00762E15">
        <w:rPr>
          <w:rStyle w:val="Referencingstyle"/>
        </w:rPr>
        <w:t xml:space="preserve"> 21</w:t>
      </w:r>
      <w:r w:rsidR="00A67AA6" w:rsidRPr="00762E15">
        <w:rPr>
          <w:rStyle w:val="Referencingstyle"/>
        </w:rPr>
        <w:t xml:space="preserve"> and 168</w:t>
      </w:r>
      <w:r w:rsidR="003964D9" w:rsidRPr="00762E15">
        <w:rPr>
          <w:rStyle w:val="Referencingstyle"/>
        </w:rPr>
        <w:t xml:space="preserve"> of the Private Health Insurance (Prudential Supervision) Act 2015] </w:t>
      </w:r>
    </w:p>
    <w:p w14:paraId="1ECE12F2" w14:textId="4F1F6B53" w:rsidR="003964D9" w:rsidRPr="00762E15" w:rsidRDefault="00617340" w:rsidP="00BB61DD">
      <w:pPr>
        <w:pStyle w:val="dotpoint"/>
        <w:rPr>
          <w:rStyle w:val="Referencingstyle"/>
          <w:b w:val="0"/>
          <w:i w:val="0"/>
          <w:sz w:val="22"/>
        </w:rPr>
      </w:pPr>
      <w:r w:rsidRPr="00762E15">
        <w:t xml:space="preserve">ensure the appointment of an individual an external manager of a health benefits fund, does not </w:t>
      </w:r>
      <w:r w:rsidR="00FA453C" w:rsidRPr="00762E15">
        <w:t>a</w:t>
      </w:r>
      <w:r w:rsidRPr="00762E15">
        <w:t>ffect the</w:t>
      </w:r>
      <w:r w:rsidR="00FA453C" w:rsidRPr="00762E15">
        <w:t xml:space="preserve"> operation of the Financial Accountability Regime;</w:t>
      </w:r>
      <w:r w:rsidR="003D7C1D" w:rsidRPr="00762E15">
        <w:t xml:space="preserve"> </w:t>
      </w:r>
      <w:r w:rsidR="003D7C1D" w:rsidRPr="00762E15">
        <w:rPr>
          <w:rStyle w:val="Referencingstyle"/>
        </w:rPr>
        <w:t xml:space="preserve">[Schedule 1 item </w:t>
      </w:r>
      <w:r w:rsidR="00450D92">
        <w:rPr>
          <w:rStyle w:val="Referencingstyle"/>
        </w:rPr>
        <w:t>70</w:t>
      </w:r>
      <w:r w:rsidR="003D7C1D" w:rsidRPr="00762E15">
        <w:rPr>
          <w:rStyle w:val="Referencingstyle"/>
        </w:rPr>
        <w:t xml:space="preserve">, section </w:t>
      </w:r>
      <w:r w:rsidR="00FA453C" w:rsidRPr="00762E15">
        <w:rPr>
          <w:rStyle w:val="Referencingstyle"/>
        </w:rPr>
        <w:t>84</w:t>
      </w:r>
      <w:r w:rsidR="003D7C1D" w:rsidRPr="00762E15">
        <w:rPr>
          <w:rStyle w:val="Referencingstyle"/>
        </w:rPr>
        <w:t xml:space="preserve"> of the Private Health Insurance (Prudential Supervision) Act 2015]</w:t>
      </w:r>
    </w:p>
    <w:p w14:paraId="328DAE09" w14:textId="44D7101E" w:rsidR="00FA453C" w:rsidRPr="00762E15" w:rsidRDefault="00FA453C" w:rsidP="00BB61DD">
      <w:pPr>
        <w:pStyle w:val="dotpoint"/>
        <w:rPr>
          <w:rStyle w:val="Referencingstyle"/>
          <w:b w:val="0"/>
          <w:i w:val="0"/>
          <w:sz w:val="22"/>
        </w:rPr>
      </w:pPr>
      <w:r w:rsidRPr="00762E15">
        <w:t xml:space="preserve">expand the obligations </w:t>
      </w:r>
      <w:r w:rsidR="007D0B90">
        <w:t>of</w:t>
      </w:r>
      <w:r w:rsidRPr="00762E15">
        <w:t xml:space="preserve"> private health insurers to terminate actuaries to situations where the actuary has failed to perform their statutory functions under the Financial Accountability Regime; </w:t>
      </w:r>
      <w:r w:rsidRPr="00762E15">
        <w:rPr>
          <w:rStyle w:val="Referencingstyle"/>
        </w:rPr>
        <w:t>[Schedule 1 item</w:t>
      </w:r>
      <w:r w:rsidR="00B018AA" w:rsidRPr="00762E15">
        <w:rPr>
          <w:rStyle w:val="Referencingstyle"/>
        </w:rPr>
        <w:t>s</w:t>
      </w:r>
      <w:r w:rsidRPr="00762E15">
        <w:rPr>
          <w:rStyle w:val="Referencingstyle"/>
        </w:rPr>
        <w:t xml:space="preserve"> </w:t>
      </w:r>
      <w:r w:rsidR="00450D92">
        <w:rPr>
          <w:rStyle w:val="Referencingstyle"/>
        </w:rPr>
        <w:t>71</w:t>
      </w:r>
      <w:r w:rsidRPr="00762E15">
        <w:rPr>
          <w:rStyle w:val="Referencingstyle"/>
        </w:rPr>
        <w:t xml:space="preserve"> to </w:t>
      </w:r>
      <w:r w:rsidR="00450D92">
        <w:rPr>
          <w:rStyle w:val="Referencingstyle"/>
        </w:rPr>
        <w:t>72</w:t>
      </w:r>
      <w:r w:rsidRPr="00762E15">
        <w:rPr>
          <w:rStyle w:val="Referencingstyle"/>
        </w:rPr>
        <w:t>, section 107 of the Private Health Insurance (Prudential Supervision) Act 2015]</w:t>
      </w:r>
    </w:p>
    <w:p w14:paraId="6F9FB149" w14:textId="797794A2" w:rsidR="00FA453C" w:rsidRPr="00762E15" w:rsidRDefault="00FA453C" w:rsidP="00FA453C">
      <w:pPr>
        <w:pStyle w:val="dotpoint"/>
      </w:pPr>
      <w:r w:rsidRPr="00762E15">
        <w:t xml:space="preserve">expand the obligations </w:t>
      </w:r>
      <w:r w:rsidR="007D0B90">
        <w:t>of</w:t>
      </w:r>
      <w:r w:rsidRPr="00762E15">
        <w:t xml:space="preserve"> actuaries to inform the private health insurer and APRA, on their own motion or by request, </w:t>
      </w:r>
      <w:r w:rsidR="00B018AA" w:rsidRPr="00762E15">
        <w:t xml:space="preserve">to assist APRA perform its functions under the Financial </w:t>
      </w:r>
      <w:r w:rsidR="00B018AA" w:rsidRPr="00762E15">
        <w:lastRenderedPageBreak/>
        <w:t>Accountability Regime</w:t>
      </w:r>
      <w:r w:rsidRPr="00762E15">
        <w:t>;</w:t>
      </w:r>
      <w:r w:rsidR="00A67AA6" w:rsidRPr="00762E15">
        <w:t xml:space="preserve"> and</w:t>
      </w:r>
      <w:r w:rsidRPr="00762E15">
        <w:t xml:space="preserve"> </w:t>
      </w:r>
      <w:r w:rsidRPr="00762E15">
        <w:rPr>
          <w:rStyle w:val="Referencingstyle"/>
        </w:rPr>
        <w:t>[Schedule 1 item</w:t>
      </w:r>
      <w:r w:rsidR="00B018AA" w:rsidRPr="00762E15">
        <w:rPr>
          <w:rStyle w:val="Referencingstyle"/>
        </w:rPr>
        <w:t xml:space="preserve">s </w:t>
      </w:r>
      <w:r w:rsidR="00450D92">
        <w:rPr>
          <w:rStyle w:val="Referencingstyle"/>
        </w:rPr>
        <w:t>73</w:t>
      </w:r>
      <w:r w:rsidR="00B018AA" w:rsidRPr="00762E15">
        <w:rPr>
          <w:rStyle w:val="Referencingstyle"/>
        </w:rPr>
        <w:t xml:space="preserve"> to </w:t>
      </w:r>
      <w:r w:rsidR="00450D92">
        <w:rPr>
          <w:rStyle w:val="Referencingstyle"/>
        </w:rPr>
        <w:t>7</w:t>
      </w:r>
      <w:r w:rsidR="00BF655B">
        <w:rPr>
          <w:rStyle w:val="Referencingstyle"/>
        </w:rPr>
        <w:t>6</w:t>
      </w:r>
      <w:r w:rsidRPr="00762E15">
        <w:rPr>
          <w:rStyle w:val="Referencingstyle"/>
        </w:rPr>
        <w:t>, section</w:t>
      </w:r>
      <w:r w:rsidR="00B018AA" w:rsidRPr="00762E15">
        <w:rPr>
          <w:rStyle w:val="Referencingstyle"/>
        </w:rPr>
        <w:t>s</w:t>
      </w:r>
      <w:r w:rsidRPr="00762E15">
        <w:rPr>
          <w:rStyle w:val="Referencingstyle"/>
        </w:rPr>
        <w:t xml:space="preserve"> </w:t>
      </w:r>
      <w:r w:rsidR="00B018AA" w:rsidRPr="00762E15">
        <w:rPr>
          <w:rStyle w:val="Referencingstyle"/>
        </w:rPr>
        <w:t>110 to 113</w:t>
      </w:r>
      <w:r w:rsidRPr="00762E15">
        <w:rPr>
          <w:rStyle w:val="Referencingstyle"/>
        </w:rPr>
        <w:t xml:space="preserve"> of the Private Health Insurance (Prudential Supervision) Act 2015]</w:t>
      </w:r>
    </w:p>
    <w:p w14:paraId="002744A8" w14:textId="139E4603" w:rsidR="00B018AA" w:rsidRPr="00762E15" w:rsidRDefault="00B018AA" w:rsidP="00B018AA">
      <w:pPr>
        <w:pStyle w:val="dotpoint"/>
        <w:rPr>
          <w:i/>
        </w:rPr>
      </w:pPr>
      <w:r w:rsidRPr="00762E15">
        <w:rPr>
          <w:iCs/>
        </w:rPr>
        <w:t xml:space="preserve">ensure individuals who commit offences against the Financial Accountability Regime cannot act as officers or </w:t>
      </w:r>
      <w:r w:rsidR="00BF655B">
        <w:rPr>
          <w:iCs/>
        </w:rPr>
        <w:t>appointed actuaries</w:t>
      </w:r>
      <w:r w:rsidRPr="00762E15">
        <w:rPr>
          <w:iCs/>
        </w:rPr>
        <w:t xml:space="preserve"> for private health insurers</w:t>
      </w:r>
      <w:r w:rsidR="00A67AA6" w:rsidRPr="00762E15">
        <w:rPr>
          <w:iCs/>
        </w:rPr>
        <w:t xml:space="preserve">. </w:t>
      </w:r>
      <w:r w:rsidRPr="00762E15">
        <w:rPr>
          <w:rStyle w:val="Referencingstyle"/>
        </w:rPr>
        <w:t xml:space="preserve">[Schedule 1 item </w:t>
      </w:r>
      <w:r w:rsidR="00450D92">
        <w:rPr>
          <w:rStyle w:val="Referencingstyle"/>
        </w:rPr>
        <w:t>77</w:t>
      </w:r>
      <w:r w:rsidRPr="00762E15">
        <w:rPr>
          <w:rStyle w:val="Referencingstyle"/>
        </w:rPr>
        <w:t>, section</w:t>
      </w:r>
      <w:r w:rsidR="00450D92">
        <w:rPr>
          <w:rStyle w:val="Referencingstyle"/>
        </w:rPr>
        <w:t>s</w:t>
      </w:r>
      <w:r w:rsidRPr="00762E15">
        <w:rPr>
          <w:rStyle w:val="Referencingstyle"/>
        </w:rPr>
        <w:t xml:space="preserve"> </w:t>
      </w:r>
      <w:r w:rsidR="00450D92">
        <w:rPr>
          <w:rStyle w:val="Referencingstyle"/>
        </w:rPr>
        <w:t>119 and 120</w:t>
      </w:r>
      <w:r w:rsidRPr="00762E15">
        <w:rPr>
          <w:rStyle w:val="Referencingstyle"/>
        </w:rPr>
        <w:t xml:space="preserve"> of the Private Health Insurance (Prudential Supervision) Act 2015]</w:t>
      </w:r>
    </w:p>
    <w:p w14:paraId="49E0F4B0" w14:textId="77777777" w:rsidR="00866192" w:rsidRPr="00762E15" w:rsidRDefault="00425C90" w:rsidP="00D53134">
      <w:pPr>
        <w:pStyle w:val="base-text-paragraph"/>
        <w:numPr>
          <w:ilvl w:val="1"/>
          <w:numId w:val="23"/>
        </w:numPr>
      </w:pPr>
      <w:r w:rsidRPr="00762E15">
        <w:t xml:space="preserve">The Bill also makes </w:t>
      </w:r>
      <w:r w:rsidR="00866192" w:rsidRPr="00762E15">
        <w:t>amendments to the</w:t>
      </w:r>
      <w:r w:rsidR="00866192" w:rsidRPr="00762E15">
        <w:rPr>
          <w:i/>
          <w:iCs/>
        </w:rPr>
        <w:t xml:space="preserve"> Superannuation Industry (Supervision) Act 1993</w:t>
      </w:r>
      <w:r w:rsidR="00866192" w:rsidRPr="00762E15">
        <w:t xml:space="preserve"> to: </w:t>
      </w:r>
    </w:p>
    <w:p w14:paraId="25674E77" w14:textId="39F08FC5" w:rsidR="00425C90" w:rsidRPr="00762E15" w:rsidRDefault="00425C90" w:rsidP="00866192">
      <w:pPr>
        <w:pStyle w:val="dotpoint"/>
      </w:pPr>
      <w:r w:rsidRPr="00762E15">
        <w:t xml:space="preserve">ensure that </w:t>
      </w:r>
      <w:r w:rsidRPr="00762E15">
        <w:rPr>
          <w:bCs/>
          <w:iCs/>
        </w:rPr>
        <w:t>the Regulator</w:t>
      </w:r>
      <w:r w:rsidRPr="00762E15">
        <w:t xml:space="preserve"> considers the Financial Accountability Regime in granting and imposing conditions on RSE licenses, </w:t>
      </w:r>
      <w:r w:rsidR="007D0B90">
        <w:t xml:space="preserve">by </w:t>
      </w:r>
      <w:r w:rsidRPr="00762E15">
        <w:t xml:space="preserve">including the Financial Accountability Regime in the definition of </w:t>
      </w:r>
      <w:r w:rsidRPr="00762E15">
        <w:rPr>
          <w:b/>
          <w:i/>
        </w:rPr>
        <w:t xml:space="preserve">RSE </w:t>
      </w:r>
      <w:r w:rsidR="00814C8E">
        <w:rPr>
          <w:b/>
          <w:i/>
        </w:rPr>
        <w:t xml:space="preserve">licensee </w:t>
      </w:r>
      <w:r w:rsidRPr="00762E15">
        <w:rPr>
          <w:b/>
          <w:i/>
        </w:rPr>
        <w:t>law</w:t>
      </w:r>
      <w:r w:rsidR="00834CDD" w:rsidRPr="00762E15">
        <w:rPr>
          <w:bCs/>
          <w:iCs/>
        </w:rPr>
        <w:t>;</w:t>
      </w:r>
      <w:r w:rsidRPr="00762E15">
        <w:t xml:space="preserve"> </w:t>
      </w:r>
      <w:r w:rsidRPr="00762E15">
        <w:rPr>
          <w:rStyle w:val="Referencingstyle"/>
        </w:rPr>
        <w:t xml:space="preserve">[Schedule 1 item </w:t>
      </w:r>
      <w:r w:rsidR="002F5A9F">
        <w:rPr>
          <w:rStyle w:val="Referencingstyle"/>
        </w:rPr>
        <w:t>79</w:t>
      </w:r>
      <w:r w:rsidR="00834CDD" w:rsidRPr="00762E15">
        <w:rPr>
          <w:rStyle w:val="Referencingstyle"/>
        </w:rPr>
        <w:t>, section 10 of the Superannuation Industry (Supervision) Act 1993</w:t>
      </w:r>
      <w:r w:rsidRPr="00762E15">
        <w:rPr>
          <w:rStyle w:val="Referencingstyle"/>
        </w:rPr>
        <w:t>]</w:t>
      </w:r>
      <w:r w:rsidRPr="00762E15">
        <w:t xml:space="preserve"> </w:t>
      </w:r>
    </w:p>
    <w:p w14:paraId="74A6B4F5" w14:textId="032FDD19" w:rsidR="00866192" w:rsidRPr="00762E15" w:rsidRDefault="00834CDD" w:rsidP="00866192">
      <w:pPr>
        <w:pStyle w:val="dotpoint"/>
      </w:pPr>
      <w:r w:rsidRPr="00762E15">
        <w:t xml:space="preserve">expand the obligations of auditors and actuaries to provide superannuation entities or the Regulator information when there is likely to </w:t>
      </w:r>
      <w:r w:rsidR="000475BE" w:rsidRPr="00762E15">
        <w:t xml:space="preserve">have been a breach of the law, to situations </w:t>
      </w:r>
      <w:r w:rsidRPr="00762E15">
        <w:t>in which there have been breaches of the Financial Accountability Regime</w:t>
      </w:r>
      <w:r w:rsidR="000475BE" w:rsidRPr="00762E15">
        <w:t xml:space="preserve">, by amending the definition of </w:t>
      </w:r>
      <w:r w:rsidR="000475BE" w:rsidRPr="00762E15">
        <w:rPr>
          <w:b/>
          <w:bCs/>
        </w:rPr>
        <w:t>regulatory provision</w:t>
      </w:r>
      <w:r w:rsidR="000475BE" w:rsidRPr="00762E15">
        <w:t>;</w:t>
      </w:r>
      <w:r w:rsidR="000475BE" w:rsidRPr="00762E15">
        <w:rPr>
          <w:rStyle w:val="Referencingstyle"/>
        </w:rPr>
        <w:t xml:space="preserve"> [Schedule 1 item</w:t>
      </w:r>
      <w:r w:rsidR="005C36C5" w:rsidRPr="00762E15">
        <w:rPr>
          <w:rStyle w:val="Referencingstyle"/>
        </w:rPr>
        <w:t>s</w:t>
      </w:r>
      <w:r w:rsidR="000475BE" w:rsidRPr="00762E15">
        <w:rPr>
          <w:rStyle w:val="Referencingstyle"/>
        </w:rPr>
        <w:t xml:space="preserve"> </w:t>
      </w:r>
      <w:r w:rsidR="002F5A9F">
        <w:rPr>
          <w:rStyle w:val="Referencingstyle"/>
        </w:rPr>
        <w:t>80</w:t>
      </w:r>
      <w:r w:rsidR="005C36C5" w:rsidRPr="00762E15">
        <w:rPr>
          <w:rStyle w:val="Referencingstyle"/>
        </w:rPr>
        <w:t xml:space="preserve"> and </w:t>
      </w:r>
      <w:r w:rsidR="002F5A9F">
        <w:rPr>
          <w:rStyle w:val="Referencingstyle"/>
        </w:rPr>
        <w:t>82</w:t>
      </w:r>
      <w:r w:rsidR="005C36C5" w:rsidRPr="00762E15">
        <w:rPr>
          <w:rStyle w:val="Referencingstyle"/>
        </w:rPr>
        <w:t xml:space="preserve"> and </w:t>
      </w:r>
      <w:r w:rsidR="002F5A9F">
        <w:rPr>
          <w:rStyle w:val="Referencingstyle"/>
        </w:rPr>
        <w:t>83</w:t>
      </w:r>
      <w:r w:rsidR="000475BE" w:rsidRPr="00762E15">
        <w:rPr>
          <w:rStyle w:val="Referencingstyle"/>
        </w:rPr>
        <w:t>, section</w:t>
      </w:r>
      <w:r w:rsidR="005C36C5" w:rsidRPr="00762E15">
        <w:rPr>
          <w:rStyle w:val="Referencingstyle"/>
        </w:rPr>
        <w:t>s</w:t>
      </w:r>
      <w:r w:rsidR="000475BE" w:rsidRPr="00762E15">
        <w:rPr>
          <w:rStyle w:val="Referencingstyle"/>
        </w:rPr>
        <w:t xml:space="preserve"> 38A</w:t>
      </w:r>
      <w:r w:rsidR="005C36C5" w:rsidRPr="00762E15">
        <w:rPr>
          <w:rStyle w:val="Referencingstyle"/>
        </w:rPr>
        <w:t>, 129 and 130A</w:t>
      </w:r>
      <w:r w:rsidR="000475BE" w:rsidRPr="00762E15">
        <w:rPr>
          <w:rStyle w:val="Referencingstyle"/>
        </w:rPr>
        <w:t xml:space="preserve"> of the Superannuation Industry (Supervision) Act 1993]</w:t>
      </w:r>
    </w:p>
    <w:p w14:paraId="1163D7B4" w14:textId="7D33FF5C" w:rsidR="00866192" w:rsidRPr="00762E15" w:rsidRDefault="00F56291" w:rsidP="00866192">
      <w:pPr>
        <w:pStyle w:val="dotpoint"/>
        <w:rPr>
          <w:rStyle w:val="Referencingstyle"/>
          <w:b w:val="0"/>
          <w:i w:val="0"/>
          <w:sz w:val="22"/>
        </w:rPr>
      </w:pPr>
      <w:r w:rsidRPr="00762E15">
        <w:t xml:space="preserve">expand the ability for a court to </w:t>
      </w:r>
      <w:r w:rsidR="00EE1C7D">
        <w:t>disqualify</w:t>
      </w:r>
      <w:r w:rsidRPr="00762E15">
        <w:t xml:space="preserve"> an individual from being a superannuation trustee for breaching certain legislation to include breaches of the Financial Accountability Regime; </w:t>
      </w:r>
      <w:r w:rsidRPr="00762E15">
        <w:rPr>
          <w:rStyle w:val="Referencingstyle"/>
        </w:rPr>
        <w:t xml:space="preserve">[Schedule 1 item </w:t>
      </w:r>
      <w:r w:rsidR="00E00738">
        <w:rPr>
          <w:rStyle w:val="Referencingstyle"/>
        </w:rPr>
        <w:t>81</w:t>
      </w:r>
      <w:r w:rsidRPr="00762E15">
        <w:rPr>
          <w:rStyle w:val="Referencingstyle"/>
        </w:rPr>
        <w:t>, section 126H of the Superannuation Industry (Supervision) Act 1993]</w:t>
      </w:r>
    </w:p>
    <w:p w14:paraId="3253579B" w14:textId="2E8899F9" w:rsidR="005C36C5" w:rsidRPr="00762E15" w:rsidRDefault="005C36C5" w:rsidP="00866192">
      <w:pPr>
        <w:pStyle w:val="dotpoint"/>
        <w:rPr>
          <w:rStyle w:val="Referencingstyle"/>
          <w:b w:val="0"/>
          <w:i w:val="0"/>
          <w:sz w:val="22"/>
        </w:rPr>
      </w:pPr>
      <w:r w:rsidRPr="00762E15">
        <w:rPr>
          <w:rStyle w:val="Referencingstyle"/>
          <w:b w:val="0"/>
          <w:i w:val="0"/>
          <w:sz w:val="22"/>
        </w:rPr>
        <w:t xml:space="preserve">expand the ability for a court to order the disqualification of an individual from being an auditor </w:t>
      </w:r>
      <w:r w:rsidR="00D444E9" w:rsidRPr="00762E15">
        <w:rPr>
          <w:rStyle w:val="Referencingstyle"/>
          <w:b w:val="0"/>
          <w:i w:val="0"/>
          <w:sz w:val="22"/>
        </w:rPr>
        <w:t xml:space="preserve">or actuary for a superannuation entity for breaches of certain legislation, to include breaches of the Financial Accountability Regime; </w:t>
      </w:r>
      <w:r w:rsidR="00D444E9" w:rsidRPr="00762E15">
        <w:rPr>
          <w:rStyle w:val="Referencingstyle"/>
        </w:rPr>
        <w:t xml:space="preserve">[Schedule 1 item </w:t>
      </w:r>
      <w:r w:rsidR="00BF695C">
        <w:rPr>
          <w:rStyle w:val="Referencingstyle"/>
        </w:rPr>
        <w:t>84</w:t>
      </w:r>
      <w:r w:rsidR="00D444E9" w:rsidRPr="00762E15">
        <w:rPr>
          <w:rStyle w:val="Referencingstyle"/>
        </w:rPr>
        <w:t>, section 130D of the Superannuation Industry (Supervision) Act 1993]</w:t>
      </w:r>
    </w:p>
    <w:p w14:paraId="4D507B9F" w14:textId="31E82FBF" w:rsidR="005C36C5" w:rsidRPr="00762E15" w:rsidRDefault="00474346" w:rsidP="00866192">
      <w:pPr>
        <w:pStyle w:val="dotpoint"/>
        <w:rPr>
          <w:rStyle w:val="Referencingstyle"/>
          <w:b w:val="0"/>
          <w:i w:val="0"/>
          <w:sz w:val="22"/>
        </w:rPr>
      </w:pPr>
      <w:r w:rsidRPr="00762E15">
        <w:t xml:space="preserve">expand the ability of APRA to direct the removal of an auditor or actuary for a superannuation entity, or direct a matter to an auditor or </w:t>
      </w:r>
      <w:r w:rsidR="0044082F" w:rsidRPr="00762E15">
        <w:t>actuary’s</w:t>
      </w:r>
      <w:r w:rsidRPr="00762E15">
        <w:t xml:space="preserve"> professional organisation for breaches of certain legislation </w:t>
      </w:r>
      <w:r w:rsidR="00EE3602">
        <w:t>to</w:t>
      </w:r>
      <w:r w:rsidRPr="00762E15">
        <w:t xml:space="preserve"> includ</w:t>
      </w:r>
      <w:r w:rsidR="00EE3602">
        <w:t>e</w:t>
      </w:r>
      <w:r w:rsidRPr="00762E15">
        <w:t xml:space="preserve"> breaches of the Financial Accountability Regime; </w:t>
      </w:r>
      <w:r w:rsidR="00A50EAD" w:rsidRPr="00762E15">
        <w:t xml:space="preserve">and </w:t>
      </w:r>
      <w:r w:rsidRPr="00762E15">
        <w:rPr>
          <w:rStyle w:val="Referencingstyle"/>
        </w:rPr>
        <w:t>[Schedule 1 item</w:t>
      </w:r>
      <w:r w:rsidR="00984918">
        <w:rPr>
          <w:rStyle w:val="Referencingstyle"/>
        </w:rPr>
        <w:t>s 85 and</w:t>
      </w:r>
      <w:r w:rsidRPr="00762E15">
        <w:rPr>
          <w:rStyle w:val="Referencingstyle"/>
        </w:rPr>
        <w:t xml:space="preserve"> </w:t>
      </w:r>
      <w:r w:rsidR="001B65D7">
        <w:rPr>
          <w:rStyle w:val="Referencingstyle"/>
        </w:rPr>
        <w:t>86</w:t>
      </w:r>
      <w:r w:rsidRPr="00762E15">
        <w:rPr>
          <w:rStyle w:val="Referencingstyle"/>
        </w:rPr>
        <w:t>, section</w:t>
      </w:r>
      <w:r w:rsidR="00984918">
        <w:rPr>
          <w:rStyle w:val="Referencingstyle"/>
        </w:rPr>
        <w:t>s 131AA and</w:t>
      </w:r>
      <w:r w:rsidRPr="00762E15">
        <w:rPr>
          <w:rStyle w:val="Referencingstyle"/>
        </w:rPr>
        <w:t xml:space="preserve"> 131A of the Superannuation Industry (Supervision) Act 1993]</w:t>
      </w:r>
    </w:p>
    <w:p w14:paraId="61263769" w14:textId="2FD3E00E" w:rsidR="00C25771" w:rsidRPr="00C25771" w:rsidRDefault="00A50EAD" w:rsidP="00C25771">
      <w:pPr>
        <w:pStyle w:val="dotpoint"/>
        <w:rPr>
          <w:rStyle w:val="Referencingstyle"/>
          <w:b w:val="0"/>
          <w:i w:val="0"/>
          <w:sz w:val="22"/>
        </w:rPr>
      </w:pPr>
      <w:r w:rsidRPr="00762E15">
        <w:t>expand the ability of a court to stop the payment of money to protect certain creditors for certain breaches of legislation to include breaches of the Financial Accountability Regime</w:t>
      </w:r>
      <w:r w:rsidR="00AC75DE" w:rsidRPr="00762E15">
        <w:t xml:space="preserve">. </w:t>
      </w:r>
      <w:r w:rsidRPr="00762E15">
        <w:rPr>
          <w:rStyle w:val="Referencingstyle"/>
        </w:rPr>
        <w:lastRenderedPageBreak/>
        <w:t xml:space="preserve">[Schedule 1 item </w:t>
      </w:r>
      <w:r w:rsidR="001B65D7">
        <w:rPr>
          <w:rStyle w:val="Referencingstyle"/>
        </w:rPr>
        <w:t>87</w:t>
      </w:r>
      <w:r w:rsidRPr="00762E15">
        <w:rPr>
          <w:rStyle w:val="Referencingstyle"/>
        </w:rPr>
        <w:t>, section 313 of the Superannuation Industry (Supervision) Act 1993]</w:t>
      </w:r>
    </w:p>
    <w:p w14:paraId="04E4AB03" w14:textId="45F586C3" w:rsidR="00C25771" w:rsidRPr="00567C35" w:rsidRDefault="00C25771" w:rsidP="00C25771">
      <w:pPr>
        <w:pStyle w:val="base-text-paragraph"/>
        <w:numPr>
          <w:ilvl w:val="1"/>
          <w:numId w:val="23"/>
        </w:numPr>
        <w:rPr>
          <w:rStyle w:val="Referencingstyle"/>
          <w:b w:val="0"/>
          <w:bCs/>
          <w:i w:val="0"/>
          <w:iCs/>
          <w:sz w:val="22"/>
        </w:rPr>
      </w:pPr>
      <w:r>
        <w:t>The amendments to the provisions which allow for the revocations of licences of insurers and superannuation entities apply regardless of whether</w:t>
      </w:r>
      <w:r w:rsidR="008074C9">
        <w:t xml:space="preserve"> the relevant breaches occur prior to the commencement of the Bill</w:t>
      </w:r>
      <w:r w:rsidRPr="00762E15">
        <w:t>.</w:t>
      </w:r>
      <w:r>
        <w:t xml:space="preserve"> </w:t>
      </w:r>
      <w:r w:rsidRPr="00762E15">
        <w:rPr>
          <w:rStyle w:val="Referencingstyle"/>
        </w:rPr>
        <w:t xml:space="preserve">[Schedule </w:t>
      </w:r>
      <w:r>
        <w:rPr>
          <w:rStyle w:val="Referencingstyle"/>
        </w:rPr>
        <w:t>2</w:t>
      </w:r>
      <w:r w:rsidR="008074C9">
        <w:rPr>
          <w:rStyle w:val="Referencingstyle"/>
        </w:rPr>
        <w:t xml:space="preserve"> items </w:t>
      </w:r>
      <w:r w:rsidR="00567C35">
        <w:rPr>
          <w:rStyle w:val="Referencingstyle"/>
        </w:rPr>
        <w:t xml:space="preserve">24 and </w:t>
      </w:r>
      <w:r w:rsidR="008074C9">
        <w:rPr>
          <w:rStyle w:val="Referencingstyle"/>
        </w:rPr>
        <w:t>26 to 28</w:t>
      </w:r>
      <w:r w:rsidRPr="00762E15">
        <w:rPr>
          <w:rStyle w:val="Referencingstyle"/>
        </w:rPr>
        <w:t>]</w:t>
      </w:r>
    </w:p>
    <w:p w14:paraId="0116846F" w14:textId="5E61C120" w:rsidR="00567C35" w:rsidRPr="00567C35" w:rsidRDefault="00567C35" w:rsidP="00567C35">
      <w:pPr>
        <w:pStyle w:val="base-text-paragraph"/>
        <w:numPr>
          <w:ilvl w:val="1"/>
          <w:numId w:val="23"/>
        </w:numPr>
        <w:rPr>
          <w:rStyle w:val="Referencingstyle"/>
          <w:b w:val="0"/>
          <w:bCs/>
          <w:i w:val="0"/>
          <w:iCs/>
          <w:sz w:val="22"/>
        </w:rPr>
      </w:pPr>
      <w:r>
        <w:t xml:space="preserve">The amendments </w:t>
      </w:r>
      <w:r w:rsidR="00AF35CF">
        <w:t>to</w:t>
      </w:r>
      <w:r>
        <w:t xml:space="preserve"> the </w:t>
      </w:r>
      <w:r>
        <w:rPr>
          <w:i/>
          <w:iCs/>
        </w:rPr>
        <w:t xml:space="preserve">Life Insurance Act 1984 </w:t>
      </w:r>
      <w:r>
        <w:t>do not apply in relation to pending applications of life companies to be registered under that Act, when the Financial Application Regime applies</w:t>
      </w:r>
      <w:r w:rsidRPr="00762E15">
        <w:t>.</w:t>
      </w:r>
      <w:r>
        <w:t xml:space="preserve"> </w:t>
      </w:r>
      <w:r w:rsidRPr="00762E15">
        <w:rPr>
          <w:rStyle w:val="Referencingstyle"/>
        </w:rPr>
        <w:t xml:space="preserve">[Schedule </w:t>
      </w:r>
      <w:r>
        <w:rPr>
          <w:rStyle w:val="Referencingstyle"/>
        </w:rPr>
        <w:t>2 item 25</w:t>
      </w:r>
      <w:r w:rsidRPr="00762E15">
        <w:rPr>
          <w:rStyle w:val="Referencingstyle"/>
        </w:rPr>
        <w:t>]</w:t>
      </w:r>
    </w:p>
    <w:p w14:paraId="4DD283A2" w14:textId="673AC802" w:rsidR="00C36AAE" w:rsidRPr="00762E15" w:rsidRDefault="00BF5F8E" w:rsidP="00F217BD">
      <w:pPr>
        <w:pStyle w:val="Heading4"/>
      </w:pPr>
      <w:r w:rsidRPr="00762E15">
        <w:t>Consequential a</w:t>
      </w:r>
      <w:r w:rsidR="00C36AAE" w:rsidRPr="00762E15">
        <w:t xml:space="preserve">mendments </w:t>
      </w:r>
      <w:r w:rsidR="0046118A" w:rsidRPr="00762E15">
        <w:t xml:space="preserve">relating </w:t>
      </w:r>
      <w:r w:rsidR="00C36AAE" w:rsidRPr="00762E15">
        <w:t xml:space="preserve">to </w:t>
      </w:r>
      <w:r w:rsidR="0068218C" w:rsidRPr="00762E15">
        <w:t xml:space="preserve">the joint administration of the Financial Accountability regime by </w:t>
      </w:r>
      <w:r w:rsidR="00B309F2">
        <w:t xml:space="preserve">APRA and </w:t>
      </w:r>
      <w:r w:rsidR="0068218C" w:rsidRPr="00762E15">
        <w:t xml:space="preserve">ASIC  </w:t>
      </w:r>
    </w:p>
    <w:p w14:paraId="3C714C69" w14:textId="31C6D3E2" w:rsidR="004D7E24" w:rsidRPr="00762E15" w:rsidRDefault="001F4EEE" w:rsidP="00D53134">
      <w:pPr>
        <w:pStyle w:val="base-text-paragraph"/>
        <w:numPr>
          <w:ilvl w:val="1"/>
          <w:numId w:val="23"/>
        </w:numPr>
        <w:rPr>
          <w:bCs/>
          <w:iCs/>
        </w:rPr>
      </w:pPr>
      <w:r w:rsidRPr="00762E15">
        <w:t>The</w:t>
      </w:r>
      <w:r w:rsidR="004D7E24" w:rsidRPr="00762E15">
        <w:t xml:space="preserve"> Bill </w:t>
      </w:r>
      <w:r w:rsidR="001D2B34" w:rsidRPr="00762E15">
        <w:t xml:space="preserve">makes the following consequential amendments to facilitate the joint administration of the Financial Accountability Regime by </w:t>
      </w:r>
      <w:r w:rsidR="00FA3F8E" w:rsidRPr="00762E15">
        <w:t xml:space="preserve">APRA and </w:t>
      </w:r>
      <w:r w:rsidR="001D2B34" w:rsidRPr="00762E15">
        <w:t xml:space="preserve">ASIC. The changes include: </w:t>
      </w:r>
    </w:p>
    <w:p w14:paraId="146BA430" w14:textId="337C7154" w:rsidR="004A37D5" w:rsidRPr="00762E15" w:rsidRDefault="001D2B34" w:rsidP="000D53C8">
      <w:pPr>
        <w:pStyle w:val="dotpoint"/>
        <w:rPr>
          <w:rStyle w:val="Referencingstyle"/>
          <w:b w:val="0"/>
          <w:i w:val="0"/>
          <w:sz w:val="22"/>
        </w:rPr>
      </w:pPr>
      <w:r w:rsidRPr="00762E15">
        <w:rPr>
          <w:bCs/>
          <w:iCs/>
        </w:rPr>
        <w:t xml:space="preserve">amending the </w:t>
      </w:r>
      <w:r w:rsidRPr="00762E15">
        <w:rPr>
          <w:i/>
          <w:iCs/>
        </w:rPr>
        <w:t>Australian Securities and Investments Commission Act 2001</w:t>
      </w:r>
      <w:r w:rsidRPr="00762E15">
        <w:t xml:space="preserve"> to </w:t>
      </w:r>
      <w:r w:rsidR="00AF5803" w:rsidRPr="00762E15">
        <w:rPr>
          <w:bCs/>
          <w:iCs/>
        </w:rPr>
        <w:t>allow</w:t>
      </w:r>
      <w:r w:rsidR="004D7E24" w:rsidRPr="00762E15">
        <w:rPr>
          <w:bCs/>
          <w:iCs/>
        </w:rPr>
        <w:t xml:space="preserve"> ASIC</w:t>
      </w:r>
      <w:r w:rsidR="00AF5803" w:rsidRPr="00762E15">
        <w:rPr>
          <w:bCs/>
          <w:iCs/>
        </w:rPr>
        <w:t xml:space="preserve"> to </w:t>
      </w:r>
      <w:r w:rsidR="004A37D5" w:rsidRPr="00762E15">
        <w:rPr>
          <w:bCs/>
          <w:iCs/>
        </w:rPr>
        <w:t>enforce the</w:t>
      </w:r>
      <w:r w:rsidR="004D7E24" w:rsidRPr="00762E15">
        <w:rPr>
          <w:bCs/>
          <w:iCs/>
        </w:rPr>
        <w:t xml:space="preserve"> Financial Accountability Regime</w:t>
      </w:r>
      <w:r w:rsidR="004A37D5" w:rsidRPr="00762E15">
        <w:rPr>
          <w:bCs/>
          <w:iCs/>
        </w:rPr>
        <w:t>;</w:t>
      </w:r>
      <w:r w:rsidR="004A37D5" w:rsidRPr="00762E15">
        <w:rPr>
          <w:rStyle w:val="Referencingstyle"/>
        </w:rPr>
        <w:t xml:space="preserve"> [Schedule 1 item </w:t>
      </w:r>
      <w:r w:rsidR="00483BFF" w:rsidRPr="00762E15">
        <w:rPr>
          <w:rStyle w:val="Referencingstyle"/>
        </w:rPr>
        <w:t>15</w:t>
      </w:r>
      <w:r w:rsidR="000545BD" w:rsidRPr="00762E15">
        <w:rPr>
          <w:rStyle w:val="Referencingstyle"/>
        </w:rPr>
        <w:t xml:space="preserve">, section 12A of the </w:t>
      </w:r>
      <w:r w:rsidR="00950363" w:rsidRPr="00762E15">
        <w:rPr>
          <w:rStyle w:val="Referencingstyle"/>
        </w:rPr>
        <w:t>Australian Securities and Investments Commission</w:t>
      </w:r>
      <w:r w:rsidR="000545BD" w:rsidRPr="00762E15">
        <w:rPr>
          <w:rStyle w:val="Referencingstyle"/>
        </w:rPr>
        <w:t xml:space="preserve"> Act</w:t>
      </w:r>
      <w:r w:rsidR="004A37D5" w:rsidRPr="00762E15">
        <w:rPr>
          <w:rStyle w:val="Referencingstyle"/>
        </w:rPr>
        <w:t>]</w:t>
      </w:r>
    </w:p>
    <w:p w14:paraId="4A47B668" w14:textId="5517D755" w:rsidR="0055742C" w:rsidRPr="00762E15" w:rsidRDefault="001D2B34" w:rsidP="000D53C8">
      <w:pPr>
        <w:pStyle w:val="dotpoint"/>
        <w:rPr>
          <w:bCs/>
          <w:iCs/>
        </w:rPr>
      </w:pPr>
      <w:r w:rsidRPr="00762E15">
        <w:rPr>
          <w:bCs/>
          <w:iCs/>
        </w:rPr>
        <w:t>applying</w:t>
      </w:r>
      <w:r w:rsidR="0055742C" w:rsidRPr="00762E15">
        <w:rPr>
          <w:bCs/>
          <w:iCs/>
        </w:rPr>
        <w:t xml:space="preserve"> the secrecy obligations for information collected under the Financial Accountability Regime to ASIC regardless of whether ASIC obtain</w:t>
      </w:r>
      <w:r w:rsidR="001F4EEE" w:rsidRPr="00762E15">
        <w:rPr>
          <w:bCs/>
          <w:iCs/>
        </w:rPr>
        <w:t>ed</w:t>
      </w:r>
      <w:r w:rsidR="0055742C" w:rsidRPr="00762E15">
        <w:rPr>
          <w:bCs/>
          <w:iCs/>
        </w:rPr>
        <w:t xml:space="preserve"> the information before or after the commencement of the Financial Accountability Regime; </w:t>
      </w:r>
      <w:r w:rsidR="0055742C" w:rsidRPr="00762E15">
        <w:rPr>
          <w:rStyle w:val="Referencingstyle"/>
        </w:rPr>
        <w:t>[Schedule 1</w:t>
      </w:r>
      <w:r w:rsidR="00844126">
        <w:rPr>
          <w:rStyle w:val="Referencingstyle"/>
        </w:rPr>
        <w:t xml:space="preserve"> i</w:t>
      </w:r>
      <w:r w:rsidRPr="00762E15">
        <w:rPr>
          <w:rStyle w:val="Referencingstyle"/>
        </w:rPr>
        <w:t>tem 17</w:t>
      </w:r>
      <w:r w:rsidR="0055742C" w:rsidRPr="00762E15">
        <w:rPr>
          <w:rStyle w:val="Referencingstyle"/>
        </w:rPr>
        <w:t>]</w:t>
      </w:r>
    </w:p>
    <w:p w14:paraId="532FE66A" w14:textId="248FF5C4" w:rsidR="001D2B34" w:rsidRPr="00762E15" w:rsidRDefault="001D2B34" w:rsidP="00F217BD">
      <w:pPr>
        <w:pStyle w:val="dotpoint"/>
        <w:rPr>
          <w:rStyle w:val="Referencingstyle"/>
          <w:b w:val="0"/>
          <w:i w:val="0"/>
          <w:sz w:val="22"/>
        </w:rPr>
      </w:pPr>
      <w:r w:rsidRPr="00762E15">
        <w:t>requiring</w:t>
      </w:r>
      <w:r w:rsidR="004D7E24" w:rsidRPr="00762E15">
        <w:t xml:space="preserve"> </w:t>
      </w:r>
      <w:r w:rsidR="00964064" w:rsidRPr="00762E15">
        <w:t xml:space="preserve">APRA and </w:t>
      </w:r>
      <w:r w:rsidR="004D7E24" w:rsidRPr="00762E15">
        <w:t>ASIC</w:t>
      </w:r>
      <w:r w:rsidRPr="00762E15">
        <w:t xml:space="preserve"> to each </w:t>
      </w:r>
      <w:r w:rsidR="004D7E24" w:rsidRPr="00762E15">
        <w:t>incl</w:t>
      </w:r>
      <w:r w:rsidR="00224540" w:rsidRPr="00762E15">
        <w:t>ude</w:t>
      </w:r>
      <w:r w:rsidR="004D7E24" w:rsidRPr="00762E15">
        <w:t xml:space="preserve"> information about investigations conducted under the Financial Accountability Regime in </w:t>
      </w:r>
      <w:r w:rsidRPr="00762E15">
        <w:t>their respective</w:t>
      </w:r>
      <w:r w:rsidR="004D7E24" w:rsidRPr="00762E15">
        <w:t xml:space="preserve"> annual report</w:t>
      </w:r>
      <w:r w:rsidRPr="00762E15">
        <w:t>s</w:t>
      </w:r>
      <w:r w:rsidR="004D7E24" w:rsidRPr="00762E15">
        <w:t xml:space="preserve"> </w:t>
      </w:r>
      <w:r w:rsidRPr="00762E15">
        <w:t>from</w:t>
      </w:r>
      <w:r w:rsidR="004D7E24" w:rsidRPr="00762E15">
        <w:t xml:space="preserve"> the </w:t>
      </w:r>
      <w:r w:rsidR="00E30321" w:rsidRPr="00762E15">
        <w:t>2022–23</w:t>
      </w:r>
      <w:r w:rsidR="004D7E24" w:rsidRPr="00762E15">
        <w:t xml:space="preserve"> financial year</w:t>
      </w:r>
      <w:r w:rsidRPr="00762E15">
        <w:t xml:space="preserve"> onwards</w:t>
      </w:r>
      <w:r w:rsidR="00E80442" w:rsidRPr="00762E15">
        <w:t>;</w:t>
      </w:r>
      <w:r w:rsidR="004D7E24" w:rsidRPr="00762E15">
        <w:t xml:space="preserve"> </w:t>
      </w:r>
      <w:r w:rsidR="004D7E24" w:rsidRPr="00762E15">
        <w:rPr>
          <w:rStyle w:val="Referencingstyle"/>
        </w:rPr>
        <w:t>[Schedule 1</w:t>
      </w:r>
      <w:r w:rsidR="00844126">
        <w:rPr>
          <w:rStyle w:val="Referencingstyle"/>
        </w:rPr>
        <w:t xml:space="preserve"> </w:t>
      </w:r>
      <w:r w:rsidRPr="00762E15">
        <w:rPr>
          <w:rStyle w:val="Referencingstyle"/>
        </w:rPr>
        <w:t>item</w:t>
      </w:r>
      <w:r w:rsidR="00260F4A" w:rsidRPr="00762E15">
        <w:rPr>
          <w:rStyle w:val="Referencingstyle"/>
        </w:rPr>
        <w:t xml:space="preserve"> </w:t>
      </w:r>
      <w:r w:rsidR="00F51F0C">
        <w:rPr>
          <w:rStyle w:val="Referencingstyle"/>
        </w:rPr>
        <w:t>13</w:t>
      </w:r>
      <w:r w:rsidR="00DA7133" w:rsidRPr="00762E15">
        <w:rPr>
          <w:rStyle w:val="Referencingstyle"/>
        </w:rPr>
        <w:t xml:space="preserve"> </w:t>
      </w:r>
      <w:r w:rsidR="00964064" w:rsidRPr="00762E15">
        <w:rPr>
          <w:rStyle w:val="Referencingstyle"/>
        </w:rPr>
        <w:t>and</w:t>
      </w:r>
      <w:r w:rsidR="00964064" w:rsidRPr="00762E15">
        <w:t xml:space="preserve"> </w:t>
      </w:r>
      <w:r w:rsidR="00964064" w:rsidRPr="00762E15">
        <w:rPr>
          <w:rStyle w:val="Referencingstyle"/>
        </w:rPr>
        <w:t xml:space="preserve">Schedule 2 item </w:t>
      </w:r>
      <w:r w:rsidR="00DA7133">
        <w:rPr>
          <w:rStyle w:val="Referencingstyle"/>
        </w:rPr>
        <w:t>32</w:t>
      </w:r>
      <w:r w:rsidR="00260F4A" w:rsidRPr="00762E15">
        <w:rPr>
          <w:rStyle w:val="Referencingstyle"/>
        </w:rPr>
        <w:t xml:space="preserve">, section </w:t>
      </w:r>
      <w:r w:rsidR="00950363" w:rsidRPr="00762E15">
        <w:rPr>
          <w:rStyle w:val="Referencingstyle"/>
        </w:rPr>
        <w:t xml:space="preserve">59 </w:t>
      </w:r>
      <w:r w:rsidR="00260F4A" w:rsidRPr="00762E15">
        <w:rPr>
          <w:rStyle w:val="Referencingstyle"/>
        </w:rPr>
        <w:t xml:space="preserve">of the Australian Prudential Regulations Authority Act 1988; </w:t>
      </w:r>
      <w:r w:rsidR="00844126">
        <w:rPr>
          <w:rStyle w:val="Referencingstyle"/>
        </w:rPr>
        <w:t>Schedule 1 i</w:t>
      </w:r>
      <w:r w:rsidR="00EF10FC" w:rsidRPr="00762E15">
        <w:rPr>
          <w:rStyle w:val="Referencingstyle"/>
        </w:rPr>
        <w:t>tem</w:t>
      </w:r>
      <w:r w:rsidR="00CB17AF">
        <w:rPr>
          <w:rStyle w:val="Referencingstyle"/>
        </w:rPr>
        <w:t>s</w:t>
      </w:r>
      <w:r w:rsidR="00EF10FC" w:rsidRPr="00762E15">
        <w:rPr>
          <w:rStyle w:val="Referencingstyle"/>
        </w:rPr>
        <w:t xml:space="preserve"> </w:t>
      </w:r>
      <w:r w:rsidR="00EA1060" w:rsidRPr="00762E15">
        <w:rPr>
          <w:rStyle w:val="Referencingstyle"/>
        </w:rPr>
        <w:t>16</w:t>
      </w:r>
      <w:r w:rsidR="00CB17AF">
        <w:rPr>
          <w:rStyle w:val="Referencingstyle"/>
        </w:rPr>
        <w:t xml:space="preserve"> and 17</w:t>
      </w:r>
      <w:r w:rsidRPr="00762E15">
        <w:rPr>
          <w:rStyle w:val="Referencingstyle"/>
        </w:rPr>
        <w:t>,</w:t>
      </w:r>
      <w:r w:rsidR="004D7E24" w:rsidRPr="00762E15">
        <w:rPr>
          <w:rStyle w:val="Referencingstyle"/>
        </w:rPr>
        <w:t xml:space="preserve"> </w:t>
      </w:r>
      <w:r w:rsidR="0055742C" w:rsidRPr="00762E15">
        <w:rPr>
          <w:rStyle w:val="Referencingstyle"/>
        </w:rPr>
        <w:t>section</w:t>
      </w:r>
      <w:r w:rsidR="00DA7133">
        <w:rPr>
          <w:rStyle w:val="Referencingstyle"/>
        </w:rPr>
        <w:t>s</w:t>
      </w:r>
      <w:r w:rsidR="0055742C" w:rsidRPr="00762E15">
        <w:rPr>
          <w:rStyle w:val="Referencingstyle"/>
        </w:rPr>
        <w:t xml:space="preserve"> 136</w:t>
      </w:r>
      <w:r w:rsidR="00CB17AF">
        <w:rPr>
          <w:rStyle w:val="Referencingstyle"/>
        </w:rPr>
        <w:t>, 337</w:t>
      </w:r>
      <w:r w:rsidR="00DA7133">
        <w:rPr>
          <w:rStyle w:val="Referencingstyle"/>
        </w:rPr>
        <w:t xml:space="preserve"> and 337A</w:t>
      </w:r>
      <w:r w:rsidR="0055742C" w:rsidRPr="00762E15">
        <w:rPr>
          <w:rStyle w:val="Referencingstyle"/>
        </w:rPr>
        <w:t xml:space="preserve"> of the </w:t>
      </w:r>
      <w:r w:rsidR="00950363" w:rsidRPr="00762E15">
        <w:rPr>
          <w:rStyle w:val="Referencingstyle"/>
        </w:rPr>
        <w:t>Australian Securities and Investments Commission</w:t>
      </w:r>
      <w:r w:rsidR="0055742C" w:rsidRPr="00762E15">
        <w:rPr>
          <w:rStyle w:val="Referencingstyle"/>
        </w:rPr>
        <w:t xml:space="preserve"> Act</w:t>
      </w:r>
      <w:r w:rsidRPr="00762E15">
        <w:rPr>
          <w:rStyle w:val="Referencingstyle"/>
        </w:rPr>
        <w:t xml:space="preserve"> </w:t>
      </w:r>
      <w:r w:rsidR="00964FEA">
        <w:rPr>
          <w:rStyle w:val="Referencingstyle"/>
        </w:rPr>
        <w:t>2001</w:t>
      </w:r>
      <w:r w:rsidR="004D7E24" w:rsidRPr="00762E15">
        <w:rPr>
          <w:rStyle w:val="Referencingstyle"/>
        </w:rPr>
        <w:t>]</w:t>
      </w:r>
      <w:bookmarkStart w:id="35" w:name="_Hlk80790925"/>
    </w:p>
    <w:p w14:paraId="49529618" w14:textId="0EACB338" w:rsidR="003D28F3" w:rsidRPr="00762E15" w:rsidRDefault="003D28F3" w:rsidP="003D28F3">
      <w:pPr>
        <w:pStyle w:val="dotpoint"/>
      </w:pPr>
      <w:r w:rsidRPr="00762E15">
        <w:t xml:space="preserve">amending the </w:t>
      </w:r>
      <w:r w:rsidRPr="00762E15">
        <w:rPr>
          <w:i/>
          <w:iCs/>
        </w:rPr>
        <w:t>Australian Prudential Regulation Authority Act 1998</w:t>
      </w:r>
      <w:r w:rsidRPr="00762E15">
        <w:t xml:space="preserve"> to ensure that </w:t>
      </w:r>
      <w:r w:rsidR="00950363" w:rsidRPr="00762E15">
        <w:t xml:space="preserve">it does not prevent </w:t>
      </w:r>
      <w:r w:rsidRPr="00762E15">
        <w:t xml:space="preserve">staff engaged by ASIC </w:t>
      </w:r>
      <w:r w:rsidR="00950363" w:rsidRPr="00762E15">
        <w:t>from performing</w:t>
      </w:r>
      <w:r w:rsidRPr="00762E15">
        <w:t xml:space="preserve"> functions </w:t>
      </w:r>
      <w:r w:rsidR="00741065" w:rsidRPr="00762E15">
        <w:t xml:space="preserve">in </w:t>
      </w:r>
      <w:r w:rsidRPr="00762E15">
        <w:t>relation to the Financial Accountability Regime (for example, conduct</w:t>
      </w:r>
      <w:r w:rsidR="00950363" w:rsidRPr="00762E15">
        <w:t xml:space="preserve">ing </w:t>
      </w:r>
      <w:r w:rsidRPr="00762E15">
        <w:t>investigations)</w:t>
      </w:r>
      <w:r w:rsidR="00A51EDD">
        <w:t>; and</w:t>
      </w:r>
      <w:r w:rsidRPr="00762E15">
        <w:t xml:space="preserve"> </w:t>
      </w:r>
      <w:r w:rsidRPr="00762E15">
        <w:rPr>
          <w:rStyle w:val="Referencingstyle"/>
        </w:rPr>
        <w:t>[Schedule 1 items 2 and 3, section 48 of the Australian Prudential Regulation Authority Act 1998]</w:t>
      </w:r>
    </w:p>
    <w:p w14:paraId="017071DF" w14:textId="141E8D50" w:rsidR="003D28F3" w:rsidRPr="00762E15" w:rsidRDefault="003D28F3" w:rsidP="003D28F3">
      <w:pPr>
        <w:pStyle w:val="dotpoint"/>
      </w:pPr>
      <w:r w:rsidRPr="00762E15">
        <w:t xml:space="preserve">requiring that fees, charges or penalties paid to APRA under the Financial Accountability Regime are not credited to APRA’s Special Account. </w:t>
      </w:r>
      <w:r w:rsidRPr="00762E15">
        <w:rPr>
          <w:rStyle w:val="Referencingstyle"/>
        </w:rPr>
        <w:t>[Schedule 1</w:t>
      </w:r>
      <w:r w:rsidR="00844126">
        <w:rPr>
          <w:rStyle w:val="Referencingstyle"/>
        </w:rPr>
        <w:t xml:space="preserve"> </w:t>
      </w:r>
      <w:r w:rsidRPr="00762E15">
        <w:rPr>
          <w:rStyle w:val="Referencingstyle"/>
        </w:rPr>
        <w:t>item 4, section 53 of the Australian Prudential Regulation Authority Act 1998]</w:t>
      </w:r>
    </w:p>
    <w:p w14:paraId="32A18EA3" w14:textId="12642EEF" w:rsidR="003D28F3" w:rsidRPr="00762E15" w:rsidRDefault="00EA759D" w:rsidP="00D53134">
      <w:pPr>
        <w:pStyle w:val="base-text-paragraph"/>
        <w:numPr>
          <w:ilvl w:val="1"/>
          <w:numId w:val="23"/>
        </w:numPr>
        <w:rPr>
          <w:bCs/>
          <w:iCs/>
        </w:rPr>
      </w:pPr>
      <w:bookmarkStart w:id="36" w:name="_Hlk81239253"/>
      <w:r w:rsidRPr="00762E15">
        <w:t xml:space="preserve">APRA is not however authorised to disclose information about the affairs of a particular person as part of the information included in its </w:t>
      </w:r>
      <w:r w:rsidRPr="00762E15">
        <w:lastRenderedPageBreak/>
        <w:t xml:space="preserve">annual report. </w:t>
      </w:r>
      <w:r w:rsidRPr="00762E15">
        <w:rPr>
          <w:rStyle w:val="Referencingstyle"/>
        </w:rPr>
        <w:t>[Schedule 1</w:t>
      </w:r>
      <w:r w:rsidR="00844126">
        <w:rPr>
          <w:rStyle w:val="Referencingstyle"/>
        </w:rPr>
        <w:t xml:space="preserve"> </w:t>
      </w:r>
      <w:r w:rsidRPr="00762E15">
        <w:rPr>
          <w:rStyle w:val="Referencingstyle"/>
        </w:rPr>
        <w:t>item 14, section 59 of the Australian Prudential Regulation Authority Act 1998]</w:t>
      </w:r>
    </w:p>
    <w:bookmarkEnd w:id="35"/>
    <w:bookmarkEnd w:id="36"/>
    <w:p w14:paraId="6EA8771E" w14:textId="4AD3D6C4" w:rsidR="002120AB" w:rsidRPr="00762E15" w:rsidRDefault="002120AB" w:rsidP="00F217BD">
      <w:pPr>
        <w:pStyle w:val="Heading4"/>
      </w:pPr>
      <w:r w:rsidRPr="00762E15">
        <w:t xml:space="preserve">Amendments relating to the repeal of the Banking Executive Accountability Regime </w:t>
      </w:r>
    </w:p>
    <w:p w14:paraId="05AD9136" w14:textId="52ACF9AA" w:rsidR="002120AB" w:rsidRPr="00762E15" w:rsidRDefault="00623A84" w:rsidP="00D53134">
      <w:pPr>
        <w:pStyle w:val="base-text-paragraph"/>
        <w:numPr>
          <w:ilvl w:val="1"/>
          <w:numId w:val="23"/>
        </w:numPr>
        <w:rPr>
          <w:rStyle w:val="Referencingstyle"/>
          <w:b w:val="0"/>
          <w:i w:val="0"/>
          <w:sz w:val="22"/>
        </w:rPr>
      </w:pPr>
      <w:r w:rsidRPr="00762E15">
        <w:rPr>
          <w:rStyle w:val="Referencingstyle"/>
          <w:b w:val="0"/>
          <w:i w:val="0"/>
          <w:sz w:val="22"/>
        </w:rPr>
        <w:t>The Bill repeals the Banking Executive Accountability Regime</w:t>
      </w:r>
      <w:r w:rsidR="00FF01FA" w:rsidRPr="00762E15">
        <w:rPr>
          <w:rStyle w:val="Referencingstyle"/>
          <w:b w:val="0"/>
          <w:i w:val="0"/>
          <w:sz w:val="22"/>
        </w:rPr>
        <w:t xml:space="preserve"> when the </w:t>
      </w:r>
      <w:r w:rsidR="00FF01FA" w:rsidRPr="00762E15">
        <w:t>Financial</w:t>
      </w:r>
      <w:r w:rsidR="00FF01FA" w:rsidRPr="00762E15">
        <w:rPr>
          <w:rStyle w:val="Referencingstyle"/>
          <w:b w:val="0"/>
          <w:i w:val="0"/>
          <w:sz w:val="22"/>
        </w:rPr>
        <w:t xml:space="preserve"> Accountability Regime applies to the banking </w:t>
      </w:r>
      <w:r w:rsidR="00737F87" w:rsidRPr="00762E15">
        <w:rPr>
          <w:rStyle w:val="Referencingstyle"/>
          <w:b w:val="0"/>
          <w:i w:val="0"/>
          <w:sz w:val="22"/>
        </w:rPr>
        <w:t>sector</w:t>
      </w:r>
      <w:r w:rsidR="00FF01FA" w:rsidRPr="00762E15">
        <w:rPr>
          <w:rStyle w:val="Referencingstyle"/>
          <w:b w:val="0"/>
          <w:i w:val="0"/>
          <w:sz w:val="22"/>
        </w:rPr>
        <w:t xml:space="preserve"> (</w:t>
      </w:r>
      <w:r w:rsidR="00737F87" w:rsidRPr="00762E15">
        <w:rPr>
          <w:rStyle w:val="Referencingstyle"/>
          <w:b w:val="0"/>
          <w:i w:val="0"/>
          <w:sz w:val="22"/>
        </w:rPr>
        <w:t>authorised deposit-taking</w:t>
      </w:r>
      <w:r w:rsidR="00480917">
        <w:rPr>
          <w:rStyle w:val="Referencingstyle"/>
          <w:b w:val="0"/>
          <w:i w:val="0"/>
          <w:sz w:val="22"/>
        </w:rPr>
        <w:t xml:space="preserve"> </w:t>
      </w:r>
      <w:r w:rsidR="00737F87" w:rsidRPr="00762E15">
        <w:rPr>
          <w:rStyle w:val="Referencingstyle"/>
          <w:b w:val="0"/>
          <w:i w:val="0"/>
          <w:sz w:val="22"/>
        </w:rPr>
        <w:t xml:space="preserve">institutions and their </w:t>
      </w:r>
      <w:r w:rsidR="003976FA" w:rsidRPr="00762E15">
        <w:rPr>
          <w:rStyle w:val="Referencingstyle"/>
          <w:b w:val="0"/>
          <w:i w:val="0"/>
          <w:sz w:val="22"/>
        </w:rPr>
        <w:t xml:space="preserve">authorised </w:t>
      </w:r>
      <w:r w:rsidR="00737F87" w:rsidRPr="00762E15">
        <w:rPr>
          <w:rStyle w:val="Referencingstyle"/>
          <w:b w:val="0"/>
          <w:i w:val="0"/>
          <w:sz w:val="22"/>
        </w:rPr>
        <w:t>non-operating holding companies</w:t>
      </w:r>
      <w:r w:rsidR="00FF01FA" w:rsidRPr="00762E15">
        <w:rPr>
          <w:rStyle w:val="Referencingstyle"/>
          <w:b w:val="0"/>
          <w:i w:val="0"/>
          <w:sz w:val="22"/>
        </w:rPr>
        <w:t>)</w:t>
      </w:r>
      <w:r w:rsidRPr="00762E15">
        <w:rPr>
          <w:rStyle w:val="Referencingstyle"/>
          <w:b w:val="0"/>
          <w:i w:val="0"/>
          <w:sz w:val="22"/>
        </w:rPr>
        <w:t xml:space="preserve">. </w:t>
      </w:r>
      <w:r w:rsidR="00FF01FA" w:rsidRPr="00762E15">
        <w:rPr>
          <w:rStyle w:val="Referencingstyle"/>
        </w:rPr>
        <w:t>[Schedule 1</w:t>
      </w:r>
      <w:r w:rsidR="00844126">
        <w:rPr>
          <w:rStyle w:val="Referencingstyle"/>
        </w:rPr>
        <w:t xml:space="preserve"> Part 2</w:t>
      </w:r>
      <w:r w:rsidR="00FF01FA" w:rsidRPr="00762E15">
        <w:rPr>
          <w:rStyle w:val="Referencingstyle"/>
        </w:rPr>
        <w:t>]</w:t>
      </w:r>
    </w:p>
    <w:p w14:paraId="1244C3BC" w14:textId="6702B83F" w:rsidR="00D85A41" w:rsidRPr="00762E15" w:rsidRDefault="00D85A41" w:rsidP="00420393">
      <w:pPr>
        <w:pStyle w:val="base-text-paragraph"/>
        <w:numPr>
          <w:ilvl w:val="1"/>
          <w:numId w:val="23"/>
        </w:numPr>
        <w:rPr>
          <w:rStyle w:val="Referencingstyle"/>
          <w:b w:val="0"/>
          <w:i w:val="0"/>
          <w:sz w:val="22"/>
        </w:rPr>
      </w:pPr>
      <w:r w:rsidRPr="00762E15">
        <w:rPr>
          <w:rStyle w:val="Referencingstyle"/>
          <w:b w:val="0"/>
          <w:i w:val="0"/>
          <w:sz w:val="22"/>
        </w:rPr>
        <w:t xml:space="preserve">APRA can however continue to take action against contraventions of obligations that occur while provisions of </w:t>
      </w:r>
      <w:r w:rsidR="00EF0013" w:rsidRPr="00762E15">
        <w:rPr>
          <w:rStyle w:val="Referencingstyle"/>
          <w:b w:val="0"/>
          <w:i w:val="0"/>
          <w:sz w:val="22"/>
        </w:rPr>
        <w:t xml:space="preserve">the </w:t>
      </w:r>
      <w:r w:rsidRPr="00762E15">
        <w:rPr>
          <w:rStyle w:val="Referencingstyle"/>
          <w:b w:val="0"/>
          <w:i w:val="0"/>
          <w:sz w:val="22"/>
        </w:rPr>
        <w:t xml:space="preserve">Banking Executive Accountability Regime </w:t>
      </w:r>
      <w:r w:rsidR="00B6059C" w:rsidRPr="00762E15">
        <w:rPr>
          <w:rStyle w:val="Referencingstyle"/>
          <w:b w:val="0"/>
          <w:i w:val="0"/>
          <w:sz w:val="22"/>
        </w:rPr>
        <w:t>apply</w:t>
      </w:r>
      <w:r w:rsidRPr="00762E15">
        <w:rPr>
          <w:rStyle w:val="Referencingstyle"/>
          <w:b w:val="0"/>
          <w:i w:val="0"/>
          <w:sz w:val="22"/>
        </w:rPr>
        <w:t xml:space="preserve">. </w:t>
      </w:r>
      <w:r w:rsidRPr="00762E15">
        <w:rPr>
          <w:rStyle w:val="Referencingstyle"/>
        </w:rPr>
        <w:t>[Schedule 2]</w:t>
      </w:r>
      <w:r w:rsidRPr="00762E15">
        <w:rPr>
          <w:rStyle w:val="Referencingstyle"/>
          <w:b w:val="0"/>
          <w:i w:val="0"/>
          <w:sz w:val="22"/>
        </w:rPr>
        <w:t xml:space="preserve">  </w:t>
      </w:r>
    </w:p>
    <w:p w14:paraId="212C8D0E" w14:textId="6C9533FB" w:rsidR="00343720" w:rsidRPr="00762E15" w:rsidRDefault="00343720" w:rsidP="00D53134">
      <w:pPr>
        <w:pStyle w:val="base-text-paragraph"/>
        <w:numPr>
          <w:ilvl w:val="1"/>
          <w:numId w:val="23"/>
        </w:numPr>
        <w:rPr>
          <w:rStyle w:val="Referencingstyle"/>
          <w:b w:val="0"/>
          <w:i w:val="0"/>
          <w:sz w:val="22"/>
        </w:rPr>
      </w:pPr>
      <w:r w:rsidRPr="00762E15">
        <w:rPr>
          <w:rStyle w:val="Referencingstyle"/>
          <w:b w:val="0"/>
          <w:i w:val="0"/>
          <w:sz w:val="22"/>
        </w:rPr>
        <w:t xml:space="preserve">The </w:t>
      </w:r>
      <w:r w:rsidR="00EC79F1" w:rsidRPr="00762E15">
        <w:rPr>
          <w:rStyle w:val="Referencingstyle"/>
          <w:b w:val="0"/>
          <w:i w:val="0"/>
          <w:sz w:val="22"/>
        </w:rPr>
        <w:t xml:space="preserve">Bill also </w:t>
      </w:r>
      <w:r w:rsidR="00737F87" w:rsidRPr="00762E15">
        <w:rPr>
          <w:rStyle w:val="Referencingstyle"/>
          <w:b w:val="0"/>
          <w:i w:val="0"/>
          <w:sz w:val="22"/>
        </w:rPr>
        <w:t xml:space="preserve">amends the </w:t>
      </w:r>
      <w:r w:rsidR="00737F87" w:rsidRPr="00762E15">
        <w:rPr>
          <w:rStyle w:val="Referencingstyle"/>
          <w:b w:val="0"/>
          <w:iCs/>
          <w:sz w:val="22"/>
        </w:rPr>
        <w:t xml:space="preserve">Banking Act 1959 </w:t>
      </w:r>
      <w:r w:rsidR="00737F87" w:rsidRPr="00762E15">
        <w:rPr>
          <w:rStyle w:val="Referencingstyle"/>
          <w:b w:val="0"/>
          <w:i w:val="0"/>
          <w:sz w:val="22"/>
        </w:rPr>
        <w:t xml:space="preserve">and the </w:t>
      </w:r>
      <w:r w:rsidR="00737F87" w:rsidRPr="00762E15">
        <w:rPr>
          <w:rStyle w:val="Referencingstyle"/>
          <w:b w:val="0"/>
          <w:iCs/>
          <w:sz w:val="22"/>
        </w:rPr>
        <w:t xml:space="preserve">Australian Prudential </w:t>
      </w:r>
      <w:r w:rsidR="00737F87" w:rsidRPr="00762E15">
        <w:rPr>
          <w:i/>
        </w:rPr>
        <w:t>Regulation</w:t>
      </w:r>
      <w:r w:rsidR="00737F87" w:rsidRPr="00762E15">
        <w:rPr>
          <w:rStyle w:val="Referencingstyle"/>
          <w:b w:val="0"/>
          <w:iCs/>
          <w:sz w:val="22"/>
        </w:rPr>
        <w:t xml:space="preserve"> Authority Act 1998</w:t>
      </w:r>
      <w:r w:rsidR="00737F87" w:rsidRPr="00762E15">
        <w:rPr>
          <w:rStyle w:val="Referencingstyle"/>
          <w:b w:val="0"/>
          <w:i w:val="0"/>
          <w:sz w:val="22"/>
        </w:rPr>
        <w:t xml:space="preserve"> to remove references and provisions relating to the Banking Executive Accountability Regime. </w:t>
      </w:r>
      <w:r w:rsidRPr="00762E15">
        <w:rPr>
          <w:rStyle w:val="Referencingstyle"/>
        </w:rPr>
        <w:t>[Schedule 1</w:t>
      </w:r>
      <w:r w:rsidR="00737F87" w:rsidRPr="00762E15">
        <w:rPr>
          <w:rStyle w:val="Referencingstyle"/>
        </w:rPr>
        <w:t xml:space="preserve"> </w:t>
      </w:r>
      <w:r w:rsidRPr="00762E15">
        <w:rPr>
          <w:rStyle w:val="Referencingstyle"/>
        </w:rPr>
        <w:t xml:space="preserve">items </w:t>
      </w:r>
      <w:r w:rsidR="00844126">
        <w:rPr>
          <w:rStyle w:val="Referencingstyle"/>
        </w:rPr>
        <w:t>88</w:t>
      </w:r>
      <w:r w:rsidRPr="00762E15">
        <w:rPr>
          <w:rStyle w:val="Referencingstyle"/>
        </w:rPr>
        <w:t xml:space="preserve"> to </w:t>
      </w:r>
      <w:r w:rsidR="00844126">
        <w:rPr>
          <w:rStyle w:val="Referencingstyle"/>
        </w:rPr>
        <w:t>101</w:t>
      </w:r>
      <w:r w:rsidRPr="00762E15">
        <w:rPr>
          <w:rStyle w:val="Referencingstyle"/>
        </w:rPr>
        <w:t>]</w:t>
      </w:r>
    </w:p>
    <w:p w14:paraId="7581CF1B" w14:textId="70CCD679" w:rsidR="00623A84" w:rsidRPr="00762E15" w:rsidRDefault="00623A84" w:rsidP="00420393">
      <w:pPr>
        <w:pStyle w:val="base-text-paragraph"/>
        <w:numPr>
          <w:ilvl w:val="1"/>
          <w:numId w:val="23"/>
        </w:numPr>
        <w:rPr>
          <w:rStyle w:val="Referencingstyle"/>
          <w:b w:val="0"/>
          <w:bCs/>
          <w:sz w:val="22"/>
        </w:rPr>
      </w:pPr>
      <w:r w:rsidRPr="00762E15">
        <w:rPr>
          <w:bCs/>
          <w:iCs/>
        </w:rPr>
        <w:t xml:space="preserve">The Bill makes a consequential amendment to the </w:t>
      </w:r>
      <w:r w:rsidRPr="00762E15">
        <w:rPr>
          <w:bCs/>
          <w:i/>
        </w:rPr>
        <w:t xml:space="preserve">National Consumer Credit Protection Act 2009. </w:t>
      </w:r>
      <w:r w:rsidRPr="00762E15">
        <w:rPr>
          <w:bCs/>
          <w:iCs/>
        </w:rPr>
        <w:t xml:space="preserve">Currently the </w:t>
      </w:r>
      <w:r w:rsidRPr="00762E15">
        <w:rPr>
          <w:bCs/>
          <w:i/>
        </w:rPr>
        <w:t xml:space="preserve">National Consumer Credit Protection Act 2009 </w:t>
      </w:r>
      <w:r w:rsidRPr="00762E15">
        <w:rPr>
          <w:bCs/>
          <w:iCs/>
        </w:rPr>
        <w:t xml:space="preserve">relies on the definition of </w:t>
      </w:r>
      <w:r w:rsidRPr="00762E15">
        <w:rPr>
          <w:b/>
          <w:i/>
        </w:rPr>
        <w:t>large ADI</w:t>
      </w:r>
      <w:r w:rsidRPr="00762E15">
        <w:rPr>
          <w:bCs/>
          <w:iCs/>
        </w:rPr>
        <w:t xml:space="preserve"> under the </w:t>
      </w:r>
      <w:r w:rsidRPr="00762E15">
        <w:rPr>
          <w:bCs/>
          <w:i/>
        </w:rPr>
        <w:t>Banking Act 1959</w:t>
      </w:r>
      <w:r w:rsidRPr="00762E15">
        <w:rPr>
          <w:bCs/>
          <w:iCs/>
        </w:rPr>
        <w:t xml:space="preserve">. As this definition is repealed along with the Banking Executive </w:t>
      </w:r>
      <w:r w:rsidRPr="00762E15">
        <w:t>Accountability</w:t>
      </w:r>
      <w:r w:rsidRPr="00762E15">
        <w:rPr>
          <w:bCs/>
          <w:iCs/>
        </w:rPr>
        <w:t xml:space="preserve"> Regime, the Bill introduces an instrument making power into the </w:t>
      </w:r>
      <w:r w:rsidRPr="00762E15">
        <w:rPr>
          <w:bCs/>
          <w:i/>
        </w:rPr>
        <w:t xml:space="preserve">National Consumer Credit Protection Act 2009 </w:t>
      </w:r>
      <w:r w:rsidRPr="00762E15">
        <w:rPr>
          <w:bCs/>
          <w:iCs/>
        </w:rPr>
        <w:t xml:space="preserve">which allows a Minister to define a </w:t>
      </w:r>
      <w:r w:rsidRPr="0076510E">
        <w:rPr>
          <w:b/>
          <w:i/>
        </w:rPr>
        <w:t>large ADI</w:t>
      </w:r>
      <w:r w:rsidRPr="00762E15">
        <w:rPr>
          <w:bCs/>
          <w:iCs/>
        </w:rPr>
        <w:t xml:space="preserve"> for the purpose of that Act. </w:t>
      </w:r>
      <w:r w:rsidRPr="00762E15">
        <w:rPr>
          <w:rStyle w:val="Referencingstyle"/>
        </w:rPr>
        <w:t xml:space="preserve">[Schedule 1 items </w:t>
      </w:r>
      <w:r w:rsidR="00A26DFE">
        <w:rPr>
          <w:rStyle w:val="Referencingstyle"/>
        </w:rPr>
        <w:t>64</w:t>
      </w:r>
      <w:r w:rsidRPr="00762E15">
        <w:rPr>
          <w:rStyle w:val="Referencingstyle"/>
        </w:rPr>
        <w:t xml:space="preserve"> and </w:t>
      </w:r>
      <w:r w:rsidR="00A26DFE">
        <w:rPr>
          <w:rStyle w:val="Referencingstyle"/>
        </w:rPr>
        <w:t>65</w:t>
      </w:r>
      <w:r w:rsidRPr="00762E15">
        <w:rPr>
          <w:rStyle w:val="Referencingstyle"/>
        </w:rPr>
        <w:t>]</w:t>
      </w:r>
    </w:p>
    <w:p w14:paraId="50F8DDC2" w14:textId="77777777" w:rsidR="000213F1" w:rsidRPr="00762E15" w:rsidRDefault="000213F1" w:rsidP="000213F1">
      <w:pPr>
        <w:pStyle w:val="Heading5"/>
      </w:pPr>
      <w:r w:rsidRPr="00762E15">
        <w:t xml:space="preserve">Continuing application of the Banking Executive Accountability Regime </w:t>
      </w:r>
    </w:p>
    <w:p w14:paraId="68995BCD" w14:textId="4ACB1B10" w:rsidR="00CE13F8" w:rsidRDefault="00CE13F8" w:rsidP="00420393">
      <w:pPr>
        <w:pStyle w:val="base-text-paragraph"/>
        <w:numPr>
          <w:ilvl w:val="1"/>
          <w:numId w:val="23"/>
        </w:numPr>
      </w:pPr>
      <w:r>
        <w:t xml:space="preserve">The Banking Executive Accountability Regime will continue to apply to the banking sector </w:t>
      </w:r>
      <w:r w:rsidRPr="00762E15">
        <w:t>(authorised deposit</w:t>
      </w:r>
      <w:r w:rsidRPr="00762E15">
        <w:noBreakHyphen/>
        <w:t>taking</w:t>
      </w:r>
      <w:r>
        <w:t xml:space="preserve"> </w:t>
      </w:r>
      <w:r w:rsidRPr="00762E15">
        <w:t xml:space="preserve">institutions and their subsidiaries) </w:t>
      </w:r>
      <w:r>
        <w:t xml:space="preserve">before the application of the Financial Accountability Regime. </w:t>
      </w:r>
      <w:r w:rsidRPr="00762E15">
        <w:rPr>
          <w:rStyle w:val="Referencingstyle"/>
        </w:rPr>
        <w:t>[Schedule 2 item 1</w:t>
      </w:r>
      <w:r>
        <w:rPr>
          <w:rStyle w:val="Referencingstyle"/>
        </w:rPr>
        <w:t>8</w:t>
      </w:r>
      <w:r w:rsidRPr="00762E15">
        <w:rPr>
          <w:rStyle w:val="Referencingstyle"/>
        </w:rPr>
        <w:t>]</w:t>
      </w:r>
    </w:p>
    <w:p w14:paraId="76603430" w14:textId="5CE45A5D" w:rsidR="000213F1" w:rsidRPr="00762E15" w:rsidRDefault="000213F1" w:rsidP="00420393">
      <w:pPr>
        <w:pStyle w:val="base-text-paragraph"/>
        <w:numPr>
          <w:ilvl w:val="1"/>
          <w:numId w:val="23"/>
        </w:numPr>
      </w:pPr>
      <w:r w:rsidRPr="00762E15">
        <w:t>Some obligations under the Banking Executive Accountability Regime will continue to apply to the banking sector (authorised deposit</w:t>
      </w:r>
      <w:r w:rsidR="00950363" w:rsidRPr="00762E15">
        <w:noBreakHyphen/>
      </w:r>
      <w:r w:rsidRPr="00762E15">
        <w:t>taking</w:t>
      </w:r>
      <w:r w:rsidR="00480917">
        <w:t xml:space="preserve"> </w:t>
      </w:r>
      <w:r w:rsidRPr="00762E15">
        <w:t xml:space="preserve">institutions and their </w:t>
      </w:r>
      <w:r w:rsidR="00E66FCC" w:rsidRPr="00762E15">
        <w:t>subsidiaries</w:t>
      </w:r>
      <w:r w:rsidRPr="00762E15">
        <w:t>)</w:t>
      </w:r>
      <w:r w:rsidR="00CE13F8">
        <w:t xml:space="preserve"> after the application of the Financial Accountability Regime</w:t>
      </w:r>
      <w:r w:rsidRPr="00762E15">
        <w:t xml:space="preserve"> </w:t>
      </w:r>
      <w:r w:rsidR="00950363" w:rsidRPr="00762E15">
        <w:t>to enable</w:t>
      </w:r>
      <w:r w:rsidRPr="00762E15">
        <w:t xml:space="preserve"> the transition from the Banking Executive Accountability Regime. </w:t>
      </w:r>
    </w:p>
    <w:p w14:paraId="63BF1809" w14:textId="77777777" w:rsidR="000213F1" w:rsidRPr="00762E15" w:rsidRDefault="000213F1" w:rsidP="00420393">
      <w:pPr>
        <w:pStyle w:val="base-text-paragraph"/>
        <w:numPr>
          <w:ilvl w:val="1"/>
          <w:numId w:val="23"/>
        </w:numPr>
      </w:pPr>
      <w:r w:rsidRPr="00762E15">
        <w:t>This means that:</w:t>
      </w:r>
    </w:p>
    <w:p w14:paraId="350A0230" w14:textId="0578F201" w:rsidR="000213F1" w:rsidRPr="00762E15" w:rsidRDefault="000213F1" w:rsidP="000213F1">
      <w:pPr>
        <w:pStyle w:val="dotpoint"/>
        <w:rPr>
          <w:rStyle w:val="Referencingstyle"/>
          <w:b w:val="0"/>
          <w:i w:val="0"/>
          <w:sz w:val="22"/>
        </w:rPr>
      </w:pPr>
      <w:r w:rsidRPr="00762E15">
        <w:t xml:space="preserve">APRA must still be notified of relevant changes in an accountability statement or </w:t>
      </w:r>
      <w:r w:rsidR="00823BE3">
        <w:t xml:space="preserve">an </w:t>
      </w:r>
      <w:r w:rsidR="009561D3">
        <w:t xml:space="preserve">accountability map, or </w:t>
      </w:r>
      <w:r w:rsidRPr="00762E15">
        <w:t>of a notification event</w:t>
      </w:r>
      <w:r w:rsidR="009561D3">
        <w:t>,</w:t>
      </w:r>
      <w:r w:rsidRPr="00762E15">
        <w:t xml:space="preserve"> under the Banking Executive Accountability Regime</w:t>
      </w:r>
      <w:r w:rsidR="00C72DBB" w:rsidRPr="00762E15">
        <w:t xml:space="preserve"> as per the existing timeframes</w:t>
      </w:r>
      <w:r w:rsidRPr="00762E15">
        <w:t>;</w:t>
      </w:r>
      <w:r w:rsidRPr="00762E15">
        <w:rPr>
          <w:rStyle w:val="Referencingstyle"/>
        </w:rPr>
        <w:t xml:space="preserve"> [Schedule 2 item 14]</w:t>
      </w:r>
    </w:p>
    <w:p w14:paraId="6FCD382E" w14:textId="5DC10DC9" w:rsidR="000213F1" w:rsidRPr="00762E15" w:rsidRDefault="000213F1" w:rsidP="000213F1">
      <w:pPr>
        <w:pStyle w:val="dotpoint"/>
        <w:rPr>
          <w:rStyle w:val="Referencingstyle"/>
          <w:b w:val="0"/>
          <w:i w:val="0"/>
          <w:sz w:val="22"/>
        </w:rPr>
      </w:pPr>
      <w:r w:rsidRPr="00762E15">
        <w:t xml:space="preserve">directions to re-allocate responsibilities given under the Banking Executive Accountability Regime will continue to </w:t>
      </w:r>
      <w:r w:rsidRPr="00762E15">
        <w:lastRenderedPageBreak/>
        <w:t>have force as directions under the Financial Accountability Regime;</w:t>
      </w:r>
      <w:r w:rsidRPr="00762E15">
        <w:rPr>
          <w:rStyle w:val="Referencingstyle"/>
        </w:rPr>
        <w:t xml:space="preserve"> [Schedule</w:t>
      </w:r>
      <w:r w:rsidR="00950363" w:rsidRPr="00762E15">
        <w:rPr>
          <w:rStyle w:val="Referencingstyle"/>
        </w:rPr>
        <w:t> </w:t>
      </w:r>
      <w:r w:rsidRPr="00762E15">
        <w:rPr>
          <w:rStyle w:val="Referencingstyle"/>
        </w:rPr>
        <w:t>2</w:t>
      </w:r>
      <w:r w:rsidR="00482251">
        <w:rPr>
          <w:rStyle w:val="Referencingstyle"/>
        </w:rPr>
        <w:t xml:space="preserve"> </w:t>
      </w:r>
      <w:r w:rsidRPr="00762E15">
        <w:rPr>
          <w:rStyle w:val="Referencingstyle"/>
        </w:rPr>
        <w:t>item 15]</w:t>
      </w:r>
    </w:p>
    <w:p w14:paraId="2EF1319A" w14:textId="506B95CD" w:rsidR="000213F1" w:rsidRPr="00762E15" w:rsidRDefault="000213F1" w:rsidP="000213F1">
      <w:pPr>
        <w:pStyle w:val="dotpoint"/>
        <w:rPr>
          <w:rStyle w:val="Referencingstyle"/>
          <w:b w:val="0"/>
          <w:i w:val="0"/>
          <w:sz w:val="22"/>
        </w:rPr>
      </w:pPr>
      <w:r w:rsidRPr="00762E15">
        <w:t>directions for non-compliance given under the Banking Executive Accountability Regime will continue to have force;</w:t>
      </w:r>
      <w:r w:rsidRPr="00762E15">
        <w:rPr>
          <w:rStyle w:val="Referencingstyle"/>
        </w:rPr>
        <w:t xml:space="preserve"> [Schedule 2 item 19]</w:t>
      </w:r>
    </w:p>
    <w:p w14:paraId="7608A234" w14:textId="16185036" w:rsidR="000213F1" w:rsidRPr="00762E15" w:rsidRDefault="000213F1" w:rsidP="000213F1">
      <w:pPr>
        <w:pStyle w:val="dotpoint"/>
        <w:rPr>
          <w:rStyle w:val="Referencingstyle"/>
          <w:b w:val="0"/>
          <w:i w:val="0"/>
          <w:sz w:val="22"/>
        </w:rPr>
      </w:pPr>
      <w:r w:rsidRPr="00762E15">
        <w:t xml:space="preserve">enforceable undertakings and injunctions under the Banking Executive Accountability Regime will continue to have force; and </w:t>
      </w:r>
      <w:r w:rsidRPr="00762E15">
        <w:rPr>
          <w:rStyle w:val="Referencingstyle"/>
        </w:rPr>
        <w:t>[Schedule 2 item 21]</w:t>
      </w:r>
    </w:p>
    <w:p w14:paraId="4443AD1C" w14:textId="3049215A" w:rsidR="000213F1" w:rsidRPr="00762E15" w:rsidRDefault="000213F1" w:rsidP="000213F1">
      <w:pPr>
        <w:pStyle w:val="dotpoint"/>
        <w:rPr>
          <w:rStyle w:val="Referencingstyle"/>
          <w:b w:val="0"/>
          <w:i w:val="0"/>
          <w:sz w:val="22"/>
        </w:rPr>
      </w:pPr>
      <w:r w:rsidRPr="00762E15">
        <w:t xml:space="preserve">APRA will continue to be able to exercise its powers under the Banking Executive Accountability Regime to investigate non-compliance in the same manner and subject to the same obligations as before the application of the Financial Accountability Regime (including secrecy obligations). </w:t>
      </w:r>
      <w:r w:rsidRPr="00762E15">
        <w:rPr>
          <w:rStyle w:val="Referencingstyle"/>
        </w:rPr>
        <w:t>[Schedule 2</w:t>
      </w:r>
      <w:r w:rsidR="00482251">
        <w:rPr>
          <w:rStyle w:val="Referencingstyle"/>
        </w:rPr>
        <w:t xml:space="preserve"> </w:t>
      </w:r>
      <w:r w:rsidRPr="00762E15">
        <w:rPr>
          <w:rStyle w:val="Referencingstyle"/>
        </w:rPr>
        <w:t>item 24]</w:t>
      </w:r>
    </w:p>
    <w:p w14:paraId="7354EDB3" w14:textId="244F0967" w:rsidR="000213F1" w:rsidRPr="00762E15" w:rsidRDefault="000213F1" w:rsidP="00420393">
      <w:pPr>
        <w:pStyle w:val="base-text-paragraph"/>
        <w:numPr>
          <w:ilvl w:val="1"/>
          <w:numId w:val="23"/>
        </w:numPr>
      </w:pPr>
      <w:bookmarkStart w:id="37" w:name="_Hlk81315294"/>
      <w:r w:rsidRPr="00762E15">
        <w:t>In addition, the Financial Accountability Regime can be used to take action in relation to breaches of the Banking Executive Accountability Regime. Specifically</w:t>
      </w:r>
      <w:r w:rsidR="004F1648">
        <w:t xml:space="preserve">, </w:t>
      </w:r>
      <w:r w:rsidR="001F34DC">
        <w:t xml:space="preserve">under </w:t>
      </w:r>
      <w:r w:rsidR="004F1648">
        <w:t>the Financial Accountability Regime</w:t>
      </w:r>
      <w:bookmarkEnd w:id="37"/>
      <w:r w:rsidRPr="00762E15">
        <w:t xml:space="preserve">: </w:t>
      </w:r>
    </w:p>
    <w:p w14:paraId="1C2FE6C3" w14:textId="0189FB19" w:rsidR="000213F1" w:rsidRPr="00762E15" w:rsidRDefault="000213F1" w:rsidP="000213F1">
      <w:pPr>
        <w:pStyle w:val="dotpoint"/>
      </w:pPr>
      <w:bookmarkStart w:id="38" w:name="_Hlk81315324"/>
      <w:r w:rsidRPr="00762E15">
        <w:t xml:space="preserve">a non-compliance direction </w:t>
      </w:r>
      <w:r w:rsidR="001F34DC">
        <w:t>may be made</w:t>
      </w:r>
      <w:r w:rsidRPr="00762E15">
        <w:t xml:space="preserve"> in relation to breaches of the Banking Executive Accountability Regime; </w:t>
      </w:r>
      <w:r w:rsidRPr="00762E15">
        <w:rPr>
          <w:rStyle w:val="Referencingstyle"/>
        </w:rPr>
        <w:t>[Schedule 2</w:t>
      </w:r>
      <w:r w:rsidR="00482251">
        <w:rPr>
          <w:rStyle w:val="Referencingstyle"/>
        </w:rPr>
        <w:t xml:space="preserve"> </w:t>
      </w:r>
      <w:r w:rsidRPr="00762E15">
        <w:rPr>
          <w:rStyle w:val="Referencingstyle"/>
        </w:rPr>
        <w:t>item 16]</w:t>
      </w:r>
    </w:p>
    <w:p w14:paraId="74B48EB1" w14:textId="38E0A5CE" w:rsidR="000213F1" w:rsidRPr="00762E15" w:rsidRDefault="000213F1" w:rsidP="000213F1">
      <w:pPr>
        <w:pStyle w:val="dotpoint"/>
        <w:rPr>
          <w:rStyle w:val="Referencingstyle"/>
          <w:b w:val="0"/>
          <w:i w:val="0"/>
          <w:sz w:val="22"/>
        </w:rPr>
      </w:pPr>
      <w:r w:rsidRPr="00762E15">
        <w:t xml:space="preserve">an accountable person </w:t>
      </w:r>
      <w:r w:rsidR="001F34DC">
        <w:t xml:space="preserve">may be disqualified </w:t>
      </w:r>
      <w:r w:rsidRPr="00762E15">
        <w:t xml:space="preserve">in relation to </w:t>
      </w:r>
      <w:r w:rsidR="00950363" w:rsidRPr="00762E15">
        <w:t>breaches under</w:t>
      </w:r>
      <w:r w:rsidRPr="00762E15">
        <w:t xml:space="preserve"> the Banking Executive Accountability Regime; </w:t>
      </w:r>
      <w:r w:rsidRPr="00762E15">
        <w:rPr>
          <w:rStyle w:val="Referencingstyle"/>
        </w:rPr>
        <w:t>[Schedule 2</w:t>
      </w:r>
      <w:r w:rsidR="00482251">
        <w:rPr>
          <w:rStyle w:val="Referencingstyle"/>
        </w:rPr>
        <w:t xml:space="preserve"> </w:t>
      </w:r>
      <w:r w:rsidRPr="00762E15">
        <w:rPr>
          <w:rStyle w:val="Referencingstyle"/>
        </w:rPr>
        <w:t>item 9]</w:t>
      </w:r>
    </w:p>
    <w:p w14:paraId="4DD323EC" w14:textId="431478EA" w:rsidR="000213F1" w:rsidRPr="00762E15" w:rsidRDefault="000213F1" w:rsidP="000213F1">
      <w:pPr>
        <w:pStyle w:val="dotpoint"/>
      </w:pPr>
      <w:r w:rsidRPr="00762E15">
        <w:t>any accountable person disqualified under the Banking Executive Accountability Regime will continue to be disqualified under the Financial Accountability Regime on the same terms; and</w:t>
      </w:r>
      <w:r w:rsidRPr="00762E15">
        <w:rPr>
          <w:rStyle w:val="Referencingstyle"/>
        </w:rPr>
        <w:t xml:space="preserve"> [Schedule 2 item 5]</w:t>
      </w:r>
    </w:p>
    <w:p w14:paraId="3815E5E2" w14:textId="7528D3B5" w:rsidR="000213F1" w:rsidRPr="00762E15" w:rsidRDefault="000213F1" w:rsidP="000213F1">
      <w:pPr>
        <w:pStyle w:val="dotpoint"/>
        <w:rPr>
          <w:rStyle w:val="Referencingstyle"/>
          <w:b w:val="0"/>
          <w:i w:val="0"/>
          <w:sz w:val="22"/>
        </w:rPr>
      </w:pPr>
      <w:r w:rsidRPr="00762E15">
        <w:t>the authori</w:t>
      </w:r>
      <w:r w:rsidR="00DD7E0D">
        <w:t>ty</w:t>
      </w:r>
      <w:r w:rsidRPr="00762E15">
        <w:t xml:space="preserve"> of an </w:t>
      </w:r>
      <w:r w:rsidR="00F763F1" w:rsidRPr="00F763F1">
        <w:t xml:space="preserve">authorised deposit-taking institution </w:t>
      </w:r>
      <w:r w:rsidR="001F34DC">
        <w:t xml:space="preserve">may be revoked </w:t>
      </w:r>
      <w:r w:rsidRPr="00762E15">
        <w:t>in relation to breaches of the Banking Executive Accountability Regime, regardless of whether the breach was before or after the application of the Financial Accountability Regime to the authorised deposit-taking</w:t>
      </w:r>
      <w:r w:rsidR="00480917">
        <w:t xml:space="preserve"> </w:t>
      </w:r>
      <w:r w:rsidRPr="00762E15">
        <w:t xml:space="preserve">institutions. </w:t>
      </w:r>
      <w:r w:rsidRPr="00762E15">
        <w:rPr>
          <w:rStyle w:val="Referencingstyle"/>
        </w:rPr>
        <w:t>[Schedule 2</w:t>
      </w:r>
      <w:r w:rsidR="00482251">
        <w:rPr>
          <w:rStyle w:val="Referencingstyle"/>
        </w:rPr>
        <w:t xml:space="preserve"> </w:t>
      </w:r>
      <w:r w:rsidRPr="00762E15">
        <w:rPr>
          <w:rStyle w:val="Referencingstyle"/>
        </w:rPr>
        <w:t>item 17]</w:t>
      </w:r>
    </w:p>
    <w:bookmarkEnd w:id="38"/>
    <w:p w14:paraId="3B20DE14" w14:textId="7089F230" w:rsidR="000213F1" w:rsidRPr="00762E15" w:rsidRDefault="000213F1" w:rsidP="00420393">
      <w:pPr>
        <w:pStyle w:val="base-text-paragraph"/>
        <w:numPr>
          <w:ilvl w:val="1"/>
          <w:numId w:val="23"/>
        </w:numPr>
        <w:rPr>
          <w:rStyle w:val="Referencingstyle"/>
          <w:b w:val="0"/>
          <w:i w:val="0"/>
          <w:sz w:val="22"/>
        </w:rPr>
      </w:pPr>
      <w:r w:rsidRPr="00762E15">
        <w:t xml:space="preserve">Information collected under the Banking Executive Accountability Regime can be used to investigate breaches under the Financial Accountability Regime. This can occur regardless of whether the relevant breach occurred before or after the commencement of the Financial Accountability Regime. </w:t>
      </w:r>
      <w:r w:rsidR="00C113D9" w:rsidRPr="00762E15">
        <w:t>However,</w:t>
      </w:r>
      <w:r w:rsidRPr="00762E15">
        <w:t xml:space="preserve"> the restrictions on sharing information between APRA and ASIC in relation to such information brought in as part of the Financial Accountability Regime will apply to that information. </w:t>
      </w:r>
      <w:r w:rsidRPr="00762E15">
        <w:rPr>
          <w:rStyle w:val="Referencingstyle"/>
        </w:rPr>
        <w:t xml:space="preserve">[Schedule 2 items </w:t>
      </w:r>
      <w:r w:rsidR="00F51F0C">
        <w:rPr>
          <w:rStyle w:val="Referencingstyle"/>
        </w:rPr>
        <w:t>29, 31 and 33</w:t>
      </w:r>
      <w:r w:rsidRPr="00762E15">
        <w:rPr>
          <w:rStyle w:val="Referencingstyle"/>
        </w:rPr>
        <w:t>]</w:t>
      </w:r>
    </w:p>
    <w:p w14:paraId="76F469F9" w14:textId="6067A45F" w:rsidR="000213F1" w:rsidRPr="00762E15" w:rsidRDefault="000213F1" w:rsidP="00420393">
      <w:pPr>
        <w:pStyle w:val="base-text-paragraph"/>
        <w:numPr>
          <w:ilvl w:val="1"/>
          <w:numId w:val="23"/>
        </w:numPr>
        <w:rPr>
          <w:rStyle w:val="Referencingstyle"/>
          <w:b w:val="0"/>
          <w:i w:val="0"/>
          <w:sz w:val="22"/>
        </w:rPr>
      </w:pPr>
      <w:r w:rsidRPr="00762E15">
        <w:lastRenderedPageBreak/>
        <w:t xml:space="preserve">Decisions </w:t>
      </w:r>
      <w:r w:rsidR="000A78EE">
        <w:t>made</w:t>
      </w:r>
      <w:r w:rsidRPr="00762E15">
        <w:t xml:space="preserve"> under the Banking Executive Accountability Regime can continue to be reviewed under the Banking Executive Accountability Regime, according to the existing review procedures. </w:t>
      </w:r>
      <w:r w:rsidRPr="00762E15">
        <w:rPr>
          <w:rStyle w:val="Referencingstyle"/>
        </w:rPr>
        <w:t>[Schedule 2 item 20]</w:t>
      </w:r>
    </w:p>
    <w:p w14:paraId="68B4446E" w14:textId="612D8B09" w:rsidR="00425C90" w:rsidRPr="00762E15" w:rsidRDefault="00425C90" w:rsidP="00D53134">
      <w:pPr>
        <w:pStyle w:val="base-text-paragraph"/>
        <w:numPr>
          <w:ilvl w:val="1"/>
          <w:numId w:val="23"/>
        </w:numPr>
        <w:rPr>
          <w:rStyle w:val="Referencingstyle"/>
          <w:b w:val="0"/>
          <w:i w:val="0"/>
          <w:sz w:val="22"/>
        </w:rPr>
      </w:pPr>
      <w:r w:rsidRPr="00762E15">
        <w:t xml:space="preserve">The Bill also makes other technical amendments in relation to the </w:t>
      </w:r>
      <w:r w:rsidR="004243BC" w:rsidRPr="00762E15">
        <w:t>transition</w:t>
      </w:r>
      <w:r w:rsidRPr="00762E15">
        <w:t xml:space="preserve"> </w:t>
      </w:r>
      <w:r w:rsidR="004243BC" w:rsidRPr="00762E15">
        <w:t>from the</w:t>
      </w:r>
      <w:r w:rsidRPr="00762E15">
        <w:t xml:space="preserve"> </w:t>
      </w:r>
      <w:r w:rsidR="004243BC" w:rsidRPr="00762E15">
        <w:t xml:space="preserve">Banking Executive Accountability Regime to </w:t>
      </w:r>
      <w:r w:rsidRPr="00762E15">
        <w:t>the Financial Accountability Regime. Th</w:t>
      </w:r>
      <w:r w:rsidR="004243BC" w:rsidRPr="00762E15">
        <w:t>es</w:t>
      </w:r>
      <w:r w:rsidRPr="00762E15">
        <w:t>e amendments</w:t>
      </w:r>
      <w:r w:rsidR="00CC5B04">
        <w:t xml:space="preserve"> ensure</w:t>
      </w:r>
      <w:r w:rsidRPr="00762E15">
        <w:t>:</w:t>
      </w:r>
    </w:p>
    <w:p w14:paraId="66B2132A" w14:textId="07FD0825" w:rsidR="00425C90" w:rsidRPr="00762E15" w:rsidRDefault="004243BC" w:rsidP="00425C90">
      <w:pPr>
        <w:pStyle w:val="dotpoint"/>
        <w:rPr>
          <w:bCs/>
          <w:iCs/>
        </w:rPr>
      </w:pPr>
      <w:r w:rsidRPr="00762E15">
        <w:rPr>
          <w:bCs/>
          <w:iCs/>
        </w:rPr>
        <w:t>a person</w:t>
      </w:r>
      <w:r w:rsidR="00425C90" w:rsidRPr="00762E15">
        <w:rPr>
          <w:bCs/>
          <w:iCs/>
        </w:rPr>
        <w:t xml:space="preserve"> who has been convicted of an offence against the Financial Accountability Regime is disqualified under the </w:t>
      </w:r>
      <w:r w:rsidR="00425C90" w:rsidRPr="00762E15">
        <w:rPr>
          <w:i/>
        </w:rPr>
        <w:t xml:space="preserve">Banking </w:t>
      </w:r>
      <w:r w:rsidR="00425C90" w:rsidRPr="00762E15">
        <w:rPr>
          <w:bCs/>
          <w:i/>
        </w:rPr>
        <w:t>Act 1959</w:t>
      </w:r>
      <w:r w:rsidR="00425C90" w:rsidRPr="00762E15">
        <w:rPr>
          <w:bCs/>
          <w:iCs/>
        </w:rPr>
        <w:t xml:space="preserve">; </w:t>
      </w:r>
      <w:r w:rsidR="00425C90" w:rsidRPr="00762E15">
        <w:rPr>
          <w:rStyle w:val="Referencingstyle"/>
        </w:rPr>
        <w:t>[Schedule 1</w:t>
      </w:r>
      <w:r w:rsidR="00482251">
        <w:rPr>
          <w:rStyle w:val="Referencingstyle"/>
        </w:rPr>
        <w:t xml:space="preserve"> </w:t>
      </w:r>
      <w:r w:rsidR="00425C90" w:rsidRPr="00762E15">
        <w:rPr>
          <w:rStyle w:val="Referencingstyle"/>
        </w:rPr>
        <w:t xml:space="preserve">item 25, section 20 of the Banking Act 1959]   </w:t>
      </w:r>
    </w:p>
    <w:p w14:paraId="58961EFA" w14:textId="112E1FA7" w:rsidR="00425C90" w:rsidRPr="00762E15" w:rsidRDefault="00425C90" w:rsidP="00425C90">
      <w:pPr>
        <w:pStyle w:val="dotpoint"/>
        <w:rPr>
          <w:bCs/>
          <w:iCs/>
        </w:rPr>
      </w:pPr>
      <w:r w:rsidRPr="00762E15">
        <w:rPr>
          <w:bCs/>
          <w:iCs/>
        </w:rPr>
        <w:t>proceedings against a body corporate for an offence against the Financial Accountability Regime</w:t>
      </w:r>
      <w:r w:rsidRPr="00762E15">
        <w:rPr>
          <w:bCs/>
          <w:i/>
        </w:rPr>
        <w:t xml:space="preserve"> </w:t>
      </w:r>
      <w:r w:rsidRPr="00762E15">
        <w:rPr>
          <w:bCs/>
          <w:iCs/>
        </w:rPr>
        <w:t xml:space="preserve">will not prevent the institution of proceedings for the winding‑up of the body corporate on a ground that relates to the offence; and </w:t>
      </w:r>
      <w:r w:rsidRPr="00762E15">
        <w:rPr>
          <w:rStyle w:val="Referencingstyle"/>
        </w:rPr>
        <w:t>[Schedule 1</w:t>
      </w:r>
      <w:r w:rsidR="00482251">
        <w:rPr>
          <w:rStyle w:val="Referencingstyle"/>
        </w:rPr>
        <w:t xml:space="preserve"> </w:t>
      </w:r>
      <w:r w:rsidRPr="00762E15">
        <w:rPr>
          <w:rStyle w:val="Referencingstyle"/>
        </w:rPr>
        <w:t>item 26, section 69BA of the Banking Act 1959]</w:t>
      </w:r>
    </w:p>
    <w:p w14:paraId="122F4C2B" w14:textId="31810397" w:rsidR="00425C90" w:rsidRPr="00762E15" w:rsidRDefault="00425C90" w:rsidP="00425C90">
      <w:pPr>
        <w:pStyle w:val="dotpoint"/>
        <w:rPr>
          <w:rStyle w:val="Referencingstyle"/>
        </w:rPr>
      </w:pPr>
      <w:r w:rsidRPr="00762E15">
        <w:rPr>
          <w:bCs/>
          <w:iCs/>
        </w:rPr>
        <w:t xml:space="preserve">the Financial Accountability Regime continues to apply where a body corporate is under statutory management under the </w:t>
      </w:r>
      <w:r w:rsidRPr="0077421F">
        <w:rPr>
          <w:i/>
        </w:rPr>
        <w:t>Banking Act 1959</w:t>
      </w:r>
      <w:r w:rsidRPr="00762E15">
        <w:rPr>
          <w:bCs/>
          <w:iCs/>
        </w:rPr>
        <w:t xml:space="preserve">. </w:t>
      </w:r>
      <w:r w:rsidRPr="00762E15">
        <w:rPr>
          <w:rStyle w:val="Referencingstyle"/>
        </w:rPr>
        <w:t>[Schedule 1</w:t>
      </w:r>
      <w:r w:rsidR="00482251">
        <w:rPr>
          <w:rStyle w:val="Referencingstyle"/>
        </w:rPr>
        <w:t xml:space="preserve"> </w:t>
      </w:r>
      <w:r w:rsidRPr="00762E15">
        <w:rPr>
          <w:rStyle w:val="Referencingstyle"/>
        </w:rPr>
        <w:t>items 20 and 21, section 15D of the Banking Act 1959]</w:t>
      </w:r>
      <w:r w:rsidRPr="00762E15">
        <w:rPr>
          <w:bCs/>
          <w:iCs/>
        </w:rPr>
        <w:t xml:space="preserve"> </w:t>
      </w:r>
    </w:p>
    <w:p w14:paraId="6E59B291" w14:textId="1A331A5B" w:rsidR="00092FF5" w:rsidRPr="00762E15" w:rsidRDefault="00092FF5" w:rsidP="00F217BD">
      <w:pPr>
        <w:pStyle w:val="Heading4"/>
      </w:pPr>
      <w:r w:rsidRPr="00762E15">
        <w:t>Application and transitional provisions</w:t>
      </w:r>
    </w:p>
    <w:p w14:paraId="02245034" w14:textId="799A531D" w:rsidR="00092FF5" w:rsidRPr="00762E15" w:rsidRDefault="00092FF5" w:rsidP="00420393">
      <w:pPr>
        <w:pStyle w:val="base-text-paragraph"/>
        <w:numPr>
          <w:ilvl w:val="1"/>
          <w:numId w:val="23"/>
        </w:numPr>
      </w:pPr>
      <w:r w:rsidRPr="00762E15">
        <w:t xml:space="preserve">The Bill sets </w:t>
      </w:r>
      <w:r w:rsidR="00FF0431" w:rsidRPr="00762E15">
        <w:t xml:space="preserve">out </w:t>
      </w:r>
      <w:r w:rsidRPr="00762E15">
        <w:t>how the</w:t>
      </w:r>
      <w:r w:rsidR="00FF0431" w:rsidRPr="00762E15">
        <w:t xml:space="preserve"> different </w:t>
      </w:r>
      <w:r w:rsidR="002449D2" w:rsidRPr="00762E15">
        <w:t xml:space="preserve">sectors in the </w:t>
      </w:r>
      <w:r w:rsidR="00EB7D4F" w:rsidRPr="00762E15">
        <w:t xml:space="preserve">financial </w:t>
      </w:r>
      <w:r w:rsidR="002449D2" w:rsidRPr="00762E15">
        <w:t>system</w:t>
      </w:r>
      <w:r w:rsidR="00EB7D4F" w:rsidRPr="00762E15">
        <w:t xml:space="preserve"> </w:t>
      </w:r>
      <w:r w:rsidR="00FF0431" w:rsidRPr="00762E15">
        <w:t xml:space="preserve">will transition into the </w:t>
      </w:r>
      <w:r w:rsidR="00C943B5" w:rsidRPr="00762E15">
        <w:t>Financial Accountability Regime</w:t>
      </w:r>
      <w:r w:rsidR="00FF0431" w:rsidRPr="00762E15">
        <w:t>.</w:t>
      </w:r>
      <w:r w:rsidRPr="00762E15">
        <w:t xml:space="preserve"> </w:t>
      </w:r>
    </w:p>
    <w:p w14:paraId="185A87BA" w14:textId="4DAC50DD" w:rsidR="007C6031" w:rsidRPr="00762E15" w:rsidRDefault="007C6031" w:rsidP="00420393">
      <w:pPr>
        <w:pStyle w:val="base-text-paragraph"/>
        <w:numPr>
          <w:ilvl w:val="1"/>
          <w:numId w:val="23"/>
        </w:numPr>
      </w:pPr>
      <w:r w:rsidRPr="00762E15">
        <w:t xml:space="preserve">The transition will be different for the banking </w:t>
      </w:r>
      <w:r w:rsidR="002449D2" w:rsidRPr="00762E15">
        <w:t>sector</w:t>
      </w:r>
      <w:r w:rsidRPr="00762E15">
        <w:t xml:space="preserve"> (</w:t>
      </w:r>
      <w:r w:rsidR="002449D2" w:rsidRPr="00762E15">
        <w:t>authorised deposit-taking</w:t>
      </w:r>
      <w:r w:rsidR="00F1685F" w:rsidRPr="00762E15">
        <w:t xml:space="preserve"> institutions</w:t>
      </w:r>
      <w:r w:rsidR="002449D2" w:rsidRPr="00762E15">
        <w:t xml:space="preserve"> </w:t>
      </w:r>
      <w:r w:rsidRPr="00762E15">
        <w:t xml:space="preserve">and </w:t>
      </w:r>
      <w:r w:rsidR="002449D2" w:rsidRPr="00762E15">
        <w:t>their</w:t>
      </w:r>
      <w:r w:rsidR="00F1685F" w:rsidRPr="00762E15">
        <w:t xml:space="preserve"> authorised</w:t>
      </w:r>
      <w:r w:rsidR="002449D2" w:rsidRPr="00762E15">
        <w:t xml:space="preserve"> non-operating holding companies</w:t>
      </w:r>
      <w:r w:rsidRPr="00762E15">
        <w:t xml:space="preserve">) </w:t>
      </w:r>
      <w:r w:rsidR="002449D2" w:rsidRPr="00762E15">
        <w:t xml:space="preserve">and the other sectors in the financial system. This is </w:t>
      </w:r>
      <w:r w:rsidRPr="00762E15">
        <w:t xml:space="preserve">because the </w:t>
      </w:r>
      <w:r w:rsidR="002449D2" w:rsidRPr="00762E15">
        <w:t xml:space="preserve">banking sector </w:t>
      </w:r>
      <w:r w:rsidR="00F1685F" w:rsidRPr="00762E15">
        <w:t xml:space="preserve">(authorised deposit-taking institutions and their subsidiaries) </w:t>
      </w:r>
      <w:r w:rsidR="002449D2" w:rsidRPr="00762E15">
        <w:t>is currently subject to the</w:t>
      </w:r>
      <w:r w:rsidRPr="00762E15">
        <w:t xml:space="preserve"> Banking Executive Accountability Regime</w:t>
      </w:r>
      <w:r w:rsidR="002449D2" w:rsidRPr="00762E15">
        <w:t xml:space="preserve"> and will need specific arrangements to transition to the </w:t>
      </w:r>
      <w:r w:rsidR="004243BC" w:rsidRPr="00762E15">
        <w:t xml:space="preserve">Financial </w:t>
      </w:r>
      <w:r w:rsidR="002449D2" w:rsidRPr="00762E15">
        <w:t>Accountability Regime. The</w:t>
      </w:r>
      <w:r w:rsidR="00C04EAD" w:rsidRPr="00762E15">
        <w:t>re is no existing equivalent for the other sectors in the financial system</w:t>
      </w:r>
      <w:r w:rsidR="004243BC" w:rsidRPr="00762E15">
        <w:t xml:space="preserve">. </w:t>
      </w:r>
    </w:p>
    <w:p w14:paraId="4625812E" w14:textId="3D737AFE" w:rsidR="00092FF5" w:rsidRPr="00762E15" w:rsidRDefault="00AC775E" w:rsidP="00092FF5">
      <w:pPr>
        <w:pStyle w:val="Heading4"/>
      </w:pPr>
      <w:r w:rsidRPr="00762E15">
        <w:t xml:space="preserve">Transitional </w:t>
      </w:r>
      <w:r w:rsidR="00EB7D4F" w:rsidRPr="00762E15">
        <w:t xml:space="preserve">arrangements </w:t>
      </w:r>
      <w:r w:rsidRPr="00762E15">
        <w:t xml:space="preserve">for </w:t>
      </w:r>
      <w:r w:rsidR="00FF0431" w:rsidRPr="00762E15">
        <w:t xml:space="preserve">the banking </w:t>
      </w:r>
      <w:r w:rsidR="00C04EAD" w:rsidRPr="00762E15">
        <w:t>sector</w:t>
      </w:r>
      <w:r w:rsidR="00EB7D4F" w:rsidRPr="00762E15">
        <w:t xml:space="preserve"> </w:t>
      </w:r>
      <w:r w:rsidR="00FD6DC3" w:rsidRPr="00762E15">
        <w:t>(</w:t>
      </w:r>
      <w:r w:rsidR="00C04EAD" w:rsidRPr="00762E15">
        <w:t>authorised deposit</w:t>
      </w:r>
      <w:r w:rsidR="00C04EAD" w:rsidRPr="00762E15">
        <w:noBreakHyphen/>
        <w:t>taking</w:t>
      </w:r>
      <w:r w:rsidR="00461349">
        <w:t xml:space="preserve"> </w:t>
      </w:r>
      <w:r w:rsidR="00C04EAD" w:rsidRPr="00762E15">
        <w:t xml:space="preserve">institutions and their </w:t>
      </w:r>
      <w:r w:rsidR="00F1685F" w:rsidRPr="00762E15">
        <w:t xml:space="preserve">authorised </w:t>
      </w:r>
      <w:r w:rsidR="00C04EAD" w:rsidRPr="00762E15">
        <w:t>non-operating holding companies)</w:t>
      </w:r>
      <w:r w:rsidR="00EB7D4F" w:rsidRPr="00762E15">
        <w:t xml:space="preserve"> </w:t>
      </w:r>
    </w:p>
    <w:p w14:paraId="54BB8119" w14:textId="3F8C87D3" w:rsidR="00F273ED" w:rsidRPr="00762E15" w:rsidRDefault="00F273ED" w:rsidP="00F273ED">
      <w:pPr>
        <w:pStyle w:val="Heading5"/>
      </w:pPr>
      <w:r w:rsidRPr="00762E15">
        <w:t>Application of the Financial Accountability Regime</w:t>
      </w:r>
    </w:p>
    <w:p w14:paraId="1A49B1A7" w14:textId="1C6F88FF" w:rsidR="00083A16" w:rsidRPr="00762E15" w:rsidRDefault="00FF0431" w:rsidP="00420393">
      <w:pPr>
        <w:pStyle w:val="base-text-paragraph"/>
        <w:numPr>
          <w:ilvl w:val="1"/>
          <w:numId w:val="23"/>
        </w:numPr>
      </w:pPr>
      <w:r w:rsidRPr="00762E15">
        <w:t>The majority of the</w:t>
      </w:r>
      <w:r w:rsidR="00FD3F99" w:rsidRPr="00762E15">
        <w:t xml:space="preserve"> obligations under</w:t>
      </w:r>
      <w:r w:rsidRPr="00762E15">
        <w:t xml:space="preserve"> </w:t>
      </w:r>
      <w:r w:rsidR="005C68D8">
        <w:t xml:space="preserve">the </w:t>
      </w:r>
      <w:r w:rsidRPr="00762E15">
        <w:t xml:space="preserve">Financial Accountability Regime will apply to the banking sector </w:t>
      </w:r>
      <w:r w:rsidR="00083A16" w:rsidRPr="00762E15">
        <w:t>on the later of:</w:t>
      </w:r>
    </w:p>
    <w:p w14:paraId="6BC7CA1F" w14:textId="14C6F6DB" w:rsidR="00083A16" w:rsidRPr="00762E15" w:rsidRDefault="00083A16" w:rsidP="00083A16">
      <w:pPr>
        <w:pStyle w:val="dotpoint"/>
      </w:pPr>
      <w:r w:rsidRPr="00762E15">
        <w:t xml:space="preserve">1 July 2022; or </w:t>
      </w:r>
    </w:p>
    <w:p w14:paraId="2FF8F8B1" w14:textId="17020EE3" w:rsidR="00C96815" w:rsidRPr="00762E15" w:rsidRDefault="00083A16" w:rsidP="00C96815">
      <w:pPr>
        <w:pStyle w:val="dotpoint"/>
      </w:pPr>
      <w:r w:rsidRPr="00762E15">
        <w:lastRenderedPageBreak/>
        <w:t>six months after the Financial Accountability Regime Bill 2021 receives Royal Assent</w:t>
      </w:r>
      <w:r w:rsidR="00C96815" w:rsidRPr="00C96815">
        <w:t xml:space="preserve"> (see section 8(2) of the Financial Accountability Regime Bill 2021).</w:t>
      </w:r>
    </w:p>
    <w:p w14:paraId="2EF485EE" w14:textId="1D3B28CB" w:rsidR="00083A16" w:rsidRPr="00762E15" w:rsidRDefault="00083A16" w:rsidP="006536BE">
      <w:pPr>
        <w:pStyle w:val="dotpoint"/>
        <w:numPr>
          <w:ilvl w:val="0"/>
          <w:numId w:val="0"/>
        </w:numPr>
        <w:ind w:left="1984"/>
      </w:pPr>
    </w:p>
    <w:p w14:paraId="30D124CE" w14:textId="3BE7B334" w:rsidR="0058688A" w:rsidRPr="00762E15" w:rsidRDefault="0058688A" w:rsidP="00420393">
      <w:pPr>
        <w:pStyle w:val="base-text-paragraph"/>
        <w:numPr>
          <w:ilvl w:val="1"/>
          <w:numId w:val="23"/>
        </w:numPr>
      </w:pPr>
      <w:bookmarkStart w:id="39" w:name="_Hlk81319252"/>
      <w:r w:rsidRPr="00762E15">
        <w:t xml:space="preserve">On that date, </w:t>
      </w:r>
      <w:r w:rsidR="00C04EAD" w:rsidRPr="00762E15">
        <w:t>authorised deposit-taking</w:t>
      </w:r>
      <w:r w:rsidR="00461349">
        <w:t xml:space="preserve"> </w:t>
      </w:r>
      <w:r w:rsidR="00C04EAD" w:rsidRPr="00762E15">
        <w:t>institutions</w:t>
      </w:r>
      <w:r w:rsidR="004569DE" w:rsidRPr="00762E15">
        <w:t xml:space="preserve"> and </w:t>
      </w:r>
      <w:r w:rsidR="00C04EAD" w:rsidRPr="00762E15">
        <w:t>their</w:t>
      </w:r>
      <w:r w:rsidR="00F1685F" w:rsidRPr="00762E15">
        <w:t xml:space="preserve"> authorised</w:t>
      </w:r>
      <w:r w:rsidR="00C04EAD" w:rsidRPr="00762E15">
        <w:t xml:space="preserve"> non-operating holding companies</w:t>
      </w:r>
      <w:r w:rsidR="00CF5268" w:rsidRPr="00762E15">
        <w:t xml:space="preserve"> </w:t>
      </w:r>
      <w:r w:rsidRPr="00762E15">
        <w:t xml:space="preserve">will become accountable entities. This means on that date they must: </w:t>
      </w:r>
    </w:p>
    <w:p w14:paraId="627DB3F2" w14:textId="0FE466EA" w:rsidR="0058688A" w:rsidRPr="00762E15" w:rsidRDefault="0058688A" w:rsidP="0058688A">
      <w:pPr>
        <w:pStyle w:val="dotpoint"/>
      </w:pPr>
      <w:r w:rsidRPr="00762E15">
        <w:t>begin complying with their obligations under the Financial Accountability Regime</w:t>
      </w:r>
      <w:r w:rsidR="00D70B98">
        <w:t xml:space="preserve">, including </w:t>
      </w:r>
      <w:bookmarkStart w:id="40" w:name="_Hlk81319474"/>
      <w:r w:rsidR="00D70B98">
        <w:t xml:space="preserve">accountability, key personnel, and notification </w:t>
      </w:r>
      <w:bookmarkEnd w:id="40"/>
      <w:r w:rsidR="00D70B98">
        <w:t>obligations</w:t>
      </w:r>
      <w:r w:rsidRPr="00762E15">
        <w:t>;</w:t>
      </w:r>
      <w:r w:rsidRPr="00762E15">
        <w:rPr>
          <w:rStyle w:val="Referencingstyle"/>
        </w:rPr>
        <w:t xml:space="preserve"> </w:t>
      </w:r>
      <w:r w:rsidR="00013B37" w:rsidRPr="006536BE">
        <w:rPr>
          <w:bCs/>
          <w:iCs/>
        </w:rPr>
        <w:t>and</w:t>
      </w:r>
    </w:p>
    <w:p w14:paraId="0B6D4533" w14:textId="68EE8584" w:rsidR="0058688A" w:rsidRPr="00762E15" w:rsidRDefault="0058688A" w:rsidP="0058688A">
      <w:pPr>
        <w:pStyle w:val="dotpoint"/>
      </w:pPr>
      <w:r w:rsidRPr="00762E15">
        <w:t>have provided an accountability map</w:t>
      </w:r>
      <w:r w:rsidR="00FD3F99" w:rsidRPr="00762E15">
        <w:t xml:space="preserve"> </w:t>
      </w:r>
      <w:r w:rsidR="00D70B98">
        <w:t xml:space="preserve">and appropriate accountability statements </w:t>
      </w:r>
      <w:r w:rsidR="00FD3F99" w:rsidRPr="00762E15">
        <w:t>to APRA</w:t>
      </w:r>
      <w:r w:rsidRPr="00762E15">
        <w:t xml:space="preserve"> under the Financial Accountability </w:t>
      </w:r>
      <w:proofErr w:type="gramStart"/>
      <w:r w:rsidRPr="00762E15">
        <w:t>Regime</w:t>
      </w:r>
      <w:r w:rsidR="00D70B98">
        <w:t>, and</w:t>
      </w:r>
      <w:proofErr w:type="gramEnd"/>
      <w:r w:rsidR="00D70B98">
        <w:t xml:space="preserve"> keep these up-to-date.</w:t>
      </w:r>
      <w:r w:rsidR="00E23B2E" w:rsidRPr="00762E15">
        <w:rPr>
          <w:rStyle w:val="Referencingstyle"/>
        </w:rPr>
        <w:t xml:space="preserve"> </w:t>
      </w:r>
    </w:p>
    <w:bookmarkEnd w:id="39"/>
    <w:p w14:paraId="6F4FC038" w14:textId="1035E625" w:rsidR="00723118" w:rsidRPr="00762E15" w:rsidRDefault="00787FE8" w:rsidP="00420393">
      <w:pPr>
        <w:pStyle w:val="base-text-paragraph"/>
        <w:numPr>
          <w:ilvl w:val="1"/>
          <w:numId w:val="23"/>
        </w:numPr>
      </w:pPr>
      <w:r w:rsidRPr="00762E15">
        <w:t xml:space="preserve">Accountability statements provided to APRA under the Banking Executive Accountability Regime will automatically transition to be accountability statements under the Financial Accountability Regime. </w:t>
      </w:r>
      <w:r w:rsidRPr="00762E15">
        <w:rPr>
          <w:rStyle w:val="Referencingstyle"/>
        </w:rPr>
        <w:t>[Schedule 2</w:t>
      </w:r>
      <w:r w:rsidR="00923C4C" w:rsidRPr="00762E15">
        <w:rPr>
          <w:rStyle w:val="Referencingstyle"/>
        </w:rPr>
        <w:t xml:space="preserve"> </w:t>
      </w:r>
      <w:r w:rsidRPr="00762E15">
        <w:rPr>
          <w:rStyle w:val="Referencingstyle"/>
        </w:rPr>
        <w:t>item 13]</w:t>
      </w:r>
    </w:p>
    <w:p w14:paraId="532BD70F" w14:textId="65C02A7E" w:rsidR="0058688A" w:rsidRPr="00762E15" w:rsidRDefault="0058688A" w:rsidP="00420393">
      <w:pPr>
        <w:pStyle w:val="base-text-paragraph"/>
        <w:numPr>
          <w:ilvl w:val="1"/>
          <w:numId w:val="23"/>
        </w:numPr>
      </w:pPr>
      <w:r w:rsidRPr="00762E15">
        <w:t xml:space="preserve">The deferred remuneration obligations under the Financial Accountability Regime will apply to the banking </w:t>
      </w:r>
      <w:r w:rsidR="00C04EAD" w:rsidRPr="00762E15">
        <w:t>sector</w:t>
      </w:r>
      <w:r w:rsidRPr="00762E15">
        <w:t xml:space="preserve"> </w:t>
      </w:r>
      <w:r w:rsidR="00FD6DC3" w:rsidRPr="00762E15">
        <w:t>(</w:t>
      </w:r>
      <w:r w:rsidR="00C04EAD" w:rsidRPr="00762E15">
        <w:t>authorised deposit-taking</w:t>
      </w:r>
      <w:r w:rsidR="00461349">
        <w:t xml:space="preserve"> </w:t>
      </w:r>
      <w:r w:rsidR="00C04EAD" w:rsidRPr="00762E15">
        <w:t>institutions</w:t>
      </w:r>
      <w:r w:rsidR="00FD6DC3" w:rsidRPr="00762E15">
        <w:t xml:space="preserve"> and </w:t>
      </w:r>
      <w:r w:rsidR="00C04EAD" w:rsidRPr="00762E15">
        <w:t xml:space="preserve">their </w:t>
      </w:r>
      <w:r w:rsidR="003E687D" w:rsidRPr="00762E15">
        <w:t xml:space="preserve">authorised </w:t>
      </w:r>
      <w:r w:rsidR="00C04EAD" w:rsidRPr="00762E15">
        <w:t>non-operating holding companies</w:t>
      </w:r>
      <w:r w:rsidR="00FD6DC3" w:rsidRPr="00762E15">
        <w:t>)</w:t>
      </w:r>
      <w:r w:rsidRPr="00762E15">
        <w:t xml:space="preserve"> six months later (see </w:t>
      </w:r>
      <w:r w:rsidR="00517920" w:rsidRPr="00762E15">
        <w:t xml:space="preserve">the section on deferred remuneration </w:t>
      </w:r>
      <w:r w:rsidR="00FD3F99" w:rsidRPr="00762E15">
        <w:t>below</w:t>
      </w:r>
      <w:r w:rsidRPr="00762E15">
        <w:t xml:space="preserve">). </w:t>
      </w:r>
    </w:p>
    <w:p w14:paraId="044C4B83" w14:textId="75EEB2B3" w:rsidR="00B03094" w:rsidRPr="00762E15" w:rsidRDefault="00B03094" w:rsidP="00B03094">
      <w:pPr>
        <w:pStyle w:val="Heading5"/>
      </w:pPr>
      <w:r w:rsidRPr="00762E15">
        <w:t xml:space="preserve">The transitioning of accountable </w:t>
      </w:r>
      <w:r w:rsidR="00787FE8" w:rsidRPr="00762E15">
        <w:t xml:space="preserve">persons </w:t>
      </w:r>
      <w:r w:rsidRPr="00762E15">
        <w:t xml:space="preserve"> </w:t>
      </w:r>
    </w:p>
    <w:p w14:paraId="2F9058A8" w14:textId="00C46339" w:rsidR="00083A16" w:rsidRPr="00762E15" w:rsidRDefault="00C70E33" w:rsidP="00420393">
      <w:pPr>
        <w:pStyle w:val="base-text-paragraph"/>
        <w:numPr>
          <w:ilvl w:val="1"/>
          <w:numId w:val="23"/>
        </w:numPr>
      </w:pPr>
      <w:r w:rsidRPr="00762E15">
        <w:t xml:space="preserve">Accountable persons </w:t>
      </w:r>
      <w:r w:rsidR="009B7E44">
        <w:t>of</w:t>
      </w:r>
      <w:r w:rsidRPr="00762E15">
        <w:t xml:space="preserve"> entities in the banking sector</w:t>
      </w:r>
      <w:r w:rsidR="00FD6DC3" w:rsidRPr="00762E15">
        <w:t xml:space="preserve"> (</w:t>
      </w:r>
      <w:r w:rsidRPr="00762E15">
        <w:t>authorised deposit-taking</w:t>
      </w:r>
      <w:r w:rsidR="00E8116F">
        <w:t xml:space="preserve"> </w:t>
      </w:r>
      <w:r w:rsidRPr="00762E15">
        <w:t xml:space="preserve">institutions and their </w:t>
      </w:r>
      <w:r w:rsidR="003E687D" w:rsidRPr="00762E15">
        <w:t>subsidiaries</w:t>
      </w:r>
      <w:r w:rsidR="00FD6DC3" w:rsidRPr="00762E15">
        <w:t>)</w:t>
      </w:r>
      <w:r w:rsidR="003E1B05" w:rsidRPr="00762E15">
        <w:t xml:space="preserve"> </w:t>
      </w:r>
      <w:r w:rsidRPr="00762E15">
        <w:t>will automatically have their registration transitioned from the</w:t>
      </w:r>
      <w:r w:rsidR="003E1B05" w:rsidRPr="00762E15">
        <w:t xml:space="preserve"> </w:t>
      </w:r>
      <w:r w:rsidR="00083A16" w:rsidRPr="00762E15">
        <w:t>Banking Executive Accountability Regime</w:t>
      </w:r>
      <w:r w:rsidR="003E1B05" w:rsidRPr="00762E15">
        <w:t xml:space="preserve"> </w:t>
      </w:r>
      <w:r w:rsidRPr="00762E15">
        <w:t>to</w:t>
      </w:r>
      <w:r w:rsidR="003E1B05" w:rsidRPr="00762E15">
        <w:t xml:space="preserve"> the Financial Accountability Regime</w:t>
      </w:r>
      <w:r w:rsidRPr="00762E15">
        <w:t>.</w:t>
      </w:r>
      <w:r w:rsidR="00517920" w:rsidRPr="00762E15">
        <w:t xml:space="preserve"> This only applies where the person will continue to be an accountable person under the Financial Accountability Regime </w:t>
      </w:r>
      <w:r w:rsidR="00083A16" w:rsidRPr="00762E15">
        <w:rPr>
          <w:rStyle w:val="Referencingstyle"/>
        </w:rPr>
        <w:t>[</w:t>
      </w:r>
      <w:r w:rsidR="005F59CD" w:rsidRPr="00762E15">
        <w:rPr>
          <w:rStyle w:val="Referencingstyle"/>
        </w:rPr>
        <w:t>Schedule 2 item</w:t>
      </w:r>
      <w:r w:rsidR="00517920" w:rsidRPr="00762E15">
        <w:rPr>
          <w:rStyle w:val="Referencingstyle"/>
        </w:rPr>
        <w:t>s</w:t>
      </w:r>
      <w:r w:rsidR="005F59CD" w:rsidRPr="00762E15">
        <w:rPr>
          <w:rStyle w:val="Referencingstyle"/>
        </w:rPr>
        <w:t xml:space="preserve"> 4</w:t>
      </w:r>
      <w:r w:rsidR="00EC67F4" w:rsidRPr="00762E15">
        <w:rPr>
          <w:rStyle w:val="Referencingstyle"/>
        </w:rPr>
        <w:t xml:space="preserve"> and 13</w:t>
      </w:r>
      <w:r w:rsidR="00083A16" w:rsidRPr="00762E15">
        <w:rPr>
          <w:rStyle w:val="Referencingstyle"/>
        </w:rPr>
        <w:t>]</w:t>
      </w:r>
      <w:r w:rsidR="00083A16" w:rsidRPr="00762E15">
        <w:t xml:space="preserve"> </w:t>
      </w:r>
    </w:p>
    <w:p w14:paraId="6A3E30CF" w14:textId="34569BF6" w:rsidR="0039181D" w:rsidRPr="00762E15" w:rsidRDefault="0039181D" w:rsidP="00420393">
      <w:pPr>
        <w:pStyle w:val="base-text-paragraph"/>
        <w:numPr>
          <w:ilvl w:val="1"/>
          <w:numId w:val="23"/>
        </w:numPr>
        <w:rPr>
          <w:rStyle w:val="Referencingstyle"/>
          <w:b w:val="0"/>
          <w:i w:val="0"/>
          <w:sz w:val="22"/>
        </w:rPr>
      </w:pPr>
      <w:r w:rsidRPr="00762E15">
        <w:t xml:space="preserve">Any applications to register </w:t>
      </w:r>
      <w:r w:rsidR="00517920" w:rsidRPr="00762E15">
        <w:t>accountable</w:t>
      </w:r>
      <w:r w:rsidRPr="00762E15">
        <w:t xml:space="preserve"> person</w:t>
      </w:r>
      <w:r w:rsidR="00517920" w:rsidRPr="00762E15">
        <w:t>s</w:t>
      </w:r>
      <w:r w:rsidRPr="00762E15">
        <w:t xml:space="preserve"> under the Banking</w:t>
      </w:r>
      <w:r w:rsidR="00517920" w:rsidRPr="00762E15">
        <w:t xml:space="preserve"> Executive</w:t>
      </w:r>
      <w:r w:rsidRPr="00762E15">
        <w:t xml:space="preserve"> Accountability Regime </w:t>
      </w:r>
      <w:r w:rsidR="00517920" w:rsidRPr="00762E15">
        <w:t>that</w:t>
      </w:r>
      <w:r w:rsidRPr="00762E15">
        <w:t xml:space="preserve"> </w:t>
      </w:r>
      <w:r w:rsidR="00517920" w:rsidRPr="00762E15">
        <w:t>are</w:t>
      </w:r>
      <w:r w:rsidRPr="00762E15">
        <w:t xml:space="preserve"> pending at the time the Financial Accountability Regime commences, will be considered </w:t>
      </w:r>
      <w:r w:rsidR="00517920" w:rsidRPr="00762E15">
        <w:t xml:space="preserve">to be applications </w:t>
      </w:r>
      <w:r w:rsidR="00E65F7D">
        <w:t>for registration</w:t>
      </w:r>
      <w:r w:rsidR="00517920" w:rsidRPr="00762E15">
        <w:t xml:space="preserve"> </w:t>
      </w:r>
      <w:r w:rsidRPr="00762E15">
        <w:t xml:space="preserve">under the Financial Accountability Regime. </w:t>
      </w:r>
      <w:r w:rsidRPr="00762E15">
        <w:rPr>
          <w:rStyle w:val="Referencingstyle"/>
        </w:rPr>
        <w:t>[Schedule 2</w:t>
      </w:r>
      <w:r w:rsidR="00482251">
        <w:rPr>
          <w:rStyle w:val="Referencingstyle"/>
        </w:rPr>
        <w:t xml:space="preserve"> </w:t>
      </w:r>
      <w:r w:rsidRPr="00762E15">
        <w:rPr>
          <w:rStyle w:val="Referencingstyle"/>
        </w:rPr>
        <w:t>item 6]</w:t>
      </w:r>
    </w:p>
    <w:p w14:paraId="173014A9" w14:textId="4A657FDE" w:rsidR="0039181D" w:rsidRPr="00762E15" w:rsidRDefault="003E7B21" w:rsidP="00420393">
      <w:pPr>
        <w:pStyle w:val="base-text-paragraph"/>
        <w:numPr>
          <w:ilvl w:val="1"/>
          <w:numId w:val="23"/>
        </w:numPr>
        <w:rPr>
          <w:rStyle w:val="Referencingstyle"/>
          <w:b w:val="0"/>
          <w:i w:val="0"/>
          <w:sz w:val="22"/>
        </w:rPr>
      </w:pPr>
      <w:r w:rsidRPr="00762E15">
        <w:t>A person</w:t>
      </w:r>
      <w:r w:rsidR="0039181D" w:rsidRPr="00762E15">
        <w:t xml:space="preserve"> who became</w:t>
      </w:r>
      <w:r w:rsidR="00107568">
        <w:t xml:space="preserve"> an</w:t>
      </w:r>
      <w:r w:rsidR="0039181D" w:rsidRPr="00762E15">
        <w:t xml:space="preserve"> accountable person under the Banking Executive Accountability Regime on a temporary basis (</w:t>
      </w:r>
      <w:r w:rsidR="00763B5D" w:rsidRPr="00762E15">
        <w:t>i.e.,</w:t>
      </w:r>
      <w:r w:rsidR="0039181D" w:rsidRPr="00762E15">
        <w:t xml:space="preserve"> due to an unexpected vacancy or for a short period) will</w:t>
      </w:r>
      <w:r w:rsidRPr="00762E15">
        <w:t xml:space="preserve"> be taken to be a new temporary accountable person </w:t>
      </w:r>
      <w:r w:rsidR="003E687D" w:rsidRPr="00762E15">
        <w:t>when</w:t>
      </w:r>
      <w:r w:rsidR="00212403" w:rsidRPr="00762E15">
        <w:t xml:space="preserve"> the </w:t>
      </w:r>
      <w:r w:rsidRPr="00762E15">
        <w:t>Financial Accountability Regime</w:t>
      </w:r>
      <w:r w:rsidR="00212403" w:rsidRPr="00762E15">
        <w:t xml:space="preserve"> start</w:t>
      </w:r>
      <w:r w:rsidR="00160EAA" w:rsidRPr="00762E15">
        <w:t>s</w:t>
      </w:r>
      <w:r w:rsidR="00212403" w:rsidRPr="00762E15">
        <w:t xml:space="preserve"> to apply to the sector</w:t>
      </w:r>
      <w:r w:rsidRPr="00762E15">
        <w:t xml:space="preserve">. </w:t>
      </w:r>
      <w:r w:rsidRPr="00762E15">
        <w:rPr>
          <w:rStyle w:val="Referencingstyle"/>
        </w:rPr>
        <w:t>[Schedule 2</w:t>
      </w:r>
      <w:r w:rsidR="00923C4C" w:rsidRPr="00762E15">
        <w:rPr>
          <w:rStyle w:val="Referencingstyle"/>
        </w:rPr>
        <w:t xml:space="preserve"> </w:t>
      </w:r>
      <w:r w:rsidRPr="00762E15">
        <w:rPr>
          <w:rStyle w:val="Referencingstyle"/>
        </w:rPr>
        <w:t>item 7]</w:t>
      </w:r>
    </w:p>
    <w:p w14:paraId="3CA1E4C1" w14:textId="00C53B8B" w:rsidR="003E1B05" w:rsidRPr="00762E15" w:rsidRDefault="00831C2A" w:rsidP="00420393">
      <w:pPr>
        <w:pStyle w:val="base-text-paragraph"/>
        <w:numPr>
          <w:ilvl w:val="1"/>
          <w:numId w:val="23"/>
        </w:numPr>
      </w:pPr>
      <w:r w:rsidRPr="00762E15">
        <w:t>Entities in the banking sector (authorised deposit</w:t>
      </w:r>
      <w:r w:rsidRPr="00762E15">
        <w:noBreakHyphen/>
        <w:t>taking</w:t>
      </w:r>
      <w:r w:rsidR="00461349">
        <w:t xml:space="preserve"> </w:t>
      </w:r>
      <w:r w:rsidRPr="00762E15">
        <w:t xml:space="preserve">institutions and their </w:t>
      </w:r>
      <w:r w:rsidR="003E687D" w:rsidRPr="00762E15">
        <w:t xml:space="preserve">authorised </w:t>
      </w:r>
      <w:r w:rsidRPr="00762E15">
        <w:t xml:space="preserve">non-operating holding companies) </w:t>
      </w:r>
      <w:r w:rsidR="006567A5" w:rsidRPr="00762E15">
        <w:t xml:space="preserve">can </w:t>
      </w:r>
      <w:r w:rsidR="006567A5" w:rsidRPr="00762E15">
        <w:lastRenderedPageBreak/>
        <w:t xml:space="preserve">register new accountable persons in the 30 days prior to the Financial Accountability Regime applying to the sector. </w:t>
      </w:r>
      <w:r w:rsidR="003E1B05" w:rsidRPr="00762E15">
        <w:rPr>
          <w:rStyle w:val="Referencingstyle"/>
        </w:rPr>
        <w:t>[</w:t>
      </w:r>
      <w:r w:rsidR="00513B25" w:rsidRPr="00762E15">
        <w:rPr>
          <w:rStyle w:val="Referencingstyle"/>
        </w:rPr>
        <w:t>Schedule 2</w:t>
      </w:r>
      <w:r w:rsidR="009A30C9">
        <w:rPr>
          <w:rStyle w:val="Referencingstyle"/>
        </w:rPr>
        <w:t xml:space="preserve"> </w:t>
      </w:r>
      <w:r w:rsidR="00513B25" w:rsidRPr="00762E15">
        <w:rPr>
          <w:rStyle w:val="Referencingstyle"/>
        </w:rPr>
        <w:t>item 8</w:t>
      </w:r>
      <w:r w:rsidR="003E1B05" w:rsidRPr="00762E15">
        <w:rPr>
          <w:rStyle w:val="Referencingstyle"/>
        </w:rPr>
        <w:t>]</w:t>
      </w:r>
    </w:p>
    <w:p w14:paraId="03110FAE" w14:textId="77777777" w:rsidR="00AC775E" w:rsidRPr="00762E15" w:rsidRDefault="00AC775E" w:rsidP="00AC775E">
      <w:pPr>
        <w:pStyle w:val="Heading5"/>
      </w:pPr>
      <w:r w:rsidRPr="00762E15">
        <w:t xml:space="preserve">Deferred remuneration </w:t>
      </w:r>
    </w:p>
    <w:p w14:paraId="2DB0EFB8" w14:textId="515F9DE8" w:rsidR="005F203A" w:rsidRPr="00762E15" w:rsidRDefault="00AC775E" w:rsidP="00420393">
      <w:pPr>
        <w:pStyle w:val="base-text-paragraph"/>
        <w:numPr>
          <w:ilvl w:val="1"/>
          <w:numId w:val="23"/>
        </w:numPr>
      </w:pPr>
      <w:r w:rsidRPr="00762E15">
        <w:t xml:space="preserve"> </w:t>
      </w:r>
      <w:r w:rsidR="003611D4" w:rsidRPr="00762E15">
        <w:t xml:space="preserve">The </w:t>
      </w:r>
      <w:r w:rsidR="00221D39" w:rsidRPr="00762E15">
        <w:t xml:space="preserve">Financial Accountability Regime </w:t>
      </w:r>
      <w:r w:rsidR="003611D4" w:rsidRPr="00762E15">
        <w:t xml:space="preserve">deferred remuneration obligations for the banking </w:t>
      </w:r>
      <w:r w:rsidR="00221D39" w:rsidRPr="00762E15">
        <w:t>sector</w:t>
      </w:r>
      <w:r w:rsidR="003611D4" w:rsidRPr="00762E15">
        <w:t xml:space="preserve"> </w:t>
      </w:r>
      <w:r w:rsidR="00FD6DC3" w:rsidRPr="00762E15">
        <w:t>(</w:t>
      </w:r>
      <w:r w:rsidR="00221D39" w:rsidRPr="00762E15">
        <w:t>authorised deposit-taking</w:t>
      </w:r>
      <w:r w:rsidR="00480917">
        <w:t xml:space="preserve"> </w:t>
      </w:r>
      <w:r w:rsidR="00221D39" w:rsidRPr="00762E15">
        <w:t>institutions</w:t>
      </w:r>
      <w:r w:rsidR="00FD6DC3" w:rsidRPr="00762E15">
        <w:t xml:space="preserve"> and </w:t>
      </w:r>
      <w:r w:rsidR="00221D39" w:rsidRPr="00762E15">
        <w:t xml:space="preserve">their </w:t>
      </w:r>
      <w:r w:rsidR="003E687D" w:rsidRPr="00762E15">
        <w:t xml:space="preserve">authorised </w:t>
      </w:r>
      <w:r w:rsidR="00221D39" w:rsidRPr="00762E15">
        <w:t>non-operating holding companies</w:t>
      </w:r>
      <w:r w:rsidR="00FD6DC3" w:rsidRPr="00762E15">
        <w:t>)</w:t>
      </w:r>
      <w:r w:rsidR="003611D4" w:rsidRPr="00762E15">
        <w:t xml:space="preserve"> will apply </w:t>
      </w:r>
      <w:r w:rsidR="00D739BD" w:rsidRPr="00762E15">
        <w:t xml:space="preserve">when </w:t>
      </w:r>
      <w:r w:rsidR="00C83D2D" w:rsidRPr="00762E15">
        <w:t xml:space="preserve">the decision to provide remuneration </w:t>
      </w:r>
      <w:r w:rsidR="00D739BD" w:rsidRPr="00762E15">
        <w:t>occurs</w:t>
      </w:r>
      <w:r w:rsidR="00221D39" w:rsidRPr="00762E15">
        <w:t xml:space="preserve"> in first financial year that begins six months after the Financial Accountability Regime applies to the banking sector</w:t>
      </w:r>
      <w:r w:rsidR="003611D4" w:rsidRPr="00762E15">
        <w:t>.</w:t>
      </w:r>
      <w:r w:rsidR="0075357A" w:rsidRPr="00762E15">
        <w:t xml:space="preserve"> </w:t>
      </w:r>
      <w:r w:rsidR="0058042A" w:rsidRPr="00762E15">
        <w:rPr>
          <w:rStyle w:val="Referencingstyle"/>
        </w:rPr>
        <w:t>[Schedule 2 item 11]</w:t>
      </w:r>
    </w:p>
    <w:p w14:paraId="09C81337" w14:textId="3756360E" w:rsidR="005F203A" w:rsidRPr="00762E15" w:rsidRDefault="00C41F69" w:rsidP="00420393">
      <w:pPr>
        <w:pStyle w:val="base-text-paragraph"/>
        <w:numPr>
          <w:ilvl w:val="1"/>
          <w:numId w:val="23"/>
        </w:numPr>
        <w:rPr>
          <w:rStyle w:val="Referencingstyle"/>
          <w:b w:val="0"/>
          <w:i w:val="0"/>
          <w:sz w:val="22"/>
        </w:rPr>
      </w:pPr>
      <w:r w:rsidRPr="00762E15">
        <w:t xml:space="preserve">Remuneration </w:t>
      </w:r>
      <w:r w:rsidR="00AD45BC" w:rsidRPr="00762E15">
        <w:t xml:space="preserve">that was decided to be </w:t>
      </w:r>
      <w:r w:rsidR="00F51010">
        <w:t>provided</w:t>
      </w:r>
      <w:r w:rsidR="00F51010" w:rsidRPr="00762E15">
        <w:t xml:space="preserve"> </w:t>
      </w:r>
      <w:r w:rsidR="00AD45BC" w:rsidRPr="00762E15">
        <w:t>to</w:t>
      </w:r>
      <w:r w:rsidR="009C449F" w:rsidRPr="00762E15">
        <w:t xml:space="preserve"> </w:t>
      </w:r>
      <w:r w:rsidR="00221D39" w:rsidRPr="00762E15">
        <w:t xml:space="preserve">an </w:t>
      </w:r>
      <w:r w:rsidR="009C449F" w:rsidRPr="00762E15">
        <w:t xml:space="preserve">accountable </w:t>
      </w:r>
      <w:r w:rsidR="00221D39" w:rsidRPr="00762E15">
        <w:t>person</w:t>
      </w:r>
      <w:r w:rsidRPr="00762E15">
        <w:t xml:space="preserve"> </w:t>
      </w:r>
      <w:r w:rsidR="0037004A">
        <w:t xml:space="preserve">before the first financial year starting </w:t>
      </w:r>
      <w:r w:rsidR="00AD45BC" w:rsidRPr="00762E15">
        <w:t xml:space="preserve">six months after the Financial Accountability Regime applies to the banking </w:t>
      </w:r>
      <w:r w:rsidR="00221D39" w:rsidRPr="00762E15">
        <w:t>sector</w:t>
      </w:r>
      <w:r w:rsidR="00AD45BC" w:rsidRPr="00762E15">
        <w:t xml:space="preserve"> (</w:t>
      </w:r>
      <w:r w:rsidR="00221D39" w:rsidRPr="00762E15">
        <w:t xml:space="preserve">authorised deposit-taking institutions and their </w:t>
      </w:r>
      <w:r w:rsidR="00FD0727" w:rsidRPr="00762E15">
        <w:t>subsidiaries</w:t>
      </w:r>
      <w:r w:rsidR="00AD45BC" w:rsidRPr="00762E15">
        <w:t>)</w:t>
      </w:r>
      <w:r w:rsidRPr="00762E15">
        <w:t xml:space="preserve"> will still be subject to the deferred remuneration rules under the Banking Executive Accountability Regime. </w:t>
      </w:r>
      <w:r w:rsidR="009C449F" w:rsidRPr="00762E15">
        <w:rPr>
          <w:rStyle w:val="Referencingstyle"/>
        </w:rPr>
        <w:t>[Schedule 2</w:t>
      </w:r>
      <w:r w:rsidR="00FF2CD0">
        <w:rPr>
          <w:rStyle w:val="Referencingstyle"/>
        </w:rPr>
        <w:t xml:space="preserve"> </w:t>
      </w:r>
      <w:r w:rsidR="009C449F" w:rsidRPr="00762E15">
        <w:rPr>
          <w:rStyle w:val="Referencingstyle"/>
        </w:rPr>
        <w:t>item 10]</w:t>
      </w:r>
    </w:p>
    <w:p w14:paraId="2B945E19" w14:textId="20E0B044" w:rsidR="009C449F" w:rsidRPr="00762E15" w:rsidRDefault="009C449F" w:rsidP="00420393">
      <w:pPr>
        <w:pStyle w:val="base-text-paragraph"/>
        <w:numPr>
          <w:ilvl w:val="1"/>
          <w:numId w:val="23"/>
        </w:numPr>
      </w:pPr>
      <w:r w:rsidRPr="00762E15">
        <w:t xml:space="preserve">The deferred remuneration obligations under the Banking Executive Accountability Regime will </w:t>
      </w:r>
      <w:r w:rsidR="00AD45BC" w:rsidRPr="00762E15">
        <w:t xml:space="preserve">also </w:t>
      </w:r>
      <w:r w:rsidRPr="00762E15">
        <w:t xml:space="preserve">continue to apply </w:t>
      </w:r>
      <w:r w:rsidR="00AD45BC" w:rsidRPr="00762E15">
        <w:t xml:space="preserve">despite the repeal of the </w:t>
      </w:r>
      <w:r w:rsidR="00221D39" w:rsidRPr="00762E15">
        <w:t>Banking Executive Accountability Regime</w:t>
      </w:r>
      <w:r w:rsidR="00AD45BC" w:rsidRPr="00762E15">
        <w:rPr>
          <w:i/>
          <w:iCs/>
        </w:rPr>
        <w:t xml:space="preserve"> </w:t>
      </w:r>
      <w:r w:rsidRPr="00762E15">
        <w:t xml:space="preserve">to accountable people who do not transition to </w:t>
      </w:r>
      <w:r w:rsidR="00AD45BC" w:rsidRPr="00762E15">
        <w:t>Financial Accountability Regime</w:t>
      </w:r>
      <w:r w:rsidRPr="00762E15">
        <w:t xml:space="preserve"> until the period for the deferral </w:t>
      </w:r>
      <w:r w:rsidR="00221D39" w:rsidRPr="00762E15">
        <w:t>finishes</w:t>
      </w:r>
      <w:r w:rsidRPr="00762E15">
        <w:t xml:space="preserve">. </w:t>
      </w:r>
      <w:r w:rsidRPr="00762E15">
        <w:rPr>
          <w:rStyle w:val="Referencingstyle"/>
        </w:rPr>
        <w:t>[Schedule 2</w:t>
      </w:r>
      <w:r w:rsidR="00FF2CD0">
        <w:rPr>
          <w:rStyle w:val="Referencingstyle"/>
        </w:rPr>
        <w:t xml:space="preserve"> </w:t>
      </w:r>
      <w:r w:rsidRPr="00762E15">
        <w:rPr>
          <w:rStyle w:val="Referencingstyle"/>
        </w:rPr>
        <w:t>item 1</w:t>
      </w:r>
      <w:r w:rsidR="00AD45BC" w:rsidRPr="00762E15">
        <w:rPr>
          <w:rStyle w:val="Referencingstyle"/>
        </w:rPr>
        <w:t>2</w:t>
      </w:r>
      <w:r w:rsidRPr="00762E15">
        <w:rPr>
          <w:rStyle w:val="Referencingstyle"/>
        </w:rPr>
        <w:t>]</w:t>
      </w:r>
    </w:p>
    <w:p w14:paraId="1CB117D7" w14:textId="65D02EFB" w:rsidR="00AC775E" w:rsidRPr="00762E15" w:rsidRDefault="00AC775E" w:rsidP="00AC775E">
      <w:pPr>
        <w:pStyle w:val="Heading4"/>
      </w:pPr>
      <w:r w:rsidRPr="00762E15">
        <w:t xml:space="preserve">Transitional </w:t>
      </w:r>
      <w:r w:rsidR="00E34045" w:rsidRPr="00762E15">
        <w:t xml:space="preserve">arrangements for </w:t>
      </w:r>
      <w:r w:rsidR="001B23CF" w:rsidRPr="00762E15">
        <w:t>insurance and superannuation sectors</w:t>
      </w:r>
    </w:p>
    <w:p w14:paraId="3EAFEA60" w14:textId="1D0BA459" w:rsidR="00FE3B69" w:rsidRPr="00762E15" w:rsidRDefault="00FE3B69" w:rsidP="00420393">
      <w:pPr>
        <w:pStyle w:val="base-text-paragraph"/>
        <w:numPr>
          <w:ilvl w:val="1"/>
          <w:numId w:val="23"/>
        </w:numPr>
      </w:pPr>
      <w:r w:rsidRPr="00762E15">
        <w:t xml:space="preserve">The Financial Accountability Regime will apply </w:t>
      </w:r>
      <w:r w:rsidR="00BF6D64">
        <w:t>to</w:t>
      </w:r>
      <w:r w:rsidRPr="00762E15">
        <w:t xml:space="preserve"> </w:t>
      </w:r>
      <w:r w:rsidR="001B23CF" w:rsidRPr="00762E15">
        <w:t>the insurance and superannuation sectors</w:t>
      </w:r>
      <w:r w:rsidR="00212403" w:rsidRPr="00762E15">
        <w:t xml:space="preserve"> </w:t>
      </w:r>
      <w:r w:rsidR="00FD6DC3" w:rsidRPr="00762E15">
        <w:t>(</w:t>
      </w:r>
      <w:r w:rsidR="00F4088B" w:rsidRPr="00762E15">
        <w:t>other than authorised deposit-taking</w:t>
      </w:r>
      <w:r w:rsidR="00480917">
        <w:t xml:space="preserve"> </w:t>
      </w:r>
      <w:r w:rsidR="00F4088B" w:rsidRPr="00762E15">
        <w:t xml:space="preserve">institutions or their </w:t>
      </w:r>
      <w:r w:rsidR="00A25515" w:rsidRPr="00762E15">
        <w:t xml:space="preserve">authorised </w:t>
      </w:r>
      <w:r w:rsidR="00F4088B" w:rsidRPr="00762E15">
        <w:t>non‑operating holding companies</w:t>
      </w:r>
      <w:r w:rsidR="00FD6DC3" w:rsidRPr="00762E15">
        <w:t>)</w:t>
      </w:r>
      <w:r w:rsidRPr="00762E15">
        <w:t xml:space="preserve"> from the later of</w:t>
      </w:r>
      <w:r w:rsidR="008F7BA9" w:rsidRPr="00762E15">
        <w:t>:</w:t>
      </w:r>
    </w:p>
    <w:p w14:paraId="7F8D740C" w14:textId="77777777" w:rsidR="00F4088B" w:rsidRPr="00762E15" w:rsidRDefault="00FE3B69" w:rsidP="00F4088B">
      <w:pPr>
        <w:pStyle w:val="dotpoint"/>
      </w:pPr>
      <w:r w:rsidRPr="00762E15">
        <w:t xml:space="preserve">six months after commencement of the Minister’s declaration </w:t>
      </w:r>
      <w:r w:rsidR="00F4088B" w:rsidRPr="00762E15">
        <w:t>that the Financial Accountability Regime will apply to that sector</w:t>
      </w:r>
      <w:r w:rsidRPr="00762E15">
        <w:t>; or</w:t>
      </w:r>
    </w:p>
    <w:p w14:paraId="6990D2C2" w14:textId="638FED1F" w:rsidR="00FE3B69" w:rsidRPr="00762E15" w:rsidRDefault="00FE3B69" w:rsidP="00F4088B">
      <w:pPr>
        <w:pStyle w:val="dotpoint"/>
      </w:pPr>
      <w:r w:rsidRPr="00762E15">
        <w:t>or the day specified in the Minister’s declaration.</w:t>
      </w:r>
      <w:r w:rsidR="00E34045" w:rsidRPr="00762E15">
        <w:t xml:space="preserve"> </w:t>
      </w:r>
      <w:r w:rsidRPr="00762E15">
        <w:t>(see section 8(4) of the Financial Accountability Regime Bill 2021)</w:t>
      </w:r>
      <w:r w:rsidR="00A51EDD">
        <w:t>.</w:t>
      </w:r>
    </w:p>
    <w:p w14:paraId="360CE889" w14:textId="0D769D1E" w:rsidR="00FE3B69" w:rsidRPr="00762E15" w:rsidRDefault="00FE3B69" w:rsidP="00420393">
      <w:pPr>
        <w:pStyle w:val="base-text-paragraph"/>
        <w:numPr>
          <w:ilvl w:val="1"/>
          <w:numId w:val="23"/>
        </w:numPr>
      </w:pPr>
      <w:r w:rsidRPr="00762E15">
        <w:t xml:space="preserve">The Minister can make these instruments at any time after the Financial Accountability Regime Bill 2021 receives Royal Assent. </w:t>
      </w:r>
      <w:r w:rsidR="00E34045" w:rsidRPr="00762E15">
        <w:t>At this stage, t</w:t>
      </w:r>
      <w:r w:rsidRPr="00762E15">
        <w:t xml:space="preserve">he proposed commencement day for these other </w:t>
      </w:r>
      <w:r w:rsidR="00E34045" w:rsidRPr="00762E15">
        <w:t>sectors</w:t>
      </w:r>
      <w:r w:rsidRPr="00762E15">
        <w:t xml:space="preserve"> is </w:t>
      </w:r>
      <w:r w:rsidR="00F4088B" w:rsidRPr="00762E15">
        <w:t>expected to be</w:t>
      </w:r>
      <w:r w:rsidRPr="00762E15">
        <w:t xml:space="preserve"> later of 1</w:t>
      </w:r>
      <w:r w:rsidR="00E34045" w:rsidRPr="00762E15">
        <w:t> </w:t>
      </w:r>
      <w:r w:rsidRPr="00762E15">
        <w:t>July</w:t>
      </w:r>
      <w:r w:rsidR="00E34045" w:rsidRPr="00762E15">
        <w:t> </w:t>
      </w:r>
      <w:r w:rsidRPr="00762E15">
        <w:t xml:space="preserve">2023 or 18 months after commencement of the </w:t>
      </w:r>
      <w:r w:rsidR="00E34045" w:rsidRPr="00762E15">
        <w:t xml:space="preserve">Financial Accountability </w:t>
      </w:r>
      <w:r w:rsidRPr="00762E15">
        <w:t>Regime.</w:t>
      </w:r>
    </w:p>
    <w:p w14:paraId="56DB49F9" w14:textId="6B1D3B71" w:rsidR="00CF5268" w:rsidRPr="00762E15" w:rsidRDefault="0058688A" w:rsidP="00420393">
      <w:pPr>
        <w:pStyle w:val="base-text-paragraph"/>
        <w:numPr>
          <w:ilvl w:val="1"/>
          <w:numId w:val="23"/>
        </w:numPr>
      </w:pPr>
      <w:r w:rsidRPr="00762E15">
        <w:t xml:space="preserve">The Financial Accountability Regime will apply in full to the entities included in the Minister’s declaration on that date. </w:t>
      </w:r>
    </w:p>
    <w:p w14:paraId="55A3BE75" w14:textId="6493D8D1" w:rsidR="0058688A" w:rsidRPr="00762E15" w:rsidRDefault="0058688A" w:rsidP="00420393">
      <w:pPr>
        <w:pStyle w:val="base-text-paragraph"/>
        <w:numPr>
          <w:ilvl w:val="1"/>
          <w:numId w:val="23"/>
        </w:numPr>
      </w:pPr>
      <w:r w:rsidRPr="00762E15">
        <w:t>This will include the deferred remuneration obligations</w:t>
      </w:r>
      <w:r w:rsidR="00CF5268" w:rsidRPr="00762E15">
        <w:t xml:space="preserve">, which will apply to remuneration </w:t>
      </w:r>
      <w:r w:rsidR="00AC310E" w:rsidRPr="00762E15">
        <w:t xml:space="preserve">that was determined after the start of the first financial year </w:t>
      </w:r>
      <w:r w:rsidR="00CF5268" w:rsidRPr="00762E15">
        <w:t>after Financial Accountability Regime applies</w:t>
      </w:r>
      <w:r w:rsidR="0070142C" w:rsidRPr="00762E15">
        <w:t xml:space="preserve"> to the sector</w:t>
      </w:r>
      <w:r w:rsidRPr="00762E15">
        <w:t xml:space="preserve">. </w:t>
      </w:r>
      <w:r w:rsidR="00C40611" w:rsidRPr="00762E15">
        <w:rPr>
          <w:rStyle w:val="Referencingstyle"/>
        </w:rPr>
        <w:t>[</w:t>
      </w:r>
      <w:r w:rsidR="00CF5268" w:rsidRPr="00762E15">
        <w:rPr>
          <w:rStyle w:val="Referencingstyle"/>
        </w:rPr>
        <w:t>Schedule 2 item 23</w:t>
      </w:r>
      <w:r w:rsidR="00C40611" w:rsidRPr="00762E15">
        <w:rPr>
          <w:rStyle w:val="Referencingstyle"/>
        </w:rPr>
        <w:t>]</w:t>
      </w:r>
    </w:p>
    <w:p w14:paraId="5C6E265B" w14:textId="21A9585A" w:rsidR="006E59B3" w:rsidRPr="00762E15" w:rsidRDefault="00B605EC" w:rsidP="00420393">
      <w:pPr>
        <w:pStyle w:val="base-text-paragraph"/>
        <w:numPr>
          <w:ilvl w:val="1"/>
          <w:numId w:val="23"/>
        </w:numPr>
        <w:rPr>
          <w:rStyle w:val="Referencingstyle"/>
          <w:b w:val="0"/>
          <w:i w:val="0"/>
          <w:sz w:val="22"/>
        </w:rPr>
      </w:pPr>
      <w:r w:rsidRPr="00762E15">
        <w:lastRenderedPageBreak/>
        <w:t>Accountable entities in the other</w:t>
      </w:r>
      <w:r w:rsidR="00FD6DC3" w:rsidRPr="00762E15">
        <w:t xml:space="preserve"> </w:t>
      </w:r>
      <w:r w:rsidR="00E34045" w:rsidRPr="00762E15">
        <w:t>sectors</w:t>
      </w:r>
      <w:r w:rsidR="00FD6DC3" w:rsidRPr="00762E15">
        <w:t xml:space="preserve"> </w:t>
      </w:r>
      <w:r w:rsidR="004243BC" w:rsidRPr="00762E15">
        <w:t xml:space="preserve">of the financial system </w:t>
      </w:r>
      <w:r w:rsidR="00FD6DC3" w:rsidRPr="00762E15">
        <w:t>(</w:t>
      </w:r>
      <w:r w:rsidR="00F4088B" w:rsidRPr="00762E15">
        <w:t>other than authorised deposit</w:t>
      </w:r>
      <w:r w:rsidR="00F4088B" w:rsidRPr="00762E15">
        <w:noBreakHyphen/>
        <w:t>taking</w:t>
      </w:r>
      <w:r w:rsidR="00480917">
        <w:t xml:space="preserve"> </w:t>
      </w:r>
      <w:r w:rsidR="00F4088B" w:rsidRPr="00762E15">
        <w:t xml:space="preserve">institutions or their </w:t>
      </w:r>
      <w:r w:rsidR="00A25515" w:rsidRPr="00762E15">
        <w:t xml:space="preserve">authorised </w:t>
      </w:r>
      <w:r w:rsidR="00F4088B" w:rsidRPr="00762E15">
        <w:t>non‑operating holding companies</w:t>
      </w:r>
      <w:r w:rsidR="00FD6DC3" w:rsidRPr="00762E15">
        <w:t>)</w:t>
      </w:r>
      <w:r w:rsidR="00290825" w:rsidRPr="00762E15">
        <w:t xml:space="preserve"> can apply </w:t>
      </w:r>
      <w:r w:rsidR="00184D61" w:rsidRPr="00762E15">
        <w:t xml:space="preserve">early </w:t>
      </w:r>
      <w:r w:rsidR="00290825" w:rsidRPr="00762E15">
        <w:t xml:space="preserve">to register accountable people under the Financial Accountability Regime </w:t>
      </w:r>
      <w:r w:rsidRPr="00762E15">
        <w:t>30 days</w:t>
      </w:r>
      <w:r w:rsidR="00184D61" w:rsidRPr="00762E15">
        <w:t xml:space="preserve"> before the Financial Accountability Regime applies to the </w:t>
      </w:r>
      <w:r w:rsidR="00E34045" w:rsidRPr="00762E15">
        <w:t>sector</w:t>
      </w:r>
      <w:r w:rsidR="006E59B3" w:rsidRPr="00762E15">
        <w:t xml:space="preserve">. </w:t>
      </w:r>
      <w:r w:rsidR="006E59B3" w:rsidRPr="00762E15">
        <w:rPr>
          <w:rStyle w:val="Referencingstyle"/>
        </w:rPr>
        <w:t>[</w:t>
      </w:r>
      <w:r w:rsidR="007C6031" w:rsidRPr="00762E15">
        <w:rPr>
          <w:rStyle w:val="Referencingstyle"/>
        </w:rPr>
        <w:t>Schedule 2 item 22</w:t>
      </w:r>
      <w:r w:rsidR="006E59B3" w:rsidRPr="00762E15">
        <w:rPr>
          <w:rStyle w:val="Referencingstyle"/>
        </w:rPr>
        <w:t>]</w:t>
      </w:r>
    </w:p>
    <w:p w14:paraId="66FDEBAA" w14:textId="521BF485" w:rsidR="007C6031" w:rsidRPr="00762E15" w:rsidRDefault="007C6031" w:rsidP="00F217BD">
      <w:pPr>
        <w:pStyle w:val="Heading4"/>
      </w:pPr>
      <w:r w:rsidRPr="00762E15">
        <w:t xml:space="preserve">Miscellaneous </w:t>
      </w:r>
      <w:r w:rsidR="00030ECF" w:rsidRPr="00762E15">
        <w:t xml:space="preserve">amendments </w:t>
      </w:r>
    </w:p>
    <w:p w14:paraId="7A8F5006" w14:textId="4AFA370F" w:rsidR="007C6031" w:rsidRPr="00762E15" w:rsidRDefault="002802BE" w:rsidP="00420393">
      <w:pPr>
        <w:pStyle w:val="base-text-paragraph"/>
        <w:numPr>
          <w:ilvl w:val="1"/>
          <w:numId w:val="23"/>
        </w:numPr>
        <w:rPr>
          <w:rStyle w:val="Referencingstyle"/>
          <w:b w:val="0"/>
          <w:i w:val="0"/>
          <w:sz w:val="22"/>
        </w:rPr>
      </w:pPr>
      <w:r w:rsidRPr="00762E15">
        <w:t>The Bill creates a</w:t>
      </w:r>
      <w:r w:rsidR="007C6031" w:rsidRPr="00762E15">
        <w:t xml:space="preserve"> series of definitions to</w:t>
      </w:r>
      <w:r w:rsidRPr="00762E15">
        <w:t xml:space="preserve"> aid in the transitional arrangements and clarifies </w:t>
      </w:r>
      <w:r w:rsidR="00AB316B">
        <w:t xml:space="preserve">it does not limit </w:t>
      </w:r>
      <w:r w:rsidRPr="00762E15">
        <w:t xml:space="preserve">the application of the </w:t>
      </w:r>
      <w:r w:rsidRPr="00762E15">
        <w:rPr>
          <w:i/>
          <w:iCs/>
        </w:rPr>
        <w:t>Acts Interpretations Act 1901</w:t>
      </w:r>
      <w:r w:rsidRPr="00762E15">
        <w:t>.</w:t>
      </w:r>
      <w:r w:rsidRPr="00762E15">
        <w:rPr>
          <w:rStyle w:val="Referencingstyle"/>
          <w:b w:val="0"/>
          <w:i w:val="0"/>
          <w:sz w:val="22"/>
        </w:rPr>
        <w:t xml:space="preserve"> </w:t>
      </w:r>
      <w:r w:rsidRPr="00762E15">
        <w:rPr>
          <w:rStyle w:val="Referencingstyle"/>
        </w:rPr>
        <w:t>[Schedule 2 items 1 and 2]</w:t>
      </w:r>
    </w:p>
    <w:p w14:paraId="6CF6944E" w14:textId="5A2AF7AB" w:rsidR="007C6031" w:rsidRPr="00762E15" w:rsidRDefault="007C6031" w:rsidP="00420393">
      <w:pPr>
        <w:pStyle w:val="base-text-paragraph"/>
        <w:numPr>
          <w:ilvl w:val="1"/>
          <w:numId w:val="23"/>
        </w:numPr>
        <w:rPr>
          <w:rStyle w:val="Referencingstyle"/>
          <w:b w:val="0"/>
          <w:i w:val="0"/>
          <w:sz w:val="22"/>
        </w:rPr>
      </w:pPr>
      <w:r w:rsidRPr="00762E15">
        <w:t xml:space="preserve">The </w:t>
      </w:r>
      <w:r w:rsidR="002802BE" w:rsidRPr="00762E15">
        <w:t>Bill</w:t>
      </w:r>
      <w:r w:rsidRPr="00762E15">
        <w:t xml:space="preserve"> </w:t>
      </w:r>
      <w:r w:rsidR="00C32044" w:rsidRPr="00762E15">
        <w:t xml:space="preserve">provides </w:t>
      </w:r>
      <w:r w:rsidR="004243BC" w:rsidRPr="00762E15">
        <w:t>that</w:t>
      </w:r>
      <w:r w:rsidR="00C32044" w:rsidRPr="00762E15">
        <w:t xml:space="preserve"> compensation may be payable </w:t>
      </w:r>
      <w:r w:rsidR="00AE6043">
        <w:t>in</w:t>
      </w:r>
      <w:r w:rsidR="00C32044" w:rsidRPr="00762E15">
        <w:t xml:space="preserve"> relation to acquisition of property </w:t>
      </w:r>
      <w:r w:rsidR="00E924F7">
        <w:t>on other than just terms</w:t>
      </w:r>
      <w:r w:rsidR="00C32044" w:rsidRPr="00762E15">
        <w:t xml:space="preserve"> as a result of the </w:t>
      </w:r>
      <w:r w:rsidR="00B605EC" w:rsidRPr="00762E15">
        <w:t>operation of</w:t>
      </w:r>
      <w:r w:rsidR="00C32044" w:rsidRPr="00762E15">
        <w:t xml:space="preserve"> the Banking Executive Accountability Regime or Financial Accountability Regime as applied under the </w:t>
      </w:r>
      <w:r w:rsidR="000D4CB3" w:rsidRPr="00762E15">
        <w:t>B</w:t>
      </w:r>
      <w:r w:rsidR="00C32044" w:rsidRPr="00762E15">
        <w:t>ill.</w:t>
      </w:r>
      <w:r w:rsidR="001B23CF" w:rsidRPr="00762E15">
        <w:t xml:space="preserve"> </w:t>
      </w:r>
      <w:r w:rsidRPr="00762E15">
        <w:rPr>
          <w:rStyle w:val="Referencingstyle"/>
        </w:rPr>
        <w:t>[Schedule 2</w:t>
      </w:r>
      <w:r w:rsidR="00FF2CD0">
        <w:rPr>
          <w:rStyle w:val="Referencingstyle"/>
        </w:rPr>
        <w:t xml:space="preserve"> </w:t>
      </w:r>
      <w:r w:rsidRPr="00762E15">
        <w:rPr>
          <w:rStyle w:val="Referencingstyle"/>
        </w:rPr>
        <w:t xml:space="preserve">item </w:t>
      </w:r>
      <w:r w:rsidR="002802BE" w:rsidRPr="00762E15">
        <w:rPr>
          <w:rStyle w:val="Referencingstyle"/>
        </w:rPr>
        <w:t>3</w:t>
      </w:r>
      <w:r w:rsidRPr="00762E15">
        <w:rPr>
          <w:rStyle w:val="Referencingstyle"/>
        </w:rPr>
        <w:t>]</w:t>
      </w:r>
    </w:p>
    <w:p w14:paraId="79731507" w14:textId="0BF6815E" w:rsidR="007C6031" w:rsidRPr="00762E15" w:rsidRDefault="007C6031" w:rsidP="00420393">
      <w:pPr>
        <w:pStyle w:val="base-text-paragraph"/>
        <w:numPr>
          <w:ilvl w:val="1"/>
          <w:numId w:val="23"/>
        </w:numPr>
        <w:rPr>
          <w:rStyle w:val="Referencingstyle"/>
          <w:b w:val="0"/>
          <w:i w:val="0"/>
          <w:sz w:val="22"/>
        </w:rPr>
      </w:pPr>
      <w:r w:rsidRPr="00762E15">
        <w:t xml:space="preserve">APRA is not required to </w:t>
      </w:r>
      <w:r w:rsidR="00510A98" w:rsidRPr="00762E15">
        <w:t>seek ASIC’s agreement to exercise its powers under the transition from the Banking Executive Accountability Regime</w:t>
      </w:r>
      <w:r w:rsidR="00E91307" w:rsidRPr="00762E15">
        <w:t xml:space="preserve"> to the Financial Accountability Regime</w:t>
      </w:r>
      <w:r w:rsidR="00510A98" w:rsidRPr="00762E15">
        <w:t>.</w:t>
      </w:r>
      <w:r w:rsidRPr="00762E15">
        <w:t xml:space="preserve"> </w:t>
      </w:r>
      <w:r w:rsidR="00510A98" w:rsidRPr="00762E15">
        <w:rPr>
          <w:rStyle w:val="Referencingstyle"/>
        </w:rPr>
        <w:t xml:space="preserve">[Schedule 2 item </w:t>
      </w:r>
      <w:r w:rsidR="005E5921">
        <w:rPr>
          <w:rStyle w:val="Referencingstyle"/>
        </w:rPr>
        <w:t>30</w:t>
      </w:r>
      <w:r w:rsidR="00510A98" w:rsidRPr="00762E15">
        <w:rPr>
          <w:rStyle w:val="Referencingstyle"/>
        </w:rPr>
        <w:t>]</w:t>
      </w:r>
    </w:p>
    <w:p w14:paraId="552687B2" w14:textId="0ACDBADC" w:rsidR="00510A98" w:rsidRPr="00762E15" w:rsidRDefault="00510A98" w:rsidP="00420393">
      <w:pPr>
        <w:pStyle w:val="base-text-paragraph"/>
        <w:numPr>
          <w:ilvl w:val="1"/>
          <w:numId w:val="23"/>
        </w:numPr>
        <w:rPr>
          <w:rStyle w:val="Referencingstyle"/>
          <w:b w:val="0"/>
          <w:i w:val="0"/>
          <w:sz w:val="22"/>
        </w:rPr>
      </w:pPr>
      <w:r w:rsidRPr="00762E15">
        <w:t xml:space="preserve">APRA and ASIC may jointly make rules prescribing transitional arrangements under the Bill. </w:t>
      </w:r>
      <w:r w:rsidR="00D009BF" w:rsidRPr="00762E15">
        <w:rPr>
          <w:rStyle w:val="Referencingstyle"/>
        </w:rPr>
        <w:t>[Schedule 2</w:t>
      </w:r>
      <w:r w:rsidR="00FF4DAC">
        <w:rPr>
          <w:rStyle w:val="Referencingstyle"/>
        </w:rPr>
        <w:t xml:space="preserve"> </w:t>
      </w:r>
      <w:r w:rsidR="00D009BF" w:rsidRPr="00762E15">
        <w:rPr>
          <w:rStyle w:val="Referencingstyle"/>
        </w:rPr>
        <w:t xml:space="preserve">item </w:t>
      </w:r>
      <w:r w:rsidR="005E5921">
        <w:rPr>
          <w:rStyle w:val="Referencingstyle"/>
        </w:rPr>
        <w:t>34</w:t>
      </w:r>
      <w:r w:rsidR="00D009BF" w:rsidRPr="00762E15">
        <w:rPr>
          <w:rStyle w:val="Referencingstyle"/>
        </w:rPr>
        <w:t>]</w:t>
      </w:r>
    </w:p>
    <w:p w14:paraId="4DA596C4" w14:textId="5C23B49A" w:rsidR="006E59B3" w:rsidRPr="00184D61" w:rsidRDefault="006E59B3" w:rsidP="002802BE">
      <w:pPr>
        <w:pStyle w:val="base-text-paragraph"/>
        <w:tabs>
          <w:tab w:val="clear" w:pos="1985"/>
        </w:tabs>
      </w:pPr>
    </w:p>
    <w:sectPr w:rsidR="006E59B3" w:rsidRPr="00184D61"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7D2F" w14:textId="77777777" w:rsidR="00EE1C7D" w:rsidRDefault="00EE1C7D" w:rsidP="00C3452B">
      <w:pPr>
        <w:spacing w:before="0" w:after="0"/>
      </w:pPr>
      <w:r>
        <w:separator/>
      </w:r>
    </w:p>
  </w:endnote>
  <w:endnote w:type="continuationSeparator" w:id="0">
    <w:p w14:paraId="11792761" w14:textId="77777777" w:rsidR="00EE1C7D" w:rsidRDefault="00EE1C7D" w:rsidP="00C3452B">
      <w:pPr>
        <w:spacing w:before="0" w:after="0"/>
      </w:pPr>
      <w:r>
        <w:continuationSeparator/>
      </w:r>
    </w:p>
  </w:endnote>
  <w:endnote w:type="continuationNotice" w:id="1">
    <w:p w14:paraId="4294C101" w14:textId="77777777" w:rsidR="00EE1C7D" w:rsidRDefault="00EE1C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4202D" w14:textId="77777777" w:rsidR="00EE1C7D" w:rsidRDefault="00EE1C7D" w:rsidP="0087757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8E2D2" w14:textId="6E72111C" w:rsidR="00EE1C7D" w:rsidRDefault="00EE1C7D" w:rsidP="00DE742D">
    <w:pPr>
      <w:pStyle w:val="leftfooter"/>
    </w:pPr>
    <w:r>
      <w:fldChar w:fldCharType="begin"/>
    </w:r>
    <w:r>
      <w:instrText xml:space="preserve"> PAGE   \* MERGEFORMAT </w:instrText>
    </w:r>
    <w:r>
      <w:fldChar w:fldCharType="separate"/>
    </w:r>
    <w:r>
      <w:rPr>
        <w:noProof/>
      </w:rPr>
      <w:t>14</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1" w:name="_Hlk26336195"/>
  <w:bookmarkStart w:id="42" w:name="_Hlk26336196"/>
  <w:bookmarkStart w:id="43" w:name="_Hlk26336199"/>
  <w:bookmarkStart w:id="44" w:name="_Hlk26336200"/>
  <w:p w14:paraId="74AA1774" w14:textId="190D9695" w:rsidR="00EE1C7D" w:rsidRDefault="00EE1C7D" w:rsidP="00DE742D">
    <w:pPr>
      <w:pStyle w:val="rightfooter"/>
    </w:pPr>
    <w:r>
      <w:fldChar w:fldCharType="begin"/>
    </w:r>
    <w:r>
      <w:instrText xml:space="preserve"> PAGE   \* MERGEFORMAT </w:instrText>
    </w:r>
    <w:r>
      <w:fldChar w:fldCharType="separate"/>
    </w:r>
    <w:r>
      <w:rPr>
        <w:noProof/>
      </w:rPr>
      <w:t>15</w:t>
    </w:r>
    <w:r>
      <w:rPr>
        <w:noProof/>
      </w:rPr>
      <w:fldChar w:fldCharType="end"/>
    </w:r>
    <w:bookmarkEnd w:id="41"/>
    <w:bookmarkEnd w:id="42"/>
    <w:bookmarkEnd w:id="43"/>
    <w:bookmarkEnd w:id="44"/>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5" w:name="_Hlk26336197"/>
  <w:bookmarkStart w:id="46" w:name="_Hlk26336198"/>
  <w:p w14:paraId="4BCC7B03" w14:textId="69739FE9" w:rsidR="00EE1C7D" w:rsidRDefault="00EE1C7D" w:rsidP="00DE742D">
    <w:pPr>
      <w:pStyle w:val="rightfooter"/>
    </w:pPr>
    <w:r>
      <w:fldChar w:fldCharType="begin"/>
    </w:r>
    <w:r>
      <w:instrText xml:space="preserve"> PAGE  \* Arabic  \* MERGEFORMAT </w:instrText>
    </w:r>
    <w:r>
      <w:fldChar w:fldCharType="separate"/>
    </w:r>
    <w:r>
      <w:rPr>
        <w:noProof/>
      </w:rPr>
      <w:t>13</w:t>
    </w:r>
    <w:r>
      <w:rPr>
        <w:noProof/>
      </w:rPr>
      <w:fldChar w:fldCharType="end"/>
    </w:r>
    <w:bookmarkEnd w:id="45"/>
    <w:bookmarkEnd w:id="4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0895A60A" w14:textId="77777777" w:rsidR="00EE1C7D" w:rsidRDefault="00EE1C7D" w:rsidP="00877570">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D0364" w14:textId="77777777" w:rsidR="00EE1C7D" w:rsidRDefault="00EE1C7D">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1AC8C" w14:textId="77777777" w:rsidR="00EE1C7D" w:rsidRDefault="00EE1C7D" w:rsidP="00877570">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5133F4D8" w14:textId="77777777" w:rsidR="00EE1C7D" w:rsidRDefault="00EE1C7D" w:rsidP="00877570">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7D20" w14:textId="77777777" w:rsidR="00EE1C7D" w:rsidRPr="00B2068E" w:rsidRDefault="00EE1C7D" w:rsidP="00877570">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FF3A" w14:textId="77777777" w:rsidR="00EE1C7D" w:rsidRDefault="00EE1C7D" w:rsidP="00877570">
    <w:pPr>
      <w:pStyle w:val="leftfooter"/>
    </w:pPr>
    <w:r>
      <w:fldChar w:fldCharType="begin"/>
    </w:r>
    <w:r>
      <w:instrText xml:space="preserve"> PAGE   \* MERGEFORMAT </w:instrText>
    </w:r>
    <w:r>
      <w:fldChar w:fldCharType="separate"/>
    </w:r>
    <w:r>
      <w:rPr>
        <w:noProof/>
      </w:rPr>
      <w:t>4</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6" w:name="_Hlk26336183"/>
  <w:bookmarkStart w:id="27" w:name="_Hlk26336184"/>
  <w:bookmarkStart w:id="28" w:name="_Hlk26336187"/>
  <w:bookmarkStart w:id="29" w:name="_Hlk26336188"/>
  <w:p w14:paraId="0985D85A" w14:textId="77777777" w:rsidR="00EE1C7D" w:rsidRDefault="00EE1C7D" w:rsidP="00877570">
    <w:pPr>
      <w:pStyle w:val="rightfooter"/>
    </w:pPr>
    <w:r>
      <w:fldChar w:fldCharType="begin"/>
    </w:r>
    <w:r>
      <w:instrText xml:space="preserve"> PAGE   \* MERGEFORMAT </w:instrText>
    </w:r>
    <w:r>
      <w:fldChar w:fldCharType="separate"/>
    </w:r>
    <w:r>
      <w:rPr>
        <w:noProof/>
      </w:rPr>
      <w:t>5</w:t>
    </w:r>
    <w:r>
      <w:rPr>
        <w:noProof/>
      </w:rPr>
      <w:fldChar w:fldCharType="end"/>
    </w:r>
    <w:bookmarkEnd w:id="26"/>
    <w:bookmarkEnd w:id="27"/>
    <w:bookmarkEnd w:id="28"/>
    <w:bookmarkEnd w:id="29"/>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0" w:name="_Hlk26336185"/>
  <w:bookmarkStart w:id="31" w:name="_Hlk26336186"/>
  <w:p w14:paraId="4BF472BF" w14:textId="77777777" w:rsidR="00EE1C7D" w:rsidRDefault="00EE1C7D" w:rsidP="00877570">
    <w:pPr>
      <w:pStyle w:val="rightfooter"/>
    </w:pPr>
    <w:r>
      <w:fldChar w:fldCharType="begin"/>
    </w:r>
    <w:r>
      <w:instrText xml:space="preserve"> PAGE  \* Arabic  \* MERGEFORMAT </w:instrText>
    </w:r>
    <w:r>
      <w:fldChar w:fldCharType="separate"/>
    </w:r>
    <w:r>
      <w:rPr>
        <w:noProof/>
      </w:rPr>
      <w:t>3</w:t>
    </w:r>
    <w:r>
      <w:rPr>
        <w:noProof/>
      </w:rPr>
      <w:fldChar w:fldCharType="end"/>
    </w:r>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EC0DA" w14:textId="77777777" w:rsidR="00EE1C7D" w:rsidRDefault="00EE1C7D" w:rsidP="00C3452B">
      <w:pPr>
        <w:spacing w:before="0" w:after="0"/>
      </w:pPr>
      <w:r>
        <w:separator/>
      </w:r>
    </w:p>
  </w:footnote>
  <w:footnote w:type="continuationSeparator" w:id="0">
    <w:p w14:paraId="6BFC58F7" w14:textId="77777777" w:rsidR="00EE1C7D" w:rsidRDefault="00EE1C7D" w:rsidP="00C3452B">
      <w:pPr>
        <w:spacing w:before="0" w:after="0"/>
      </w:pPr>
      <w:r>
        <w:continuationSeparator/>
      </w:r>
    </w:p>
  </w:footnote>
  <w:footnote w:type="continuationNotice" w:id="1">
    <w:p w14:paraId="2420D171" w14:textId="77777777" w:rsidR="00EE1C7D" w:rsidRDefault="00EE1C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82A30" w14:textId="77777777" w:rsidR="00EE1C7D" w:rsidRDefault="00EE1C7D" w:rsidP="00877570">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0D35695A" w14:textId="77777777" w:rsidR="00EE1C7D" w:rsidRDefault="00EE1C7D" w:rsidP="00877570">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1B521DF2" w14:textId="77777777" w:rsidR="00EE1C7D" w:rsidRDefault="004C667E">
        <w:pPr>
          <w:pStyle w:val="Header"/>
        </w:pPr>
        <w:r>
          <w:rPr>
            <w:noProof/>
            <w:lang w:val="en-US" w:eastAsia="en-US"/>
          </w:rPr>
          <w:pict w14:anchorId="694A6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8E41" w14:textId="77777777" w:rsidR="00EE1C7D" w:rsidRDefault="00EE1C7D" w:rsidP="00877570">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19CE" w14:textId="77777777" w:rsidR="00EE1C7D" w:rsidRDefault="00EE1C7D" w:rsidP="00877570">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14286" w14:textId="77777777" w:rsidR="00EE1C7D" w:rsidRDefault="00EE1C7D">
    <w:pPr>
      <w:pStyle w:val="Header"/>
    </w:pPr>
    <w:bookmarkStart w:id="21" w:name="_Hlk26336191"/>
    <w:bookmarkStart w:id="22" w:name="_Hlk26336192"/>
    <w:bookmarkEnd w:id="21"/>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146D8"/>
    <w:multiLevelType w:val="hybridMultilevel"/>
    <w:tmpl w:val="17C2B594"/>
    <w:lvl w:ilvl="0" w:tplc="F370C4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B13B91"/>
    <w:multiLevelType w:val="multilevel"/>
    <w:tmpl w:val="66BCB97A"/>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b w:val="0"/>
        <w:bCs/>
        <w:i w:val="0"/>
        <w:iCs/>
        <w:sz w:val="22"/>
        <w:szCs w:val="22"/>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C30D69"/>
    <w:multiLevelType w:val="hybridMultilevel"/>
    <w:tmpl w:val="ED962858"/>
    <w:lvl w:ilvl="0" w:tplc="A412AFD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31177829"/>
    <w:multiLevelType w:val="multilevel"/>
    <w:tmpl w:val="2516282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1D"/>
    <w:styleLink w:val="Chapter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25E2552"/>
    <w:multiLevelType w:val="multilevel"/>
    <w:tmpl w:val="CF08225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0A2512"/>
    <w:multiLevelType w:val="hybridMultilevel"/>
    <w:tmpl w:val="63D07B34"/>
    <w:lvl w:ilvl="0" w:tplc="066E14B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F53485"/>
    <w:multiLevelType w:val="multilevel"/>
    <w:tmpl w:val="148465C2"/>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BC7E8D"/>
    <w:multiLevelType w:val="singleLevel"/>
    <w:tmpl w:val="2974954C"/>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4" w15:restartNumberingAfterBreak="0">
    <w:nsid w:val="65DF6494"/>
    <w:multiLevelType w:val="multilevel"/>
    <w:tmpl w:val="4F4A1B4A"/>
    <w:styleLink w:val="ExampleDotPoint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4C6865"/>
    <w:multiLevelType w:val="hybridMultilevel"/>
    <w:tmpl w:val="A2F62A1C"/>
    <w:lvl w:ilvl="0" w:tplc="94EC96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FC0FE8"/>
    <w:multiLevelType w:val="multilevel"/>
    <w:tmpl w:val="0C09001F"/>
    <w:styleLink w:val="ExampleDotPointList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C8C5E81"/>
    <w:multiLevelType w:val="multilevel"/>
    <w:tmpl w:val="0C09001D"/>
    <w:styleLink w:val="ArticleSection"/>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26"/>
  </w:num>
  <w:num w:numId="3">
    <w:abstractNumId w:val="27"/>
  </w:num>
  <w:num w:numId="4">
    <w:abstractNumId w:val="17"/>
  </w:num>
  <w:num w:numId="5">
    <w:abstractNumId w:val="18"/>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24"/>
  </w:num>
  <w:num w:numId="19">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20"/>
  </w:num>
  <w:num w:numId="21">
    <w:abstractNumId w:val="19"/>
  </w:num>
  <w:num w:numId="22">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1"/>
  </w:num>
  <w:num w:numId="24">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7"/>
  </w:num>
  <w:num w:numId="28">
    <w:abstractNumId w:val="17"/>
  </w:num>
  <w:num w:numId="29">
    <w:abstractNumId w:val="25"/>
  </w:num>
  <w:num w:numId="30">
    <w:abstractNumId w:val="2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bCs/>
          <w:i w:val="0"/>
          <w:iCs/>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5"/>
  </w:num>
  <w:num w:numId="32">
    <w:abstractNumId w:val="10"/>
  </w:num>
  <w:num w:numId="33">
    <w:abstractNumId w:val="13"/>
  </w:num>
  <w:num w:numId="3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2B"/>
    <w:rsid w:val="00001864"/>
    <w:rsid w:val="00001F0A"/>
    <w:rsid w:val="00002298"/>
    <w:rsid w:val="00003478"/>
    <w:rsid w:val="00003836"/>
    <w:rsid w:val="00004BEF"/>
    <w:rsid w:val="000072AC"/>
    <w:rsid w:val="00007610"/>
    <w:rsid w:val="000079CD"/>
    <w:rsid w:val="00007AD4"/>
    <w:rsid w:val="00007F6C"/>
    <w:rsid w:val="00010D3F"/>
    <w:rsid w:val="0001144B"/>
    <w:rsid w:val="0001285F"/>
    <w:rsid w:val="00012BE6"/>
    <w:rsid w:val="000132B1"/>
    <w:rsid w:val="00013B37"/>
    <w:rsid w:val="00013F68"/>
    <w:rsid w:val="000156E6"/>
    <w:rsid w:val="000161E0"/>
    <w:rsid w:val="00016968"/>
    <w:rsid w:val="000177DC"/>
    <w:rsid w:val="000203A4"/>
    <w:rsid w:val="000213F1"/>
    <w:rsid w:val="000218AD"/>
    <w:rsid w:val="00021B58"/>
    <w:rsid w:val="00021FA2"/>
    <w:rsid w:val="00023367"/>
    <w:rsid w:val="000234CC"/>
    <w:rsid w:val="000239CB"/>
    <w:rsid w:val="000240E0"/>
    <w:rsid w:val="00024727"/>
    <w:rsid w:val="00025277"/>
    <w:rsid w:val="000252B6"/>
    <w:rsid w:val="000257E1"/>
    <w:rsid w:val="00026CCB"/>
    <w:rsid w:val="00026FB9"/>
    <w:rsid w:val="00030D81"/>
    <w:rsid w:val="00030ECF"/>
    <w:rsid w:val="0003181F"/>
    <w:rsid w:val="000329A8"/>
    <w:rsid w:val="0003319F"/>
    <w:rsid w:val="000331AF"/>
    <w:rsid w:val="000335DF"/>
    <w:rsid w:val="00033BFD"/>
    <w:rsid w:val="00033F23"/>
    <w:rsid w:val="0003418E"/>
    <w:rsid w:val="00034348"/>
    <w:rsid w:val="00034A63"/>
    <w:rsid w:val="00034BA8"/>
    <w:rsid w:val="000356E8"/>
    <w:rsid w:val="00036131"/>
    <w:rsid w:val="00036A7D"/>
    <w:rsid w:val="00037251"/>
    <w:rsid w:val="0003769C"/>
    <w:rsid w:val="00037C2F"/>
    <w:rsid w:val="00041D38"/>
    <w:rsid w:val="00041E46"/>
    <w:rsid w:val="000423B1"/>
    <w:rsid w:val="0004249D"/>
    <w:rsid w:val="00042FEE"/>
    <w:rsid w:val="00043F92"/>
    <w:rsid w:val="0004402F"/>
    <w:rsid w:val="000448B4"/>
    <w:rsid w:val="00044C9B"/>
    <w:rsid w:val="000457D2"/>
    <w:rsid w:val="000459E8"/>
    <w:rsid w:val="00045AFF"/>
    <w:rsid w:val="00045BEB"/>
    <w:rsid w:val="00046C86"/>
    <w:rsid w:val="00046EBD"/>
    <w:rsid w:val="00046EED"/>
    <w:rsid w:val="000475BE"/>
    <w:rsid w:val="000476CD"/>
    <w:rsid w:val="00047BF9"/>
    <w:rsid w:val="0005139E"/>
    <w:rsid w:val="00052575"/>
    <w:rsid w:val="000535C1"/>
    <w:rsid w:val="00053719"/>
    <w:rsid w:val="00053BFC"/>
    <w:rsid w:val="000545BD"/>
    <w:rsid w:val="000547DF"/>
    <w:rsid w:val="00054E9F"/>
    <w:rsid w:val="000552BD"/>
    <w:rsid w:val="00055374"/>
    <w:rsid w:val="000563FE"/>
    <w:rsid w:val="00061B97"/>
    <w:rsid w:val="00062A58"/>
    <w:rsid w:val="00063098"/>
    <w:rsid w:val="0006331C"/>
    <w:rsid w:val="00063418"/>
    <w:rsid w:val="0006430B"/>
    <w:rsid w:val="00064712"/>
    <w:rsid w:val="000649AE"/>
    <w:rsid w:val="00064DE9"/>
    <w:rsid w:val="00064F35"/>
    <w:rsid w:val="000653C8"/>
    <w:rsid w:val="0006571E"/>
    <w:rsid w:val="00065A23"/>
    <w:rsid w:val="00066ECB"/>
    <w:rsid w:val="000673C7"/>
    <w:rsid w:val="00067A59"/>
    <w:rsid w:val="00067E07"/>
    <w:rsid w:val="00070668"/>
    <w:rsid w:val="00071694"/>
    <w:rsid w:val="00072A87"/>
    <w:rsid w:val="0007308A"/>
    <w:rsid w:val="000733C1"/>
    <w:rsid w:val="000740CF"/>
    <w:rsid w:val="000747F2"/>
    <w:rsid w:val="0007574F"/>
    <w:rsid w:val="000761B6"/>
    <w:rsid w:val="0007650F"/>
    <w:rsid w:val="000765CE"/>
    <w:rsid w:val="00080790"/>
    <w:rsid w:val="000824E5"/>
    <w:rsid w:val="00083A16"/>
    <w:rsid w:val="0008409A"/>
    <w:rsid w:val="00084622"/>
    <w:rsid w:val="000861DA"/>
    <w:rsid w:val="00086555"/>
    <w:rsid w:val="00086908"/>
    <w:rsid w:val="00086C8C"/>
    <w:rsid w:val="00086E93"/>
    <w:rsid w:val="00087B7A"/>
    <w:rsid w:val="000902F2"/>
    <w:rsid w:val="00092838"/>
    <w:rsid w:val="00092D74"/>
    <w:rsid w:val="00092FF5"/>
    <w:rsid w:val="00093876"/>
    <w:rsid w:val="00094561"/>
    <w:rsid w:val="000946BB"/>
    <w:rsid w:val="00094CBD"/>
    <w:rsid w:val="000950F7"/>
    <w:rsid w:val="00095EE1"/>
    <w:rsid w:val="00096AF4"/>
    <w:rsid w:val="000A092E"/>
    <w:rsid w:val="000A0F3E"/>
    <w:rsid w:val="000A1729"/>
    <w:rsid w:val="000A1A0F"/>
    <w:rsid w:val="000A2AE1"/>
    <w:rsid w:val="000A2D7A"/>
    <w:rsid w:val="000A3FD5"/>
    <w:rsid w:val="000A4800"/>
    <w:rsid w:val="000A4C1C"/>
    <w:rsid w:val="000A5F58"/>
    <w:rsid w:val="000A617F"/>
    <w:rsid w:val="000A64E6"/>
    <w:rsid w:val="000A78EE"/>
    <w:rsid w:val="000B0924"/>
    <w:rsid w:val="000B0AEA"/>
    <w:rsid w:val="000B111E"/>
    <w:rsid w:val="000B1E76"/>
    <w:rsid w:val="000B254F"/>
    <w:rsid w:val="000B2CD0"/>
    <w:rsid w:val="000B3AAE"/>
    <w:rsid w:val="000B3D01"/>
    <w:rsid w:val="000B5377"/>
    <w:rsid w:val="000B545A"/>
    <w:rsid w:val="000B650D"/>
    <w:rsid w:val="000B72A5"/>
    <w:rsid w:val="000B792B"/>
    <w:rsid w:val="000B7F9D"/>
    <w:rsid w:val="000C0059"/>
    <w:rsid w:val="000C0F95"/>
    <w:rsid w:val="000C2A73"/>
    <w:rsid w:val="000C404E"/>
    <w:rsid w:val="000C46BA"/>
    <w:rsid w:val="000C4AAD"/>
    <w:rsid w:val="000C5833"/>
    <w:rsid w:val="000D00C1"/>
    <w:rsid w:val="000D1C44"/>
    <w:rsid w:val="000D30A5"/>
    <w:rsid w:val="000D33F8"/>
    <w:rsid w:val="000D450A"/>
    <w:rsid w:val="000D477C"/>
    <w:rsid w:val="000D4913"/>
    <w:rsid w:val="000D4CB3"/>
    <w:rsid w:val="000D4FC9"/>
    <w:rsid w:val="000D53C8"/>
    <w:rsid w:val="000D5D45"/>
    <w:rsid w:val="000D6500"/>
    <w:rsid w:val="000D6696"/>
    <w:rsid w:val="000D66AA"/>
    <w:rsid w:val="000E030A"/>
    <w:rsid w:val="000E0A6B"/>
    <w:rsid w:val="000E0ECD"/>
    <w:rsid w:val="000E1985"/>
    <w:rsid w:val="000E1B0E"/>
    <w:rsid w:val="000E1C6A"/>
    <w:rsid w:val="000E2205"/>
    <w:rsid w:val="000E293B"/>
    <w:rsid w:val="000E43DB"/>
    <w:rsid w:val="000E5199"/>
    <w:rsid w:val="000E6F21"/>
    <w:rsid w:val="000E7592"/>
    <w:rsid w:val="000E77C0"/>
    <w:rsid w:val="000E7A92"/>
    <w:rsid w:val="000E7AD1"/>
    <w:rsid w:val="000F10F9"/>
    <w:rsid w:val="000F16AA"/>
    <w:rsid w:val="000F1CA6"/>
    <w:rsid w:val="000F21B3"/>
    <w:rsid w:val="000F3448"/>
    <w:rsid w:val="000F49B1"/>
    <w:rsid w:val="000F4D83"/>
    <w:rsid w:val="000F7C86"/>
    <w:rsid w:val="00100467"/>
    <w:rsid w:val="00100710"/>
    <w:rsid w:val="00102CEF"/>
    <w:rsid w:val="0010380E"/>
    <w:rsid w:val="00103BDA"/>
    <w:rsid w:val="00103D0F"/>
    <w:rsid w:val="001068B3"/>
    <w:rsid w:val="00106DB5"/>
    <w:rsid w:val="00107568"/>
    <w:rsid w:val="001075B6"/>
    <w:rsid w:val="001105AF"/>
    <w:rsid w:val="00110690"/>
    <w:rsid w:val="001113B9"/>
    <w:rsid w:val="00112118"/>
    <w:rsid w:val="001129E8"/>
    <w:rsid w:val="00113316"/>
    <w:rsid w:val="001138E2"/>
    <w:rsid w:val="001140B4"/>
    <w:rsid w:val="001145C0"/>
    <w:rsid w:val="00114A2A"/>
    <w:rsid w:val="00114C0B"/>
    <w:rsid w:val="00115EFC"/>
    <w:rsid w:val="001160F8"/>
    <w:rsid w:val="00117CE5"/>
    <w:rsid w:val="00120628"/>
    <w:rsid w:val="00120938"/>
    <w:rsid w:val="0012144F"/>
    <w:rsid w:val="00121E47"/>
    <w:rsid w:val="00123076"/>
    <w:rsid w:val="00123963"/>
    <w:rsid w:val="00124006"/>
    <w:rsid w:val="001242D0"/>
    <w:rsid w:val="001248B0"/>
    <w:rsid w:val="00124B26"/>
    <w:rsid w:val="00125238"/>
    <w:rsid w:val="00125AC9"/>
    <w:rsid w:val="00126670"/>
    <w:rsid w:val="0013049C"/>
    <w:rsid w:val="001310DD"/>
    <w:rsid w:val="001315D6"/>
    <w:rsid w:val="00131742"/>
    <w:rsid w:val="0013420C"/>
    <w:rsid w:val="00134B59"/>
    <w:rsid w:val="00134CC6"/>
    <w:rsid w:val="00134DC9"/>
    <w:rsid w:val="00135E8C"/>
    <w:rsid w:val="001362C4"/>
    <w:rsid w:val="00136836"/>
    <w:rsid w:val="00137286"/>
    <w:rsid w:val="00137EC8"/>
    <w:rsid w:val="00137FB5"/>
    <w:rsid w:val="0014007E"/>
    <w:rsid w:val="00140283"/>
    <w:rsid w:val="00140634"/>
    <w:rsid w:val="001428C6"/>
    <w:rsid w:val="001439C2"/>
    <w:rsid w:val="00143B04"/>
    <w:rsid w:val="00143B96"/>
    <w:rsid w:val="00144144"/>
    <w:rsid w:val="001451F5"/>
    <w:rsid w:val="00145891"/>
    <w:rsid w:val="00147348"/>
    <w:rsid w:val="001507BD"/>
    <w:rsid w:val="001508C2"/>
    <w:rsid w:val="0015137E"/>
    <w:rsid w:val="00151C92"/>
    <w:rsid w:val="00152D6A"/>
    <w:rsid w:val="00152EB5"/>
    <w:rsid w:val="001561B4"/>
    <w:rsid w:val="00156771"/>
    <w:rsid w:val="0015711D"/>
    <w:rsid w:val="00157619"/>
    <w:rsid w:val="00160113"/>
    <w:rsid w:val="001601DC"/>
    <w:rsid w:val="00160618"/>
    <w:rsid w:val="00160EAA"/>
    <w:rsid w:val="001643AD"/>
    <w:rsid w:val="00164983"/>
    <w:rsid w:val="0016529A"/>
    <w:rsid w:val="001653BB"/>
    <w:rsid w:val="00165F9E"/>
    <w:rsid w:val="00170DF3"/>
    <w:rsid w:val="00171A9A"/>
    <w:rsid w:val="00172415"/>
    <w:rsid w:val="00172794"/>
    <w:rsid w:val="001730E3"/>
    <w:rsid w:val="0017383B"/>
    <w:rsid w:val="00173FC5"/>
    <w:rsid w:val="00175AB6"/>
    <w:rsid w:val="00175C9F"/>
    <w:rsid w:val="0017675C"/>
    <w:rsid w:val="001775FE"/>
    <w:rsid w:val="0018092E"/>
    <w:rsid w:val="00181270"/>
    <w:rsid w:val="001813C4"/>
    <w:rsid w:val="001818E5"/>
    <w:rsid w:val="00181A39"/>
    <w:rsid w:val="00183C1D"/>
    <w:rsid w:val="00184052"/>
    <w:rsid w:val="00184D61"/>
    <w:rsid w:val="001857F7"/>
    <w:rsid w:val="00186F5A"/>
    <w:rsid w:val="00186FC8"/>
    <w:rsid w:val="00187A26"/>
    <w:rsid w:val="00187DF3"/>
    <w:rsid w:val="00190B0B"/>
    <w:rsid w:val="00190D8F"/>
    <w:rsid w:val="001911B5"/>
    <w:rsid w:val="001914B9"/>
    <w:rsid w:val="001917F4"/>
    <w:rsid w:val="00192868"/>
    <w:rsid w:val="00193485"/>
    <w:rsid w:val="001946FA"/>
    <w:rsid w:val="00194FAC"/>
    <w:rsid w:val="00195AF8"/>
    <w:rsid w:val="00196416"/>
    <w:rsid w:val="00196A09"/>
    <w:rsid w:val="00197250"/>
    <w:rsid w:val="00197572"/>
    <w:rsid w:val="00197B7D"/>
    <w:rsid w:val="00197C34"/>
    <w:rsid w:val="001A14E7"/>
    <w:rsid w:val="001A1BDD"/>
    <w:rsid w:val="001A1F6F"/>
    <w:rsid w:val="001A283A"/>
    <w:rsid w:val="001A4296"/>
    <w:rsid w:val="001A478E"/>
    <w:rsid w:val="001A49AC"/>
    <w:rsid w:val="001A55A1"/>
    <w:rsid w:val="001A5BB8"/>
    <w:rsid w:val="001A5C75"/>
    <w:rsid w:val="001B05D2"/>
    <w:rsid w:val="001B0B52"/>
    <w:rsid w:val="001B23CF"/>
    <w:rsid w:val="001B23E3"/>
    <w:rsid w:val="001B2D63"/>
    <w:rsid w:val="001B45DF"/>
    <w:rsid w:val="001B4FA2"/>
    <w:rsid w:val="001B6172"/>
    <w:rsid w:val="001B653F"/>
    <w:rsid w:val="001B65D7"/>
    <w:rsid w:val="001B6AF0"/>
    <w:rsid w:val="001B6B82"/>
    <w:rsid w:val="001B6B97"/>
    <w:rsid w:val="001B714A"/>
    <w:rsid w:val="001C2F9C"/>
    <w:rsid w:val="001C508B"/>
    <w:rsid w:val="001C58C6"/>
    <w:rsid w:val="001C6001"/>
    <w:rsid w:val="001C6B24"/>
    <w:rsid w:val="001C6B8B"/>
    <w:rsid w:val="001C6D4E"/>
    <w:rsid w:val="001C6EA7"/>
    <w:rsid w:val="001C767C"/>
    <w:rsid w:val="001D0AD6"/>
    <w:rsid w:val="001D21A0"/>
    <w:rsid w:val="001D266E"/>
    <w:rsid w:val="001D2B34"/>
    <w:rsid w:val="001D2D96"/>
    <w:rsid w:val="001D2E11"/>
    <w:rsid w:val="001D32A4"/>
    <w:rsid w:val="001D3678"/>
    <w:rsid w:val="001D3B31"/>
    <w:rsid w:val="001D4F21"/>
    <w:rsid w:val="001D7351"/>
    <w:rsid w:val="001E0775"/>
    <w:rsid w:val="001E2670"/>
    <w:rsid w:val="001E2E0E"/>
    <w:rsid w:val="001E2EF0"/>
    <w:rsid w:val="001E41B7"/>
    <w:rsid w:val="001E46B5"/>
    <w:rsid w:val="001E4770"/>
    <w:rsid w:val="001E5ACC"/>
    <w:rsid w:val="001E5C2B"/>
    <w:rsid w:val="001E5C86"/>
    <w:rsid w:val="001E60C5"/>
    <w:rsid w:val="001E696A"/>
    <w:rsid w:val="001E6BA7"/>
    <w:rsid w:val="001E7A15"/>
    <w:rsid w:val="001F18F2"/>
    <w:rsid w:val="001F34DC"/>
    <w:rsid w:val="001F4EEE"/>
    <w:rsid w:val="001F4FBD"/>
    <w:rsid w:val="001F6193"/>
    <w:rsid w:val="001F68CD"/>
    <w:rsid w:val="001F6D21"/>
    <w:rsid w:val="001F6E14"/>
    <w:rsid w:val="002008D8"/>
    <w:rsid w:val="00200965"/>
    <w:rsid w:val="00201215"/>
    <w:rsid w:val="002023E1"/>
    <w:rsid w:val="0020240D"/>
    <w:rsid w:val="00203A22"/>
    <w:rsid w:val="00205A11"/>
    <w:rsid w:val="00205AAA"/>
    <w:rsid w:val="00205B63"/>
    <w:rsid w:val="00206609"/>
    <w:rsid w:val="00206E42"/>
    <w:rsid w:val="00207929"/>
    <w:rsid w:val="00210312"/>
    <w:rsid w:val="002120AB"/>
    <w:rsid w:val="00212403"/>
    <w:rsid w:val="00212E09"/>
    <w:rsid w:val="00213A35"/>
    <w:rsid w:val="00213D01"/>
    <w:rsid w:val="00214046"/>
    <w:rsid w:val="00214E22"/>
    <w:rsid w:val="002156FA"/>
    <w:rsid w:val="00215C5A"/>
    <w:rsid w:val="00216C48"/>
    <w:rsid w:val="00217A64"/>
    <w:rsid w:val="00217C43"/>
    <w:rsid w:val="002204EB"/>
    <w:rsid w:val="002206D7"/>
    <w:rsid w:val="0022081A"/>
    <w:rsid w:val="00220D1F"/>
    <w:rsid w:val="00221D39"/>
    <w:rsid w:val="002221E8"/>
    <w:rsid w:val="00222D36"/>
    <w:rsid w:val="002235FC"/>
    <w:rsid w:val="00224540"/>
    <w:rsid w:val="00224D95"/>
    <w:rsid w:val="002255CC"/>
    <w:rsid w:val="00225944"/>
    <w:rsid w:val="002278CD"/>
    <w:rsid w:val="00230300"/>
    <w:rsid w:val="002303FF"/>
    <w:rsid w:val="00231822"/>
    <w:rsid w:val="00232131"/>
    <w:rsid w:val="002328F7"/>
    <w:rsid w:val="00234EDB"/>
    <w:rsid w:val="00235491"/>
    <w:rsid w:val="00235492"/>
    <w:rsid w:val="0023564A"/>
    <w:rsid w:val="00235812"/>
    <w:rsid w:val="00235830"/>
    <w:rsid w:val="00236BD5"/>
    <w:rsid w:val="00236CC0"/>
    <w:rsid w:val="002373A0"/>
    <w:rsid w:val="00240510"/>
    <w:rsid w:val="002407F2"/>
    <w:rsid w:val="0024366B"/>
    <w:rsid w:val="00244283"/>
    <w:rsid w:val="0024442B"/>
    <w:rsid w:val="002449D2"/>
    <w:rsid w:val="00247E26"/>
    <w:rsid w:val="00250E1B"/>
    <w:rsid w:val="00251F9A"/>
    <w:rsid w:val="00255875"/>
    <w:rsid w:val="00255E24"/>
    <w:rsid w:val="0025615C"/>
    <w:rsid w:val="00256F29"/>
    <w:rsid w:val="002604BB"/>
    <w:rsid w:val="00260F4A"/>
    <w:rsid w:val="002637C1"/>
    <w:rsid w:val="002639E5"/>
    <w:rsid w:val="00263AD3"/>
    <w:rsid w:val="00264431"/>
    <w:rsid w:val="002644DD"/>
    <w:rsid w:val="00265221"/>
    <w:rsid w:val="00266458"/>
    <w:rsid w:val="002664AD"/>
    <w:rsid w:val="00271017"/>
    <w:rsid w:val="00271FA6"/>
    <w:rsid w:val="0027261E"/>
    <w:rsid w:val="00272E39"/>
    <w:rsid w:val="00273BD7"/>
    <w:rsid w:val="00273E14"/>
    <w:rsid w:val="00274443"/>
    <w:rsid w:val="00276925"/>
    <w:rsid w:val="00276A55"/>
    <w:rsid w:val="002802BE"/>
    <w:rsid w:val="00280536"/>
    <w:rsid w:val="002807E6"/>
    <w:rsid w:val="00281209"/>
    <w:rsid w:val="002844F7"/>
    <w:rsid w:val="002853F6"/>
    <w:rsid w:val="002861EB"/>
    <w:rsid w:val="002867BD"/>
    <w:rsid w:val="00286F94"/>
    <w:rsid w:val="0029049C"/>
    <w:rsid w:val="00290825"/>
    <w:rsid w:val="0029090E"/>
    <w:rsid w:val="00291082"/>
    <w:rsid w:val="002912EC"/>
    <w:rsid w:val="00292855"/>
    <w:rsid w:val="00294967"/>
    <w:rsid w:val="002955B2"/>
    <w:rsid w:val="00295686"/>
    <w:rsid w:val="0029581A"/>
    <w:rsid w:val="00295A82"/>
    <w:rsid w:val="00295F66"/>
    <w:rsid w:val="00297139"/>
    <w:rsid w:val="00297C32"/>
    <w:rsid w:val="00297F59"/>
    <w:rsid w:val="002A03D3"/>
    <w:rsid w:val="002A0BDB"/>
    <w:rsid w:val="002A2D95"/>
    <w:rsid w:val="002A3A7B"/>
    <w:rsid w:val="002A3F04"/>
    <w:rsid w:val="002A3F91"/>
    <w:rsid w:val="002A44EB"/>
    <w:rsid w:val="002A4E46"/>
    <w:rsid w:val="002A5A46"/>
    <w:rsid w:val="002A7320"/>
    <w:rsid w:val="002B08E6"/>
    <w:rsid w:val="002B34E6"/>
    <w:rsid w:val="002B615E"/>
    <w:rsid w:val="002B6331"/>
    <w:rsid w:val="002B6823"/>
    <w:rsid w:val="002B7B90"/>
    <w:rsid w:val="002C02CB"/>
    <w:rsid w:val="002C07CD"/>
    <w:rsid w:val="002C0831"/>
    <w:rsid w:val="002C25B2"/>
    <w:rsid w:val="002C31F2"/>
    <w:rsid w:val="002C46DA"/>
    <w:rsid w:val="002C5FF5"/>
    <w:rsid w:val="002C7BE3"/>
    <w:rsid w:val="002D0CCA"/>
    <w:rsid w:val="002D3AF2"/>
    <w:rsid w:val="002D6594"/>
    <w:rsid w:val="002D66B4"/>
    <w:rsid w:val="002D7B9C"/>
    <w:rsid w:val="002E0812"/>
    <w:rsid w:val="002E0F17"/>
    <w:rsid w:val="002E1DE2"/>
    <w:rsid w:val="002E1EDD"/>
    <w:rsid w:val="002E40BF"/>
    <w:rsid w:val="002E5CF5"/>
    <w:rsid w:val="002E6387"/>
    <w:rsid w:val="002E6409"/>
    <w:rsid w:val="002E6A29"/>
    <w:rsid w:val="002E762D"/>
    <w:rsid w:val="002E7D31"/>
    <w:rsid w:val="002F0747"/>
    <w:rsid w:val="002F183C"/>
    <w:rsid w:val="002F1BC8"/>
    <w:rsid w:val="002F3100"/>
    <w:rsid w:val="002F3BC8"/>
    <w:rsid w:val="002F4472"/>
    <w:rsid w:val="002F4742"/>
    <w:rsid w:val="002F5A9F"/>
    <w:rsid w:val="002F7072"/>
    <w:rsid w:val="002F757D"/>
    <w:rsid w:val="00302266"/>
    <w:rsid w:val="003022C5"/>
    <w:rsid w:val="003037F6"/>
    <w:rsid w:val="00305989"/>
    <w:rsid w:val="003063D3"/>
    <w:rsid w:val="00306A15"/>
    <w:rsid w:val="003074FD"/>
    <w:rsid w:val="00307DF8"/>
    <w:rsid w:val="00307F7C"/>
    <w:rsid w:val="00310204"/>
    <w:rsid w:val="00310356"/>
    <w:rsid w:val="00311938"/>
    <w:rsid w:val="00311C20"/>
    <w:rsid w:val="00312026"/>
    <w:rsid w:val="00312960"/>
    <w:rsid w:val="00312E28"/>
    <w:rsid w:val="00313817"/>
    <w:rsid w:val="00313C6B"/>
    <w:rsid w:val="003141CD"/>
    <w:rsid w:val="0031468B"/>
    <w:rsid w:val="00315A63"/>
    <w:rsid w:val="00315B5B"/>
    <w:rsid w:val="00315F4B"/>
    <w:rsid w:val="00316785"/>
    <w:rsid w:val="0031723F"/>
    <w:rsid w:val="003173E0"/>
    <w:rsid w:val="00317565"/>
    <w:rsid w:val="00317D29"/>
    <w:rsid w:val="00320260"/>
    <w:rsid w:val="00320341"/>
    <w:rsid w:val="003203C1"/>
    <w:rsid w:val="00321245"/>
    <w:rsid w:val="00321FD2"/>
    <w:rsid w:val="00322575"/>
    <w:rsid w:val="00323431"/>
    <w:rsid w:val="00323570"/>
    <w:rsid w:val="00323B25"/>
    <w:rsid w:val="00323C4A"/>
    <w:rsid w:val="00324728"/>
    <w:rsid w:val="003248D8"/>
    <w:rsid w:val="003251C2"/>
    <w:rsid w:val="00325327"/>
    <w:rsid w:val="00325588"/>
    <w:rsid w:val="0032588E"/>
    <w:rsid w:val="00326E3F"/>
    <w:rsid w:val="003325AC"/>
    <w:rsid w:val="00332DF4"/>
    <w:rsid w:val="003343BB"/>
    <w:rsid w:val="00335257"/>
    <w:rsid w:val="00335263"/>
    <w:rsid w:val="0033721C"/>
    <w:rsid w:val="00337B99"/>
    <w:rsid w:val="00340646"/>
    <w:rsid w:val="00341B2B"/>
    <w:rsid w:val="00341B88"/>
    <w:rsid w:val="00342E66"/>
    <w:rsid w:val="00343720"/>
    <w:rsid w:val="00343C12"/>
    <w:rsid w:val="00343DE6"/>
    <w:rsid w:val="00344A6B"/>
    <w:rsid w:val="00347BC0"/>
    <w:rsid w:val="0035008E"/>
    <w:rsid w:val="00350B4E"/>
    <w:rsid w:val="00351B5C"/>
    <w:rsid w:val="0035489D"/>
    <w:rsid w:val="00354E9C"/>
    <w:rsid w:val="00354F00"/>
    <w:rsid w:val="00355B8B"/>
    <w:rsid w:val="00356723"/>
    <w:rsid w:val="00356BAD"/>
    <w:rsid w:val="00357629"/>
    <w:rsid w:val="00357AEE"/>
    <w:rsid w:val="0036073C"/>
    <w:rsid w:val="003611D4"/>
    <w:rsid w:val="00361DF8"/>
    <w:rsid w:val="00362271"/>
    <w:rsid w:val="00362F4E"/>
    <w:rsid w:val="0036455E"/>
    <w:rsid w:val="00364728"/>
    <w:rsid w:val="0036475C"/>
    <w:rsid w:val="0036496F"/>
    <w:rsid w:val="0036591E"/>
    <w:rsid w:val="003663B0"/>
    <w:rsid w:val="00367595"/>
    <w:rsid w:val="00367F12"/>
    <w:rsid w:val="0037004A"/>
    <w:rsid w:val="0037075E"/>
    <w:rsid w:val="003709FE"/>
    <w:rsid w:val="00372E6F"/>
    <w:rsid w:val="00373449"/>
    <w:rsid w:val="00375519"/>
    <w:rsid w:val="003763C7"/>
    <w:rsid w:val="00376D62"/>
    <w:rsid w:val="00382718"/>
    <w:rsid w:val="003838CE"/>
    <w:rsid w:val="00384A60"/>
    <w:rsid w:val="0038692E"/>
    <w:rsid w:val="003915BA"/>
    <w:rsid w:val="0039181D"/>
    <w:rsid w:val="003919A4"/>
    <w:rsid w:val="0039289D"/>
    <w:rsid w:val="00392EC4"/>
    <w:rsid w:val="00394CF2"/>
    <w:rsid w:val="003964D9"/>
    <w:rsid w:val="0039731B"/>
    <w:rsid w:val="003976FA"/>
    <w:rsid w:val="00397B73"/>
    <w:rsid w:val="003A209F"/>
    <w:rsid w:val="003A300A"/>
    <w:rsid w:val="003A317B"/>
    <w:rsid w:val="003A58B8"/>
    <w:rsid w:val="003A5C81"/>
    <w:rsid w:val="003A5DCA"/>
    <w:rsid w:val="003A6AA9"/>
    <w:rsid w:val="003A7738"/>
    <w:rsid w:val="003B0A4E"/>
    <w:rsid w:val="003B0BBF"/>
    <w:rsid w:val="003B111E"/>
    <w:rsid w:val="003B139C"/>
    <w:rsid w:val="003B28A0"/>
    <w:rsid w:val="003B4580"/>
    <w:rsid w:val="003B5613"/>
    <w:rsid w:val="003B6C85"/>
    <w:rsid w:val="003B6ED7"/>
    <w:rsid w:val="003C0B14"/>
    <w:rsid w:val="003C140E"/>
    <w:rsid w:val="003C16D9"/>
    <w:rsid w:val="003C18B5"/>
    <w:rsid w:val="003C261E"/>
    <w:rsid w:val="003C30E7"/>
    <w:rsid w:val="003C385F"/>
    <w:rsid w:val="003C3D11"/>
    <w:rsid w:val="003C56D9"/>
    <w:rsid w:val="003C5B2A"/>
    <w:rsid w:val="003C5F8B"/>
    <w:rsid w:val="003C71DC"/>
    <w:rsid w:val="003C798A"/>
    <w:rsid w:val="003D017A"/>
    <w:rsid w:val="003D0360"/>
    <w:rsid w:val="003D12F8"/>
    <w:rsid w:val="003D28F3"/>
    <w:rsid w:val="003D30C9"/>
    <w:rsid w:val="003D4F85"/>
    <w:rsid w:val="003D5EA3"/>
    <w:rsid w:val="003D7993"/>
    <w:rsid w:val="003D7C1D"/>
    <w:rsid w:val="003E0868"/>
    <w:rsid w:val="003E14D0"/>
    <w:rsid w:val="003E1B05"/>
    <w:rsid w:val="003E1E75"/>
    <w:rsid w:val="003E27FF"/>
    <w:rsid w:val="003E2F51"/>
    <w:rsid w:val="003E3F35"/>
    <w:rsid w:val="003E49F5"/>
    <w:rsid w:val="003E4B79"/>
    <w:rsid w:val="003E4D95"/>
    <w:rsid w:val="003E5875"/>
    <w:rsid w:val="003E5A01"/>
    <w:rsid w:val="003E5BB5"/>
    <w:rsid w:val="003E61DC"/>
    <w:rsid w:val="003E687D"/>
    <w:rsid w:val="003E7B21"/>
    <w:rsid w:val="003E7F13"/>
    <w:rsid w:val="003F1513"/>
    <w:rsid w:val="003F2444"/>
    <w:rsid w:val="003F3D1C"/>
    <w:rsid w:val="003F4EC0"/>
    <w:rsid w:val="003F58CD"/>
    <w:rsid w:val="003F5A2F"/>
    <w:rsid w:val="003F5AAB"/>
    <w:rsid w:val="003F5D18"/>
    <w:rsid w:val="003F62E8"/>
    <w:rsid w:val="003F6965"/>
    <w:rsid w:val="003F6B6C"/>
    <w:rsid w:val="003F6D7A"/>
    <w:rsid w:val="003F7035"/>
    <w:rsid w:val="003F7186"/>
    <w:rsid w:val="003F72EE"/>
    <w:rsid w:val="003F754F"/>
    <w:rsid w:val="003F758C"/>
    <w:rsid w:val="003F7BF2"/>
    <w:rsid w:val="0040143B"/>
    <w:rsid w:val="00401988"/>
    <w:rsid w:val="00402328"/>
    <w:rsid w:val="00402379"/>
    <w:rsid w:val="00402692"/>
    <w:rsid w:val="00402786"/>
    <w:rsid w:val="004028D5"/>
    <w:rsid w:val="0040527D"/>
    <w:rsid w:val="004127D1"/>
    <w:rsid w:val="00412ACD"/>
    <w:rsid w:val="00412C1D"/>
    <w:rsid w:val="00413005"/>
    <w:rsid w:val="00414042"/>
    <w:rsid w:val="00414EFD"/>
    <w:rsid w:val="00415443"/>
    <w:rsid w:val="00416EAA"/>
    <w:rsid w:val="0041712A"/>
    <w:rsid w:val="00420393"/>
    <w:rsid w:val="00420F3C"/>
    <w:rsid w:val="004210C5"/>
    <w:rsid w:val="00421CD7"/>
    <w:rsid w:val="0042251E"/>
    <w:rsid w:val="00423C29"/>
    <w:rsid w:val="004243BC"/>
    <w:rsid w:val="004244DA"/>
    <w:rsid w:val="00425C90"/>
    <w:rsid w:val="00425F71"/>
    <w:rsid w:val="00426F93"/>
    <w:rsid w:val="004313D3"/>
    <w:rsid w:val="00432C3A"/>
    <w:rsid w:val="00433BA2"/>
    <w:rsid w:val="00433E55"/>
    <w:rsid w:val="0043477E"/>
    <w:rsid w:val="00435E6E"/>
    <w:rsid w:val="00437E44"/>
    <w:rsid w:val="0044082F"/>
    <w:rsid w:val="004414D8"/>
    <w:rsid w:val="00443563"/>
    <w:rsid w:val="00446370"/>
    <w:rsid w:val="00447C63"/>
    <w:rsid w:val="004502B3"/>
    <w:rsid w:val="00450D92"/>
    <w:rsid w:val="004513E5"/>
    <w:rsid w:val="00453329"/>
    <w:rsid w:val="004547A1"/>
    <w:rsid w:val="0045503F"/>
    <w:rsid w:val="0045508C"/>
    <w:rsid w:val="004554CD"/>
    <w:rsid w:val="0045673E"/>
    <w:rsid w:val="004569DE"/>
    <w:rsid w:val="00457E0F"/>
    <w:rsid w:val="0046031A"/>
    <w:rsid w:val="00460B98"/>
    <w:rsid w:val="00460C70"/>
    <w:rsid w:val="00460FAA"/>
    <w:rsid w:val="0046118A"/>
    <w:rsid w:val="00461349"/>
    <w:rsid w:val="004639CF"/>
    <w:rsid w:val="00464523"/>
    <w:rsid w:val="00465F3B"/>
    <w:rsid w:val="004663CE"/>
    <w:rsid w:val="00470775"/>
    <w:rsid w:val="00470C98"/>
    <w:rsid w:val="0047152C"/>
    <w:rsid w:val="0047154B"/>
    <w:rsid w:val="00471C28"/>
    <w:rsid w:val="004723C8"/>
    <w:rsid w:val="00472547"/>
    <w:rsid w:val="0047297A"/>
    <w:rsid w:val="004729A0"/>
    <w:rsid w:val="004740BE"/>
    <w:rsid w:val="00474346"/>
    <w:rsid w:val="004747B9"/>
    <w:rsid w:val="00474C0D"/>
    <w:rsid w:val="00475B21"/>
    <w:rsid w:val="00475B32"/>
    <w:rsid w:val="0047616A"/>
    <w:rsid w:val="00480917"/>
    <w:rsid w:val="004810C8"/>
    <w:rsid w:val="004811DD"/>
    <w:rsid w:val="00481F06"/>
    <w:rsid w:val="00482251"/>
    <w:rsid w:val="0048254F"/>
    <w:rsid w:val="00483BFF"/>
    <w:rsid w:val="004840F7"/>
    <w:rsid w:val="0048435E"/>
    <w:rsid w:val="00484FE1"/>
    <w:rsid w:val="0048571F"/>
    <w:rsid w:val="00485E74"/>
    <w:rsid w:val="00485E75"/>
    <w:rsid w:val="00485F7F"/>
    <w:rsid w:val="00485FAE"/>
    <w:rsid w:val="0049004A"/>
    <w:rsid w:val="004910C6"/>
    <w:rsid w:val="004933EC"/>
    <w:rsid w:val="00493582"/>
    <w:rsid w:val="00495A4F"/>
    <w:rsid w:val="00495B4F"/>
    <w:rsid w:val="00496E2A"/>
    <w:rsid w:val="00496F6D"/>
    <w:rsid w:val="0049718C"/>
    <w:rsid w:val="00497BEA"/>
    <w:rsid w:val="004A051B"/>
    <w:rsid w:val="004A1CDF"/>
    <w:rsid w:val="004A37D5"/>
    <w:rsid w:val="004A3A1F"/>
    <w:rsid w:val="004A3E2A"/>
    <w:rsid w:val="004A4893"/>
    <w:rsid w:val="004A4F68"/>
    <w:rsid w:val="004A680B"/>
    <w:rsid w:val="004A6D5B"/>
    <w:rsid w:val="004B089C"/>
    <w:rsid w:val="004B0D10"/>
    <w:rsid w:val="004B12C2"/>
    <w:rsid w:val="004B1861"/>
    <w:rsid w:val="004B1ACF"/>
    <w:rsid w:val="004B1B51"/>
    <w:rsid w:val="004B1FF1"/>
    <w:rsid w:val="004B201D"/>
    <w:rsid w:val="004B2E1B"/>
    <w:rsid w:val="004B3B49"/>
    <w:rsid w:val="004B7016"/>
    <w:rsid w:val="004B7799"/>
    <w:rsid w:val="004C1FBD"/>
    <w:rsid w:val="004C32F6"/>
    <w:rsid w:val="004C381A"/>
    <w:rsid w:val="004C53C7"/>
    <w:rsid w:val="004C59F5"/>
    <w:rsid w:val="004C5E46"/>
    <w:rsid w:val="004C667E"/>
    <w:rsid w:val="004C70EA"/>
    <w:rsid w:val="004D0B36"/>
    <w:rsid w:val="004D0CD1"/>
    <w:rsid w:val="004D21C9"/>
    <w:rsid w:val="004D459C"/>
    <w:rsid w:val="004D54FF"/>
    <w:rsid w:val="004D5F46"/>
    <w:rsid w:val="004D6414"/>
    <w:rsid w:val="004D6A22"/>
    <w:rsid w:val="004D7790"/>
    <w:rsid w:val="004D7E24"/>
    <w:rsid w:val="004D7ECE"/>
    <w:rsid w:val="004E0162"/>
    <w:rsid w:val="004E20E7"/>
    <w:rsid w:val="004E3981"/>
    <w:rsid w:val="004E3C12"/>
    <w:rsid w:val="004E4A72"/>
    <w:rsid w:val="004E51CD"/>
    <w:rsid w:val="004E5517"/>
    <w:rsid w:val="004E63F0"/>
    <w:rsid w:val="004E6529"/>
    <w:rsid w:val="004E66AE"/>
    <w:rsid w:val="004E7419"/>
    <w:rsid w:val="004E7A73"/>
    <w:rsid w:val="004F09B2"/>
    <w:rsid w:val="004F0B9D"/>
    <w:rsid w:val="004F105B"/>
    <w:rsid w:val="004F1266"/>
    <w:rsid w:val="004F1648"/>
    <w:rsid w:val="004F4B6C"/>
    <w:rsid w:val="004F6516"/>
    <w:rsid w:val="004F6973"/>
    <w:rsid w:val="004F75BE"/>
    <w:rsid w:val="00500FC9"/>
    <w:rsid w:val="0050103E"/>
    <w:rsid w:val="005035B0"/>
    <w:rsid w:val="00503815"/>
    <w:rsid w:val="00504026"/>
    <w:rsid w:val="0050425E"/>
    <w:rsid w:val="005048D1"/>
    <w:rsid w:val="0050495A"/>
    <w:rsid w:val="00505A9A"/>
    <w:rsid w:val="00505D2C"/>
    <w:rsid w:val="00506764"/>
    <w:rsid w:val="0050698F"/>
    <w:rsid w:val="0050703D"/>
    <w:rsid w:val="00510A98"/>
    <w:rsid w:val="00512BAD"/>
    <w:rsid w:val="00513B25"/>
    <w:rsid w:val="00513EBD"/>
    <w:rsid w:val="00515113"/>
    <w:rsid w:val="00515409"/>
    <w:rsid w:val="00515E2E"/>
    <w:rsid w:val="0051671A"/>
    <w:rsid w:val="00516812"/>
    <w:rsid w:val="005174FE"/>
    <w:rsid w:val="00517920"/>
    <w:rsid w:val="00520862"/>
    <w:rsid w:val="00520952"/>
    <w:rsid w:val="00520A48"/>
    <w:rsid w:val="00520C25"/>
    <w:rsid w:val="00521918"/>
    <w:rsid w:val="00521A02"/>
    <w:rsid w:val="005222F2"/>
    <w:rsid w:val="005228F5"/>
    <w:rsid w:val="00522B83"/>
    <w:rsid w:val="00522FF0"/>
    <w:rsid w:val="00523738"/>
    <w:rsid w:val="00523C0D"/>
    <w:rsid w:val="00523E23"/>
    <w:rsid w:val="00530206"/>
    <w:rsid w:val="00530420"/>
    <w:rsid w:val="0053228F"/>
    <w:rsid w:val="005330BA"/>
    <w:rsid w:val="005331FE"/>
    <w:rsid w:val="005333EA"/>
    <w:rsid w:val="005341AD"/>
    <w:rsid w:val="00534D37"/>
    <w:rsid w:val="005351C7"/>
    <w:rsid w:val="005352D6"/>
    <w:rsid w:val="005354C6"/>
    <w:rsid w:val="00535F24"/>
    <w:rsid w:val="0053728D"/>
    <w:rsid w:val="00537A71"/>
    <w:rsid w:val="005403BE"/>
    <w:rsid w:val="0054071F"/>
    <w:rsid w:val="0054073E"/>
    <w:rsid w:val="00540CB4"/>
    <w:rsid w:val="0054268A"/>
    <w:rsid w:val="005426B9"/>
    <w:rsid w:val="005434F8"/>
    <w:rsid w:val="00543D81"/>
    <w:rsid w:val="00543E45"/>
    <w:rsid w:val="005473C4"/>
    <w:rsid w:val="00550A60"/>
    <w:rsid w:val="00551DC6"/>
    <w:rsid w:val="00553365"/>
    <w:rsid w:val="00554620"/>
    <w:rsid w:val="0055547C"/>
    <w:rsid w:val="00555D0E"/>
    <w:rsid w:val="0055637B"/>
    <w:rsid w:val="00556826"/>
    <w:rsid w:val="005569BC"/>
    <w:rsid w:val="00556AE9"/>
    <w:rsid w:val="0055742C"/>
    <w:rsid w:val="005574AE"/>
    <w:rsid w:val="00557C86"/>
    <w:rsid w:val="005601C1"/>
    <w:rsid w:val="00560436"/>
    <w:rsid w:val="00563F98"/>
    <w:rsid w:val="00565BFC"/>
    <w:rsid w:val="00565C90"/>
    <w:rsid w:val="005662C4"/>
    <w:rsid w:val="005667D2"/>
    <w:rsid w:val="005668CB"/>
    <w:rsid w:val="00567C35"/>
    <w:rsid w:val="00567CB3"/>
    <w:rsid w:val="00570A9C"/>
    <w:rsid w:val="00571100"/>
    <w:rsid w:val="00572681"/>
    <w:rsid w:val="00572C2B"/>
    <w:rsid w:val="00575ACA"/>
    <w:rsid w:val="005767E4"/>
    <w:rsid w:val="005774D4"/>
    <w:rsid w:val="0058042A"/>
    <w:rsid w:val="00580CF5"/>
    <w:rsid w:val="005813DB"/>
    <w:rsid w:val="00581754"/>
    <w:rsid w:val="0058183D"/>
    <w:rsid w:val="00581A3A"/>
    <w:rsid w:val="00581B79"/>
    <w:rsid w:val="00584370"/>
    <w:rsid w:val="005847E7"/>
    <w:rsid w:val="00584B82"/>
    <w:rsid w:val="005851C7"/>
    <w:rsid w:val="005861F9"/>
    <w:rsid w:val="0058688A"/>
    <w:rsid w:val="005868E3"/>
    <w:rsid w:val="00586ACC"/>
    <w:rsid w:val="00586DEB"/>
    <w:rsid w:val="00587715"/>
    <w:rsid w:val="00587889"/>
    <w:rsid w:val="00590019"/>
    <w:rsid w:val="0059021B"/>
    <w:rsid w:val="005907DB"/>
    <w:rsid w:val="00590CEE"/>
    <w:rsid w:val="00590ED5"/>
    <w:rsid w:val="005925C2"/>
    <w:rsid w:val="00593167"/>
    <w:rsid w:val="0059571B"/>
    <w:rsid w:val="00595A8D"/>
    <w:rsid w:val="005975A2"/>
    <w:rsid w:val="0059761F"/>
    <w:rsid w:val="005A140E"/>
    <w:rsid w:val="005A251F"/>
    <w:rsid w:val="005A25AB"/>
    <w:rsid w:val="005A25F2"/>
    <w:rsid w:val="005A2952"/>
    <w:rsid w:val="005A3045"/>
    <w:rsid w:val="005A406C"/>
    <w:rsid w:val="005A44AA"/>
    <w:rsid w:val="005A4A89"/>
    <w:rsid w:val="005A4C8B"/>
    <w:rsid w:val="005A5500"/>
    <w:rsid w:val="005A6C88"/>
    <w:rsid w:val="005A7AC5"/>
    <w:rsid w:val="005B10C2"/>
    <w:rsid w:val="005B16D2"/>
    <w:rsid w:val="005B1C37"/>
    <w:rsid w:val="005B242F"/>
    <w:rsid w:val="005B2A94"/>
    <w:rsid w:val="005B36E7"/>
    <w:rsid w:val="005B37A9"/>
    <w:rsid w:val="005B37D2"/>
    <w:rsid w:val="005B6422"/>
    <w:rsid w:val="005B7082"/>
    <w:rsid w:val="005C16FA"/>
    <w:rsid w:val="005C186B"/>
    <w:rsid w:val="005C1F99"/>
    <w:rsid w:val="005C23A5"/>
    <w:rsid w:val="005C23B0"/>
    <w:rsid w:val="005C24CF"/>
    <w:rsid w:val="005C27B5"/>
    <w:rsid w:val="005C36B2"/>
    <w:rsid w:val="005C36C5"/>
    <w:rsid w:val="005C465A"/>
    <w:rsid w:val="005C5EBE"/>
    <w:rsid w:val="005C68D8"/>
    <w:rsid w:val="005C6FAD"/>
    <w:rsid w:val="005C700E"/>
    <w:rsid w:val="005C71D1"/>
    <w:rsid w:val="005C7E16"/>
    <w:rsid w:val="005C7E1A"/>
    <w:rsid w:val="005D1874"/>
    <w:rsid w:val="005D1C19"/>
    <w:rsid w:val="005D242A"/>
    <w:rsid w:val="005D383A"/>
    <w:rsid w:val="005D4C12"/>
    <w:rsid w:val="005D53E8"/>
    <w:rsid w:val="005D5656"/>
    <w:rsid w:val="005D59B6"/>
    <w:rsid w:val="005D5A03"/>
    <w:rsid w:val="005D6A3D"/>
    <w:rsid w:val="005D7FD6"/>
    <w:rsid w:val="005E008B"/>
    <w:rsid w:val="005E08D0"/>
    <w:rsid w:val="005E0C6C"/>
    <w:rsid w:val="005E1CF2"/>
    <w:rsid w:val="005E22FB"/>
    <w:rsid w:val="005E2B0C"/>
    <w:rsid w:val="005E326B"/>
    <w:rsid w:val="005E370B"/>
    <w:rsid w:val="005E40CA"/>
    <w:rsid w:val="005E4377"/>
    <w:rsid w:val="005E55B9"/>
    <w:rsid w:val="005E5921"/>
    <w:rsid w:val="005E5F58"/>
    <w:rsid w:val="005E68BA"/>
    <w:rsid w:val="005E6992"/>
    <w:rsid w:val="005E6DE6"/>
    <w:rsid w:val="005E7704"/>
    <w:rsid w:val="005F1C9C"/>
    <w:rsid w:val="005F203A"/>
    <w:rsid w:val="005F34BE"/>
    <w:rsid w:val="005F45A7"/>
    <w:rsid w:val="005F4BE7"/>
    <w:rsid w:val="005F5393"/>
    <w:rsid w:val="005F59CD"/>
    <w:rsid w:val="005F5D22"/>
    <w:rsid w:val="005F6B0C"/>
    <w:rsid w:val="005F6D85"/>
    <w:rsid w:val="005F76EE"/>
    <w:rsid w:val="005F7CD3"/>
    <w:rsid w:val="006011A3"/>
    <w:rsid w:val="00601762"/>
    <w:rsid w:val="006017DA"/>
    <w:rsid w:val="00601FBA"/>
    <w:rsid w:val="00602751"/>
    <w:rsid w:val="0060403B"/>
    <w:rsid w:val="00604238"/>
    <w:rsid w:val="006048BC"/>
    <w:rsid w:val="00606C01"/>
    <w:rsid w:val="00607EBC"/>
    <w:rsid w:val="00610209"/>
    <w:rsid w:val="0061038A"/>
    <w:rsid w:val="00610AE1"/>
    <w:rsid w:val="00610EE5"/>
    <w:rsid w:val="00612810"/>
    <w:rsid w:val="00613CA8"/>
    <w:rsid w:val="00613E19"/>
    <w:rsid w:val="00614001"/>
    <w:rsid w:val="006157B1"/>
    <w:rsid w:val="00615FF6"/>
    <w:rsid w:val="0061620D"/>
    <w:rsid w:val="00617340"/>
    <w:rsid w:val="00617880"/>
    <w:rsid w:val="00617B82"/>
    <w:rsid w:val="00617E00"/>
    <w:rsid w:val="00621F2C"/>
    <w:rsid w:val="00623A84"/>
    <w:rsid w:val="006254B5"/>
    <w:rsid w:val="00625CC8"/>
    <w:rsid w:val="00626A11"/>
    <w:rsid w:val="0063095C"/>
    <w:rsid w:val="00632918"/>
    <w:rsid w:val="00632A8A"/>
    <w:rsid w:val="006331E2"/>
    <w:rsid w:val="006338A8"/>
    <w:rsid w:val="00633A50"/>
    <w:rsid w:val="00635054"/>
    <w:rsid w:val="006360D2"/>
    <w:rsid w:val="00636872"/>
    <w:rsid w:val="006371A1"/>
    <w:rsid w:val="00637F10"/>
    <w:rsid w:val="00641734"/>
    <w:rsid w:val="0064255F"/>
    <w:rsid w:val="00642D6B"/>
    <w:rsid w:val="006434B7"/>
    <w:rsid w:val="00643616"/>
    <w:rsid w:val="00643F68"/>
    <w:rsid w:val="0064482E"/>
    <w:rsid w:val="00645DD0"/>
    <w:rsid w:val="00646817"/>
    <w:rsid w:val="00646BBF"/>
    <w:rsid w:val="00647900"/>
    <w:rsid w:val="00647BA4"/>
    <w:rsid w:val="00647F19"/>
    <w:rsid w:val="00650461"/>
    <w:rsid w:val="0065089B"/>
    <w:rsid w:val="00651322"/>
    <w:rsid w:val="006526B0"/>
    <w:rsid w:val="0065331A"/>
    <w:rsid w:val="006536BE"/>
    <w:rsid w:val="00654DE5"/>
    <w:rsid w:val="00655CBE"/>
    <w:rsid w:val="00655DCF"/>
    <w:rsid w:val="006561F8"/>
    <w:rsid w:val="006567A5"/>
    <w:rsid w:val="00656BE1"/>
    <w:rsid w:val="006575ED"/>
    <w:rsid w:val="00661073"/>
    <w:rsid w:val="0066151D"/>
    <w:rsid w:val="006621B0"/>
    <w:rsid w:val="0066241B"/>
    <w:rsid w:val="00664756"/>
    <w:rsid w:val="0066573C"/>
    <w:rsid w:val="00665C69"/>
    <w:rsid w:val="00666053"/>
    <w:rsid w:val="0066724C"/>
    <w:rsid w:val="00667800"/>
    <w:rsid w:val="0067035A"/>
    <w:rsid w:val="00670509"/>
    <w:rsid w:val="00670860"/>
    <w:rsid w:val="00670A32"/>
    <w:rsid w:val="00670FAB"/>
    <w:rsid w:val="00671C99"/>
    <w:rsid w:val="006724ED"/>
    <w:rsid w:val="006729A8"/>
    <w:rsid w:val="006743C7"/>
    <w:rsid w:val="00674D15"/>
    <w:rsid w:val="0067693F"/>
    <w:rsid w:val="00680CD6"/>
    <w:rsid w:val="0068218C"/>
    <w:rsid w:val="00683248"/>
    <w:rsid w:val="00683D10"/>
    <w:rsid w:val="00684190"/>
    <w:rsid w:val="00684878"/>
    <w:rsid w:val="00684C6D"/>
    <w:rsid w:val="006855B6"/>
    <w:rsid w:val="00685695"/>
    <w:rsid w:val="00685B98"/>
    <w:rsid w:val="00686A53"/>
    <w:rsid w:val="00686C13"/>
    <w:rsid w:val="00687BE9"/>
    <w:rsid w:val="00687D62"/>
    <w:rsid w:val="006912A7"/>
    <w:rsid w:val="006922D7"/>
    <w:rsid w:val="00692578"/>
    <w:rsid w:val="00692879"/>
    <w:rsid w:val="00693E22"/>
    <w:rsid w:val="00694CFD"/>
    <w:rsid w:val="006950C9"/>
    <w:rsid w:val="00697186"/>
    <w:rsid w:val="00697676"/>
    <w:rsid w:val="00697D16"/>
    <w:rsid w:val="006A05D4"/>
    <w:rsid w:val="006A1BF6"/>
    <w:rsid w:val="006A23D8"/>
    <w:rsid w:val="006A4A5A"/>
    <w:rsid w:val="006A6AE3"/>
    <w:rsid w:val="006A70F9"/>
    <w:rsid w:val="006A7544"/>
    <w:rsid w:val="006A7A3C"/>
    <w:rsid w:val="006B008F"/>
    <w:rsid w:val="006B03D5"/>
    <w:rsid w:val="006B0FE7"/>
    <w:rsid w:val="006B12A7"/>
    <w:rsid w:val="006B1B50"/>
    <w:rsid w:val="006B1B9A"/>
    <w:rsid w:val="006B2424"/>
    <w:rsid w:val="006B296B"/>
    <w:rsid w:val="006B454E"/>
    <w:rsid w:val="006B61E6"/>
    <w:rsid w:val="006B6283"/>
    <w:rsid w:val="006B62A9"/>
    <w:rsid w:val="006B65B4"/>
    <w:rsid w:val="006B6790"/>
    <w:rsid w:val="006B6C47"/>
    <w:rsid w:val="006B7630"/>
    <w:rsid w:val="006B7989"/>
    <w:rsid w:val="006B7A2F"/>
    <w:rsid w:val="006B7E6B"/>
    <w:rsid w:val="006C0C01"/>
    <w:rsid w:val="006C0C1C"/>
    <w:rsid w:val="006C1733"/>
    <w:rsid w:val="006C18C9"/>
    <w:rsid w:val="006C2352"/>
    <w:rsid w:val="006C366A"/>
    <w:rsid w:val="006C5C22"/>
    <w:rsid w:val="006C5FF2"/>
    <w:rsid w:val="006C7205"/>
    <w:rsid w:val="006D0E79"/>
    <w:rsid w:val="006D1860"/>
    <w:rsid w:val="006D2389"/>
    <w:rsid w:val="006D3453"/>
    <w:rsid w:val="006D45B5"/>
    <w:rsid w:val="006D4C87"/>
    <w:rsid w:val="006D50DF"/>
    <w:rsid w:val="006D50E7"/>
    <w:rsid w:val="006D523C"/>
    <w:rsid w:val="006D55CF"/>
    <w:rsid w:val="006D5FFB"/>
    <w:rsid w:val="006D6B88"/>
    <w:rsid w:val="006D7CA6"/>
    <w:rsid w:val="006E01F5"/>
    <w:rsid w:val="006E0D31"/>
    <w:rsid w:val="006E3955"/>
    <w:rsid w:val="006E3D7F"/>
    <w:rsid w:val="006E454D"/>
    <w:rsid w:val="006E4FE9"/>
    <w:rsid w:val="006E5914"/>
    <w:rsid w:val="006E59B3"/>
    <w:rsid w:val="006E5C2B"/>
    <w:rsid w:val="006E72C5"/>
    <w:rsid w:val="006E75F7"/>
    <w:rsid w:val="006E765C"/>
    <w:rsid w:val="006F0090"/>
    <w:rsid w:val="006F02E5"/>
    <w:rsid w:val="006F11E9"/>
    <w:rsid w:val="006F129E"/>
    <w:rsid w:val="006F2082"/>
    <w:rsid w:val="006F316A"/>
    <w:rsid w:val="006F38AA"/>
    <w:rsid w:val="006F3BA9"/>
    <w:rsid w:val="006F3EE1"/>
    <w:rsid w:val="006F4127"/>
    <w:rsid w:val="006F5A45"/>
    <w:rsid w:val="006F61E4"/>
    <w:rsid w:val="006F660C"/>
    <w:rsid w:val="006F6884"/>
    <w:rsid w:val="007000DF"/>
    <w:rsid w:val="0070047A"/>
    <w:rsid w:val="00700F55"/>
    <w:rsid w:val="0070142C"/>
    <w:rsid w:val="007026ED"/>
    <w:rsid w:val="007044F9"/>
    <w:rsid w:val="007045B4"/>
    <w:rsid w:val="00704782"/>
    <w:rsid w:val="00706E4C"/>
    <w:rsid w:val="0070767A"/>
    <w:rsid w:val="00707B46"/>
    <w:rsid w:val="00711F7C"/>
    <w:rsid w:val="0071228F"/>
    <w:rsid w:val="00712AC6"/>
    <w:rsid w:val="00712F75"/>
    <w:rsid w:val="00713B1C"/>
    <w:rsid w:val="007144D4"/>
    <w:rsid w:val="00714757"/>
    <w:rsid w:val="00714A76"/>
    <w:rsid w:val="00715AAA"/>
    <w:rsid w:val="00716EC8"/>
    <w:rsid w:val="007170B6"/>
    <w:rsid w:val="007174D0"/>
    <w:rsid w:val="00717662"/>
    <w:rsid w:val="00720A7B"/>
    <w:rsid w:val="00721DDC"/>
    <w:rsid w:val="00722387"/>
    <w:rsid w:val="007223C3"/>
    <w:rsid w:val="0072290C"/>
    <w:rsid w:val="00723118"/>
    <w:rsid w:val="0072522B"/>
    <w:rsid w:val="00727A6C"/>
    <w:rsid w:val="00730C69"/>
    <w:rsid w:val="007314A4"/>
    <w:rsid w:val="007314DB"/>
    <w:rsid w:val="00731954"/>
    <w:rsid w:val="00732BE7"/>
    <w:rsid w:val="007335A3"/>
    <w:rsid w:val="00733B10"/>
    <w:rsid w:val="007342EF"/>
    <w:rsid w:val="00734981"/>
    <w:rsid w:val="0073530A"/>
    <w:rsid w:val="0073561E"/>
    <w:rsid w:val="0073663D"/>
    <w:rsid w:val="00737A02"/>
    <w:rsid w:val="00737F87"/>
    <w:rsid w:val="0074034B"/>
    <w:rsid w:val="00740EBE"/>
    <w:rsid w:val="00741065"/>
    <w:rsid w:val="00741ADF"/>
    <w:rsid w:val="00741D2E"/>
    <w:rsid w:val="00741E1E"/>
    <w:rsid w:val="00742C94"/>
    <w:rsid w:val="00742E54"/>
    <w:rsid w:val="007431BA"/>
    <w:rsid w:val="00744DE8"/>
    <w:rsid w:val="00746892"/>
    <w:rsid w:val="00747D33"/>
    <w:rsid w:val="0075027A"/>
    <w:rsid w:val="00750302"/>
    <w:rsid w:val="00751A83"/>
    <w:rsid w:val="00751E08"/>
    <w:rsid w:val="0075357A"/>
    <w:rsid w:val="00753803"/>
    <w:rsid w:val="00754AED"/>
    <w:rsid w:val="00755698"/>
    <w:rsid w:val="0075569A"/>
    <w:rsid w:val="00755AEE"/>
    <w:rsid w:val="00756CB5"/>
    <w:rsid w:val="0075726C"/>
    <w:rsid w:val="0075739E"/>
    <w:rsid w:val="00757B6E"/>
    <w:rsid w:val="007609F2"/>
    <w:rsid w:val="0076276C"/>
    <w:rsid w:val="00762E15"/>
    <w:rsid w:val="0076329B"/>
    <w:rsid w:val="007633B9"/>
    <w:rsid w:val="00763B5D"/>
    <w:rsid w:val="00764AAB"/>
    <w:rsid w:val="00764E0E"/>
    <w:rsid w:val="00765064"/>
    <w:rsid w:val="0076510E"/>
    <w:rsid w:val="007654D2"/>
    <w:rsid w:val="007656FC"/>
    <w:rsid w:val="0076668F"/>
    <w:rsid w:val="00767226"/>
    <w:rsid w:val="00767835"/>
    <w:rsid w:val="00770CFC"/>
    <w:rsid w:val="007713BD"/>
    <w:rsid w:val="00771B40"/>
    <w:rsid w:val="0077267A"/>
    <w:rsid w:val="00772B66"/>
    <w:rsid w:val="0077421F"/>
    <w:rsid w:val="00774403"/>
    <w:rsid w:val="00776945"/>
    <w:rsid w:val="00776BEB"/>
    <w:rsid w:val="00776F88"/>
    <w:rsid w:val="00777091"/>
    <w:rsid w:val="00777170"/>
    <w:rsid w:val="00777393"/>
    <w:rsid w:val="00777A4C"/>
    <w:rsid w:val="00777D34"/>
    <w:rsid w:val="00780160"/>
    <w:rsid w:val="0078143A"/>
    <w:rsid w:val="00781E5D"/>
    <w:rsid w:val="00783303"/>
    <w:rsid w:val="007867BA"/>
    <w:rsid w:val="0078687B"/>
    <w:rsid w:val="00786B7F"/>
    <w:rsid w:val="00787376"/>
    <w:rsid w:val="0078794F"/>
    <w:rsid w:val="00787B7A"/>
    <w:rsid w:val="00787DD6"/>
    <w:rsid w:val="00787FE8"/>
    <w:rsid w:val="007913D3"/>
    <w:rsid w:val="00791468"/>
    <w:rsid w:val="007920D8"/>
    <w:rsid w:val="00792991"/>
    <w:rsid w:val="00792AB2"/>
    <w:rsid w:val="00793C3E"/>
    <w:rsid w:val="00795140"/>
    <w:rsid w:val="00795A31"/>
    <w:rsid w:val="00795B2A"/>
    <w:rsid w:val="00795F9E"/>
    <w:rsid w:val="007962F5"/>
    <w:rsid w:val="00797A4A"/>
    <w:rsid w:val="007A06E8"/>
    <w:rsid w:val="007A2653"/>
    <w:rsid w:val="007A3FF3"/>
    <w:rsid w:val="007A52D7"/>
    <w:rsid w:val="007A5B14"/>
    <w:rsid w:val="007A607D"/>
    <w:rsid w:val="007A69A7"/>
    <w:rsid w:val="007A72B9"/>
    <w:rsid w:val="007B00E1"/>
    <w:rsid w:val="007B025B"/>
    <w:rsid w:val="007B0383"/>
    <w:rsid w:val="007B10A7"/>
    <w:rsid w:val="007B1629"/>
    <w:rsid w:val="007B45AD"/>
    <w:rsid w:val="007B5ACD"/>
    <w:rsid w:val="007B5C96"/>
    <w:rsid w:val="007B6A13"/>
    <w:rsid w:val="007B7135"/>
    <w:rsid w:val="007B7C7D"/>
    <w:rsid w:val="007C1A73"/>
    <w:rsid w:val="007C2473"/>
    <w:rsid w:val="007C259B"/>
    <w:rsid w:val="007C3B04"/>
    <w:rsid w:val="007C3F2B"/>
    <w:rsid w:val="007C41A8"/>
    <w:rsid w:val="007C4F46"/>
    <w:rsid w:val="007C5C21"/>
    <w:rsid w:val="007C6031"/>
    <w:rsid w:val="007D0424"/>
    <w:rsid w:val="007D0B90"/>
    <w:rsid w:val="007D1A70"/>
    <w:rsid w:val="007D307B"/>
    <w:rsid w:val="007D316D"/>
    <w:rsid w:val="007D3199"/>
    <w:rsid w:val="007D4174"/>
    <w:rsid w:val="007D545F"/>
    <w:rsid w:val="007D5A30"/>
    <w:rsid w:val="007D5E73"/>
    <w:rsid w:val="007D6466"/>
    <w:rsid w:val="007D7EAD"/>
    <w:rsid w:val="007E2816"/>
    <w:rsid w:val="007E28CA"/>
    <w:rsid w:val="007E28D2"/>
    <w:rsid w:val="007E2FE2"/>
    <w:rsid w:val="007E37D6"/>
    <w:rsid w:val="007E3820"/>
    <w:rsid w:val="007E3D35"/>
    <w:rsid w:val="007E4F32"/>
    <w:rsid w:val="007E505D"/>
    <w:rsid w:val="007E5ACA"/>
    <w:rsid w:val="007E5F64"/>
    <w:rsid w:val="007E68D1"/>
    <w:rsid w:val="007E778A"/>
    <w:rsid w:val="007F09FB"/>
    <w:rsid w:val="007F0F5F"/>
    <w:rsid w:val="007F1654"/>
    <w:rsid w:val="007F1A5D"/>
    <w:rsid w:val="007F27BD"/>
    <w:rsid w:val="007F4F8D"/>
    <w:rsid w:val="007F5815"/>
    <w:rsid w:val="007F588E"/>
    <w:rsid w:val="007F6131"/>
    <w:rsid w:val="007F687D"/>
    <w:rsid w:val="007F73CD"/>
    <w:rsid w:val="007F7B62"/>
    <w:rsid w:val="0080077C"/>
    <w:rsid w:val="008009E9"/>
    <w:rsid w:val="00800CBC"/>
    <w:rsid w:val="00801A93"/>
    <w:rsid w:val="00801E6B"/>
    <w:rsid w:val="00802380"/>
    <w:rsid w:val="00803125"/>
    <w:rsid w:val="00804211"/>
    <w:rsid w:val="00804475"/>
    <w:rsid w:val="00805143"/>
    <w:rsid w:val="00805254"/>
    <w:rsid w:val="0080581E"/>
    <w:rsid w:val="00805A3D"/>
    <w:rsid w:val="008060D6"/>
    <w:rsid w:val="008063D6"/>
    <w:rsid w:val="008074C9"/>
    <w:rsid w:val="0080769D"/>
    <w:rsid w:val="008100CD"/>
    <w:rsid w:val="00814723"/>
    <w:rsid w:val="00814924"/>
    <w:rsid w:val="00814C8E"/>
    <w:rsid w:val="008157FF"/>
    <w:rsid w:val="00815B54"/>
    <w:rsid w:val="00816949"/>
    <w:rsid w:val="00816BF3"/>
    <w:rsid w:val="00817472"/>
    <w:rsid w:val="008176E6"/>
    <w:rsid w:val="00820084"/>
    <w:rsid w:val="00820FDB"/>
    <w:rsid w:val="0082186B"/>
    <w:rsid w:val="00821BDD"/>
    <w:rsid w:val="008223EB"/>
    <w:rsid w:val="0082283E"/>
    <w:rsid w:val="00823BE3"/>
    <w:rsid w:val="00824FE6"/>
    <w:rsid w:val="0082582B"/>
    <w:rsid w:val="008267FA"/>
    <w:rsid w:val="008275D8"/>
    <w:rsid w:val="00831C2A"/>
    <w:rsid w:val="00833348"/>
    <w:rsid w:val="00833B16"/>
    <w:rsid w:val="008340AA"/>
    <w:rsid w:val="00834554"/>
    <w:rsid w:val="00834C02"/>
    <w:rsid w:val="00834CDD"/>
    <w:rsid w:val="00834D75"/>
    <w:rsid w:val="00835505"/>
    <w:rsid w:val="00835699"/>
    <w:rsid w:val="008360E3"/>
    <w:rsid w:val="008400D8"/>
    <w:rsid w:val="0084054B"/>
    <w:rsid w:val="00841905"/>
    <w:rsid w:val="00843E25"/>
    <w:rsid w:val="00844126"/>
    <w:rsid w:val="008444F7"/>
    <w:rsid w:val="008447C0"/>
    <w:rsid w:val="008454CB"/>
    <w:rsid w:val="0084652B"/>
    <w:rsid w:val="00846901"/>
    <w:rsid w:val="00846BFF"/>
    <w:rsid w:val="0085010B"/>
    <w:rsid w:val="00850F4A"/>
    <w:rsid w:val="0085226C"/>
    <w:rsid w:val="00853D3E"/>
    <w:rsid w:val="00855BDD"/>
    <w:rsid w:val="00855F5F"/>
    <w:rsid w:val="00856A72"/>
    <w:rsid w:val="00857BEC"/>
    <w:rsid w:val="00857EE2"/>
    <w:rsid w:val="008601F8"/>
    <w:rsid w:val="00860998"/>
    <w:rsid w:val="00861347"/>
    <w:rsid w:val="008620D5"/>
    <w:rsid w:val="00862409"/>
    <w:rsid w:val="00863302"/>
    <w:rsid w:val="00863F78"/>
    <w:rsid w:val="00864641"/>
    <w:rsid w:val="0086503A"/>
    <w:rsid w:val="0086560D"/>
    <w:rsid w:val="00866192"/>
    <w:rsid w:val="00866ABD"/>
    <w:rsid w:val="008702B9"/>
    <w:rsid w:val="008706BD"/>
    <w:rsid w:val="00870894"/>
    <w:rsid w:val="00870E7C"/>
    <w:rsid w:val="00870EEF"/>
    <w:rsid w:val="00871291"/>
    <w:rsid w:val="0087148C"/>
    <w:rsid w:val="00872355"/>
    <w:rsid w:val="00872FA3"/>
    <w:rsid w:val="00873C33"/>
    <w:rsid w:val="00873E3B"/>
    <w:rsid w:val="00874211"/>
    <w:rsid w:val="0087491C"/>
    <w:rsid w:val="00876E5B"/>
    <w:rsid w:val="008771F2"/>
    <w:rsid w:val="00877570"/>
    <w:rsid w:val="0088032D"/>
    <w:rsid w:val="00880586"/>
    <w:rsid w:val="00881D70"/>
    <w:rsid w:val="008834E2"/>
    <w:rsid w:val="00884505"/>
    <w:rsid w:val="00884536"/>
    <w:rsid w:val="00884723"/>
    <w:rsid w:val="00884E1E"/>
    <w:rsid w:val="0088556F"/>
    <w:rsid w:val="0088600E"/>
    <w:rsid w:val="00886F42"/>
    <w:rsid w:val="00887F6F"/>
    <w:rsid w:val="008902BE"/>
    <w:rsid w:val="00890A81"/>
    <w:rsid w:val="00891569"/>
    <w:rsid w:val="00893102"/>
    <w:rsid w:val="008938FE"/>
    <w:rsid w:val="00893B18"/>
    <w:rsid w:val="00893E6A"/>
    <w:rsid w:val="00894C67"/>
    <w:rsid w:val="008A0D5F"/>
    <w:rsid w:val="008A0F1C"/>
    <w:rsid w:val="008A1556"/>
    <w:rsid w:val="008A1C2A"/>
    <w:rsid w:val="008A20C6"/>
    <w:rsid w:val="008A2D32"/>
    <w:rsid w:val="008A30C7"/>
    <w:rsid w:val="008A3479"/>
    <w:rsid w:val="008A3BDE"/>
    <w:rsid w:val="008A4349"/>
    <w:rsid w:val="008A4F71"/>
    <w:rsid w:val="008A50A2"/>
    <w:rsid w:val="008A5335"/>
    <w:rsid w:val="008A565D"/>
    <w:rsid w:val="008A636D"/>
    <w:rsid w:val="008A6B89"/>
    <w:rsid w:val="008A7493"/>
    <w:rsid w:val="008A75FB"/>
    <w:rsid w:val="008B0457"/>
    <w:rsid w:val="008B0C80"/>
    <w:rsid w:val="008B0EB2"/>
    <w:rsid w:val="008B0FE3"/>
    <w:rsid w:val="008B12B0"/>
    <w:rsid w:val="008B2AD1"/>
    <w:rsid w:val="008B40E4"/>
    <w:rsid w:val="008B4573"/>
    <w:rsid w:val="008B4665"/>
    <w:rsid w:val="008B470F"/>
    <w:rsid w:val="008B49E3"/>
    <w:rsid w:val="008B5007"/>
    <w:rsid w:val="008B59B3"/>
    <w:rsid w:val="008B6F76"/>
    <w:rsid w:val="008C0A6D"/>
    <w:rsid w:val="008C0E87"/>
    <w:rsid w:val="008C10BC"/>
    <w:rsid w:val="008C2332"/>
    <w:rsid w:val="008C2C2D"/>
    <w:rsid w:val="008C3FA3"/>
    <w:rsid w:val="008C409E"/>
    <w:rsid w:val="008C463E"/>
    <w:rsid w:val="008C59C7"/>
    <w:rsid w:val="008C5D49"/>
    <w:rsid w:val="008C65CE"/>
    <w:rsid w:val="008C68A2"/>
    <w:rsid w:val="008C7310"/>
    <w:rsid w:val="008C7870"/>
    <w:rsid w:val="008D06C1"/>
    <w:rsid w:val="008D0BD4"/>
    <w:rsid w:val="008D1256"/>
    <w:rsid w:val="008D258F"/>
    <w:rsid w:val="008D346F"/>
    <w:rsid w:val="008D3E67"/>
    <w:rsid w:val="008D435B"/>
    <w:rsid w:val="008D4A68"/>
    <w:rsid w:val="008D53D5"/>
    <w:rsid w:val="008D698C"/>
    <w:rsid w:val="008D720E"/>
    <w:rsid w:val="008E05D9"/>
    <w:rsid w:val="008E2290"/>
    <w:rsid w:val="008E250D"/>
    <w:rsid w:val="008E3143"/>
    <w:rsid w:val="008E366B"/>
    <w:rsid w:val="008E5148"/>
    <w:rsid w:val="008E5589"/>
    <w:rsid w:val="008E573B"/>
    <w:rsid w:val="008E5C46"/>
    <w:rsid w:val="008E6179"/>
    <w:rsid w:val="008F15D3"/>
    <w:rsid w:val="008F17EE"/>
    <w:rsid w:val="008F1A99"/>
    <w:rsid w:val="008F1BA2"/>
    <w:rsid w:val="008F35AC"/>
    <w:rsid w:val="008F4494"/>
    <w:rsid w:val="008F46AD"/>
    <w:rsid w:val="008F50C9"/>
    <w:rsid w:val="008F5295"/>
    <w:rsid w:val="008F571F"/>
    <w:rsid w:val="008F73F2"/>
    <w:rsid w:val="008F7BA9"/>
    <w:rsid w:val="00903A4E"/>
    <w:rsid w:val="00904A0D"/>
    <w:rsid w:val="00905A6F"/>
    <w:rsid w:val="00905F0B"/>
    <w:rsid w:val="009072BB"/>
    <w:rsid w:val="009077B7"/>
    <w:rsid w:val="00907D30"/>
    <w:rsid w:val="009107D2"/>
    <w:rsid w:val="00910AFB"/>
    <w:rsid w:val="00910EAC"/>
    <w:rsid w:val="009114A5"/>
    <w:rsid w:val="00912590"/>
    <w:rsid w:val="009129E3"/>
    <w:rsid w:val="00913257"/>
    <w:rsid w:val="0091365B"/>
    <w:rsid w:val="00913AE9"/>
    <w:rsid w:val="0091407A"/>
    <w:rsid w:val="00914753"/>
    <w:rsid w:val="00915028"/>
    <w:rsid w:val="00915234"/>
    <w:rsid w:val="00916B47"/>
    <w:rsid w:val="00917869"/>
    <w:rsid w:val="009179CC"/>
    <w:rsid w:val="00921C91"/>
    <w:rsid w:val="00923A07"/>
    <w:rsid w:val="00923C4C"/>
    <w:rsid w:val="0092418D"/>
    <w:rsid w:val="0092506A"/>
    <w:rsid w:val="00925E4E"/>
    <w:rsid w:val="00925FDD"/>
    <w:rsid w:val="009262E3"/>
    <w:rsid w:val="009272AA"/>
    <w:rsid w:val="009302D1"/>
    <w:rsid w:val="009302F1"/>
    <w:rsid w:val="0093127A"/>
    <w:rsid w:val="0093619E"/>
    <w:rsid w:val="00936D72"/>
    <w:rsid w:val="00937067"/>
    <w:rsid w:val="00937629"/>
    <w:rsid w:val="00941423"/>
    <w:rsid w:val="00941FF7"/>
    <w:rsid w:val="0094342D"/>
    <w:rsid w:val="009439F6"/>
    <w:rsid w:val="009444DB"/>
    <w:rsid w:val="00944C51"/>
    <w:rsid w:val="00946414"/>
    <w:rsid w:val="0094652D"/>
    <w:rsid w:val="00950363"/>
    <w:rsid w:val="009505A2"/>
    <w:rsid w:val="00950CEB"/>
    <w:rsid w:val="00950D7F"/>
    <w:rsid w:val="009512E1"/>
    <w:rsid w:val="00951E15"/>
    <w:rsid w:val="0095237F"/>
    <w:rsid w:val="00953F8E"/>
    <w:rsid w:val="009549B4"/>
    <w:rsid w:val="009561D3"/>
    <w:rsid w:val="00956FF1"/>
    <w:rsid w:val="00960282"/>
    <w:rsid w:val="00961462"/>
    <w:rsid w:val="00962C38"/>
    <w:rsid w:val="00962E98"/>
    <w:rsid w:val="00962F71"/>
    <w:rsid w:val="0096338D"/>
    <w:rsid w:val="00964064"/>
    <w:rsid w:val="0096445A"/>
    <w:rsid w:val="00964B40"/>
    <w:rsid w:val="00964FEA"/>
    <w:rsid w:val="009655B7"/>
    <w:rsid w:val="00966D41"/>
    <w:rsid w:val="00967046"/>
    <w:rsid w:val="00971082"/>
    <w:rsid w:val="00971F68"/>
    <w:rsid w:val="00972871"/>
    <w:rsid w:val="00972DE0"/>
    <w:rsid w:val="0097315D"/>
    <w:rsid w:val="00973511"/>
    <w:rsid w:val="00973CFC"/>
    <w:rsid w:val="009751D5"/>
    <w:rsid w:val="009751ED"/>
    <w:rsid w:val="00975979"/>
    <w:rsid w:val="00975FFC"/>
    <w:rsid w:val="0098061F"/>
    <w:rsid w:val="00981B81"/>
    <w:rsid w:val="009825B2"/>
    <w:rsid w:val="00984918"/>
    <w:rsid w:val="0098590E"/>
    <w:rsid w:val="00986293"/>
    <w:rsid w:val="00986443"/>
    <w:rsid w:val="00987033"/>
    <w:rsid w:val="00987035"/>
    <w:rsid w:val="009873C6"/>
    <w:rsid w:val="009874D2"/>
    <w:rsid w:val="00987B95"/>
    <w:rsid w:val="0099064A"/>
    <w:rsid w:val="00990CE6"/>
    <w:rsid w:val="00991ECF"/>
    <w:rsid w:val="00992458"/>
    <w:rsid w:val="00993573"/>
    <w:rsid w:val="00996004"/>
    <w:rsid w:val="00996180"/>
    <w:rsid w:val="009970A2"/>
    <w:rsid w:val="0099723E"/>
    <w:rsid w:val="00997BB0"/>
    <w:rsid w:val="009A05F3"/>
    <w:rsid w:val="009A1C9D"/>
    <w:rsid w:val="009A28BC"/>
    <w:rsid w:val="009A2B96"/>
    <w:rsid w:val="009A30C9"/>
    <w:rsid w:val="009A5AC3"/>
    <w:rsid w:val="009B0686"/>
    <w:rsid w:val="009B07C6"/>
    <w:rsid w:val="009B0F03"/>
    <w:rsid w:val="009B1A84"/>
    <w:rsid w:val="009B22E1"/>
    <w:rsid w:val="009B3F8B"/>
    <w:rsid w:val="009B4B55"/>
    <w:rsid w:val="009B56B6"/>
    <w:rsid w:val="009B66B9"/>
    <w:rsid w:val="009B6BB2"/>
    <w:rsid w:val="009B7212"/>
    <w:rsid w:val="009B7E44"/>
    <w:rsid w:val="009C085E"/>
    <w:rsid w:val="009C201A"/>
    <w:rsid w:val="009C27F9"/>
    <w:rsid w:val="009C2ED1"/>
    <w:rsid w:val="009C449F"/>
    <w:rsid w:val="009C510A"/>
    <w:rsid w:val="009C598A"/>
    <w:rsid w:val="009C5D1C"/>
    <w:rsid w:val="009D06CD"/>
    <w:rsid w:val="009D1B86"/>
    <w:rsid w:val="009D2C7B"/>
    <w:rsid w:val="009D3035"/>
    <w:rsid w:val="009D35C8"/>
    <w:rsid w:val="009D542C"/>
    <w:rsid w:val="009D56D6"/>
    <w:rsid w:val="009D7542"/>
    <w:rsid w:val="009D79F1"/>
    <w:rsid w:val="009E061D"/>
    <w:rsid w:val="009E08C4"/>
    <w:rsid w:val="009E14BB"/>
    <w:rsid w:val="009E1667"/>
    <w:rsid w:val="009E2394"/>
    <w:rsid w:val="009E4CA8"/>
    <w:rsid w:val="009E5F1D"/>
    <w:rsid w:val="009E606A"/>
    <w:rsid w:val="009E63BC"/>
    <w:rsid w:val="009E665D"/>
    <w:rsid w:val="009E676D"/>
    <w:rsid w:val="009E6787"/>
    <w:rsid w:val="009F122F"/>
    <w:rsid w:val="009F152B"/>
    <w:rsid w:val="009F1BBA"/>
    <w:rsid w:val="009F2A3A"/>
    <w:rsid w:val="009F2DC1"/>
    <w:rsid w:val="009F34B4"/>
    <w:rsid w:val="009F385C"/>
    <w:rsid w:val="009F3D25"/>
    <w:rsid w:val="009F429D"/>
    <w:rsid w:val="009F5004"/>
    <w:rsid w:val="009F570E"/>
    <w:rsid w:val="009F6168"/>
    <w:rsid w:val="009F69D7"/>
    <w:rsid w:val="009F6F86"/>
    <w:rsid w:val="009F7470"/>
    <w:rsid w:val="009F7B81"/>
    <w:rsid w:val="00A001A4"/>
    <w:rsid w:val="00A00F70"/>
    <w:rsid w:val="00A0164F"/>
    <w:rsid w:val="00A02397"/>
    <w:rsid w:val="00A026E5"/>
    <w:rsid w:val="00A02D11"/>
    <w:rsid w:val="00A03A18"/>
    <w:rsid w:val="00A060E3"/>
    <w:rsid w:val="00A10362"/>
    <w:rsid w:val="00A10A79"/>
    <w:rsid w:val="00A10AA7"/>
    <w:rsid w:val="00A1124E"/>
    <w:rsid w:val="00A11AC0"/>
    <w:rsid w:val="00A11F4A"/>
    <w:rsid w:val="00A1273A"/>
    <w:rsid w:val="00A13A76"/>
    <w:rsid w:val="00A1557E"/>
    <w:rsid w:val="00A20C55"/>
    <w:rsid w:val="00A212F0"/>
    <w:rsid w:val="00A2191E"/>
    <w:rsid w:val="00A21BFD"/>
    <w:rsid w:val="00A225BE"/>
    <w:rsid w:val="00A226DC"/>
    <w:rsid w:val="00A25515"/>
    <w:rsid w:val="00A25683"/>
    <w:rsid w:val="00A26792"/>
    <w:rsid w:val="00A26DFE"/>
    <w:rsid w:val="00A2789B"/>
    <w:rsid w:val="00A27DF5"/>
    <w:rsid w:val="00A30BA0"/>
    <w:rsid w:val="00A3105C"/>
    <w:rsid w:val="00A32380"/>
    <w:rsid w:val="00A34178"/>
    <w:rsid w:val="00A3458B"/>
    <w:rsid w:val="00A3564A"/>
    <w:rsid w:val="00A3610C"/>
    <w:rsid w:val="00A41930"/>
    <w:rsid w:val="00A41F99"/>
    <w:rsid w:val="00A4252D"/>
    <w:rsid w:val="00A4270E"/>
    <w:rsid w:val="00A433BC"/>
    <w:rsid w:val="00A444C2"/>
    <w:rsid w:val="00A44B4F"/>
    <w:rsid w:val="00A45141"/>
    <w:rsid w:val="00A461F1"/>
    <w:rsid w:val="00A468A2"/>
    <w:rsid w:val="00A46E91"/>
    <w:rsid w:val="00A50EAD"/>
    <w:rsid w:val="00A5162D"/>
    <w:rsid w:val="00A51EDD"/>
    <w:rsid w:val="00A524C0"/>
    <w:rsid w:val="00A52CF4"/>
    <w:rsid w:val="00A53525"/>
    <w:rsid w:val="00A550F9"/>
    <w:rsid w:val="00A55457"/>
    <w:rsid w:val="00A55E7E"/>
    <w:rsid w:val="00A56856"/>
    <w:rsid w:val="00A5693E"/>
    <w:rsid w:val="00A60050"/>
    <w:rsid w:val="00A60241"/>
    <w:rsid w:val="00A6074D"/>
    <w:rsid w:val="00A62651"/>
    <w:rsid w:val="00A63483"/>
    <w:rsid w:val="00A642A6"/>
    <w:rsid w:val="00A64E1F"/>
    <w:rsid w:val="00A650FF"/>
    <w:rsid w:val="00A65490"/>
    <w:rsid w:val="00A672DE"/>
    <w:rsid w:val="00A67A6F"/>
    <w:rsid w:val="00A67AA6"/>
    <w:rsid w:val="00A70121"/>
    <w:rsid w:val="00A706AA"/>
    <w:rsid w:val="00A71FEA"/>
    <w:rsid w:val="00A726CD"/>
    <w:rsid w:val="00A72AF4"/>
    <w:rsid w:val="00A73BE8"/>
    <w:rsid w:val="00A75446"/>
    <w:rsid w:val="00A75DC3"/>
    <w:rsid w:val="00A779DE"/>
    <w:rsid w:val="00A80375"/>
    <w:rsid w:val="00A80A11"/>
    <w:rsid w:val="00A81102"/>
    <w:rsid w:val="00A82790"/>
    <w:rsid w:val="00A82A77"/>
    <w:rsid w:val="00A834F9"/>
    <w:rsid w:val="00A83688"/>
    <w:rsid w:val="00A85264"/>
    <w:rsid w:val="00A85E5B"/>
    <w:rsid w:val="00A86B6A"/>
    <w:rsid w:val="00A87A07"/>
    <w:rsid w:val="00A87C59"/>
    <w:rsid w:val="00A90371"/>
    <w:rsid w:val="00A904A4"/>
    <w:rsid w:val="00A9161A"/>
    <w:rsid w:val="00A9166B"/>
    <w:rsid w:val="00A91B1C"/>
    <w:rsid w:val="00A92E89"/>
    <w:rsid w:val="00A9410F"/>
    <w:rsid w:val="00A9437E"/>
    <w:rsid w:val="00A94713"/>
    <w:rsid w:val="00A952F8"/>
    <w:rsid w:val="00A95FE8"/>
    <w:rsid w:val="00AA0C4A"/>
    <w:rsid w:val="00AA1232"/>
    <w:rsid w:val="00AA1BEA"/>
    <w:rsid w:val="00AA23A2"/>
    <w:rsid w:val="00AA29AF"/>
    <w:rsid w:val="00AA3233"/>
    <w:rsid w:val="00AA3A04"/>
    <w:rsid w:val="00AA436F"/>
    <w:rsid w:val="00AA4E68"/>
    <w:rsid w:val="00AA6343"/>
    <w:rsid w:val="00AA67AA"/>
    <w:rsid w:val="00AA6D85"/>
    <w:rsid w:val="00AA6D8B"/>
    <w:rsid w:val="00AB1014"/>
    <w:rsid w:val="00AB1DD0"/>
    <w:rsid w:val="00AB1E97"/>
    <w:rsid w:val="00AB2CF0"/>
    <w:rsid w:val="00AB316B"/>
    <w:rsid w:val="00AB3413"/>
    <w:rsid w:val="00AB3AA6"/>
    <w:rsid w:val="00AB3C42"/>
    <w:rsid w:val="00AB3E90"/>
    <w:rsid w:val="00AB470E"/>
    <w:rsid w:val="00AB512D"/>
    <w:rsid w:val="00AB57AE"/>
    <w:rsid w:val="00AC03E1"/>
    <w:rsid w:val="00AC06AE"/>
    <w:rsid w:val="00AC0A26"/>
    <w:rsid w:val="00AC20F4"/>
    <w:rsid w:val="00AC2DCD"/>
    <w:rsid w:val="00AC310E"/>
    <w:rsid w:val="00AC3CDD"/>
    <w:rsid w:val="00AC3E8F"/>
    <w:rsid w:val="00AC426F"/>
    <w:rsid w:val="00AC48B7"/>
    <w:rsid w:val="00AC70D1"/>
    <w:rsid w:val="00AC75DE"/>
    <w:rsid w:val="00AC76F2"/>
    <w:rsid w:val="00AC775E"/>
    <w:rsid w:val="00AC799E"/>
    <w:rsid w:val="00AD082E"/>
    <w:rsid w:val="00AD0A55"/>
    <w:rsid w:val="00AD1C56"/>
    <w:rsid w:val="00AD1C7E"/>
    <w:rsid w:val="00AD3286"/>
    <w:rsid w:val="00AD438D"/>
    <w:rsid w:val="00AD45BC"/>
    <w:rsid w:val="00AD46F2"/>
    <w:rsid w:val="00AD4755"/>
    <w:rsid w:val="00AD4818"/>
    <w:rsid w:val="00AD52C5"/>
    <w:rsid w:val="00AD5A99"/>
    <w:rsid w:val="00AD64D8"/>
    <w:rsid w:val="00AD69F1"/>
    <w:rsid w:val="00AD7E48"/>
    <w:rsid w:val="00AE026B"/>
    <w:rsid w:val="00AE043F"/>
    <w:rsid w:val="00AE1A8D"/>
    <w:rsid w:val="00AE1E3D"/>
    <w:rsid w:val="00AE33A1"/>
    <w:rsid w:val="00AE4323"/>
    <w:rsid w:val="00AE4B5D"/>
    <w:rsid w:val="00AE6043"/>
    <w:rsid w:val="00AE6A65"/>
    <w:rsid w:val="00AE6AE7"/>
    <w:rsid w:val="00AF3466"/>
    <w:rsid w:val="00AF35CF"/>
    <w:rsid w:val="00AF3A46"/>
    <w:rsid w:val="00AF57B9"/>
    <w:rsid w:val="00AF5803"/>
    <w:rsid w:val="00AF5851"/>
    <w:rsid w:val="00AF60CA"/>
    <w:rsid w:val="00AF63F2"/>
    <w:rsid w:val="00AF70E6"/>
    <w:rsid w:val="00AF75EA"/>
    <w:rsid w:val="00AF7743"/>
    <w:rsid w:val="00AF7948"/>
    <w:rsid w:val="00B0140E"/>
    <w:rsid w:val="00B018AA"/>
    <w:rsid w:val="00B0205F"/>
    <w:rsid w:val="00B02186"/>
    <w:rsid w:val="00B023DF"/>
    <w:rsid w:val="00B03094"/>
    <w:rsid w:val="00B03439"/>
    <w:rsid w:val="00B03DD5"/>
    <w:rsid w:val="00B06AE3"/>
    <w:rsid w:val="00B06DF9"/>
    <w:rsid w:val="00B07060"/>
    <w:rsid w:val="00B07824"/>
    <w:rsid w:val="00B10E47"/>
    <w:rsid w:val="00B123F2"/>
    <w:rsid w:val="00B12A70"/>
    <w:rsid w:val="00B14CC4"/>
    <w:rsid w:val="00B158FE"/>
    <w:rsid w:val="00B1684F"/>
    <w:rsid w:val="00B16A69"/>
    <w:rsid w:val="00B16D3B"/>
    <w:rsid w:val="00B17FD4"/>
    <w:rsid w:val="00B20D97"/>
    <w:rsid w:val="00B20E98"/>
    <w:rsid w:val="00B22CA2"/>
    <w:rsid w:val="00B23CA6"/>
    <w:rsid w:val="00B242D4"/>
    <w:rsid w:val="00B24592"/>
    <w:rsid w:val="00B2502A"/>
    <w:rsid w:val="00B25116"/>
    <w:rsid w:val="00B25381"/>
    <w:rsid w:val="00B266B4"/>
    <w:rsid w:val="00B26DA1"/>
    <w:rsid w:val="00B278A1"/>
    <w:rsid w:val="00B27C4D"/>
    <w:rsid w:val="00B309F2"/>
    <w:rsid w:val="00B30C82"/>
    <w:rsid w:val="00B31C13"/>
    <w:rsid w:val="00B322CC"/>
    <w:rsid w:val="00B3271A"/>
    <w:rsid w:val="00B33291"/>
    <w:rsid w:val="00B3548A"/>
    <w:rsid w:val="00B35BD1"/>
    <w:rsid w:val="00B36B2E"/>
    <w:rsid w:val="00B37A6E"/>
    <w:rsid w:val="00B40BD3"/>
    <w:rsid w:val="00B4174D"/>
    <w:rsid w:val="00B41D96"/>
    <w:rsid w:val="00B42767"/>
    <w:rsid w:val="00B42DDE"/>
    <w:rsid w:val="00B431E1"/>
    <w:rsid w:val="00B43250"/>
    <w:rsid w:val="00B4360D"/>
    <w:rsid w:val="00B44D34"/>
    <w:rsid w:val="00B457B3"/>
    <w:rsid w:val="00B45EBB"/>
    <w:rsid w:val="00B46972"/>
    <w:rsid w:val="00B5082B"/>
    <w:rsid w:val="00B50B39"/>
    <w:rsid w:val="00B50D79"/>
    <w:rsid w:val="00B5244B"/>
    <w:rsid w:val="00B52A7F"/>
    <w:rsid w:val="00B5325F"/>
    <w:rsid w:val="00B53DFA"/>
    <w:rsid w:val="00B53F5E"/>
    <w:rsid w:val="00B53FA8"/>
    <w:rsid w:val="00B54056"/>
    <w:rsid w:val="00B543C2"/>
    <w:rsid w:val="00B54C15"/>
    <w:rsid w:val="00B55FF9"/>
    <w:rsid w:val="00B56D79"/>
    <w:rsid w:val="00B56D7A"/>
    <w:rsid w:val="00B56FB1"/>
    <w:rsid w:val="00B57CFC"/>
    <w:rsid w:val="00B57D53"/>
    <w:rsid w:val="00B57D64"/>
    <w:rsid w:val="00B6059C"/>
    <w:rsid w:val="00B605EC"/>
    <w:rsid w:val="00B611FD"/>
    <w:rsid w:val="00B61ECA"/>
    <w:rsid w:val="00B63698"/>
    <w:rsid w:val="00B63844"/>
    <w:rsid w:val="00B64F93"/>
    <w:rsid w:val="00B66C65"/>
    <w:rsid w:val="00B70AED"/>
    <w:rsid w:val="00B720F5"/>
    <w:rsid w:val="00B732FA"/>
    <w:rsid w:val="00B74C16"/>
    <w:rsid w:val="00B74FDA"/>
    <w:rsid w:val="00B7512D"/>
    <w:rsid w:val="00B764A9"/>
    <w:rsid w:val="00B7700A"/>
    <w:rsid w:val="00B7708F"/>
    <w:rsid w:val="00B77357"/>
    <w:rsid w:val="00B77E5E"/>
    <w:rsid w:val="00B77F12"/>
    <w:rsid w:val="00B816E2"/>
    <w:rsid w:val="00B81F33"/>
    <w:rsid w:val="00B857EA"/>
    <w:rsid w:val="00B85AE7"/>
    <w:rsid w:val="00B864B9"/>
    <w:rsid w:val="00B86B00"/>
    <w:rsid w:val="00B9047F"/>
    <w:rsid w:val="00B90F6C"/>
    <w:rsid w:val="00B91696"/>
    <w:rsid w:val="00B91F0A"/>
    <w:rsid w:val="00B9306C"/>
    <w:rsid w:val="00B93C7F"/>
    <w:rsid w:val="00B93CE7"/>
    <w:rsid w:val="00B942CE"/>
    <w:rsid w:val="00B94D82"/>
    <w:rsid w:val="00B95A9D"/>
    <w:rsid w:val="00B95C5F"/>
    <w:rsid w:val="00B95EF6"/>
    <w:rsid w:val="00B96246"/>
    <w:rsid w:val="00B96294"/>
    <w:rsid w:val="00BA1C49"/>
    <w:rsid w:val="00BA2AF5"/>
    <w:rsid w:val="00BA3264"/>
    <w:rsid w:val="00BA383E"/>
    <w:rsid w:val="00BA393B"/>
    <w:rsid w:val="00BA3BD3"/>
    <w:rsid w:val="00BA44F6"/>
    <w:rsid w:val="00BA4515"/>
    <w:rsid w:val="00BA493C"/>
    <w:rsid w:val="00BA4963"/>
    <w:rsid w:val="00BA68F1"/>
    <w:rsid w:val="00BA6ABA"/>
    <w:rsid w:val="00BB0137"/>
    <w:rsid w:val="00BB15CB"/>
    <w:rsid w:val="00BB1E47"/>
    <w:rsid w:val="00BB212C"/>
    <w:rsid w:val="00BB39E5"/>
    <w:rsid w:val="00BB4525"/>
    <w:rsid w:val="00BB4B4E"/>
    <w:rsid w:val="00BB503B"/>
    <w:rsid w:val="00BB51C2"/>
    <w:rsid w:val="00BB61DD"/>
    <w:rsid w:val="00BB666C"/>
    <w:rsid w:val="00BB686B"/>
    <w:rsid w:val="00BB7761"/>
    <w:rsid w:val="00BC0989"/>
    <w:rsid w:val="00BC130A"/>
    <w:rsid w:val="00BC2563"/>
    <w:rsid w:val="00BC291D"/>
    <w:rsid w:val="00BC3764"/>
    <w:rsid w:val="00BC3E92"/>
    <w:rsid w:val="00BC434F"/>
    <w:rsid w:val="00BC56CC"/>
    <w:rsid w:val="00BC586D"/>
    <w:rsid w:val="00BC6392"/>
    <w:rsid w:val="00BC780D"/>
    <w:rsid w:val="00BC7F14"/>
    <w:rsid w:val="00BD00E9"/>
    <w:rsid w:val="00BD0246"/>
    <w:rsid w:val="00BD2477"/>
    <w:rsid w:val="00BD2C25"/>
    <w:rsid w:val="00BD4BB1"/>
    <w:rsid w:val="00BD4F26"/>
    <w:rsid w:val="00BD5904"/>
    <w:rsid w:val="00BD6408"/>
    <w:rsid w:val="00BD6B77"/>
    <w:rsid w:val="00BD6E78"/>
    <w:rsid w:val="00BE2175"/>
    <w:rsid w:val="00BE229F"/>
    <w:rsid w:val="00BE2D8B"/>
    <w:rsid w:val="00BE391C"/>
    <w:rsid w:val="00BE44F6"/>
    <w:rsid w:val="00BE4756"/>
    <w:rsid w:val="00BE484F"/>
    <w:rsid w:val="00BE4955"/>
    <w:rsid w:val="00BE4DAB"/>
    <w:rsid w:val="00BE5DCA"/>
    <w:rsid w:val="00BE5E8A"/>
    <w:rsid w:val="00BE6CBE"/>
    <w:rsid w:val="00BF05EC"/>
    <w:rsid w:val="00BF0FF0"/>
    <w:rsid w:val="00BF162F"/>
    <w:rsid w:val="00BF20E8"/>
    <w:rsid w:val="00BF2D08"/>
    <w:rsid w:val="00BF306B"/>
    <w:rsid w:val="00BF366C"/>
    <w:rsid w:val="00BF47CF"/>
    <w:rsid w:val="00BF4C0D"/>
    <w:rsid w:val="00BF51A7"/>
    <w:rsid w:val="00BF5F8E"/>
    <w:rsid w:val="00BF655B"/>
    <w:rsid w:val="00BF695C"/>
    <w:rsid w:val="00BF6A14"/>
    <w:rsid w:val="00BF6D64"/>
    <w:rsid w:val="00BF72D2"/>
    <w:rsid w:val="00C02166"/>
    <w:rsid w:val="00C02F0E"/>
    <w:rsid w:val="00C02F19"/>
    <w:rsid w:val="00C03AEC"/>
    <w:rsid w:val="00C04690"/>
    <w:rsid w:val="00C04B8B"/>
    <w:rsid w:val="00C04EAD"/>
    <w:rsid w:val="00C050A5"/>
    <w:rsid w:val="00C054F9"/>
    <w:rsid w:val="00C06114"/>
    <w:rsid w:val="00C10123"/>
    <w:rsid w:val="00C10AAF"/>
    <w:rsid w:val="00C10E78"/>
    <w:rsid w:val="00C113D9"/>
    <w:rsid w:val="00C116CE"/>
    <w:rsid w:val="00C12440"/>
    <w:rsid w:val="00C1245A"/>
    <w:rsid w:val="00C124B2"/>
    <w:rsid w:val="00C12522"/>
    <w:rsid w:val="00C12A21"/>
    <w:rsid w:val="00C12BFE"/>
    <w:rsid w:val="00C12F80"/>
    <w:rsid w:val="00C13AAE"/>
    <w:rsid w:val="00C15135"/>
    <w:rsid w:val="00C1544C"/>
    <w:rsid w:val="00C1585C"/>
    <w:rsid w:val="00C15FAA"/>
    <w:rsid w:val="00C174B2"/>
    <w:rsid w:val="00C201A3"/>
    <w:rsid w:val="00C208CD"/>
    <w:rsid w:val="00C20DEF"/>
    <w:rsid w:val="00C2115D"/>
    <w:rsid w:val="00C21AAE"/>
    <w:rsid w:val="00C22431"/>
    <w:rsid w:val="00C2263B"/>
    <w:rsid w:val="00C23D28"/>
    <w:rsid w:val="00C24B69"/>
    <w:rsid w:val="00C25210"/>
    <w:rsid w:val="00C25395"/>
    <w:rsid w:val="00C25771"/>
    <w:rsid w:val="00C26232"/>
    <w:rsid w:val="00C26BB1"/>
    <w:rsid w:val="00C26CCF"/>
    <w:rsid w:val="00C27284"/>
    <w:rsid w:val="00C27564"/>
    <w:rsid w:val="00C27E9E"/>
    <w:rsid w:val="00C30F4E"/>
    <w:rsid w:val="00C30FAD"/>
    <w:rsid w:val="00C32044"/>
    <w:rsid w:val="00C33695"/>
    <w:rsid w:val="00C342C1"/>
    <w:rsid w:val="00C3452B"/>
    <w:rsid w:val="00C34C3F"/>
    <w:rsid w:val="00C34D3D"/>
    <w:rsid w:val="00C34E48"/>
    <w:rsid w:val="00C35164"/>
    <w:rsid w:val="00C352B6"/>
    <w:rsid w:val="00C3538B"/>
    <w:rsid w:val="00C357E8"/>
    <w:rsid w:val="00C36AAE"/>
    <w:rsid w:val="00C37FA9"/>
    <w:rsid w:val="00C40326"/>
    <w:rsid w:val="00C40611"/>
    <w:rsid w:val="00C41F69"/>
    <w:rsid w:val="00C43C94"/>
    <w:rsid w:val="00C449DD"/>
    <w:rsid w:val="00C45C71"/>
    <w:rsid w:val="00C463AB"/>
    <w:rsid w:val="00C463C5"/>
    <w:rsid w:val="00C47072"/>
    <w:rsid w:val="00C47741"/>
    <w:rsid w:val="00C47F38"/>
    <w:rsid w:val="00C50209"/>
    <w:rsid w:val="00C50507"/>
    <w:rsid w:val="00C52FDA"/>
    <w:rsid w:val="00C532AD"/>
    <w:rsid w:val="00C53C90"/>
    <w:rsid w:val="00C54E3F"/>
    <w:rsid w:val="00C5559E"/>
    <w:rsid w:val="00C56DBA"/>
    <w:rsid w:val="00C56F9F"/>
    <w:rsid w:val="00C57265"/>
    <w:rsid w:val="00C60258"/>
    <w:rsid w:val="00C604F5"/>
    <w:rsid w:val="00C60C0C"/>
    <w:rsid w:val="00C614AD"/>
    <w:rsid w:val="00C61BBA"/>
    <w:rsid w:val="00C62E7F"/>
    <w:rsid w:val="00C63214"/>
    <w:rsid w:val="00C632F4"/>
    <w:rsid w:val="00C63A14"/>
    <w:rsid w:val="00C63DA3"/>
    <w:rsid w:val="00C64888"/>
    <w:rsid w:val="00C64E4F"/>
    <w:rsid w:val="00C65024"/>
    <w:rsid w:val="00C65652"/>
    <w:rsid w:val="00C67B6B"/>
    <w:rsid w:val="00C67DFA"/>
    <w:rsid w:val="00C703EF"/>
    <w:rsid w:val="00C70490"/>
    <w:rsid w:val="00C70E33"/>
    <w:rsid w:val="00C70EB0"/>
    <w:rsid w:val="00C70F8C"/>
    <w:rsid w:val="00C72DBB"/>
    <w:rsid w:val="00C73C50"/>
    <w:rsid w:val="00C740E1"/>
    <w:rsid w:val="00C74EB2"/>
    <w:rsid w:val="00C75E36"/>
    <w:rsid w:val="00C773BF"/>
    <w:rsid w:val="00C776C2"/>
    <w:rsid w:val="00C7787F"/>
    <w:rsid w:val="00C80BA4"/>
    <w:rsid w:val="00C817EC"/>
    <w:rsid w:val="00C81B85"/>
    <w:rsid w:val="00C81C08"/>
    <w:rsid w:val="00C821ED"/>
    <w:rsid w:val="00C82374"/>
    <w:rsid w:val="00C82C50"/>
    <w:rsid w:val="00C83099"/>
    <w:rsid w:val="00C838A1"/>
    <w:rsid w:val="00C83D2D"/>
    <w:rsid w:val="00C83DB4"/>
    <w:rsid w:val="00C84651"/>
    <w:rsid w:val="00C84852"/>
    <w:rsid w:val="00C8540C"/>
    <w:rsid w:val="00C8570B"/>
    <w:rsid w:val="00C85773"/>
    <w:rsid w:val="00C86010"/>
    <w:rsid w:val="00C86C6F"/>
    <w:rsid w:val="00C87A30"/>
    <w:rsid w:val="00C87FC6"/>
    <w:rsid w:val="00C91E93"/>
    <w:rsid w:val="00C9209D"/>
    <w:rsid w:val="00C9222C"/>
    <w:rsid w:val="00C92596"/>
    <w:rsid w:val="00C925C4"/>
    <w:rsid w:val="00C93083"/>
    <w:rsid w:val="00C9398E"/>
    <w:rsid w:val="00C94356"/>
    <w:rsid w:val="00C943B5"/>
    <w:rsid w:val="00C94785"/>
    <w:rsid w:val="00C9500F"/>
    <w:rsid w:val="00C9669C"/>
    <w:rsid w:val="00C96815"/>
    <w:rsid w:val="00CA096F"/>
    <w:rsid w:val="00CA09C3"/>
    <w:rsid w:val="00CA30E6"/>
    <w:rsid w:val="00CA38F0"/>
    <w:rsid w:val="00CA3BCC"/>
    <w:rsid w:val="00CA3E24"/>
    <w:rsid w:val="00CA414B"/>
    <w:rsid w:val="00CA57F3"/>
    <w:rsid w:val="00CA6ABC"/>
    <w:rsid w:val="00CA78EC"/>
    <w:rsid w:val="00CB0018"/>
    <w:rsid w:val="00CB12A9"/>
    <w:rsid w:val="00CB12FB"/>
    <w:rsid w:val="00CB17AF"/>
    <w:rsid w:val="00CB1ADB"/>
    <w:rsid w:val="00CB1DF3"/>
    <w:rsid w:val="00CB2AAB"/>
    <w:rsid w:val="00CB3961"/>
    <w:rsid w:val="00CB5987"/>
    <w:rsid w:val="00CB5ED9"/>
    <w:rsid w:val="00CB6669"/>
    <w:rsid w:val="00CB795B"/>
    <w:rsid w:val="00CB7F31"/>
    <w:rsid w:val="00CC013F"/>
    <w:rsid w:val="00CC2B2C"/>
    <w:rsid w:val="00CC359A"/>
    <w:rsid w:val="00CC516B"/>
    <w:rsid w:val="00CC5B04"/>
    <w:rsid w:val="00CC5C6F"/>
    <w:rsid w:val="00CC6193"/>
    <w:rsid w:val="00CC7120"/>
    <w:rsid w:val="00CD1008"/>
    <w:rsid w:val="00CD1C6D"/>
    <w:rsid w:val="00CD2A38"/>
    <w:rsid w:val="00CD2C90"/>
    <w:rsid w:val="00CD3ADA"/>
    <w:rsid w:val="00CD4816"/>
    <w:rsid w:val="00CD6005"/>
    <w:rsid w:val="00CD69A8"/>
    <w:rsid w:val="00CD746F"/>
    <w:rsid w:val="00CD77E6"/>
    <w:rsid w:val="00CE0415"/>
    <w:rsid w:val="00CE13F8"/>
    <w:rsid w:val="00CE1E75"/>
    <w:rsid w:val="00CE208D"/>
    <w:rsid w:val="00CE3246"/>
    <w:rsid w:val="00CE32D9"/>
    <w:rsid w:val="00CE3539"/>
    <w:rsid w:val="00CE3A90"/>
    <w:rsid w:val="00CE3E4B"/>
    <w:rsid w:val="00CE5F8B"/>
    <w:rsid w:val="00CE60E6"/>
    <w:rsid w:val="00CE64A3"/>
    <w:rsid w:val="00CE7259"/>
    <w:rsid w:val="00CF1156"/>
    <w:rsid w:val="00CF226A"/>
    <w:rsid w:val="00CF31E4"/>
    <w:rsid w:val="00CF3275"/>
    <w:rsid w:val="00CF35E6"/>
    <w:rsid w:val="00CF5268"/>
    <w:rsid w:val="00CF5B4B"/>
    <w:rsid w:val="00CF607C"/>
    <w:rsid w:val="00CF60FE"/>
    <w:rsid w:val="00CF6DDB"/>
    <w:rsid w:val="00CF73DC"/>
    <w:rsid w:val="00D0075A"/>
    <w:rsid w:val="00D009BF"/>
    <w:rsid w:val="00D01504"/>
    <w:rsid w:val="00D01C77"/>
    <w:rsid w:val="00D025E3"/>
    <w:rsid w:val="00D029E0"/>
    <w:rsid w:val="00D02EF8"/>
    <w:rsid w:val="00D030E6"/>
    <w:rsid w:val="00D04920"/>
    <w:rsid w:val="00D05283"/>
    <w:rsid w:val="00D0651F"/>
    <w:rsid w:val="00D06A32"/>
    <w:rsid w:val="00D06B68"/>
    <w:rsid w:val="00D1111D"/>
    <w:rsid w:val="00D112A8"/>
    <w:rsid w:val="00D11695"/>
    <w:rsid w:val="00D12448"/>
    <w:rsid w:val="00D12B58"/>
    <w:rsid w:val="00D14B65"/>
    <w:rsid w:val="00D14C11"/>
    <w:rsid w:val="00D14DC9"/>
    <w:rsid w:val="00D17616"/>
    <w:rsid w:val="00D1786E"/>
    <w:rsid w:val="00D2097B"/>
    <w:rsid w:val="00D211BA"/>
    <w:rsid w:val="00D21597"/>
    <w:rsid w:val="00D2184C"/>
    <w:rsid w:val="00D21942"/>
    <w:rsid w:val="00D222C4"/>
    <w:rsid w:val="00D22DDA"/>
    <w:rsid w:val="00D23057"/>
    <w:rsid w:val="00D2393B"/>
    <w:rsid w:val="00D23CCD"/>
    <w:rsid w:val="00D25AED"/>
    <w:rsid w:val="00D25E32"/>
    <w:rsid w:val="00D26E57"/>
    <w:rsid w:val="00D32603"/>
    <w:rsid w:val="00D32BF3"/>
    <w:rsid w:val="00D33C8F"/>
    <w:rsid w:val="00D35602"/>
    <w:rsid w:val="00D36295"/>
    <w:rsid w:val="00D40893"/>
    <w:rsid w:val="00D41096"/>
    <w:rsid w:val="00D4142F"/>
    <w:rsid w:val="00D41992"/>
    <w:rsid w:val="00D41BD6"/>
    <w:rsid w:val="00D41EAC"/>
    <w:rsid w:val="00D425A1"/>
    <w:rsid w:val="00D436D2"/>
    <w:rsid w:val="00D444E9"/>
    <w:rsid w:val="00D458FE"/>
    <w:rsid w:val="00D46CBD"/>
    <w:rsid w:val="00D47AE1"/>
    <w:rsid w:val="00D47EF1"/>
    <w:rsid w:val="00D50123"/>
    <w:rsid w:val="00D51DED"/>
    <w:rsid w:val="00D521C9"/>
    <w:rsid w:val="00D52850"/>
    <w:rsid w:val="00D53134"/>
    <w:rsid w:val="00D5351B"/>
    <w:rsid w:val="00D548AA"/>
    <w:rsid w:val="00D55A86"/>
    <w:rsid w:val="00D55AD7"/>
    <w:rsid w:val="00D564B4"/>
    <w:rsid w:val="00D566EB"/>
    <w:rsid w:val="00D56828"/>
    <w:rsid w:val="00D56FAB"/>
    <w:rsid w:val="00D57346"/>
    <w:rsid w:val="00D57372"/>
    <w:rsid w:val="00D575FA"/>
    <w:rsid w:val="00D576A1"/>
    <w:rsid w:val="00D57C36"/>
    <w:rsid w:val="00D606E3"/>
    <w:rsid w:val="00D61537"/>
    <w:rsid w:val="00D62431"/>
    <w:rsid w:val="00D63BD8"/>
    <w:rsid w:val="00D64567"/>
    <w:rsid w:val="00D64652"/>
    <w:rsid w:val="00D64DF7"/>
    <w:rsid w:val="00D657FE"/>
    <w:rsid w:val="00D67773"/>
    <w:rsid w:val="00D70B98"/>
    <w:rsid w:val="00D71DB9"/>
    <w:rsid w:val="00D72CCF"/>
    <w:rsid w:val="00D739BD"/>
    <w:rsid w:val="00D74DE2"/>
    <w:rsid w:val="00D75D65"/>
    <w:rsid w:val="00D75FF6"/>
    <w:rsid w:val="00D763CF"/>
    <w:rsid w:val="00D77183"/>
    <w:rsid w:val="00D77FA5"/>
    <w:rsid w:val="00D803B7"/>
    <w:rsid w:val="00D80610"/>
    <w:rsid w:val="00D809DA"/>
    <w:rsid w:val="00D80BF2"/>
    <w:rsid w:val="00D80D0B"/>
    <w:rsid w:val="00D81781"/>
    <w:rsid w:val="00D81C2A"/>
    <w:rsid w:val="00D81C5D"/>
    <w:rsid w:val="00D8262E"/>
    <w:rsid w:val="00D8367B"/>
    <w:rsid w:val="00D83760"/>
    <w:rsid w:val="00D84C91"/>
    <w:rsid w:val="00D84DF9"/>
    <w:rsid w:val="00D852FB"/>
    <w:rsid w:val="00D8542A"/>
    <w:rsid w:val="00D85822"/>
    <w:rsid w:val="00D85A41"/>
    <w:rsid w:val="00D85B63"/>
    <w:rsid w:val="00D86160"/>
    <w:rsid w:val="00D86450"/>
    <w:rsid w:val="00D8650E"/>
    <w:rsid w:val="00D86FB7"/>
    <w:rsid w:val="00D92580"/>
    <w:rsid w:val="00D92AB2"/>
    <w:rsid w:val="00D93D41"/>
    <w:rsid w:val="00D94763"/>
    <w:rsid w:val="00D947B7"/>
    <w:rsid w:val="00D9669E"/>
    <w:rsid w:val="00D966FD"/>
    <w:rsid w:val="00D966FF"/>
    <w:rsid w:val="00D96BC3"/>
    <w:rsid w:val="00D9731E"/>
    <w:rsid w:val="00D97EED"/>
    <w:rsid w:val="00DA00C6"/>
    <w:rsid w:val="00DA01F9"/>
    <w:rsid w:val="00DA0E32"/>
    <w:rsid w:val="00DA1224"/>
    <w:rsid w:val="00DA132A"/>
    <w:rsid w:val="00DA1526"/>
    <w:rsid w:val="00DA4440"/>
    <w:rsid w:val="00DA4ACC"/>
    <w:rsid w:val="00DA5398"/>
    <w:rsid w:val="00DA6A1D"/>
    <w:rsid w:val="00DA7133"/>
    <w:rsid w:val="00DA745C"/>
    <w:rsid w:val="00DA75F3"/>
    <w:rsid w:val="00DB1055"/>
    <w:rsid w:val="00DB1848"/>
    <w:rsid w:val="00DB1B33"/>
    <w:rsid w:val="00DB4078"/>
    <w:rsid w:val="00DB4D2B"/>
    <w:rsid w:val="00DB63E2"/>
    <w:rsid w:val="00DB7061"/>
    <w:rsid w:val="00DB7340"/>
    <w:rsid w:val="00DB7CFE"/>
    <w:rsid w:val="00DC0C79"/>
    <w:rsid w:val="00DC1F21"/>
    <w:rsid w:val="00DC3185"/>
    <w:rsid w:val="00DC3F74"/>
    <w:rsid w:val="00DC44C7"/>
    <w:rsid w:val="00DC482E"/>
    <w:rsid w:val="00DC5126"/>
    <w:rsid w:val="00DC5293"/>
    <w:rsid w:val="00DD02FC"/>
    <w:rsid w:val="00DD1758"/>
    <w:rsid w:val="00DD2B80"/>
    <w:rsid w:val="00DD4151"/>
    <w:rsid w:val="00DD476F"/>
    <w:rsid w:val="00DD5347"/>
    <w:rsid w:val="00DD6216"/>
    <w:rsid w:val="00DD7E0D"/>
    <w:rsid w:val="00DE078C"/>
    <w:rsid w:val="00DE0C81"/>
    <w:rsid w:val="00DE11F2"/>
    <w:rsid w:val="00DE120D"/>
    <w:rsid w:val="00DE19B2"/>
    <w:rsid w:val="00DE1D13"/>
    <w:rsid w:val="00DE2A1D"/>
    <w:rsid w:val="00DE31C9"/>
    <w:rsid w:val="00DE4136"/>
    <w:rsid w:val="00DE45B6"/>
    <w:rsid w:val="00DE48C1"/>
    <w:rsid w:val="00DE4F90"/>
    <w:rsid w:val="00DE501C"/>
    <w:rsid w:val="00DE742D"/>
    <w:rsid w:val="00DE7E09"/>
    <w:rsid w:val="00DF11FA"/>
    <w:rsid w:val="00DF1769"/>
    <w:rsid w:val="00DF1DAB"/>
    <w:rsid w:val="00DF243C"/>
    <w:rsid w:val="00DF442C"/>
    <w:rsid w:val="00DF5F48"/>
    <w:rsid w:val="00DF69B7"/>
    <w:rsid w:val="00DF7BF3"/>
    <w:rsid w:val="00E00738"/>
    <w:rsid w:val="00E00F5C"/>
    <w:rsid w:val="00E0163F"/>
    <w:rsid w:val="00E01B16"/>
    <w:rsid w:val="00E01DE6"/>
    <w:rsid w:val="00E0229C"/>
    <w:rsid w:val="00E0304B"/>
    <w:rsid w:val="00E0341C"/>
    <w:rsid w:val="00E03C50"/>
    <w:rsid w:val="00E053F0"/>
    <w:rsid w:val="00E055B1"/>
    <w:rsid w:val="00E06030"/>
    <w:rsid w:val="00E068AB"/>
    <w:rsid w:val="00E06E33"/>
    <w:rsid w:val="00E0701F"/>
    <w:rsid w:val="00E079CC"/>
    <w:rsid w:val="00E10391"/>
    <w:rsid w:val="00E10803"/>
    <w:rsid w:val="00E124BE"/>
    <w:rsid w:val="00E125C4"/>
    <w:rsid w:val="00E126C9"/>
    <w:rsid w:val="00E12874"/>
    <w:rsid w:val="00E135FB"/>
    <w:rsid w:val="00E13A76"/>
    <w:rsid w:val="00E149D5"/>
    <w:rsid w:val="00E14BAC"/>
    <w:rsid w:val="00E159BF"/>
    <w:rsid w:val="00E164C3"/>
    <w:rsid w:val="00E16F7B"/>
    <w:rsid w:val="00E171E1"/>
    <w:rsid w:val="00E1797C"/>
    <w:rsid w:val="00E17D36"/>
    <w:rsid w:val="00E2135D"/>
    <w:rsid w:val="00E220EF"/>
    <w:rsid w:val="00E2232A"/>
    <w:rsid w:val="00E224A8"/>
    <w:rsid w:val="00E227A9"/>
    <w:rsid w:val="00E2288B"/>
    <w:rsid w:val="00E2365A"/>
    <w:rsid w:val="00E23B2E"/>
    <w:rsid w:val="00E23C1F"/>
    <w:rsid w:val="00E23E86"/>
    <w:rsid w:val="00E24858"/>
    <w:rsid w:val="00E24CF8"/>
    <w:rsid w:val="00E25BCA"/>
    <w:rsid w:val="00E25C49"/>
    <w:rsid w:val="00E30321"/>
    <w:rsid w:val="00E305D4"/>
    <w:rsid w:val="00E307AE"/>
    <w:rsid w:val="00E30CC8"/>
    <w:rsid w:val="00E32D6B"/>
    <w:rsid w:val="00E32F91"/>
    <w:rsid w:val="00E33E4C"/>
    <w:rsid w:val="00E34045"/>
    <w:rsid w:val="00E344A1"/>
    <w:rsid w:val="00E35044"/>
    <w:rsid w:val="00E35C52"/>
    <w:rsid w:val="00E35DAD"/>
    <w:rsid w:val="00E37BCD"/>
    <w:rsid w:val="00E403AC"/>
    <w:rsid w:val="00E40831"/>
    <w:rsid w:val="00E40CD7"/>
    <w:rsid w:val="00E41C62"/>
    <w:rsid w:val="00E42ACD"/>
    <w:rsid w:val="00E43875"/>
    <w:rsid w:val="00E44E17"/>
    <w:rsid w:val="00E44EC5"/>
    <w:rsid w:val="00E45E1D"/>
    <w:rsid w:val="00E47C7B"/>
    <w:rsid w:val="00E50464"/>
    <w:rsid w:val="00E50D50"/>
    <w:rsid w:val="00E51368"/>
    <w:rsid w:val="00E513C1"/>
    <w:rsid w:val="00E51D52"/>
    <w:rsid w:val="00E52ABA"/>
    <w:rsid w:val="00E537F6"/>
    <w:rsid w:val="00E537FA"/>
    <w:rsid w:val="00E53A4F"/>
    <w:rsid w:val="00E55006"/>
    <w:rsid w:val="00E5565C"/>
    <w:rsid w:val="00E55805"/>
    <w:rsid w:val="00E55D4D"/>
    <w:rsid w:val="00E56064"/>
    <w:rsid w:val="00E565C3"/>
    <w:rsid w:val="00E5730A"/>
    <w:rsid w:val="00E60B47"/>
    <w:rsid w:val="00E6129D"/>
    <w:rsid w:val="00E6184B"/>
    <w:rsid w:val="00E62487"/>
    <w:rsid w:val="00E62AA3"/>
    <w:rsid w:val="00E6353E"/>
    <w:rsid w:val="00E63DF0"/>
    <w:rsid w:val="00E63E55"/>
    <w:rsid w:val="00E641E1"/>
    <w:rsid w:val="00E65F7D"/>
    <w:rsid w:val="00E66FCC"/>
    <w:rsid w:val="00E66FF0"/>
    <w:rsid w:val="00E67877"/>
    <w:rsid w:val="00E709A1"/>
    <w:rsid w:val="00E70B1D"/>
    <w:rsid w:val="00E70B8F"/>
    <w:rsid w:val="00E70C37"/>
    <w:rsid w:val="00E70EEC"/>
    <w:rsid w:val="00E74A0F"/>
    <w:rsid w:val="00E74EF7"/>
    <w:rsid w:val="00E7511B"/>
    <w:rsid w:val="00E7559F"/>
    <w:rsid w:val="00E75786"/>
    <w:rsid w:val="00E75950"/>
    <w:rsid w:val="00E75C3E"/>
    <w:rsid w:val="00E77282"/>
    <w:rsid w:val="00E77C76"/>
    <w:rsid w:val="00E80442"/>
    <w:rsid w:val="00E8116F"/>
    <w:rsid w:val="00E82494"/>
    <w:rsid w:val="00E82530"/>
    <w:rsid w:val="00E82C04"/>
    <w:rsid w:val="00E835F8"/>
    <w:rsid w:val="00E840AD"/>
    <w:rsid w:val="00E84DBD"/>
    <w:rsid w:val="00E84FFF"/>
    <w:rsid w:val="00E8553F"/>
    <w:rsid w:val="00E85885"/>
    <w:rsid w:val="00E900CA"/>
    <w:rsid w:val="00E91227"/>
    <w:rsid w:val="00E91307"/>
    <w:rsid w:val="00E924F7"/>
    <w:rsid w:val="00E92FFF"/>
    <w:rsid w:val="00E9396B"/>
    <w:rsid w:val="00E946B9"/>
    <w:rsid w:val="00E950C8"/>
    <w:rsid w:val="00E95C72"/>
    <w:rsid w:val="00E96638"/>
    <w:rsid w:val="00E96ED7"/>
    <w:rsid w:val="00E97125"/>
    <w:rsid w:val="00E9787E"/>
    <w:rsid w:val="00E97BA9"/>
    <w:rsid w:val="00E97BEC"/>
    <w:rsid w:val="00EA1060"/>
    <w:rsid w:val="00EA137F"/>
    <w:rsid w:val="00EA18D1"/>
    <w:rsid w:val="00EA216E"/>
    <w:rsid w:val="00EA46A9"/>
    <w:rsid w:val="00EA4920"/>
    <w:rsid w:val="00EA4E28"/>
    <w:rsid w:val="00EA5169"/>
    <w:rsid w:val="00EA517B"/>
    <w:rsid w:val="00EA5303"/>
    <w:rsid w:val="00EA57D9"/>
    <w:rsid w:val="00EA5A1B"/>
    <w:rsid w:val="00EA759D"/>
    <w:rsid w:val="00EA7F47"/>
    <w:rsid w:val="00EB0C53"/>
    <w:rsid w:val="00EB135D"/>
    <w:rsid w:val="00EB1497"/>
    <w:rsid w:val="00EB1F96"/>
    <w:rsid w:val="00EB2790"/>
    <w:rsid w:val="00EB2B22"/>
    <w:rsid w:val="00EB4445"/>
    <w:rsid w:val="00EB549F"/>
    <w:rsid w:val="00EB566C"/>
    <w:rsid w:val="00EB59C8"/>
    <w:rsid w:val="00EB6A55"/>
    <w:rsid w:val="00EB6FA0"/>
    <w:rsid w:val="00EB7171"/>
    <w:rsid w:val="00EB7804"/>
    <w:rsid w:val="00EB7D4F"/>
    <w:rsid w:val="00EB7F0E"/>
    <w:rsid w:val="00EC0166"/>
    <w:rsid w:val="00EC0469"/>
    <w:rsid w:val="00EC1042"/>
    <w:rsid w:val="00EC1B2F"/>
    <w:rsid w:val="00EC32D9"/>
    <w:rsid w:val="00EC485A"/>
    <w:rsid w:val="00EC4CCE"/>
    <w:rsid w:val="00EC4F8D"/>
    <w:rsid w:val="00EC55AF"/>
    <w:rsid w:val="00EC62CB"/>
    <w:rsid w:val="00EC667F"/>
    <w:rsid w:val="00EC67F4"/>
    <w:rsid w:val="00EC6A76"/>
    <w:rsid w:val="00EC79F1"/>
    <w:rsid w:val="00ED00B9"/>
    <w:rsid w:val="00ED06A6"/>
    <w:rsid w:val="00ED16FC"/>
    <w:rsid w:val="00ED20C6"/>
    <w:rsid w:val="00ED2DC4"/>
    <w:rsid w:val="00ED3360"/>
    <w:rsid w:val="00ED37FE"/>
    <w:rsid w:val="00ED38A8"/>
    <w:rsid w:val="00ED41AE"/>
    <w:rsid w:val="00ED47BD"/>
    <w:rsid w:val="00EE1C7D"/>
    <w:rsid w:val="00EE282C"/>
    <w:rsid w:val="00EE3602"/>
    <w:rsid w:val="00EE4A60"/>
    <w:rsid w:val="00EE4B9A"/>
    <w:rsid w:val="00EE5870"/>
    <w:rsid w:val="00EE6EC7"/>
    <w:rsid w:val="00EF0013"/>
    <w:rsid w:val="00EF047B"/>
    <w:rsid w:val="00EF10FC"/>
    <w:rsid w:val="00EF2ABA"/>
    <w:rsid w:val="00EF2F5E"/>
    <w:rsid w:val="00EF4310"/>
    <w:rsid w:val="00EF514C"/>
    <w:rsid w:val="00EF5D85"/>
    <w:rsid w:val="00EF5ED8"/>
    <w:rsid w:val="00EF68EC"/>
    <w:rsid w:val="00F001FF"/>
    <w:rsid w:val="00F0063F"/>
    <w:rsid w:val="00F010BC"/>
    <w:rsid w:val="00F01200"/>
    <w:rsid w:val="00F02AA2"/>
    <w:rsid w:val="00F02B6A"/>
    <w:rsid w:val="00F03240"/>
    <w:rsid w:val="00F04DE0"/>
    <w:rsid w:val="00F04EA5"/>
    <w:rsid w:val="00F055FC"/>
    <w:rsid w:val="00F06368"/>
    <w:rsid w:val="00F066ED"/>
    <w:rsid w:val="00F06C57"/>
    <w:rsid w:val="00F06DF0"/>
    <w:rsid w:val="00F0718B"/>
    <w:rsid w:val="00F07373"/>
    <w:rsid w:val="00F10B8A"/>
    <w:rsid w:val="00F11B22"/>
    <w:rsid w:val="00F11C71"/>
    <w:rsid w:val="00F12267"/>
    <w:rsid w:val="00F13331"/>
    <w:rsid w:val="00F13624"/>
    <w:rsid w:val="00F15163"/>
    <w:rsid w:val="00F157CA"/>
    <w:rsid w:val="00F15BD3"/>
    <w:rsid w:val="00F15E99"/>
    <w:rsid w:val="00F166C9"/>
    <w:rsid w:val="00F1685F"/>
    <w:rsid w:val="00F16F69"/>
    <w:rsid w:val="00F217BD"/>
    <w:rsid w:val="00F2193F"/>
    <w:rsid w:val="00F22D8F"/>
    <w:rsid w:val="00F2319D"/>
    <w:rsid w:val="00F238E9"/>
    <w:rsid w:val="00F23982"/>
    <w:rsid w:val="00F23B3E"/>
    <w:rsid w:val="00F23F78"/>
    <w:rsid w:val="00F24819"/>
    <w:rsid w:val="00F24CC2"/>
    <w:rsid w:val="00F25104"/>
    <w:rsid w:val="00F25519"/>
    <w:rsid w:val="00F256DF"/>
    <w:rsid w:val="00F25EDB"/>
    <w:rsid w:val="00F25F10"/>
    <w:rsid w:val="00F2609F"/>
    <w:rsid w:val="00F2647B"/>
    <w:rsid w:val="00F26C69"/>
    <w:rsid w:val="00F273ED"/>
    <w:rsid w:val="00F31715"/>
    <w:rsid w:val="00F34220"/>
    <w:rsid w:val="00F347F3"/>
    <w:rsid w:val="00F3513A"/>
    <w:rsid w:val="00F35A97"/>
    <w:rsid w:val="00F36193"/>
    <w:rsid w:val="00F37142"/>
    <w:rsid w:val="00F372FF"/>
    <w:rsid w:val="00F4088B"/>
    <w:rsid w:val="00F414B8"/>
    <w:rsid w:val="00F41714"/>
    <w:rsid w:val="00F41AFA"/>
    <w:rsid w:val="00F41E1D"/>
    <w:rsid w:val="00F42DA7"/>
    <w:rsid w:val="00F44DD9"/>
    <w:rsid w:val="00F45302"/>
    <w:rsid w:val="00F4588F"/>
    <w:rsid w:val="00F46A42"/>
    <w:rsid w:val="00F46EB4"/>
    <w:rsid w:val="00F47456"/>
    <w:rsid w:val="00F51010"/>
    <w:rsid w:val="00F51BC6"/>
    <w:rsid w:val="00F51F0C"/>
    <w:rsid w:val="00F51F54"/>
    <w:rsid w:val="00F52257"/>
    <w:rsid w:val="00F52647"/>
    <w:rsid w:val="00F52B92"/>
    <w:rsid w:val="00F5352A"/>
    <w:rsid w:val="00F554D0"/>
    <w:rsid w:val="00F55BF1"/>
    <w:rsid w:val="00F55E4B"/>
    <w:rsid w:val="00F5612A"/>
    <w:rsid w:val="00F56291"/>
    <w:rsid w:val="00F57BA5"/>
    <w:rsid w:val="00F6030F"/>
    <w:rsid w:val="00F60478"/>
    <w:rsid w:val="00F605FC"/>
    <w:rsid w:val="00F60637"/>
    <w:rsid w:val="00F60EE1"/>
    <w:rsid w:val="00F633E4"/>
    <w:rsid w:val="00F65682"/>
    <w:rsid w:val="00F65C79"/>
    <w:rsid w:val="00F66242"/>
    <w:rsid w:val="00F6662E"/>
    <w:rsid w:val="00F67BA2"/>
    <w:rsid w:val="00F70898"/>
    <w:rsid w:val="00F712A3"/>
    <w:rsid w:val="00F716CF"/>
    <w:rsid w:val="00F71EC0"/>
    <w:rsid w:val="00F761C4"/>
    <w:rsid w:val="00F76276"/>
    <w:rsid w:val="00F763F1"/>
    <w:rsid w:val="00F76A98"/>
    <w:rsid w:val="00F8267D"/>
    <w:rsid w:val="00F82B9D"/>
    <w:rsid w:val="00F82C6D"/>
    <w:rsid w:val="00F857A7"/>
    <w:rsid w:val="00F859C0"/>
    <w:rsid w:val="00F85CBC"/>
    <w:rsid w:val="00F86483"/>
    <w:rsid w:val="00F86F29"/>
    <w:rsid w:val="00F8744E"/>
    <w:rsid w:val="00F87726"/>
    <w:rsid w:val="00F87C26"/>
    <w:rsid w:val="00F87CCE"/>
    <w:rsid w:val="00F90A04"/>
    <w:rsid w:val="00F93C96"/>
    <w:rsid w:val="00F93F72"/>
    <w:rsid w:val="00F965A1"/>
    <w:rsid w:val="00F969C8"/>
    <w:rsid w:val="00F979A6"/>
    <w:rsid w:val="00FA06FE"/>
    <w:rsid w:val="00FA073A"/>
    <w:rsid w:val="00FA08B6"/>
    <w:rsid w:val="00FA1404"/>
    <w:rsid w:val="00FA2399"/>
    <w:rsid w:val="00FA2EEE"/>
    <w:rsid w:val="00FA34A3"/>
    <w:rsid w:val="00FA3B58"/>
    <w:rsid w:val="00FA3F8E"/>
    <w:rsid w:val="00FA453C"/>
    <w:rsid w:val="00FA45EB"/>
    <w:rsid w:val="00FA46A6"/>
    <w:rsid w:val="00FA7773"/>
    <w:rsid w:val="00FA7788"/>
    <w:rsid w:val="00FA7E25"/>
    <w:rsid w:val="00FB183E"/>
    <w:rsid w:val="00FB19A9"/>
    <w:rsid w:val="00FB1DFC"/>
    <w:rsid w:val="00FB2D2C"/>
    <w:rsid w:val="00FB3284"/>
    <w:rsid w:val="00FB4AF6"/>
    <w:rsid w:val="00FB525A"/>
    <w:rsid w:val="00FB7AC4"/>
    <w:rsid w:val="00FC0E1E"/>
    <w:rsid w:val="00FC1F79"/>
    <w:rsid w:val="00FC3A0A"/>
    <w:rsid w:val="00FC3C2D"/>
    <w:rsid w:val="00FC3F2E"/>
    <w:rsid w:val="00FC489B"/>
    <w:rsid w:val="00FC679E"/>
    <w:rsid w:val="00FC73E7"/>
    <w:rsid w:val="00FD0727"/>
    <w:rsid w:val="00FD0BBF"/>
    <w:rsid w:val="00FD0D90"/>
    <w:rsid w:val="00FD194F"/>
    <w:rsid w:val="00FD1F03"/>
    <w:rsid w:val="00FD1F77"/>
    <w:rsid w:val="00FD287B"/>
    <w:rsid w:val="00FD3F99"/>
    <w:rsid w:val="00FD5658"/>
    <w:rsid w:val="00FD6047"/>
    <w:rsid w:val="00FD6A9E"/>
    <w:rsid w:val="00FD6B89"/>
    <w:rsid w:val="00FD6DC3"/>
    <w:rsid w:val="00FD7946"/>
    <w:rsid w:val="00FD795A"/>
    <w:rsid w:val="00FE1969"/>
    <w:rsid w:val="00FE1BAD"/>
    <w:rsid w:val="00FE1D35"/>
    <w:rsid w:val="00FE3524"/>
    <w:rsid w:val="00FE3B69"/>
    <w:rsid w:val="00FE4152"/>
    <w:rsid w:val="00FE5241"/>
    <w:rsid w:val="00FE78AF"/>
    <w:rsid w:val="00FF01FA"/>
    <w:rsid w:val="00FF0431"/>
    <w:rsid w:val="00FF1E1C"/>
    <w:rsid w:val="00FF2CD0"/>
    <w:rsid w:val="00FF2EB2"/>
    <w:rsid w:val="00FF302B"/>
    <w:rsid w:val="00FF4DAC"/>
    <w:rsid w:val="00FF51AC"/>
    <w:rsid w:val="00FF73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D1F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tabs>
        <w:tab w:val="num" w:pos="1985"/>
      </w:tabs>
      <w:ind w:left="1134"/>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21"/>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tabs>
        <w:tab w:val="num" w:pos="720"/>
      </w:tabs>
      <w:spacing w:before="0" w:after="0"/>
      <w:ind w:left="720" w:hanging="432"/>
    </w:pPr>
    <w:rPr>
      <w:b/>
    </w:rPr>
  </w:style>
  <w:style w:type="paragraph" w:customStyle="1" w:styleId="dotpoint">
    <w:name w:val="dot point"/>
    <w:basedOn w:val="Normal"/>
    <w:link w:val="dotpointChar"/>
    <w:rsid w:val="00C3452B"/>
    <w:pPr>
      <w:numPr>
        <w:numId w:val="4"/>
      </w:numPr>
    </w:pPr>
  </w:style>
  <w:style w:type="paragraph" w:customStyle="1" w:styleId="dotpoint2">
    <w:name w:val="dot point 2"/>
    <w:basedOn w:val="Normal"/>
    <w:rsid w:val="00C3452B"/>
    <w:pPr>
      <w:numPr>
        <w:ilvl w:val="1"/>
        <w:numId w:val="5"/>
      </w:numPr>
      <w:tabs>
        <w:tab w:val="num" w:pos="1080"/>
      </w:tabs>
    </w:pPr>
  </w:style>
  <w:style w:type="numbering" w:customStyle="1" w:styleId="DotPointList">
    <w:name w:val="Dot Point List"/>
    <w:uiPriority w:val="99"/>
    <w:rsid w:val="00C3452B"/>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6"/>
      </w:numPr>
      <w:spacing w:before="200" w:after="200"/>
    </w:pPr>
  </w:style>
  <w:style w:type="paragraph" w:customStyle="1" w:styleId="exampledotpoint2">
    <w:name w:val="example dot point 2"/>
    <w:basedOn w:val="exampletext"/>
    <w:rsid w:val="00C3452B"/>
    <w:pPr>
      <w:numPr>
        <w:ilvl w:val="1"/>
        <w:numId w:val="6"/>
      </w:numPr>
      <w:spacing w:before="200" w:after="200"/>
    </w:pPr>
  </w:style>
  <w:style w:type="numbering" w:customStyle="1" w:styleId="ExampleDotPointList">
    <w:name w:val="Example Dot Point List"/>
    <w:uiPriority w:val="99"/>
    <w:rsid w:val="00C3452B"/>
    <w:pPr>
      <w:numPr>
        <w:numId w:val="18"/>
      </w:numPr>
    </w:pPr>
  </w:style>
  <w:style w:type="paragraph" w:customStyle="1" w:styleId="ExampleHeading">
    <w:name w:val="Example Heading"/>
    <w:basedOn w:val="Normal"/>
    <w:next w:val="exampletext"/>
    <w:rsid w:val="00C3452B"/>
    <w:pPr>
      <w:keepNext/>
      <w:tabs>
        <w:tab w:val="num" w:pos="864"/>
      </w:tabs>
      <w:ind w:left="864" w:hanging="144"/>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7"/>
      </w:numPr>
    </w:pPr>
  </w:style>
  <w:style w:type="paragraph" w:styleId="ListBullet2">
    <w:name w:val="List Bullet 2"/>
    <w:basedOn w:val="Normal"/>
    <w:semiHidden/>
    <w:rsid w:val="00C3452B"/>
    <w:pPr>
      <w:numPr>
        <w:numId w:val="8"/>
      </w:numPr>
    </w:pPr>
  </w:style>
  <w:style w:type="paragraph" w:styleId="ListBullet3">
    <w:name w:val="List Bullet 3"/>
    <w:basedOn w:val="Normal"/>
    <w:semiHidden/>
    <w:rsid w:val="00C3452B"/>
    <w:pPr>
      <w:numPr>
        <w:numId w:val="9"/>
      </w:numPr>
    </w:pPr>
  </w:style>
  <w:style w:type="paragraph" w:styleId="ListBullet4">
    <w:name w:val="List Bullet 4"/>
    <w:basedOn w:val="Normal"/>
    <w:semiHidden/>
    <w:rsid w:val="00C3452B"/>
    <w:pPr>
      <w:numPr>
        <w:numId w:val="10"/>
      </w:numPr>
    </w:pPr>
  </w:style>
  <w:style w:type="paragraph" w:styleId="ListBullet5">
    <w:name w:val="List Bullet 5"/>
    <w:basedOn w:val="Normal"/>
    <w:semiHidden/>
    <w:rsid w:val="00C3452B"/>
    <w:pPr>
      <w:numPr>
        <w:numId w:val="11"/>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2"/>
      </w:numPr>
    </w:pPr>
  </w:style>
  <w:style w:type="paragraph" w:styleId="ListNumber2">
    <w:name w:val="List Number 2"/>
    <w:basedOn w:val="Normal"/>
    <w:semiHidden/>
    <w:rsid w:val="00C3452B"/>
    <w:pPr>
      <w:numPr>
        <w:numId w:val="13"/>
      </w:numPr>
    </w:pPr>
  </w:style>
  <w:style w:type="paragraph" w:styleId="ListNumber3">
    <w:name w:val="List Number 3"/>
    <w:basedOn w:val="Normal"/>
    <w:semiHidden/>
    <w:rsid w:val="00C3452B"/>
    <w:pPr>
      <w:numPr>
        <w:numId w:val="14"/>
      </w:numPr>
    </w:pPr>
  </w:style>
  <w:style w:type="paragraph" w:styleId="ListNumber4">
    <w:name w:val="List Number 4"/>
    <w:basedOn w:val="Normal"/>
    <w:semiHidden/>
    <w:rsid w:val="00C3452B"/>
    <w:pPr>
      <w:numPr>
        <w:numId w:val="15"/>
      </w:numPr>
    </w:pPr>
  </w:style>
  <w:style w:type="paragraph" w:styleId="ListNumber5">
    <w:name w:val="List Number 5"/>
    <w:basedOn w:val="Normal"/>
    <w:semiHidden/>
    <w:rsid w:val="00C3452B"/>
    <w:pPr>
      <w:numPr>
        <w:numId w:val="16"/>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7"/>
      </w:numPr>
    </w:pPr>
  </w:style>
  <w:style w:type="paragraph" w:customStyle="1" w:styleId="tabledotpoint2">
    <w:name w:val="table dot point 2"/>
    <w:basedOn w:val="tabletext"/>
    <w:rsid w:val="00C3452B"/>
    <w:pPr>
      <w:numPr>
        <w:ilvl w:val="1"/>
        <w:numId w:val="17"/>
      </w:numPr>
    </w:pPr>
  </w:style>
  <w:style w:type="numbering" w:customStyle="1" w:styleId="TableDotPointList">
    <w:name w:val="Table Dot Point List"/>
    <w:uiPriority w:val="99"/>
    <w:rsid w:val="00C3452B"/>
    <w:pPr>
      <w:numPr>
        <w:numId w:val="17"/>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tabs>
        <w:tab w:val="num" w:pos="360"/>
        <w:tab w:val="num" w:pos="1008"/>
      </w:tabs>
      <w:ind w:left="1008" w:hanging="432"/>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8B40E4"/>
    <w:pPr>
      <w:numPr>
        <w:numId w:val="20"/>
      </w:numPr>
    </w:pPr>
  </w:style>
  <w:style w:type="character" w:customStyle="1" w:styleId="BulletChar">
    <w:name w:val="Bullet Char"/>
    <w:basedOn w:val="base-text-paragraphChar"/>
    <w:link w:val="Bullet"/>
    <w:rsid w:val="008B40E4"/>
    <w:rPr>
      <w:rFonts w:ascii="Times New Roman" w:eastAsia="Times New Roman" w:hAnsi="Times New Roman" w:cs="Times New Roman"/>
      <w:szCs w:val="20"/>
      <w:lang w:eastAsia="en-AU"/>
    </w:rPr>
  </w:style>
  <w:style w:type="paragraph" w:customStyle="1" w:styleId="Dash">
    <w:name w:val="Dash"/>
    <w:basedOn w:val="Normal"/>
    <w:link w:val="DashChar"/>
    <w:rsid w:val="008B40E4"/>
    <w:pPr>
      <w:numPr>
        <w:ilvl w:val="1"/>
        <w:numId w:val="20"/>
      </w:numPr>
    </w:pPr>
  </w:style>
  <w:style w:type="character" w:customStyle="1" w:styleId="DashChar">
    <w:name w:val="Dash Char"/>
    <w:basedOn w:val="base-text-paragraphChar"/>
    <w:link w:val="Dash"/>
    <w:rsid w:val="008B40E4"/>
    <w:rPr>
      <w:rFonts w:ascii="Times New Roman" w:eastAsia="Times New Roman" w:hAnsi="Times New Roman" w:cs="Times New Roman"/>
      <w:szCs w:val="20"/>
      <w:lang w:eastAsia="en-AU"/>
    </w:rPr>
  </w:style>
  <w:style w:type="paragraph" w:customStyle="1" w:styleId="DoubleDot">
    <w:name w:val="Double Dot"/>
    <w:basedOn w:val="Normal"/>
    <w:link w:val="DoubleDotChar"/>
    <w:rsid w:val="008B40E4"/>
    <w:pPr>
      <w:numPr>
        <w:ilvl w:val="2"/>
        <w:numId w:val="20"/>
      </w:numPr>
    </w:pPr>
  </w:style>
  <w:style w:type="character" w:customStyle="1" w:styleId="DoubleDotChar">
    <w:name w:val="Double Dot Char"/>
    <w:basedOn w:val="base-text-paragraphChar"/>
    <w:link w:val="DoubleDot"/>
    <w:rsid w:val="008B40E4"/>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0161E0"/>
    <w:rPr>
      <w:sz w:val="16"/>
      <w:szCs w:val="16"/>
    </w:rPr>
  </w:style>
  <w:style w:type="paragraph" w:styleId="CommentText">
    <w:name w:val="annotation text"/>
    <w:basedOn w:val="Normal"/>
    <w:link w:val="CommentTextChar"/>
    <w:uiPriority w:val="99"/>
    <w:unhideWhenUsed/>
    <w:rsid w:val="000161E0"/>
    <w:rPr>
      <w:sz w:val="20"/>
    </w:rPr>
  </w:style>
  <w:style w:type="character" w:customStyle="1" w:styleId="CommentTextChar">
    <w:name w:val="Comment Text Char"/>
    <w:basedOn w:val="DefaultParagraphFont"/>
    <w:link w:val="CommentText"/>
    <w:uiPriority w:val="99"/>
    <w:rsid w:val="000161E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161E0"/>
    <w:rPr>
      <w:b/>
      <w:bCs/>
    </w:rPr>
  </w:style>
  <w:style w:type="character" w:customStyle="1" w:styleId="CommentSubjectChar">
    <w:name w:val="Comment Subject Char"/>
    <w:basedOn w:val="CommentTextChar"/>
    <w:link w:val="CommentSubject"/>
    <w:uiPriority w:val="99"/>
    <w:semiHidden/>
    <w:rsid w:val="000161E0"/>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161E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E0"/>
    <w:rPr>
      <w:rFonts w:ascii="Segoe UI" w:eastAsia="Times New Roman" w:hAnsi="Segoe UI" w:cs="Segoe UI"/>
      <w:sz w:val="18"/>
      <w:szCs w:val="18"/>
      <w:lang w:eastAsia="en-AU"/>
    </w:rPr>
  </w:style>
  <w:style w:type="paragraph" w:styleId="Revision">
    <w:name w:val="Revision"/>
    <w:hidden/>
    <w:uiPriority w:val="99"/>
    <w:semiHidden/>
    <w:rsid w:val="00D80610"/>
    <w:pPr>
      <w:spacing w:after="0" w:line="240" w:lineRule="auto"/>
    </w:pPr>
    <w:rPr>
      <w:rFonts w:ascii="Times New Roman" w:eastAsia="Times New Roman" w:hAnsi="Times New Roman" w:cs="Times New Roman"/>
      <w:szCs w:val="20"/>
      <w:lang w:eastAsia="en-AU"/>
    </w:rPr>
  </w:style>
  <w:style w:type="paragraph" w:styleId="TOC9">
    <w:name w:val="toc 9"/>
    <w:basedOn w:val="Normal"/>
    <w:next w:val="Normal"/>
    <w:autoRedefine/>
    <w:uiPriority w:val="39"/>
    <w:unhideWhenUsed/>
    <w:rsid w:val="00642D6B"/>
    <w:pPr>
      <w:spacing w:after="100"/>
      <w:ind w:left="1760"/>
    </w:pPr>
  </w:style>
  <w:style w:type="paragraph" w:customStyle="1" w:styleId="BoxHeadBold">
    <w:name w:val="BoxHeadBold"/>
    <w:aliases w:val="bhb"/>
    <w:basedOn w:val="Normal"/>
    <w:next w:val="Normal"/>
    <w:qFormat/>
    <w:rsid w:val="00642D6B"/>
    <w:pPr>
      <w:pBdr>
        <w:top w:val="single" w:sz="6" w:space="5" w:color="auto"/>
        <w:left w:val="single" w:sz="6" w:space="5" w:color="auto"/>
        <w:bottom w:val="single" w:sz="6" w:space="5" w:color="auto"/>
        <w:right w:val="single" w:sz="6" w:space="5" w:color="auto"/>
      </w:pBdr>
      <w:spacing w:before="240" w:after="0"/>
      <w:ind w:left="1134"/>
    </w:pPr>
    <w:rPr>
      <w:b/>
    </w:rPr>
  </w:style>
  <w:style w:type="numbering" w:customStyle="1" w:styleId="ExampleDotPointList1">
    <w:name w:val="Example Dot Point List1"/>
    <w:uiPriority w:val="99"/>
    <w:rsid w:val="004D7E24"/>
    <w:pPr>
      <w:numPr>
        <w:numId w:val="2"/>
      </w:numPr>
    </w:pPr>
  </w:style>
  <w:style w:type="character" w:customStyle="1" w:styleId="dotpointChar">
    <w:name w:val="dot point Char"/>
    <w:basedOn w:val="DefaultParagraphFont"/>
    <w:link w:val="dotpoint"/>
    <w:rsid w:val="000D53C8"/>
    <w:rPr>
      <w:rFonts w:ascii="Times New Roman" w:eastAsia="Times New Roman" w:hAnsi="Times New Roman" w:cs="Times New Roman"/>
      <w:szCs w:val="20"/>
      <w:lang w:eastAsia="en-AU"/>
    </w:rPr>
  </w:style>
  <w:style w:type="paragraph" w:customStyle="1" w:styleId="OutlineNumbered1">
    <w:name w:val="Outline Numbered 1"/>
    <w:basedOn w:val="Normal"/>
    <w:link w:val="OutlineNumbered1Char"/>
    <w:rsid w:val="00733B10"/>
    <w:pPr>
      <w:numPr>
        <w:numId w:val="31"/>
      </w:numPr>
    </w:pPr>
  </w:style>
  <w:style w:type="character" w:customStyle="1" w:styleId="OutlineNumbered1Char">
    <w:name w:val="Outline Numbered 1 Char"/>
    <w:basedOn w:val="base-text-paragraphChar"/>
    <w:link w:val="OutlineNumbered1"/>
    <w:rsid w:val="00733B10"/>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733B10"/>
    <w:pPr>
      <w:numPr>
        <w:ilvl w:val="1"/>
        <w:numId w:val="31"/>
      </w:numPr>
    </w:pPr>
  </w:style>
  <w:style w:type="character" w:customStyle="1" w:styleId="OutlineNumbered2Char">
    <w:name w:val="Outline Numbered 2 Char"/>
    <w:basedOn w:val="base-text-paragraphChar"/>
    <w:link w:val="OutlineNumbered2"/>
    <w:rsid w:val="00733B10"/>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733B10"/>
    <w:pPr>
      <w:numPr>
        <w:ilvl w:val="2"/>
        <w:numId w:val="31"/>
      </w:numPr>
    </w:pPr>
  </w:style>
  <w:style w:type="character" w:customStyle="1" w:styleId="OutlineNumbered3Char">
    <w:name w:val="Outline Numbered 3 Char"/>
    <w:basedOn w:val="base-text-paragraphChar"/>
    <w:link w:val="OutlineNumbered3"/>
    <w:rsid w:val="00733B10"/>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37470">
      <w:bodyDiv w:val="1"/>
      <w:marLeft w:val="0"/>
      <w:marRight w:val="0"/>
      <w:marTop w:val="0"/>
      <w:marBottom w:val="0"/>
      <w:divBdr>
        <w:top w:val="none" w:sz="0" w:space="0" w:color="auto"/>
        <w:left w:val="none" w:sz="0" w:space="0" w:color="auto"/>
        <w:bottom w:val="none" w:sz="0" w:space="0" w:color="auto"/>
        <w:right w:val="none" w:sz="0" w:space="0" w:color="auto"/>
      </w:divBdr>
    </w:div>
    <w:div w:id="1606577955">
      <w:bodyDiv w:val="1"/>
      <w:marLeft w:val="0"/>
      <w:marRight w:val="0"/>
      <w:marTop w:val="0"/>
      <w:marBottom w:val="0"/>
      <w:divBdr>
        <w:top w:val="none" w:sz="0" w:space="0" w:color="auto"/>
        <w:left w:val="none" w:sz="0" w:space="0" w:color="auto"/>
        <w:bottom w:val="none" w:sz="0" w:space="0" w:color="auto"/>
        <w:right w:val="none" w:sz="0" w:space="0" w:color="auto"/>
      </w:divBdr>
      <w:divsChild>
        <w:div w:id="1005597158">
          <w:marLeft w:val="0"/>
          <w:marRight w:val="0"/>
          <w:marTop w:val="0"/>
          <w:marBottom w:val="0"/>
          <w:divBdr>
            <w:top w:val="none" w:sz="0" w:space="0" w:color="auto"/>
            <w:left w:val="none" w:sz="0" w:space="0" w:color="auto"/>
            <w:bottom w:val="none" w:sz="0" w:space="0" w:color="auto"/>
            <w:right w:val="none" w:sz="0" w:space="0" w:color="auto"/>
          </w:divBdr>
          <w:divsChild>
            <w:div w:id="1630015320">
              <w:marLeft w:val="0"/>
              <w:marRight w:val="0"/>
              <w:marTop w:val="0"/>
              <w:marBottom w:val="0"/>
              <w:divBdr>
                <w:top w:val="none" w:sz="0" w:space="0" w:color="auto"/>
                <w:left w:val="none" w:sz="0" w:space="0" w:color="auto"/>
                <w:bottom w:val="none" w:sz="0" w:space="0" w:color="auto"/>
                <w:right w:val="none" w:sz="0" w:space="0" w:color="auto"/>
              </w:divBdr>
              <w:divsChild>
                <w:div w:id="1727533547">
                  <w:marLeft w:val="0"/>
                  <w:marRight w:val="0"/>
                  <w:marTop w:val="0"/>
                  <w:marBottom w:val="0"/>
                  <w:divBdr>
                    <w:top w:val="none" w:sz="0" w:space="0" w:color="auto"/>
                    <w:left w:val="none" w:sz="0" w:space="0" w:color="auto"/>
                    <w:bottom w:val="none" w:sz="0" w:space="0" w:color="auto"/>
                    <w:right w:val="none" w:sz="0" w:space="0" w:color="auto"/>
                  </w:divBdr>
                  <w:divsChild>
                    <w:div w:id="210266325">
                      <w:marLeft w:val="0"/>
                      <w:marRight w:val="0"/>
                      <w:marTop w:val="0"/>
                      <w:marBottom w:val="0"/>
                      <w:divBdr>
                        <w:top w:val="none" w:sz="0" w:space="0" w:color="auto"/>
                        <w:left w:val="none" w:sz="0" w:space="0" w:color="auto"/>
                        <w:bottom w:val="none" w:sz="0" w:space="0" w:color="auto"/>
                        <w:right w:val="none" w:sz="0" w:space="0" w:color="auto"/>
                      </w:divBdr>
                      <w:divsChild>
                        <w:div w:id="1246064768">
                          <w:marLeft w:val="0"/>
                          <w:marRight w:val="0"/>
                          <w:marTop w:val="0"/>
                          <w:marBottom w:val="0"/>
                          <w:divBdr>
                            <w:top w:val="none" w:sz="0" w:space="0" w:color="auto"/>
                            <w:left w:val="none" w:sz="0" w:space="0" w:color="auto"/>
                            <w:bottom w:val="none" w:sz="0" w:space="0" w:color="auto"/>
                            <w:right w:val="none" w:sz="0" w:space="0" w:color="auto"/>
                          </w:divBdr>
                          <w:divsChild>
                            <w:div w:id="234512726">
                              <w:marLeft w:val="0"/>
                              <w:marRight w:val="0"/>
                              <w:marTop w:val="0"/>
                              <w:marBottom w:val="0"/>
                              <w:divBdr>
                                <w:top w:val="none" w:sz="0" w:space="0" w:color="auto"/>
                                <w:left w:val="none" w:sz="0" w:space="0" w:color="auto"/>
                                <w:bottom w:val="none" w:sz="0" w:space="0" w:color="auto"/>
                                <w:right w:val="none" w:sz="0" w:space="0" w:color="auto"/>
                              </w:divBdr>
                              <w:divsChild>
                                <w:div w:id="418066459">
                                  <w:marLeft w:val="0"/>
                                  <w:marRight w:val="0"/>
                                  <w:marTop w:val="0"/>
                                  <w:marBottom w:val="0"/>
                                  <w:divBdr>
                                    <w:top w:val="none" w:sz="0" w:space="0" w:color="auto"/>
                                    <w:left w:val="none" w:sz="0" w:space="0" w:color="auto"/>
                                    <w:bottom w:val="none" w:sz="0" w:space="0" w:color="auto"/>
                                    <w:right w:val="none" w:sz="0" w:space="0" w:color="auto"/>
                                  </w:divBdr>
                                  <w:divsChild>
                                    <w:div w:id="1691249795">
                                      <w:marLeft w:val="0"/>
                                      <w:marRight w:val="0"/>
                                      <w:marTop w:val="0"/>
                                      <w:marBottom w:val="0"/>
                                      <w:divBdr>
                                        <w:top w:val="none" w:sz="0" w:space="0" w:color="auto"/>
                                        <w:left w:val="none" w:sz="0" w:space="0" w:color="auto"/>
                                        <w:bottom w:val="none" w:sz="0" w:space="0" w:color="auto"/>
                                        <w:right w:val="none" w:sz="0" w:space="0" w:color="auto"/>
                                      </w:divBdr>
                                      <w:divsChild>
                                        <w:div w:id="397367628">
                                          <w:marLeft w:val="0"/>
                                          <w:marRight w:val="0"/>
                                          <w:marTop w:val="0"/>
                                          <w:marBottom w:val="0"/>
                                          <w:divBdr>
                                            <w:top w:val="none" w:sz="0" w:space="0" w:color="auto"/>
                                            <w:left w:val="none" w:sz="0" w:space="0" w:color="auto"/>
                                            <w:bottom w:val="none" w:sz="0" w:space="0" w:color="auto"/>
                                            <w:right w:val="none" w:sz="0" w:space="0" w:color="auto"/>
                                          </w:divBdr>
                                          <w:divsChild>
                                            <w:div w:id="552739666">
                                              <w:marLeft w:val="0"/>
                                              <w:marRight w:val="0"/>
                                              <w:marTop w:val="0"/>
                                              <w:marBottom w:val="0"/>
                                              <w:divBdr>
                                                <w:top w:val="none" w:sz="0" w:space="0" w:color="auto"/>
                                                <w:left w:val="none" w:sz="0" w:space="0" w:color="auto"/>
                                                <w:bottom w:val="none" w:sz="0" w:space="0" w:color="auto"/>
                                                <w:right w:val="none" w:sz="0" w:space="0" w:color="auto"/>
                                              </w:divBdr>
                                              <w:divsChild>
                                                <w:div w:id="524365361">
                                                  <w:marLeft w:val="0"/>
                                                  <w:marRight w:val="0"/>
                                                  <w:marTop w:val="0"/>
                                                  <w:marBottom w:val="0"/>
                                                  <w:divBdr>
                                                    <w:top w:val="none" w:sz="0" w:space="0" w:color="auto"/>
                                                    <w:left w:val="none" w:sz="0" w:space="0" w:color="auto"/>
                                                    <w:bottom w:val="none" w:sz="0" w:space="0" w:color="auto"/>
                                                    <w:right w:val="none" w:sz="0" w:space="0" w:color="auto"/>
                                                  </w:divBdr>
                                                  <w:divsChild>
                                                    <w:div w:id="1403017383">
                                                      <w:marLeft w:val="0"/>
                                                      <w:marRight w:val="0"/>
                                                      <w:marTop w:val="0"/>
                                                      <w:marBottom w:val="0"/>
                                                      <w:divBdr>
                                                        <w:top w:val="none" w:sz="0" w:space="0" w:color="auto"/>
                                                        <w:left w:val="none" w:sz="0" w:space="0" w:color="auto"/>
                                                        <w:bottom w:val="none" w:sz="0" w:space="0" w:color="auto"/>
                                                        <w:right w:val="none" w:sz="0" w:space="0" w:color="auto"/>
                                                      </w:divBdr>
                                                      <w:divsChild>
                                                        <w:div w:id="18342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8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8.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47</Value>
      <Value>26</Value>
      <Value>25</Value>
      <Value>24</Value>
      <Value>23</Value>
      <Value>22</Value>
    </TaxCatchAll>
    <_dlc_DocId xmlns="0f563589-9cf9-4143-b1eb-fb0534803d38">2021A6EXK24D-1309233397-1178</_dlc_DocId>
    <_dlc_DocIdUrl xmlns="0f563589-9cf9-4143-b1eb-fb0534803d38">
      <Url>http://tweb/sites/fsr/provacc/_layouts/15/DocIdRedir.aspx?ID=2021A6EXK24D-1309233397-1178</Url>
      <Description>2021A6EXK24D-1309233397-1178</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6.6</TermName>
          <TermId xmlns="http://schemas.microsoft.com/office/infopath/2007/PartnerControls">3296c9de-03f6-4e61-a090-d2ef38ecb93a</TermId>
        </TermInfo>
        <TermInfo xmlns="http://schemas.microsoft.com/office/infopath/2007/PartnerControls">
          <TermName xmlns="http://schemas.microsoft.com/office/infopath/2007/PartnerControls">RC 6.7</TermName>
          <TermId xmlns="http://schemas.microsoft.com/office/infopath/2007/PartnerControls">92b84b59-58c7-4a4d-91e1-727ccf6ca8f2</TermId>
        </TermInfo>
        <TermInfo xmlns="http://schemas.microsoft.com/office/infopath/2007/PartnerControls">
          <TermName xmlns="http://schemas.microsoft.com/office/infopath/2007/PartnerControls">RC 6.8</TermName>
          <TermId xmlns="http://schemas.microsoft.com/office/infopath/2007/PartnerControls">33692db0-0b60-4380-9ad6-fd7ac2e636c0</TermId>
        </TermInfo>
        <TermInfo xmlns="http://schemas.microsoft.com/office/infopath/2007/PartnerControls">
          <TermName xmlns="http://schemas.microsoft.com/office/infopath/2007/PartnerControls">RC 3.9</TermName>
          <TermId xmlns="http://schemas.microsoft.com/office/infopath/2007/PartnerControls">bca96f00-36f9-4714-8ea8-dbbe16a25705</TermId>
        </TermInfo>
        <TermInfo xmlns="http://schemas.microsoft.com/office/infopath/2007/PartnerControls">
          <TermName xmlns="http://schemas.microsoft.com/office/infopath/2007/PartnerControls">RC 4.12</TermName>
          <TermId xmlns="http://schemas.microsoft.com/office/infopath/2007/PartnerControls">6bf6ec63-2084-4733-933d-8573aa6f132f</TermId>
        </TermInfo>
      </Terms>
    </mad6820d043c45bdbfaec06364038ba1>
    <TaxKeywordTaxHTField xmlns="0f563589-9cf9-4143-b1eb-fb0534803d38">
      <Terms xmlns="http://schemas.microsoft.com/office/infopath/2007/PartnerControls"/>
    </TaxKeywordTaxHTFiel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C9935920186E29438124793EC8066D62" ma:contentTypeVersion="21004" ma:contentTypeDescription="" ma:contentTypeScope="" ma:versionID="f97aa80db68954ba3e5bedd05fbbf2f2">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2EC228E-93AD-4F98-8FDD-5BC0EA0A6AF0}">
  <ds:schemaRefs>
    <ds:schemaRef ds:uri="http://schemas.microsoft.com/sharepoint/v3/contenttype/forms"/>
  </ds:schemaRefs>
</ds:datastoreItem>
</file>

<file path=customXml/itemProps2.xml><?xml version="1.0" encoding="utf-8"?>
<ds:datastoreItem xmlns:ds="http://schemas.openxmlformats.org/officeDocument/2006/customXml" ds:itemID="{547E275E-C392-4A7B-95F7-DDEDD2993046}">
  <ds:schemaRefs>
    <ds:schemaRef ds:uri="office.server.policy"/>
  </ds:schemaRefs>
</ds:datastoreItem>
</file>

<file path=customXml/itemProps3.xml><?xml version="1.0" encoding="utf-8"?>
<ds:datastoreItem xmlns:ds="http://schemas.openxmlformats.org/officeDocument/2006/customXml" ds:itemID="{6F11F7D2-2A3F-422B-B4FF-4A3CADACD4DF}">
  <ds:schemaRefs>
    <ds:schemaRef ds:uri="Microsoft.SharePoint.Taxonomy.ContentTypeSync"/>
  </ds:schemaRefs>
</ds:datastoreItem>
</file>

<file path=customXml/itemProps4.xml><?xml version="1.0" encoding="utf-8"?>
<ds:datastoreItem xmlns:ds="http://schemas.openxmlformats.org/officeDocument/2006/customXml" ds:itemID="{F3F7C0DB-3983-473B-822A-7860FA96B626}">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a3f3b895-a12d-40ed-bbf9-82c550ef3149"/>
    <ds:schemaRef ds:uri="http://www.w3.org/XML/1998/namespace"/>
    <ds:schemaRef ds:uri="http://purl.org/dc/dcmitype/"/>
  </ds:schemaRefs>
</ds:datastoreItem>
</file>

<file path=customXml/itemProps5.xml><?xml version="1.0" encoding="utf-8"?>
<ds:datastoreItem xmlns:ds="http://schemas.openxmlformats.org/officeDocument/2006/customXml" ds:itemID="{CEF0D73F-3EA7-4E9D-B596-AD1DE9449C6C}">
  <ds:schemaRefs>
    <ds:schemaRef ds:uri="http://schemas.microsoft.com/sharepoint/events"/>
  </ds:schemaRefs>
</ds:datastoreItem>
</file>

<file path=customXml/itemProps6.xml><?xml version="1.0" encoding="utf-8"?>
<ds:datastoreItem xmlns:ds="http://schemas.openxmlformats.org/officeDocument/2006/customXml" ds:itemID="{E576E7C1-EC78-443A-9905-89388CA4A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9C04E69-E72F-4220-BA19-9B44395266FD}">
  <ds:schemaRefs>
    <ds:schemaRef ds:uri="http://schemas.openxmlformats.org/officeDocument/2006/bibliography"/>
  </ds:schemaRefs>
</ds:datastoreItem>
</file>

<file path=customXml/itemProps8.xml><?xml version="1.0" encoding="utf-8"?>
<ds:datastoreItem xmlns:ds="http://schemas.openxmlformats.org/officeDocument/2006/customXml" ds:itemID="{17BE01C4-8CC7-4A84-AD2F-6A3257F2E64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Consultation Explanatory Materials</vt:lpstr>
    </vt:vector>
  </TitlesOfParts>
  <Company/>
  <LinksUpToDate>false</LinksUpToDate>
  <CharactersWithSpaces>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Explanatory Materials</dc:title>
  <dc:subject>Financial Accountability Regime (Consequential Amendments and Transitional Provisions) Bill 2021</dc:subject>
  <dc:creator/>
  <cp:keywords/>
  <dc:description/>
  <cp:lastModifiedBy/>
  <cp:revision>1</cp:revision>
  <dcterms:created xsi:type="dcterms:W3CDTF">2021-09-02T04:09:00Z</dcterms:created>
  <dcterms:modified xsi:type="dcterms:W3CDTF">2021-09-02T04:09:00Z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0x010100BCBF50F8A60B9C40BFC256C0F7AAB54B00C81BF210190AB64590C7FB729413019E00C9935920186E29438124793EC8066D62</vt:lpwstr>
  </property>
  <property fmtid="{D5CDD505-2E9C-101B-9397-08002B2CF9AE}" pid="3" name="TSYTopic">
    <vt:lpwstr/>
  </property>
  <property fmtid="{D5CDD505-2E9C-101B-9397-08002B2CF9AE}" pid="4" name="TSYRecordClass">
    <vt:lpwstr>47;#TSY RA-9236 - Retain as national archives|c6a225b4-6b93-473e-bcbb-6bc6ab25b623</vt:lpwstr>
  </property>
  <property fmtid="{D5CDD505-2E9C-101B-9397-08002B2CF9AE}" pid="5" name="_dlc_DocIdItemGuid">
    <vt:lpwstr>5a59dd04-183f-4104-8818-d6b6ccbb35d1</vt:lpwstr>
  </property>
  <property fmtid="{D5CDD505-2E9C-101B-9397-08002B2CF9AE}" pid="6" name="lb508a4dc5e84436a0fe496b536466aa">
    <vt:lpwstr>TSY RA-9236 - Retain as national archives|c6a225b4-6b93-473e-bcbb-6bc6ab25b623</vt:lpwstr>
  </property>
  <property fmtid="{D5CDD505-2E9C-101B-9397-08002B2CF9AE}" pid="7" name="Recommendation number/s">
    <vt:lpwstr>22;#RC 6.6|3296c9de-03f6-4e61-a090-d2ef38ecb93a;#23;#RC 6.7|92b84b59-58c7-4a4d-91e1-727ccf6ca8f2;#24;#RC 6.8|33692db0-0b60-4380-9ad6-fd7ac2e636c0;#25;#RC 3.9|bca96f00-36f9-4714-8ea8-dbbe16a25705;#26;#RC 4.12|6bf6ec63-2084-4733-933d-8573aa6f132f</vt:lpwstr>
  </property>
  <property fmtid="{D5CDD505-2E9C-101B-9397-08002B2CF9AE}" pid="8" name="TaxKeyword">
    <vt:lpwstr/>
  </property>
</Properties>
</file>