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26B45" w14:textId="2700B584" w:rsidR="00F012EA" w:rsidRPr="00DD5DF9" w:rsidRDefault="00F012EA" w:rsidP="008B271B">
      <w:pPr>
        <w:pStyle w:val="SingleParagraph"/>
      </w:pPr>
      <w:bookmarkStart w:id="0" w:name="_GoBack"/>
      <w:bookmarkEnd w:id="0"/>
    </w:p>
    <w:p w14:paraId="323EB374" w14:textId="77777777" w:rsidR="000464B6" w:rsidRDefault="000464B6" w:rsidP="00F012EA">
      <w:pPr>
        <w:pStyle w:val="AuthorName"/>
        <w:rPr>
          <w:szCs w:val="24"/>
        </w:rPr>
      </w:pPr>
    </w:p>
    <w:p w14:paraId="2A774946" w14:textId="77777777" w:rsidR="006C066C" w:rsidRDefault="006C066C" w:rsidP="00F012EA">
      <w:pPr>
        <w:pStyle w:val="AuthorName"/>
        <w:rPr>
          <w:szCs w:val="24"/>
        </w:rPr>
        <w:sectPr w:rsidR="006C066C" w:rsidSect="00B93F12">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907" w:footer="737" w:gutter="0"/>
          <w:cols w:space="708"/>
          <w:titlePg/>
          <w:docGrid w:linePitch="360"/>
        </w:sectPr>
      </w:pPr>
    </w:p>
    <w:p w14:paraId="41FF200A" w14:textId="757D2844" w:rsidR="00DB4A59" w:rsidRPr="00DB4A59" w:rsidRDefault="00DB4A59" w:rsidP="00DB4A59">
      <w:pPr>
        <w:spacing w:before="1920" w:line="680" w:lineRule="exact"/>
        <w:ind w:left="1134"/>
        <w:rPr>
          <w:b/>
          <w:bCs/>
          <w:color w:val="002C47" w:themeColor="accent1"/>
          <w:sz w:val="68"/>
          <w:szCs w:val="68"/>
        </w:rPr>
      </w:pPr>
      <w:bookmarkStart w:id="1" w:name="_Hlk83738428"/>
      <w:r w:rsidRPr="00DB4A59">
        <w:rPr>
          <w:b/>
          <w:bCs/>
          <w:color w:val="002C47" w:themeColor="accent1"/>
          <w:sz w:val="68"/>
          <w:szCs w:val="68"/>
        </w:rPr>
        <w:lastRenderedPageBreak/>
        <w:t xml:space="preserve">Insights from the </w:t>
      </w:r>
      <w:r w:rsidRPr="00DB4A59">
        <w:rPr>
          <w:b/>
          <w:bCs/>
          <w:color w:val="002C47" w:themeColor="accent1"/>
          <w:sz w:val="68"/>
          <w:szCs w:val="68"/>
        </w:rPr>
        <w:br/>
        <w:t xml:space="preserve">first six months of </w:t>
      </w:r>
      <w:r w:rsidRPr="00DB4A59">
        <w:rPr>
          <w:b/>
          <w:bCs/>
          <w:color w:val="002C47" w:themeColor="accent1"/>
          <w:sz w:val="68"/>
          <w:szCs w:val="68"/>
        </w:rPr>
        <w:br/>
        <w:t>JobKeeper</w:t>
      </w:r>
      <w:bookmarkEnd w:id="1"/>
    </w:p>
    <w:p w14:paraId="20750AA5" w14:textId="2D6B4E26" w:rsidR="00DB4A59" w:rsidRPr="00DB4A59" w:rsidRDefault="00061EC6" w:rsidP="00DB4A59">
      <w:pPr>
        <w:spacing w:before="240"/>
        <w:ind w:left="1134"/>
        <w:rPr>
          <w:rFonts w:ascii="Calibri Light" w:hAnsi="Calibri Light" w:cs="Calibri Light"/>
          <w:color w:val="002C47" w:themeColor="accent1"/>
          <w:sz w:val="48"/>
          <w:szCs w:val="44"/>
        </w:rPr>
      </w:pPr>
      <w:r>
        <w:rPr>
          <w:rFonts w:ascii="Calibri Light" w:hAnsi="Calibri Light" w:cs="Calibri Light"/>
          <w:color w:val="002C47" w:themeColor="accent1"/>
          <w:sz w:val="48"/>
          <w:szCs w:val="44"/>
        </w:rPr>
        <w:t>October</w:t>
      </w:r>
      <w:r w:rsidRPr="00DB4A59">
        <w:rPr>
          <w:rFonts w:ascii="Calibri Light" w:hAnsi="Calibri Light" w:cs="Calibri Light"/>
          <w:color w:val="002C47" w:themeColor="accent1"/>
          <w:sz w:val="48"/>
          <w:szCs w:val="44"/>
        </w:rPr>
        <w:t xml:space="preserve"> </w:t>
      </w:r>
      <w:r w:rsidR="00DB4A59" w:rsidRPr="00DB4A59">
        <w:rPr>
          <w:rFonts w:ascii="Calibri Light" w:hAnsi="Calibri Light" w:cs="Calibri Light"/>
          <w:color w:val="002C47" w:themeColor="accent1"/>
          <w:sz w:val="48"/>
          <w:szCs w:val="44"/>
        </w:rPr>
        <w:t>2021</w:t>
      </w:r>
    </w:p>
    <w:p w14:paraId="5FEDF042" w14:textId="77777777" w:rsidR="00DB4A59" w:rsidRDefault="00DB4A59" w:rsidP="000464B6"/>
    <w:p w14:paraId="5FE58C6E" w14:textId="77777777" w:rsidR="00DB4A59" w:rsidRDefault="00DB4A59" w:rsidP="000464B6"/>
    <w:p w14:paraId="1C1BB1FE" w14:textId="4626F72E" w:rsidR="00DB4A59" w:rsidRDefault="00DB4A59" w:rsidP="000464B6">
      <w:pPr>
        <w:sectPr w:rsidR="00DB4A59" w:rsidSect="00B93F12">
          <w:headerReference w:type="even" r:id="rId19"/>
          <w:headerReference w:type="default" r:id="rId20"/>
          <w:headerReference w:type="first" r:id="rId21"/>
          <w:footerReference w:type="first" r:id="rId22"/>
          <w:pgSz w:w="11907" w:h="16840" w:code="9"/>
          <w:pgMar w:top="1418" w:right="1418" w:bottom="1418" w:left="1418" w:header="907" w:footer="737" w:gutter="0"/>
          <w:cols w:space="708"/>
          <w:titlePg/>
          <w:docGrid w:linePitch="360"/>
        </w:sectPr>
      </w:pPr>
    </w:p>
    <w:p w14:paraId="3D42DDFE" w14:textId="0E449A88" w:rsidR="000464B6" w:rsidRDefault="000464B6" w:rsidP="000464B6">
      <w:r w:rsidRPr="00661BF0">
        <w:lastRenderedPageBreak/>
        <w:t xml:space="preserve">© Commonwealth of Australia </w:t>
      </w:r>
      <w:r w:rsidRPr="00611347">
        <w:t>20</w:t>
      </w:r>
      <w:r w:rsidR="00611347" w:rsidRPr="00611347">
        <w:t>21</w:t>
      </w:r>
    </w:p>
    <w:p w14:paraId="494B31C3" w14:textId="7269A835" w:rsidR="000464B6" w:rsidRPr="00086F82" w:rsidRDefault="000464B6" w:rsidP="000464B6">
      <w:pPr>
        <w:tabs>
          <w:tab w:val="left" w:pos="1650"/>
        </w:tabs>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23"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theme="minorHAnsi"/>
          <w:sz w:val="24"/>
          <w:szCs w:val="24"/>
        </w:rPr>
        <w:t xml:space="preserve"> </w:t>
      </w:r>
      <w:hyperlink r:id="rId24"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64C0F388" w14:textId="77777777" w:rsidR="000464B6" w:rsidRDefault="000464B6" w:rsidP="000464B6">
      <w:pPr>
        <w:tabs>
          <w:tab w:val="left" w:pos="1650"/>
        </w:tabs>
        <w:spacing w:before="100" w:beforeAutospacing="1" w:after="100" w:afterAutospacing="1"/>
        <w:rPr>
          <w:rFonts w:cstheme="minorHAnsi"/>
          <w:sz w:val="24"/>
          <w:szCs w:val="24"/>
        </w:rPr>
      </w:pPr>
      <w:r w:rsidRPr="00E56DFB">
        <w:rPr>
          <w:rFonts w:cstheme="minorHAnsi"/>
          <w:noProof/>
          <w:sz w:val="24"/>
          <w:szCs w:val="24"/>
          <w:lang w:eastAsia="zh-CN"/>
        </w:rPr>
        <w:drawing>
          <wp:inline distT="0" distB="0" distL="0" distR="0" wp14:anchorId="323532EA" wp14:editId="3DEEFE25">
            <wp:extent cx="809625" cy="285750"/>
            <wp:effectExtent l="19050" t="0" r="9525" b="0"/>
            <wp:docPr id="6"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5"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94BA59C" w14:textId="77777777" w:rsidR="000464B6" w:rsidRPr="006627B4" w:rsidRDefault="000464B6" w:rsidP="000464B6">
      <w:pPr>
        <w:tabs>
          <w:tab w:val="left" w:pos="1650"/>
        </w:tabs>
      </w:pPr>
      <w:r w:rsidRPr="006627B4">
        <w:t>Use of Treasury material under a</w:t>
      </w:r>
      <w:r w:rsidRPr="00476F09">
        <w:rPr>
          <w:rFonts w:cstheme="minorHAnsi"/>
          <w:sz w:val="24"/>
          <w:szCs w:val="24"/>
        </w:rPr>
        <w:t xml:space="preserve"> </w:t>
      </w:r>
      <w:hyperlink r:id="rId26"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461D3F84" w14:textId="7F44B1C4" w:rsidR="000464B6" w:rsidRPr="00810BC6" w:rsidRDefault="000464B6" w:rsidP="000464B6">
      <w:pPr>
        <w:rPr>
          <w:b/>
        </w:rPr>
      </w:pPr>
      <w:r w:rsidRPr="00810BC6">
        <w:rPr>
          <w:b/>
        </w:rPr>
        <w:t xml:space="preserve">Treasury material used </w:t>
      </w:r>
      <w:r w:rsidR="0038520A">
        <w:rPr>
          <w:b/>
        </w:rPr>
        <w:t>‘</w:t>
      </w:r>
      <w:r w:rsidRPr="00810BC6">
        <w:rPr>
          <w:b/>
        </w:rPr>
        <w:t>as supplied</w:t>
      </w:r>
      <w:r w:rsidR="0038520A">
        <w:rPr>
          <w:b/>
        </w:rPr>
        <w:t>’</w:t>
      </w:r>
    </w:p>
    <w:p w14:paraId="6B1A8FBB" w14:textId="1C8F8734" w:rsidR="000464B6" w:rsidRPr="00476F09" w:rsidRDefault="000464B6" w:rsidP="000464B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4138ED">
        <w:t>–</w:t>
      </w:r>
      <w:r>
        <w:t xml:space="preserve"> then Treasury prefers t</w:t>
      </w:r>
      <w:r w:rsidRPr="00476F09">
        <w:t xml:space="preserve">he following attribution: </w:t>
      </w:r>
    </w:p>
    <w:p w14:paraId="7508DE89" w14:textId="77777777" w:rsidR="000464B6" w:rsidRPr="00A13A11" w:rsidRDefault="000464B6" w:rsidP="000464B6">
      <w:pPr>
        <w:ind w:firstLine="720"/>
      </w:pPr>
      <w:r w:rsidRPr="002F1BC2">
        <w:rPr>
          <w:i/>
        </w:rPr>
        <w:t xml:space="preserve">Source: The </w:t>
      </w:r>
      <w:r w:rsidRPr="002F1BC2">
        <w:rPr>
          <w:i/>
          <w:iCs/>
        </w:rPr>
        <w:t>Australian Government the Treasury</w:t>
      </w:r>
    </w:p>
    <w:p w14:paraId="704E134B" w14:textId="77777777" w:rsidR="000464B6" w:rsidRPr="00810BC6" w:rsidRDefault="000464B6" w:rsidP="000464B6">
      <w:pPr>
        <w:rPr>
          <w:b/>
        </w:rPr>
      </w:pPr>
      <w:r w:rsidRPr="00810BC6">
        <w:rPr>
          <w:b/>
        </w:rPr>
        <w:t>Derivative material</w:t>
      </w:r>
    </w:p>
    <w:p w14:paraId="7E47293E" w14:textId="77777777" w:rsidR="000464B6" w:rsidRPr="006627B4" w:rsidRDefault="000464B6" w:rsidP="000464B6">
      <w:r w:rsidRPr="006627B4">
        <w:t xml:space="preserve">If you have modified or transformed Treasury material, or derived new material from those of the Treasury in any way, then Treasury prefers the following attribution: </w:t>
      </w:r>
    </w:p>
    <w:p w14:paraId="0B061940" w14:textId="77777777" w:rsidR="000464B6" w:rsidRPr="006627B4" w:rsidRDefault="000464B6" w:rsidP="000464B6">
      <w:pPr>
        <w:ind w:firstLine="720"/>
      </w:pPr>
      <w:r w:rsidRPr="002F1BC2">
        <w:rPr>
          <w:i/>
        </w:rPr>
        <w:t>Based on The Australian Government the Treasury data</w:t>
      </w:r>
    </w:p>
    <w:p w14:paraId="04036B1E" w14:textId="77777777" w:rsidR="000464B6" w:rsidRPr="006627B4" w:rsidRDefault="000464B6" w:rsidP="000464B6">
      <w:pPr>
        <w:spacing w:after="40"/>
        <w:rPr>
          <w:b/>
        </w:rPr>
      </w:pPr>
      <w:r w:rsidRPr="006627B4">
        <w:rPr>
          <w:b/>
        </w:rPr>
        <w:t>Use of the Coat of Arms</w:t>
      </w:r>
    </w:p>
    <w:p w14:paraId="12312096" w14:textId="445076E6" w:rsidR="000464B6" w:rsidRPr="006627B4" w:rsidRDefault="000A12BC" w:rsidP="000464B6">
      <w:r w:rsidRPr="000A12BC">
        <w:t>The terms under which the Coat of Arms can be used are set out</w:t>
      </w:r>
      <w:r>
        <w:t xml:space="preserve"> on the Department of the Prime </w:t>
      </w:r>
      <w:r w:rsidRPr="000A12BC">
        <w:t xml:space="preserve">Minister and Cabinet website (see </w:t>
      </w:r>
      <w:hyperlink r:id="rId27" w:history="1">
        <w:r w:rsidRPr="005A283B">
          <w:rPr>
            <w:rStyle w:val="Hyperlink"/>
          </w:rPr>
          <w:t>www.pmc.gov.au/government/commonwealth</w:t>
        </w:r>
        <w:r w:rsidR="0038520A">
          <w:rPr>
            <w:rStyle w:val="Hyperlink"/>
          </w:rPr>
          <w:noBreakHyphen/>
        </w:r>
        <w:r w:rsidRPr="005A283B">
          <w:rPr>
            <w:rStyle w:val="Hyperlink"/>
          </w:rPr>
          <w:t>coat</w:t>
        </w:r>
        <w:r w:rsidR="0038520A">
          <w:rPr>
            <w:rStyle w:val="Hyperlink"/>
          </w:rPr>
          <w:noBreakHyphen/>
        </w:r>
        <w:r w:rsidRPr="005A283B">
          <w:rPr>
            <w:rStyle w:val="Hyperlink"/>
          </w:rPr>
          <w:t>arms</w:t>
        </w:r>
      </w:hyperlink>
      <w:r w:rsidRPr="000A12BC">
        <w:t>).</w:t>
      </w:r>
    </w:p>
    <w:p w14:paraId="01BBE74C" w14:textId="77777777" w:rsidR="000464B6" w:rsidRPr="006627B4" w:rsidRDefault="00A57848" w:rsidP="000464B6">
      <w:pPr>
        <w:spacing w:after="40"/>
        <w:rPr>
          <w:b/>
        </w:rPr>
      </w:pPr>
      <w:r>
        <w:rPr>
          <w:b/>
        </w:rPr>
        <w:t>Other u</w:t>
      </w:r>
      <w:r w:rsidR="000464B6" w:rsidRPr="006627B4">
        <w:rPr>
          <w:b/>
        </w:rPr>
        <w:t>ses</w:t>
      </w:r>
    </w:p>
    <w:p w14:paraId="20A5090E" w14:textId="77777777" w:rsidR="000464B6" w:rsidRPr="006627B4" w:rsidRDefault="00A57848" w:rsidP="00A57848">
      <w:r>
        <w:t>E</w:t>
      </w:r>
      <w:r w:rsidR="000464B6" w:rsidRPr="006627B4">
        <w:t>nquiries regarding this licence and any other use of this document are welcome at:</w:t>
      </w:r>
    </w:p>
    <w:p w14:paraId="76592BA3" w14:textId="77777777" w:rsidR="000464B6" w:rsidRPr="006627B4" w:rsidRDefault="000464B6" w:rsidP="00993FE3">
      <w:pPr>
        <w:spacing w:before="0" w:after="0"/>
        <w:ind w:left="720"/>
      </w:pPr>
      <w:r w:rsidRPr="006627B4">
        <w:t>Manager</w:t>
      </w:r>
    </w:p>
    <w:p w14:paraId="55EBFCFB" w14:textId="77777777" w:rsidR="000464B6" w:rsidRPr="006627B4" w:rsidRDefault="00A57848" w:rsidP="00993FE3">
      <w:pPr>
        <w:spacing w:before="0" w:after="0"/>
        <w:ind w:left="720"/>
      </w:pPr>
      <w:r>
        <w:t>Media Unit</w:t>
      </w:r>
    </w:p>
    <w:p w14:paraId="59551142" w14:textId="77777777" w:rsidR="000464B6" w:rsidRPr="006627B4" w:rsidRDefault="000464B6" w:rsidP="00993FE3">
      <w:pPr>
        <w:spacing w:before="0" w:after="0"/>
        <w:ind w:left="720"/>
      </w:pPr>
      <w:r w:rsidRPr="006627B4">
        <w:t>The Treasury</w:t>
      </w:r>
    </w:p>
    <w:p w14:paraId="2F83F648" w14:textId="77777777" w:rsidR="000464B6" w:rsidRPr="006627B4" w:rsidRDefault="000464B6" w:rsidP="00993FE3">
      <w:pPr>
        <w:spacing w:before="0" w:after="0"/>
        <w:ind w:left="720"/>
      </w:pPr>
      <w:r w:rsidRPr="006627B4">
        <w:t xml:space="preserve">Langton Crescent </w:t>
      </w:r>
      <w:r w:rsidR="00A57848">
        <w:br/>
      </w:r>
      <w:r w:rsidRPr="006627B4">
        <w:t>Parkes ACT 2600</w:t>
      </w:r>
    </w:p>
    <w:p w14:paraId="748BF1CF" w14:textId="77777777" w:rsidR="000464B6" w:rsidRDefault="000464B6" w:rsidP="000464B6">
      <w:pPr>
        <w:spacing w:after="0"/>
        <w:ind w:left="720"/>
        <w:rPr>
          <w:rStyle w:val="Hyperlink"/>
        </w:rPr>
      </w:pPr>
      <w:r w:rsidRPr="006627B4">
        <w:t xml:space="preserve">Email: </w:t>
      </w:r>
      <w:hyperlink r:id="rId28" w:history="1">
        <w:r w:rsidR="0099283B" w:rsidRPr="000951A5">
          <w:rPr>
            <w:rStyle w:val="Hyperlink"/>
          </w:rPr>
          <w:t>media@treasury.gov.au</w:t>
        </w:r>
      </w:hyperlink>
      <w:r w:rsidRPr="002F1BC2">
        <w:rPr>
          <w:rStyle w:val="Hyperlink"/>
        </w:rPr>
        <w:t xml:space="preserve"> </w:t>
      </w:r>
      <w:r w:rsidR="0099283B">
        <w:rPr>
          <w:rStyle w:val="Hyperlink"/>
        </w:rPr>
        <w:t xml:space="preserve"> </w:t>
      </w:r>
    </w:p>
    <w:p w14:paraId="37C8813E" w14:textId="77777777" w:rsidR="000464B6" w:rsidRDefault="000464B6" w:rsidP="000464B6">
      <w:pPr>
        <w:spacing w:after="0"/>
        <w:ind w:left="720"/>
        <w:rPr>
          <w:rStyle w:val="Hyperlink"/>
        </w:rPr>
      </w:pPr>
    </w:p>
    <w:p w14:paraId="221308DC" w14:textId="77777777" w:rsidR="000464B6" w:rsidRDefault="000464B6" w:rsidP="000464B6">
      <w:pPr>
        <w:spacing w:after="0"/>
        <w:ind w:left="720"/>
        <w:rPr>
          <w:rStyle w:val="Hyperlink"/>
        </w:rPr>
        <w:sectPr w:rsidR="000464B6" w:rsidSect="00B93F12">
          <w:headerReference w:type="default" r:id="rId29"/>
          <w:pgSz w:w="11907" w:h="16840" w:code="9"/>
          <w:pgMar w:top="1418" w:right="1418" w:bottom="1418" w:left="1418" w:header="907" w:footer="737" w:gutter="0"/>
          <w:cols w:space="708"/>
          <w:titlePg/>
          <w:docGrid w:linePitch="360"/>
        </w:sectPr>
      </w:pPr>
    </w:p>
    <w:p w14:paraId="291D0431" w14:textId="77777777" w:rsidR="00081B19" w:rsidRDefault="00081B19" w:rsidP="002A6A7A">
      <w:pPr>
        <w:pStyle w:val="ContentsHeading"/>
      </w:pPr>
      <w:bookmarkStart w:id="2" w:name="_Toc83036910"/>
      <w:bookmarkStart w:id="3" w:name="_Toc83215039"/>
      <w:bookmarkStart w:id="4" w:name="_Toc83279663"/>
      <w:bookmarkStart w:id="5" w:name="_Toc83307710"/>
      <w:bookmarkStart w:id="6" w:name="_Toc83323043"/>
      <w:bookmarkStart w:id="7" w:name="_Toc82787293"/>
      <w:r w:rsidRPr="001F1B27">
        <w:lastRenderedPageBreak/>
        <w:t>Contents</w:t>
      </w:r>
      <w:bookmarkEnd w:id="2"/>
      <w:bookmarkEnd w:id="3"/>
      <w:bookmarkEnd w:id="4"/>
      <w:bookmarkEnd w:id="5"/>
      <w:bookmarkEnd w:id="6"/>
    </w:p>
    <w:p w14:paraId="0420B87F" w14:textId="31C93E5C" w:rsidR="00B814F0" w:rsidRDefault="00652ED8">
      <w:pPr>
        <w:pStyle w:val="TOC1"/>
        <w:rPr>
          <w:rFonts w:asciiTheme="minorHAnsi" w:eastAsiaTheme="minorEastAsia" w:hAnsiTheme="minorHAnsi" w:cstheme="minorBidi"/>
          <w:b w:val="0"/>
          <w:color w:val="auto"/>
        </w:rPr>
      </w:pPr>
      <w:r>
        <w:rPr>
          <w:rFonts w:ascii="Arial" w:hAnsi="Arial"/>
          <w:smallCaps/>
          <w:color w:val="004A7F"/>
        </w:rPr>
        <w:fldChar w:fldCharType="begin"/>
      </w:r>
      <w:r>
        <w:rPr>
          <w:rFonts w:ascii="Arial" w:hAnsi="Arial"/>
          <w:smallCaps/>
          <w:color w:val="004A7F"/>
        </w:rPr>
        <w:instrText xml:space="preserve"> TOC \o "2-2" \h \z \t "Heading 1,1,Heading 1 Numbered,1" </w:instrText>
      </w:r>
      <w:r>
        <w:rPr>
          <w:rFonts w:ascii="Arial" w:hAnsi="Arial"/>
          <w:smallCaps/>
          <w:color w:val="004A7F"/>
        </w:rPr>
        <w:fldChar w:fldCharType="separate"/>
      </w:r>
      <w:hyperlink w:anchor="_Toc84842614" w:history="1">
        <w:r w:rsidR="00B814F0" w:rsidRPr="007E20A8">
          <w:rPr>
            <w:rStyle w:val="Hyperlink"/>
          </w:rPr>
          <w:t>Executive summary</w:t>
        </w:r>
        <w:r w:rsidR="00B814F0">
          <w:rPr>
            <w:webHidden/>
          </w:rPr>
          <w:tab/>
        </w:r>
        <w:r w:rsidR="00B814F0">
          <w:rPr>
            <w:webHidden/>
          </w:rPr>
          <w:fldChar w:fldCharType="begin"/>
        </w:r>
        <w:r w:rsidR="00B814F0">
          <w:rPr>
            <w:webHidden/>
          </w:rPr>
          <w:instrText xml:space="preserve"> PAGEREF _Toc84842614 \h </w:instrText>
        </w:r>
        <w:r w:rsidR="00B814F0">
          <w:rPr>
            <w:webHidden/>
          </w:rPr>
        </w:r>
        <w:r w:rsidR="00B814F0">
          <w:rPr>
            <w:webHidden/>
          </w:rPr>
          <w:fldChar w:fldCharType="separate"/>
        </w:r>
        <w:r w:rsidR="004E7A44">
          <w:rPr>
            <w:webHidden/>
          </w:rPr>
          <w:t>1</w:t>
        </w:r>
        <w:r w:rsidR="00B814F0">
          <w:rPr>
            <w:webHidden/>
          </w:rPr>
          <w:fldChar w:fldCharType="end"/>
        </w:r>
      </w:hyperlink>
    </w:p>
    <w:p w14:paraId="765280A7" w14:textId="62422888" w:rsidR="00B814F0" w:rsidRDefault="00B1613D">
      <w:pPr>
        <w:pStyle w:val="TOC1"/>
        <w:rPr>
          <w:rFonts w:asciiTheme="minorHAnsi" w:eastAsiaTheme="minorEastAsia" w:hAnsiTheme="minorHAnsi" w:cstheme="minorBidi"/>
          <w:b w:val="0"/>
          <w:color w:val="auto"/>
        </w:rPr>
      </w:pPr>
      <w:hyperlink w:anchor="_Toc84842615" w:history="1">
        <w:r w:rsidR="00B814F0" w:rsidRPr="007E20A8">
          <w:rPr>
            <w:rStyle w:val="Hyperlink"/>
          </w:rPr>
          <w:t>Introduction</w:t>
        </w:r>
        <w:r w:rsidR="00B814F0">
          <w:rPr>
            <w:webHidden/>
          </w:rPr>
          <w:tab/>
        </w:r>
        <w:r w:rsidR="00B814F0">
          <w:rPr>
            <w:webHidden/>
          </w:rPr>
          <w:fldChar w:fldCharType="begin"/>
        </w:r>
        <w:r w:rsidR="00B814F0">
          <w:rPr>
            <w:webHidden/>
          </w:rPr>
          <w:instrText xml:space="preserve"> PAGEREF _Toc84842615 \h </w:instrText>
        </w:r>
        <w:r w:rsidR="00B814F0">
          <w:rPr>
            <w:webHidden/>
          </w:rPr>
        </w:r>
        <w:r w:rsidR="00B814F0">
          <w:rPr>
            <w:webHidden/>
          </w:rPr>
          <w:fldChar w:fldCharType="separate"/>
        </w:r>
        <w:r w:rsidR="004E7A44">
          <w:rPr>
            <w:webHidden/>
          </w:rPr>
          <w:t>5</w:t>
        </w:r>
        <w:r w:rsidR="00B814F0">
          <w:rPr>
            <w:webHidden/>
          </w:rPr>
          <w:fldChar w:fldCharType="end"/>
        </w:r>
      </w:hyperlink>
    </w:p>
    <w:p w14:paraId="561E806D" w14:textId="3BEB07F9" w:rsidR="00B814F0" w:rsidRDefault="00B1613D">
      <w:pPr>
        <w:pStyle w:val="TOC1"/>
        <w:rPr>
          <w:rFonts w:asciiTheme="minorHAnsi" w:eastAsiaTheme="minorEastAsia" w:hAnsiTheme="minorHAnsi" w:cstheme="minorBidi"/>
          <w:b w:val="0"/>
          <w:color w:val="auto"/>
        </w:rPr>
      </w:pPr>
      <w:hyperlink w:anchor="_Toc84842616" w:history="1">
        <w:r w:rsidR="00B814F0" w:rsidRPr="007E20A8">
          <w:rPr>
            <w:rStyle w:val="Hyperlink"/>
          </w:rPr>
          <w:t>1. JobKeeper design and implementation</w:t>
        </w:r>
        <w:r w:rsidR="00B814F0">
          <w:rPr>
            <w:webHidden/>
          </w:rPr>
          <w:tab/>
        </w:r>
        <w:r w:rsidR="00B814F0">
          <w:rPr>
            <w:webHidden/>
          </w:rPr>
          <w:fldChar w:fldCharType="begin"/>
        </w:r>
        <w:r w:rsidR="00B814F0">
          <w:rPr>
            <w:webHidden/>
          </w:rPr>
          <w:instrText xml:space="preserve"> PAGEREF _Toc84842616 \h </w:instrText>
        </w:r>
        <w:r w:rsidR="00B814F0">
          <w:rPr>
            <w:webHidden/>
          </w:rPr>
        </w:r>
        <w:r w:rsidR="00B814F0">
          <w:rPr>
            <w:webHidden/>
          </w:rPr>
          <w:fldChar w:fldCharType="separate"/>
        </w:r>
        <w:r w:rsidR="004E7A44">
          <w:rPr>
            <w:webHidden/>
          </w:rPr>
          <w:t>6</w:t>
        </w:r>
        <w:r w:rsidR="00B814F0">
          <w:rPr>
            <w:webHidden/>
          </w:rPr>
          <w:fldChar w:fldCharType="end"/>
        </w:r>
      </w:hyperlink>
    </w:p>
    <w:p w14:paraId="6B31B5E1" w14:textId="33AEDF68" w:rsidR="00B814F0" w:rsidRDefault="00B1613D">
      <w:pPr>
        <w:pStyle w:val="TOC2"/>
        <w:rPr>
          <w:rFonts w:asciiTheme="minorHAnsi" w:eastAsiaTheme="minorEastAsia" w:hAnsiTheme="minorHAnsi" w:cstheme="minorBidi"/>
          <w:color w:val="auto"/>
          <w:szCs w:val="22"/>
        </w:rPr>
      </w:pPr>
      <w:hyperlink w:anchor="_Toc84842617" w:history="1">
        <w:r w:rsidR="00B814F0" w:rsidRPr="007E20A8">
          <w:rPr>
            <w:rStyle w:val="Hyperlink"/>
          </w:rPr>
          <w:t>Initial JobKeeper design</w:t>
        </w:r>
        <w:r w:rsidR="00B814F0">
          <w:rPr>
            <w:webHidden/>
          </w:rPr>
          <w:tab/>
        </w:r>
        <w:r w:rsidR="00B814F0">
          <w:rPr>
            <w:webHidden/>
          </w:rPr>
          <w:fldChar w:fldCharType="begin"/>
        </w:r>
        <w:r w:rsidR="00B814F0">
          <w:rPr>
            <w:webHidden/>
          </w:rPr>
          <w:instrText xml:space="preserve"> PAGEREF _Toc84842617 \h </w:instrText>
        </w:r>
        <w:r w:rsidR="00B814F0">
          <w:rPr>
            <w:webHidden/>
          </w:rPr>
        </w:r>
        <w:r w:rsidR="00B814F0">
          <w:rPr>
            <w:webHidden/>
          </w:rPr>
          <w:fldChar w:fldCharType="separate"/>
        </w:r>
        <w:r w:rsidR="004E7A44">
          <w:rPr>
            <w:webHidden/>
          </w:rPr>
          <w:t>6</w:t>
        </w:r>
        <w:r w:rsidR="00B814F0">
          <w:rPr>
            <w:webHidden/>
          </w:rPr>
          <w:fldChar w:fldCharType="end"/>
        </w:r>
      </w:hyperlink>
    </w:p>
    <w:p w14:paraId="6D1B623C" w14:textId="3DBD859B" w:rsidR="00B814F0" w:rsidRDefault="00B1613D">
      <w:pPr>
        <w:pStyle w:val="TOC2"/>
        <w:rPr>
          <w:rFonts w:asciiTheme="minorHAnsi" w:eastAsiaTheme="minorEastAsia" w:hAnsiTheme="minorHAnsi" w:cstheme="minorBidi"/>
          <w:color w:val="auto"/>
          <w:szCs w:val="22"/>
        </w:rPr>
      </w:pPr>
      <w:hyperlink w:anchor="_Toc84842618" w:history="1">
        <w:r w:rsidR="00B814F0" w:rsidRPr="007E20A8">
          <w:rPr>
            <w:rStyle w:val="Hyperlink"/>
          </w:rPr>
          <w:t>The JobKeeper Payment: Three</w:t>
        </w:r>
        <w:r w:rsidR="00B814F0" w:rsidRPr="007E20A8">
          <w:rPr>
            <w:rStyle w:val="Hyperlink"/>
          </w:rPr>
          <w:noBreakHyphen/>
          <w:t>month review</w:t>
        </w:r>
        <w:r w:rsidR="00B814F0">
          <w:rPr>
            <w:webHidden/>
          </w:rPr>
          <w:tab/>
        </w:r>
        <w:r w:rsidR="00B814F0">
          <w:rPr>
            <w:webHidden/>
          </w:rPr>
          <w:fldChar w:fldCharType="begin"/>
        </w:r>
        <w:r w:rsidR="00B814F0">
          <w:rPr>
            <w:webHidden/>
          </w:rPr>
          <w:instrText xml:space="preserve"> PAGEREF _Toc84842618 \h </w:instrText>
        </w:r>
        <w:r w:rsidR="00B814F0">
          <w:rPr>
            <w:webHidden/>
          </w:rPr>
        </w:r>
        <w:r w:rsidR="00B814F0">
          <w:rPr>
            <w:webHidden/>
          </w:rPr>
          <w:fldChar w:fldCharType="separate"/>
        </w:r>
        <w:r w:rsidR="004E7A44">
          <w:rPr>
            <w:webHidden/>
          </w:rPr>
          <w:t>15</w:t>
        </w:r>
        <w:r w:rsidR="00B814F0">
          <w:rPr>
            <w:webHidden/>
          </w:rPr>
          <w:fldChar w:fldCharType="end"/>
        </w:r>
      </w:hyperlink>
    </w:p>
    <w:p w14:paraId="4E948E68" w14:textId="7121801D" w:rsidR="00B814F0" w:rsidRDefault="00B1613D">
      <w:pPr>
        <w:pStyle w:val="TOC2"/>
        <w:rPr>
          <w:rFonts w:asciiTheme="minorHAnsi" w:eastAsiaTheme="minorEastAsia" w:hAnsiTheme="minorHAnsi" w:cstheme="minorBidi"/>
          <w:color w:val="auto"/>
          <w:szCs w:val="22"/>
        </w:rPr>
      </w:pPr>
      <w:hyperlink w:anchor="_Toc84842619" w:history="1">
        <w:r w:rsidR="00B814F0" w:rsidRPr="007E20A8">
          <w:rPr>
            <w:rStyle w:val="Hyperlink"/>
            <w:lang w:val="en-US"/>
          </w:rPr>
          <w:t>Administration of the program and compliance activity</w:t>
        </w:r>
        <w:r w:rsidR="00B814F0">
          <w:rPr>
            <w:webHidden/>
          </w:rPr>
          <w:tab/>
        </w:r>
        <w:r w:rsidR="00B814F0">
          <w:rPr>
            <w:webHidden/>
          </w:rPr>
          <w:fldChar w:fldCharType="begin"/>
        </w:r>
        <w:r w:rsidR="00B814F0">
          <w:rPr>
            <w:webHidden/>
          </w:rPr>
          <w:instrText xml:space="preserve"> PAGEREF _Toc84842619 \h </w:instrText>
        </w:r>
        <w:r w:rsidR="00B814F0">
          <w:rPr>
            <w:webHidden/>
          </w:rPr>
        </w:r>
        <w:r w:rsidR="00B814F0">
          <w:rPr>
            <w:webHidden/>
          </w:rPr>
          <w:fldChar w:fldCharType="separate"/>
        </w:r>
        <w:r w:rsidR="004E7A44">
          <w:rPr>
            <w:webHidden/>
          </w:rPr>
          <w:t>16</w:t>
        </w:r>
        <w:r w:rsidR="00B814F0">
          <w:rPr>
            <w:webHidden/>
          </w:rPr>
          <w:fldChar w:fldCharType="end"/>
        </w:r>
      </w:hyperlink>
    </w:p>
    <w:p w14:paraId="34281A4D" w14:textId="1059B32C" w:rsidR="00B814F0" w:rsidRDefault="00B1613D">
      <w:pPr>
        <w:pStyle w:val="TOC1"/>
        <w:rPr>
          <w:rFonts w:asciiTheme="minorHAnsi" w:eastAsiaTheme="minorEastAsia" w:hAnsiTheme="minorHAnsi" w:cstheme="minorBidi"/>
          <w:b w:val="0"/>
          <w:color w:val="auto"/>
        </w:rPr>
      </w:pPr>
      <w:hyperlink w:anchor="_Toc84842620" w:history="1">
        <w:r w:rsidR="00B814F0" w:rsidRPr="007E20A8">
          <w:rPr>
            <w:rStyle w:val="Hyperlink"/>
          </w:rPr>
          <w:t>2. JobKeeper program data</w:t>
        </w:r>
        <w:r w:rsidR="00B814F0">
          <w:rPr>
            <w:webHidden/>
          </w:rPr>
          <w:tab/>
        </w:r>
        <w:r w:rsidR="00B814F0">
          <w:rPr>
            <w:webHidden/>
          </w:rPr>
          <w:fldChar w:fldCharType="begin"/>
        </w:r>
        <w:r w:rsidR="00B814F0">
          <w:rPr>
            <w:webHidden/>
          </w:rPr>
          <w:instrText xml:space="preserve"> PAGEREF _Toc84842620 \h </w:instrText>
        </w:r>
        <w:r w:rsidR="00B814F0">
          <w:rPr>
            <w:webHidden/>
          </w:rPr>
        </w:r>
        <w:r w:rsidR="00B814F0">
          <w:rPr>
            <w:webHidden/>
          </w:rPr>
          <w:fldChar w:fldCharType="separate"/>
        </w:r>
        <w:r w:rsidR="004E7A44">
          <w:rPr>
            <w:webHidden/>
          </w:rPr>
          <w:t>18</w:t>
        </w:r>
        <w:r w:rsidR="00B814F0">
          <w:rPr>
            <w:webHidden/>
          </w:rPr>
          <w:fldChar w:fldCharType="end"/>
        </w:r>
      </w:hyperlink>
    </w:p>
    <w:p w14:paraId="0185D2BE" w14:textId="6B47657E" w:rsidR="00B814F0" w:rsidRDefault="00B1613D">
      <w:pPr>
        <w:pStyle w:val="TOC2"/>
        <w:rPr>
          <w:rFonts w:asciiTheme="minorHAnsi" w:eastAsiaTheme="minorEastAsia" w:hAnsiTheme="minorHAnsi" w:cstheme="minorBidi"/>
          <w:color w:val="auto"/>
          <w:szCs w:val="22"/>
        </w:rPr>
      </w:pPr>
      <w:hyperlink w:anchor="_Toc84842621" w:history="1">
        <w:r w:rsidR="00B814F0" w:rsidRPr="007E20A8">
          <w:rPr>
            <w:rStyle w:val="Hyperlink"/>
          </w:rPr>
          <w:t>JobKeeper take</w:t>
        </w:r>
        <w:r w:rsidR="00B814F0" w:rsidRPr="007E20A8">
          <w:rPr>
            <w:rStyle w:val="Hyperlink"/>
          </w:rPr>
          <w:noBreakHyphen/>
          <w:t>up and coverage</w:t>
        </w:r>
        <w:r w:rsidR="00B814F0">
          <w:rPr>
            <w:webHidden/>
          </w:rPr>
          <w:tab/>
        </w:r>
        <w:r w:rsidR="00B814F0">
          <w:rPr>
            <w:webHidden/>
          </w:rPr>
          <w:fldChar w:fldCharType="begin"/>
        </w:r>
        <w:r w:rsidR="00B814F0">
          <w:rPr>
            <w:webHidden/>
          </w:rPr>
          <w:instrText xml:space="preserve"> PAGEREF _Toc84842621 \h </w:instrText>
        </w:r>
        <w:r w:rsidR="00B814F0">
          <w:rPr>
            <w:webHidden/>
          </w:rPr>
        </w:r>
        <w:r w:rsidR="00B814F0">
          <w:rPr>
            <w:webHidden/>
          </w:rPr>
          <w:fldChar w:fldCharType="separate"/>
        </w:r>
        <w:r w:rsidR="004E7A44">
          <w:rPr>
            <w:webHidden/>
          </w:rPr>
          <w:t>18</w:t>
        </w:r>
        <w:r w:rsidR="00B814F0">
          <w:rPr>
            <w:webHidden/>
          </w:rPr>
          <w:fldChar w:fldCharType="end"/>
        </w:r>
      </w:hyperlink>
    </w:p>
    <w:p w14:paraId="05F2838A" w14:textId="7BA43FCF" w:rsidR="00B814F0" w:rsidRDefault="00B1613D">
      <w:pPr>
        <w:pStyle w:val="TOC1"/>
        <w:rPr>
          <w:rFonts w:asciiTheme="minorHAnsi" w:eastAsiaTheme="minorEastAsia" w:hAnsiTheme="minorHAnsi" w:cstheme="minorBidi"/>
          <w:b w:val="0"/>
          <w:color w:val="auto"/>
        </w:rPr>
      </w:pPr>
      <w:hyperlink w:anchor="_Toc84842622" w:history="1">
        <w:r w:rsidR="00B814F0" w:rsidRPr="007E20A8">
          <w:rPr>
            <w:rStyle w:val="Hyperlink"/>
          </w:rPr>
          <w:t xml:space="preserve">3. Economic effect of </w:t>
        </w:r>
        <w:r w:rsidR="00B814F0" w:rsidRPr="007E20A8">
          <w:rPr>
            <w:rStyle w:val="Hyperlink"/>
            <w:lang w:val="en-US"/>
          </w:rPr>
          <w:t>JobKeeper</w:t>
        </w:r>
        <w:r w:rsidR="00B814F0">
          <w:rPr>
            <w:webHidden/>
          </w:rPr>
          <w:tab/>
        </w:r>
        <w:r w:rsidR="00B814F0">
          <w:rPr>
            <w:webHidden/>
          </w:rPr>
          <w:fldChar w:fldCharType="begin"/>
        </w:r>
        <w:r w:rsidR="00B814F0">
          <w:rPr>
            <w:webHidden/>
          </w:rPr>
          <w:instrText xml:space="preserve"> PAGEREF _Toc84842622 \h </w:instrText>
        </w:r>
        <w:r w:rsidR="00B814F0">
          <w:rPr>
            <w:webHidden/>
          </w:rPr>
        </w:r>
        <w:r w:rsidR="00B814F0">
          <w:rPr>
            <w:webHidden/>
          </w:rPr>
          <w:fldChar w:fldCharType="separate"/>
        </w:r>
        <w:r w:rsidR="004E7A44">
          <w:rPr>
            <w:webHidden/>
          </w:rPr>
          <w:t>25</w:t>
        </w:r>
        <w:r w:rsidR="00B814F0">
          <w:rPr>
            <w:webHidden/>
          </w:rPr>
          <w:fldChar w:fldCharType="end"/>
        </w:r>
      </w:hyperlink>
    </w:p>
    <w:p w14:paraId="43AD07AC" w14:textId="5A9E25BF" w:rsidR="00B814F0" w:rsidRDefault="00B1613D">
      <w:pPr>
        <w:pStyle w:val="TOC2"/>
        <w:rPr>
          <w:rFonts w:asciiTheme="minorHAnsi" w:eastAsiaTheme="minorEastAsia" w:hAnsiTheme="minorHAnsi" w:cstheme="minorBidi"/>
          <w:color w:val="auto"/>
          <w:szCs w:val="22"/>
        </w:rPr>
      </w:pPr>
      <w:hyperlink w:anchor="_Toc84842623" w:history="1">
        <w:r w:rsidR="00B814F0" w:rsidRPr="007E20A8">
          <w:rPr>
            <w:rStyle w:val="Hyperlink"/>
          </w:rPr>
          <w:t>Impact of JobKeeper on confidence</w:t>
        </w:r>
        <w:r w:rsidR="00B814F0">
          <w:rPr>
            <w:webHidden/>
          </w:rPr>
          <w:tab/>
        </w:r>
        <w:r w:rsidR="00B814F0">
          <w:rPr>
            <w:webHidden/>
          </w:rPr>
          <w:fldChar w:fldCharType="begin"/>
        </w:r>
        <w:r w:rsidR="00B814F0">
          <w:rPr>
            <w:webHidden/>
          </w:rPr>
          <w:instrText xml:space="preserve"> PAGEREF _Toc84842623 \h </w:instrText>
        </w:r>
        <w:r w:rsidR="00B814F0">
          <w:rPr>
            <w:webHidden/>
          </w:rPr>
        </w:r>
        <w:r w:rsidR="00B814F0">
          <w:rPr>
            <w:webHidden/>
          </w:rPr>
          <w:fldChar w:fldCharType="separate"/>
        </w:r>
        <w:r w:rsidR="004E7A44">
          <w:rPr>
            <w:webHidden/>
          </w:rPr>
          <w:t>26</w:t>
        </w:r>
        <w:r w:rsidR="00B814F0">
          <w:rPr>
            <w:webHidden/>
          </w:rPr>
          <w:fldChar w:fldCharType="end"/>
        </w:r>
      </w:hyperlink>
    </w:p>
    <w:p w14:paraId="600C1BD8" w14:textId="263086DF" w:rsidR="00B814F0" w:rsidRDefault="00B1613D">
      <w:pPr>
        <w:pStyle w:val="TOC2"/>
        <w:rPr>
          <w:rFonts w:asciiTheme="minorHAnsi" w:eastAsiaTheme="minorEastAsia" w:hAnsiTheme="minorHAnsi" w:cstheme="minorBidi"/>
          <w:color w:val="auto"/>
          <w:szCs w:val="22"/>
        </w:rPr>
      </w:pPr>
      <w:hyperlink w:anchor="_Toc84842624" w:history="1">
        <w:r w:rsidR="00B814F0" w:rsidRPr="007E20A8">
          <w:rPr>
            <w:rStyle w:val="Hyperlink"/>
          </w:rPr>
          <w:t>Impact of JobKeeper on employment</w:t>
        </w:r>
        <w:r w:rsidR="00B814F0">
          <w:rPr>
            <w:webHidden/>
          </w:rPr>
          <w:tab/>
        </w:r>
        <w:r w:rsidR="00B814F0">
          <w:rPr>
            <w:webHidden/>
          </w:rPr>
          <w:fldChar w:fldCharType="begin"/>
        </w:r>
        <w:r w:rsidR="00B814F0">
          <w:rPr>
            <w:webHidden/>
          </w:rPr>
          <w:instrText xml:space="preserve"> PAGEREF _Toc84842624 \h </w:instrText>
        </w:r>
        <w:r w:rsidR="00B814F0">
          <w:rPr>
            <w:webHidden/>
          </w:rPr>
        </w:r>
        <w:r w:rsidR="00B814F0">
          <w:rPr>
            <w:webHidden/>
          </w:rPr>
          <w:fldChar w:fldCharType="separate"/>
        </w:r>
        <w:r w:rsidR="004E7A44">
          <w:rPr>
            <w:webHidden/>
          </w:rPr>
          <w:t>26</w:t>
        </w:r>
        <w:r w:rsidR="00B814F0">
          <w:rPr>
            <w:webHidden/>
          </w:rPr>
          <w:fldChar w:fldCharType="end"/>
        </w:r>
      </w:hyperlink>
    </w:p>
    <w:p w14:paraId="4B951D90" w14:textId="1D5B8BF6" w:rsidR="00B814F0" w:rsidRDefault="00B1613D">
      <w:pPr>
        <w:pStyle w:val="TOC2"/>
        <w:rPr>
          <w:rFonts w:asciiTheme="minorHAnsi" w:eastAsiaTheme="minorEastAsia" w:hAnsiTheme="minorHAnsi" w:cstheme="minorBidi"/>
          <w:color w:val="auto"/>
          <w:szCs w:val="22"/>
        </w:rPr>
      </w:pPr>
      <w:hyperlink w:anchor="_Toc84842625" w:history="1">
        <w:r w:rsidR="00B814F0" w:rsidRPr="007E20A8">
          <w:rPr>
            <w:rStyle w:val="Hyperlink"/>
          </w:rPr>
          <w:t>Impact of JobKeeper on earnings</w:t>
        </w:r>
        <w:r w:rsidR="00B814F0">
          <w:rPr>
            <w:webHidden/>
          </w:rPr>
          <w:tab/>
        </w:r>
        <w:r w:rsidR="00B814F0">
          <w:rPr>
            <w:webHidden/>
          </w:rPr>
          <w:fldChar w:fldCharType="begin"/>
        </w:r>
        <w:r w:rsidR="00B814F0">
          <w:rPr>
            <w:webHidden/>
          </w:rPr>
          <w:instrText xml:space="preserve"> PAGEREF _Toc84842625 \h </w:instrText>
        </w:r>
        <w:r w:rsidR="00B814F0">
          <w:rPr>
            <w:webHidden/>
          </w:rPr>
        </w:r>
        <w:r w:rsidR="00B814F0">
          <w:rPr>
            <w:webHidden/>
          </w:rPr>
          <w:fldChar w:fldCharType="separate"/>
        </w:r>
        <w:r w:rsidR="004E7A44">
          <w:rPr>
            <w:webHidden/>
          </w:rPr>
          <w:t>30</w:t>
        </w:r>
        <w:r w:rsidR="00B814F0">
          <w:rPr>
            <w:webHidden/>
          </w:rPr>
          <w:fldChar w:fldCharType="end"/>
        </w:r>
      </w:hyperlink>
    </w:p>
    <w:p w14:paraId="329BECF6" w14:textId="30CB2F19" w:rsidR="00B814F0" w:rsidRDefault="00B1613D">
      <w:pPr>
        <w:pStyle w:val="TOC2"/>
        <w:rPr>
          <w:rFonts w:asciiTheme="minorHAnsi" w:eastAsiaTheme="minorEastAsia" w:hAnsiTheme="minorHAnsi" w:cstheme="minorBidi"/>
          <w:color w:val="auto"/>
          <w:szCs w:val="22"/>
        </w:rPr>
      </w:pPr>
      <w:hyperlink w:anchor="_Toc84842626" w:history="1">
        <w:r w:rsidR="00B814F0" w:rsidRPr="007E20A8">
          <w:rPr>
            <w:rStyle w:val="Hyperlink"/>
          </w:rPr>
          <w:t>Impact of JobKeeper on economic activity</w:t>
        </w:r>
        <w:r w:rsidR="00B814F0">
          <w:rPr>
            <w:webHidden/>
          </w:rPr>
          <w:tab/>
        </w:r>
        <w:r w:rsidR="00B814F0">
          <w:rPr>
            <w:webHidden/>
          </w:rPr>
          <w:fldChar w:fldCharType="begin"/>
        </w:r>
        <w:r w:rsidR="00B814F0">
          <w:rPr>
            <w:webHidden/>
          </w:rPr>
          <w:instrText xml:space="preserve"> PAGEREF _Toc84842626 \h </w:instrText>
        </w:r>
        <w:r w:rsidR="00B814F0">
          <w:rPr>
            <w:webHidden/>
          </w:rPr>
        </w:r>
        <w:r w:rsidR="00B814F0">
          <w:rPr>
            <w:webHidden/>
          </w:rPr>
          <w:fldChar w:fldCharType="separate"/>
        </w:r>
        <w:r w:rsidR="004E7A44">
          <w:rPr>
            <w:webHidden/>
          </w:rPr>
          <w:t>32</w:t>
        </w:r>
        <w:r w:rsidR="00B814F0">
          <w:rPr>
            <w:webHidden/>
          </w:rPr>
          <w:fldChar w:fldCharType="end"/>
        </w:r>
      </w:hyperlink>
    </w:p>
    <w:p w14:paraId="22DE766E" w14:textId="4533DA3F" w:rsidR="00B814F0" w:rsidRDefault="00B1613D">
      <w:pPr>
        <w:pStyle w:val="TOC1"/>
        <w:rPr>
          <w:rFonts w:asciiTheme="minorHAnsi" w:eastAsiaTheme="minorEastAsia" w:hAnsiTheme="minorHAnsi" w:cstheme="minorBidi"/>
          <w:b w:val="0"/>
          <w:color w:val="auto"/>
        </w:rPr>
      </w:pPr>
      <w:hyperlink w:anchor="_Toc84842627" w:history="1">
        <w:r w:rsidR="00B814F0" w:rsidRPr="007E20A8">
          <w:rPr>
            <w:rStyle w:val="Hyperlink"/>
          </w:rPr>
          <w:t>4. JobKeeper and business</w:t>
        </w:r>
        <w:r w:rsidR="00B814F0" w:rsidRPr="007E20A8">
          <w:rPr>
            <w:rStyle w:val="Hyperlink"/>
          </w:rPr>
          <w:noBreakHyphen/>
          <w:t>level performance</w:t>
        </w:r>
        <w:r w:rsidR="00B814F0">
          <w:rPr>
            <w:webHidden/>
          </w:rPr>
          <w:tab/>
        </w:r>
        <w:r w:rsidR="00B814F0">
          <w:rPr>
            <w:webHidden/>
          </w:rPr>
          <w:fldChar w:fldCharType="begin"/>
        </w:r>
        <w:r w:rsidR="00B814F0">
          <w:rPr>
            <w:webHidden/>
          </w:rPr>
          <w:instrText xml:space="preserve"> PAGEREF _Toc84842627 \h </w:instrText>
        </w:r>
        <w:r w:rsidR="00B814F0">
          <w:rPr>
            <w:webHidden/>
          </w:rPr>
        </w:r>
        <w:r w:rsidR="00B814F0">
          <w:rPr>
            <w:webHidden/>
          </w:rPr>
          <w:fldChar w:fldCharType="separate"/>
        </w:r>
        <w:r w:rsidR="004E7A44">
          <w:rPr>
            <w:webHidden/>
          </w:rPr>
          <w:t>39</w:t>
        </w:r>
        <w:r w:rsidR="00B814F0">
          <w:rPr>
            <w:webHidden/>
          </w:rPr>
          <w:fldChar w:fldCharType="end"/>
        </w:r>
      </w:hyperlink>
    </w:p>
    <w:p w14:paraId="4B72245D" w14:textId="073BA259" w:rsidR="00B814F0" w:rsidRDefault="00B1613D">
      <w:pPr>
        <w:pStyle w:val="TOC2"/>
        <w:rPr>
          <w:rFonts w:asciiTheme="minorHAnsi" w:eastAsiaTheme="minorEastAsia" w:hAnsiTheme="minorHAnsi" w:cstheme="minorBidi"/>
          <w:color w:val="auto"/>
          <w:szCs w:val="22"/>
        </w:rPr>
      </w:pPr>
      <w:hyperlink w:anchor="_Toc84842628" w:history="1">
        <w:r w:rsidR="00B814F0" w:rsidRPr="007E20A8">
          <w:rPr>
            <w:rStyle w:val="Hyperlink"/>
          </w:rPr>
          <w:t>Analysis of JobKeeper recipients</w:t>
        </w:r>
        <w:r w:rsidR="00B814F0">
          <w:rPr>
            <w:webHidden/>
          </w:rPr>
          <w:tab/>
        </w:r>
        <w:r w:rsidR="00B814F0">
          <w:rPr>
            <w:webHidden/>
          </w:rPr>
          <w:fldChar w:fldCharType="begin"/>
        </w:r>
        <w:r w:rsidR="00B814F0">
          <w:rPr>
            <w:webHidden/>
          </w:rPr>
          <w:instrText xml:space="preserve"> PAGEREF _Toc84842628 \h </w:instrText>
        </w:r>
        <w:r w:rsidR="00B814F0">
          <w:rPr>
            <w:webHidden/>
          </w:rPr>
        </w:r>
        <w:r w:rsidR="00B814F0">
          <w:rPr>
            <w:webHidden/>
          </w:rPr>
          <w:fldChar w:fldCharType="separate"/>
        </w:r>
        <w:r w:rsidR="004E7A44">
          <w:rPr>
            <w:webHidden/>
          </w:rPr>
          <w:t>39</w:t>
        </w:r>
        <w:r w:rsidR="00B814F0">
          <w:rPr>
            <w:webHidden/>
          </w:rPr>
          <w:fldChar w:fldCharType="end"/>
        </w:r>
      </w:hyperlink>
    </w:p>
    <w:p w14:paraId="74E9EBC8" w14:textId="615DE526" w:rsidR="00B814F0" w:rsidRDefault="00B1613D">
      <w:pPr>
        <w:pStyle w:val="TOC1"/>
        <w:rPr>
          <w:rFonts w:asciiTheme="minorHAnsi" w:eastAsiaTheme="minorEastAsia" w:hAnsiTheme="minorHAnsi" w:cstheme="minorBidi"/>
          <w:b w:val="0"/>
          <w:color w:val="auto"/>
        </w:rPr>
      </w:pPr>
      <w:hyperlink w:anchor="_Toc84842629" w:history="1">
        <w:r w:rsidR="00B814F0" w:rsidRPr="007E20A8">
          <w:rPr>
            <w:rStyle w:val="Hyperlink"/>
          </w:rPr>
          <w:t>5. Future work</w:t>
        </w:r>
        <w:r w:rsidR="00B814F0">
          <w:rPr>
            <w:webHidden/>
          </w:rPr>
          <w:tab/>
        </w:r>
        <w:r w:rsidR="00B814F0">
          <w:rPr>
            <w:webHidden/>
          </w:rPr>
          <w:fldChar w:fldCharType="begin"/>
        </w:r>
        <w:r w:rsidR="00B814F0">
          <w:rPr>
            <w:webHidden/>
          </w:rPr>
          <w:instrText xml:space="preserve"> PAGEREF _Toc84842629 \h </w:instrText>
        </w:r>
        <w:r w:rsidR="00B814F0">
          <w:rPr>
            <w:webHidden/>
          </w:rPr>
        </w:r>
        <w:r w:rsidR="00B814F0">
          <w:rPr>
            <w:webHidden/>
          </w:rPr>
          <w:fldChar w:fldCharType="separate"/>
        </w:r>
        <w:r w:rsidR="004E7A44">
          <w:rPr>
            <w:webHidden/>
          </w:rPr>
          <w:t>47</w:t>
        </w:r>
        <w:r w:rsidR="00B814F0">
          <w:rPr>
            <w:webHidden/>
          </w:rPr>
          <w:fldChar w:fldCharType="end"/>
        </w:r>
      </w:hyperlink>
    </w:p>
    <w:p w14:paraId="4D075C5B" w14:textId="532B0225" w:rsidR="00B814F0" w:rsidRDefault="00B1613D">
      <w:pPr>
        <w:pStyle w:val="TOC2"/>
        <w:rPr>
          <w:rFonts w:asciiTheme="minorHAnsi" w:eastAsiaTheme="minorEastAsia" w:hAnsiTheme="minorHAnsi" w:cstheme="minorBidi"/>
          <w:color w:val="auto"/>
          <w:szCs w:val="22"/>
        </w:rPr>
      </w:pPr>
      <w:hyperlink w:anchor="_Toc84842630" w:history="1">
        <w:r w:rsidR="00B814F0" w:rsidRPr="007E20A8">
          <w:rPr>
            <w:rStyle w:val="Hyperlink"/>
          </w:rPr>
          <w:t>Evaluation of JobKeeper</w:t>
        </w:r>
        <w:r w:rsidR="00B814F0">
          <w:rPr>
            <w:webHidden/>
          </w:rPr>
          <w:tab/>
        </w:r>
        <w:r w:rsidR="00B814F0">
          <w:rPr>
            <w:webHidden/>
          </w:rPr>
          <w:fldChar w:fldCharType="begin"/>
        </w:r>
        <w:r w:rsidR="00B814F0">
          <w:rPr>
            <w:webHidden/>
          </w:rPr>
          <w:instrText xml:space="preserve"> PAGEREF _Toc84842630 \h </w:instrText>
        </w:r>
        <w:r w:rsidR="00B814F0">
          <w:rPr>
            <w:webHidden/>
          </w:rPr>
        </w:r>
        <w:r w:rsidR="00B814F0">
          <w:rPr>
            <w:webHidden/>
          </w:rPr>
          <w:fldChar w:fldCharType="separate"/>
        </w:r>
        <w:r w:rsidR="004E7A44">
          <w:rPr>
            <w:webHidden/>
          </w:rPr>
          <w:t>47</w:t>
        </w:r>
        <w:r w:rsidR="00B814F0">
          <w:rPr>
            <w:webHidden/>
          </w:rPr>
          <w:fldChar w:fldCharType="end"/>
        </w:r>
      </w:hyperlink>
    </w:p>
    <w:p w14:paraId="2E6EDCE9" w14:textId="37E8D47C" w:rsidR="00B814F0" w:rsidRDefault="00B1613D">
      <w:pPr>
        <w:pStyle w:val="TOC1"/>
        <w:rPr>
          <w:rFonts w:asciiTheme="minorHAnsi" w:eastAsiaTheme="minorEastAsia" w:hAnsiTheme="minorHAnsi" w:cstheme="minorBidi"/>
          <w:b w:val="0"/>
          <w:color w:val="auto"/>
        </w:rPr>
      </w:pPr>
      <w:hyperlink w:anchor="_Toc84842631" w:history="1">
        <w:r w:rsidR="00B814F0" w:rsidRPr="007E20A8">
          <w:rPr>
            <w:rStyle w:val="Hyperlink"/>
          </w:rPr>
          <w:t>Appendix 1: JobKeeper program data</w:t>
        </w:r>
        <w:r w:rsidR="00B814F0">
          <w:rPr>
            <w:webHidden/>
          </w:rPr>
          <w:tab/>
        </w:r>
        <w:r w:rsidR="00B814F0">
          <w:rPr>
            <w:webHidden/>
          </w:rPr>
          <w:fldChar w:fldCharType="begin"/>
        </w:r>
        <w:r w:rsidR="00B814F0">
          <w:rPr>
            <w:webHidden/>
          </w:rPr>
          <w:instrText xml:space="preserve"> PAGEREF _Toc84842631 \h </w:instrText>
        </w:r>
        <w:r w:rsidR="00B814F0">
          <w:rPr>
            <w:webHidden/>
          </w:rPr>
        </w:r>
        <w:r w:rsidR="00B814F0">
          <w:rPr>
            <w:webHidden/>
          </w:rPr>
          <w:fldChar w:fldCharType="separate"/>
        </w:r>
        <w:r w:rsidR="004E7A44">
          <w:rPr>
            <w:webHidden/>
          </w:rPr>
          <w:t>49</w:t>
        </w:r>
        <w:r w:rsidR="00B814F0">
          <w:rPr>
            <w:webHidden/>
          </w:rPr>
          <w:fldChar w:fldCharType="end"/>
        </w:r>
      </w:hyperlink>
    </w:p>
    <w:p w14:paraId="6E1DA5EB" w14:textId="12C5283B" w:rsidR="00B814F0" w:rsidRDefault="00B1613D">
      <w:pPr>
        <w:pStyle w:val="TOC1"/>
        <w:rPr>
          <w:rFonts w:asciiTheme="minorHAnsi" w:eastAsiaTheme="minorEastAsia" w:hAnsiTheme="minorHAnsi" w:cstheme="minorBidi"/>
          <w:b w:val="0"/>
          <w:color w:val="auto"/>
        </w:rPr>
      </w:pPr>
      <w:hyperlink w:anchor="_Toc84842632" w:history="1">
        <w:r w:rsidR="00B814F0" w:rsidRPr="007E20A8">
          <w:rPr>
            <w:rStyle w:val="Hyperlink"/>
          </w:rPr>
          <w:t>Appendix 2: Detailed data on JobKeeper recipients by turnover</w:t>
        </w:r>
        <w:r w:rsidR="00B814F0">
          <w:rPr>
            <w:webHidden/>
          </w:rPr>
          <w:tab/>
        </w:r>
        <w:r w:rsidR="00B814F0">
          <w:rPr>
            <w:webHidden/>
          </w:rPr>
          <w:fldChar w:fldCharType="begin"/>
        </w:r>
        <w:r w:rsidR="00B814F0">
          <w:rPr>
            <w:webHidden/>
          </w:rPr>
          <w:instrText xml:space="preserve"> PAGEREF _Toc84842632 \h </w:instrText>
        </w:r>
        <w:r w:rsidR="00B814F0">
          <w:rPr>
            <w:webHidden/>
          </w:rPr>
        </w:r>
        <w:r w:rsidR="00B814F0">
          <w:rPr>
            <w:webHidden/>
          </w:rPr>
          <w:fldChar w:fldCharType="separate"/>
        </w:r>
        <w:r w:rsidR="004E7A44">
          <w:rPr>
            <w:webHidden/>
          </w:rPr>
          <w:t>59</w:t>
        </w:r>
        <w:r w:rsidR="00B814F0">
          <w:rPr>
            <w:webHidden/>
          </w:rPr>
          <w:fldChar w:fldCharType="end"/>
        </w:r>
      </w:hyperlink>
    </w:p>
    <w:p w14:paraId="4458F0C5" w14:textId="027308F5" w:rsidR="00247796" w:rsidRDefault="00652ED8" w:rsidP="002A6A7A">
      <w:pPr>
        <w:pStyle w:val="ContentsHeading"/>
        <w:rPr>
          <w:rFonts w:ascii="Arial" w:hAnsi="Arial" w:cs="Times New Roman"/>
          <w:smallCaps/>
          <w:noProof/>
          <w:color w:val="004A7F"/>
          <w:kern w:val="0"/>
          <w:sz w:val="22"/>
          <w:szCs w:val="22"/>
        </w:rPr>
      </w:pPr>
      <w:r>
        <w:rPr>
          <w:rFonts w:ascii="Arial" w:hAnsi="Arial" w:cs="Times New Roman"/>
          <w:smallCaps/>
          <w:noProof/>
          <w:color w:val="004A7F"/>
          <w:kern w:val="0"/>
          <w:sz w:val="22"/>
          <w:szCs w:val="22"/>
        </w:rPr>
        <w:fldChar w:fldCharType="end"/>
      </w:r>
    </w:p>
    <w:p w14:paraId="244C553A" w14:textId="77777777" w:rsidR="00247796" w:rsidRDefault="00247796" w:rsidP="000B6C0C">
      <w:pPr>
        <w:spacing w:before="0" w:line="276" w:lineRule="auto"/>
        <w:rPr>
          <w:rFonts w:ascii="Arial" w:hAnsi="Arial"/>
          <w:smallCaps/>
          <w:noProof/>
          <w:color w:val="004A7F"/>
          <w:szCs w:val="22"/>
        </w:rPr>
      </w:pPr>
      <w:r>
        <w:rPr>
          <w:rFonts w:ascii="Arial" w:hAnsi="Arial"/>
          <w:smallCaps/>
          <w:noProof/>
          <w:color w:val="004A7F"/>
          <w:szCs w:val="22"/>
        </w:rPr>
        <w:br w:type="page"/>
      </w:r>
    </w:p>
    <w:p w14:paraId="24C8DD38" w14:textId="77777777" w:rsidR="000968E9" w:rsidRPr="006209A4" w:rsidRDefault="002A6A7A" w:rsidP="000B6C0C">
      <w:pPr>
        <w:pStyle w:val="ContentsHeading"/>
        <w:spacing w:before="0"/>
        <w:rPr>
          <w:noProof/>
        </w:rPr>
      </w:pPr>
      <w:r w:rsidRPr="00A821E7">
        <w:lastRenderedPageBreak/>
        <w:t>List of boxes, figures, and tables</w:t>
      </w:r>
      <w:r>
        <w:t xml:space="preserve"> </w:t>
      </w:r>
      <w:r w:rsidR="00CE2201" w:rsidRPr="006209A4">
        <w:fldChar w:fldCharType="begin"/>
      </w:r>
      <w:r w:rsidR="00CE2201" w:rsidRPr="006209A4">
        <w:instrText xml:space="preserve"> TOC \h \z \t "Box Heading,1,Chart Main Heading,1,Table Main Heading,1,Table Second Heading,1" </w:instrText>
      </w:r>
      <w:r w:rsidR="00CE2201" w:rsidRPr="006209A4">
        <w:fldChar w:fldCharType="separate"/>
      </w:r>
    </w:p>
    <w:p w14:paraId="4E89058A" w14:textId="7E8E40DD" w:rsidR="00B814F0" w:rsidRDefault="00B1613D" w:rsidP="00B814F0">
      <w:pPr>
        <w:pStyle w:val="TOC2"/>
        <w:rPr>
          <w:rFonts w:asciiTheme="minorHAnsi" w:eastAsiaTheme="minorEastAsia" w:hAnsiTheme="minorHAnsi" w:cstheme="minorBidi"/>
          <w:b/>
          <w:color w:val="auto"/>
        </w:rPr>
      </w:pPr>
      <w:hyperlink w:anchor="_Toc84842558" w:history="1">
        <w:r w:rsidR="00B814F0" w:rsidRPr="00462979">
          <w:rPr>
            <w:rStyle w:val="Hyperlink"/>
          </w:rPr>
          <w:t>Box 1: Key design features of JobKeeper</w:t>
        </w:r>
        <w:r w:rsidR="00B814F0">
          <w:rPr>
            <w:webHidden/>
          </w:rPr>
          <w:tab/>
        </w:r>
        <w:r w:rsidR="00B814F0">
          <w:rPr>
            <w:webHidden/>
          </w:rPr>
          <w:fldChar w:fldCharType="begin"/>
        </w:r>
        <w:r w:rsidR="00B814F0">
          <w:rPr>
            <w:webHidden/>
          </w:rPr>
          <w:instrText xml:space="preserve"> PAGEREF _Toc84842558 \h </w:instrText>
        </w:r>
        <w:r w:rsidR="00B814F0">
          <w:rPr>
            <w:webHidden/>
          </w:rPr>
        </w:r>
        <w:r w:rsidR="00B814F0">
          <w:rPr>
            <w:webHidden/>
          </w:rPr>
          <w:fldChar w:fldCharType="separate"/>
        </w:r>
        <w:r w:rsidR="004E7A44">
          <w:rPr>
            <w:webHidden/>
          </w:rPr>
          <w:t>8</w:t>
        </w:r>
        <w:r w:rsidR="00B814F0">
          <w:rPr>
            <w:webHidden/>
          </w:rPr>
          <w:fldChar w:fldCharType="end"/>
        </w:r>
      </w:hyperlink>
    </w:p>
    <w:p w14:paraId="79A6591E" w14:textId="72E09A36" w:rsidR="00B814F0" w:rsidRDefault="00B1613D" w:rsidP="00B814F0">
      <w:pPr>
        <w:pStyle w:val="TOC2"/>
        <w:rPr>
          <w:rFonts w:asciiTheme="minorHAnsi" w:eastAsiaTheme="minorEastAsia" w:hAnsiTheme="minorHAnsi" w:cstheme="minorBidi"/>
          <w:b/>
          <w:color w:val="auto"/>
        </w:rPr>
      </w:pPr>
      <w:hyperlink w:anchor="_Toc84842559" w:history="1">
        <w:r w:rsidR="00B814F0" w:rsidRPr="00462979">
          <w:rPr>
            <w:rStyle w:val="Hyperlink"/>
          </w:rPr>
          <w:t>Box 2: Alternative decline in GST turnover tests</w:t>
        </w:r>
        <w:r w:rsidR="00B814F0">
          <w:rPr>
            <w:webHidden/>
          </w:rPr>
          <w:tab/>
        </w:r>
        <w:r w:rsidR="00B814F0">
          <w:rPr>
            <w:webHidden/>
          </w:rPr>
          <w:fldChar w:fldCharType="begin"/>
        </w:r>
        <w:r w:rsidR="00B814F0">
          <w:rPr>
            <w:webHidden/>
          </w:rPr>
          <w:instrText xml:space="preserve"> PAGEREF _Toc84842559 \h </w:instrText>
        </w:r>
        <w:r w:rsidR="00B814F0">
          <w:rPr>
            <w:webHidden/>
          </w:rPr>
        </w:r>
        <w:r w:rsidR="00B814F0">
          <w:rPr>
            <w:webHidden/>
          </w:rPr>
          <w:fldChar w:fldCharType="separate"/>
        </w:r>
        <w:r w:rsidR="004E7A44">
          <w:rPr>
            <w:webHidden/>
          </w:rPr>
          <w:t>10</w:t>
        </w:r>
        <w:r w:rsidR="00B814F0">
          <w:rPr>
            <w:webHidden/>
          </w:rPr>
          <w:fldChar w:fldCharType="end"/>
        </w:r>
      </w:hyperlink>
    </w:p>
    <w:p w14:paraId="66BA40CE" w14:textId="7B0E88B2" w:rsidR="00B814F0" w:rsidRDefault="00B1613D" w:rsidP="00B814F0">
      <w:pPr>
        <w:pStyle w:val="TOC2"/>
        <w:spacing w:after="480"/>
        <w:rPr>
          <w:rFonts w:asciiTheme="minorHAnsi" w:eastAsiaTheme="minorEastAsia" w:hAnsiTheme="minorHAnsi" w:cstheme="minorBidi"/>
          <w:b/>
          <w:color w:val="auto"/>
        </w:rPr>
      </w:pPr>
      <w:hyperlink w:anchor="_Toc84842561" w:history="1">
        <w:r w:rsidR="00B814F0" w:rsidRPr="00462979">
          <w:rPr>
            <w:rStyle w:val="Hyperlink"/>
          </w:rPr>
          <w:t>Box 3: Incentives created by a claw</w:t>
        </w:r>
        <w:r w:rsidR="00B814F0" w:rsidRPr="00462979">
          <w:rPr>
            <w:rStyle w:val="Hyperlink"/>
          </w:rPr>
          <w:noBreakHyphen/>
          <w:t>back mechanism in JobKeeper</w:t>
        </w:r>
        <w:r w:rsidR="00B814F0">
          <w:rPr>
            <w:webHidden/>
          </w:rPr>
          <w:tab/>
        </w:r>
        <w:r w:rsidR="00B814F0">
          <w:rPr>
            <w:webHidden/>
          </w:rPr>
          <w:fldChar w:fldCharType="begin"/>
        </w:r>
        <w:r w:rsidR="00B814F0">
          <w:rPr>
            <w:webHidden/>
          </w:rPr>
          <w:instrText xml:space="preserve"> PAGEREF _Toc84842561 \h </w:instrText>
        </w:r>
        <w:r w:rsidR="00B814F0">
          <w:rPr>
            <w:webHidden/>
          </w:rPr>
        </w:r>
        <w:r w:rsidR="00B814F0">
          <w:rPr>
            <w:webHidden/>
          </w:rPr>
          <w:fldChar w:fldCharType="separate"/>
        </w:r>
        <w:r w:rsidR="004E7A44">
          <w:rPr>
            <w:webHidden/>
          </w:rPr>
          <w:t>14</w:t>
        </w:r>
        <w:r w:rsidR="00B814F0">
          <w:rPr>
            <w:webHidden/>
          </w:rPr>
          <w:fldChar w:fldCharType="end"/>
        </w:r>
      </w:hyperlink>
    </w:p>
    <w:p w14:paraId="1D61FE49" w14:textId="294A2481" w:rsidR="00B814F0" w:rsidRDefault="00B1613D" w:rsidP="00B814F0">
      <w:pPr>
        <w:pStyle w:val="TOC2"/>
        <w:rPr>
          <w:rFonts w:asciiTheme="minorHAnsi" w:eastAsiaTheme="minorEastAsia" w:hAnsiTheme="minorHAnsi" w:cstheme="minorBidi"/>
          <w:b/>
          <w:color w:val="auto"/>
        </w:rPr>
      </w:pPr>
      <w:hyperlink w:anchor="_Toc84842556" w:history="1">
        <w:r w:rsidR="00B814F0" w:rsidRPr="00462979">
          <w:rPr>
            <w:rStyle w:val="Hyperlink"/>
            <w:bCs/>
            <w14:scene3d>
              <w14:camera w14:prst="orthographicFront"/>
              <w14:lightRig w14:rig="threePt" w14:dir="t">
                <w14:rot w14:lat="0" w14:lon="0" w14:rev="0"/>
              </w14:lightRig>
            </w14:scene3d>
          </w:rPr>
          <w:t>Figure 1:</w:t>
        </w:r>
        <w:r w:rsidR="00B814F0" w:rsidRPr="00462979">
          <w:rPr>
            <w:rStyle w:val="Hyperlink"/>
          </w:rPr>
          <w:t xml:space="preserve"> Separations and jobs by JobKeeper status and turnover</w:t>
        </w:r>
        <w:r w:rsidR="00B814F0">
          <w:rPr>
            <w:webHidden/>
          </w:rPr>
          <w:tab/>
        </w:r>
        <w:r w:rsidR="00B814F0">
          <w:rPr>
            <w:webHidden/>
          </w:rPr>
          <w:fldChar w:fldCharType="begin"/>
        </w:r>
        <w:r w:rsidR="00B814F0">
          <w:rPr>
            <w:webHidden/>
          </w:rPr>
          <w:instrText xml:space="preserve"> PAGEREF _Toc84842556 \h </w:instrText>
        </w:r>
        <w:r w:rsidR="00B814F0">
          <w:rPr>
            <w:webHidden/>
          </w:rPr>
        </w:r>
        <w:r w:rsidR="00B814F0">
          <w:rPr>
            <w:webHidden/>
          </w:rPr>
          <w:fldChar w:fldCharType="separate"/>
        </w:r>
        <w:r w:rsidR="004E7A44">
          <w:rPr>
            <w:webHidden/>
          </w:rPr>
          <w:t>4</w:t>
        </w:r>
        <w:r w:rsidR="00B814F0">
          <w:rPr>
            <w:webHidden/>
          </w:rPr>
          <w:fldChar w:fldCharType="end"/>
        </w:r>
      </w:hyperlink>
    </w:p>
    <w:p w14:paraId="7DB5D9DE" w14:textId="3C3DF5B1" w:rsidR="00B814F0" w:rsidRDefault="00B1613D" w:rsidP="00B814F0">
      <w:pPr>
        <w:pStyle w:val="TOC2"/>
        <w:rPr>
          <w:rFonts w:asciiTheme="minorHAnsi" w:eastAsiaTheme="minorEastAsia" w:hAnsiTheme="minorHAnsi" w:cstheme="minorBidi"/>
          <w:b/>
          <w:color w:val="auto"/>
        </w:rPr>
      </w:pPr>
      <w:hyperlink w:anchor="_Toc84842560" w:history="1">
        <w:r w:rsidR="00B814F0" w:rsidRPr="00462979">
          <w:rPr>
            <w:rStyle w:val="Hyperlink"/>
            <w:bCs/>
            <w14:scene3d>
              <w14:camera w14:prst="orthographicFront"/>
              <w14:lightRig w14:rig="threePt" w14:dir="t">
                <w14:rot w14:lat="0" w14:lon="0" w14:rev="0"/>
              </w14:lightRig>
            </w14:scene3d>
          </w:rPr>
          <w:t>Figure 2:</w:t>
        </w:r>
        <w:r w:rsidR="00B814F0" w:rsidRPr="00462979">
          <w:rPr>
            <w:rStyle w:val="Hyperlink"/>
          </w:rPr>
          <w:t xml:space="preserve"> JobKeeper Payment as a wage subsidy and income transfer</w:t>
        </w:r>
        <w:r w:rsidR="00B814F0">
          <w:rPr>
            <w:webHidden/>
          </w:rPr>
          <w:tab/>
        </w:r>
        <w:r w:rsidR="00B814F0">
          <w:rPr>
            <w:webHidden/>
          </w:rPr>
          <w:fldChar w:fldCharType="begin"/>
        </w:r>
        <w:r w:rsidR="00B814F0">
          <w:rPr>
            <w:webHidden/>
          </w:rPr>
          <w:instrText xml:space="preserve"> PAGEREF _Toc84842560 \h </w:instrText>
        </w:r>
        <w:r w:rsidR="00B814F0">
          <w:rPr>
            <w:webHidden/>
          </w:rPr>
        </w:r>
        <w:r w:rsidR="00B814F0">
          <w:rPr>
            <w:webHidden/>
          </w:rPr>
          <w:fldChar w:fldCharType="separate"/>
        </w:r>
        <w:r w:rsidR="004E7A44">
          <w:rPr>
            <w:webHidden/>
          </w:rPr>
          <w:t>12</w:t>
        </w:r>
        <w:r w:rsidR="00B814F0">
          <w:rPr>
            <w:webHidden/>
          </w:rPr>
          <w:fldChar w:fldCharType="end"/>
        </w:r>
      </w:hyperlink>
    </w:p>
    <w:p w14:paraId="33C320F2" w14:textId="22945CE1" w:rsidR="00B814F0" w:rsidRDefault="00B1613D" w:rsidP="00B814F0">
      <w:pPr>
        <w:pStyle w:val="TOC2"/>
        <w:rPr>
          <w:rFonts w:asciiTheme="minorHAnsi" w:eastAsiaTheme="minorEastAsia" w:hAnsiTheme="minorHAnsi" w:cstheme="minorBidi"/>
          <w:b/>
          <w:color w:val="auto"/>
        </w:rPr>
      </w:pPr>
      <w:hyperlink w:anchor="_Toc84842562" w:history="1">
        <w:r w:rsidR="00B814F0" w:rsidRPr="00462979">
          <w:rPr>
            <w:rStyle w:val="Hyperlink"/>
            <w:bCs/>
            <w14:scene3d>
              <w14:camera w14:prst="orthographicFront"/>
              <w14:lightRig w14:rig="threePt" w14:dir="t">
                <w14:rot w14:lat="0" w14:lon="0" w14:rev="0"/>
              </w14:lightRig>
            </w14:scene3d>
          </w:rPr>
          <w:t>Figure 3:</w:t>
        </w:r>
        <w:r w:rsidR="00B814F0" w:rsidRPr="00462979">
          <w:rPr>
            <w:rStyle w:val="Hyperlink"/>
          </w:rPr>
          <w:t xml:space="preserve"> Businesses’ revenue, profits and JobKeeper impact</w:t>
        </w:r>
        <w:r w:rsidR="00B814F0">
          <w:rPr>
            <w:webHidden/>
          </w:rPr>
          <w:tab/>
        </w:r>
        <w:r w:rsidR="00B814F0">
          <w:rPr>
            <w:webHidden/>
          </w:rPr>
          <w:fldChar w:fldCharType="begin"/>
        </w:r>
        <w:r w:rsidR="00B814F0">
          <w:rPr>
            <w:webHidden/>
          </w:rPr>
          <w:instrText xml:space="preserve"> PAGEREF _Toc84842562 \h </w:instrText>
        </w:r>
        <w:r w:rsidR="00B814F0">
          <w:rPr>
            <w:webHidden/>
          </w:rPr>
        </w:r>
        <w:r w:rsidR="00B814F0">
          <w:rPr>
            <w:webHidden/>
          </w:rPr>
          <w:fldChar w:fldCharType="separate"/>
        </w:r>
        <w:r w:rsidR="004E7A44">
          <w:rPr>
            <w:webHidden/>
          </w:rPr>
          <w:t>14</w:t>
        </w:r>
        <w:r w:rsidR="00B814F0">
          <w:rPr>
            <w:webHidden/>
          </w:rPr>
          <w:fldChar w:fldCharType="end"/>
        </w:r>
      </w:hyperlink>
    </w:p>
    <w:p w14:paraId="5FD3AF97" w14:textId="3216A0D3" w:rsidR="00B814F0" w:rsidRDefault="00B1613D" w:rsidP="00B814F0">
      <w:pPr>
        <w:pStyle w:val="TOC2"/>
        <w:rPr>
          <w:rFonts w:asciiTheme="minorHAnsi" w:eastAsiaTheme="minorEastAsia" w:hAnsiTheme="minorHAnsi" w:cstheme="minorBidi"/>
          <w:b/>
          <w:color w:val="auto"/>
        </w:rPr>
      </w:pPr>
      <w:hyperlink w:anchor="_Toc84842563" w:history="1">
        <w:r w:rsidR="00B814F0" w:rsidRPr="00462979">
          <w:rPr>
            <w:rStyle w:val="Hyperlink"/>
            <w:bCs/>
            <w14:scene3d>
              <w14:camera w14:prst="orthographicFront"/>
              <w14:lightRig w14:rig="threePt" w14:dir="t">
                <w14:rot w14:lat="0" w14:lon="0" w14:rev="0"/>
              </w14:lightRig>
            </w14:scene3d>
          </w:rPr>
          <w:t>Figure 4:</w:t>
        </w:r>
        <w:r w:rsidR="00B814F0" w:rsidRPr="00462979">
          <w:rPr>
            <w:rStyle w:val="Hyperlink"/>
          </w:rPr>
          <w:t xml:space="preserve"> Real quarterly GDP growth</w:t>
        </w:r>
        <w:r w:rsidR="00B814F0">
          <w:rPr>
            <w:webHidden/>
          </w:rPr>
          <w:tab/>
        </w:r>
        <w:r w:rsidR="00B814F0">
          <w:rPr>
            <w:webHidden/>
          </w:rPr>
          <w:fldChar w:fldCharType="begin"/>
        </w:r>
        <w:r w:rsidR="00B814F0">
          <w:rPr>
            <w:webHidden/>
          </w:rPr>
          <w:instrText xml:space="preserve"> PAGEREF _Toc84842563 \h </w:instrText>
        </w:r>
        <w:r w:rsidR="00B814F0">
          <w:rPr>
            <w:webHidden/>
          </w:rPr>
        </w:r>
        <w:r w:rsidR="00B814F0">
          <w:rPr>
            <w:webHidden/>
          </w:rPr>
          <w:fldChar w:fldCharType="separate"/>
        </w:r>
        <w:r w:rsidR="004E7A44">
          <w:rPr>
            <w:webHidden/>
          </w:rPr>
          <w:t>16</w:t>
        </w:r>
        <w:r w:rsidR="00B814F0">
          <w:rPr>
            <w:webHidden/>
          </w:rPr>
          <w:fldChar w:fldCharType="end"/>
        </w:r>
      </w:hyperlink>
    </w:p>
    <w:p w14:paraId="542ED913" w14:textId="7AF83715" w:rsidR="00B814F0" w:rsidRDefault="00B1613D" w:rsidP="00B814F0">
      <w:pPr>
        <w:pStyle w:val="TOC2"/>
        <w:rPr>
          <w:rFonts w:asciiTheme="minorHAnsi" w:eastAsiaTheme="minorEastAsia" w:hAnsiTheme="minorHAnsi" w:cstheme="minorBidi"/>
          <w:b/>
          <w:color w:val="auto"/>
        </w:rPr>
      </w:pPr>
      <w:hyperlink w:anchor="_Toc84842565" w:history="1">
        <w:r w:rsidR="00B814F0" w:rsidRPr="00462979">
          <w:rPr>
            <w:rStyle w:val="Hyperlink"/>
            <w:bCs/>
            <w14:scene3d>
              <w14:camera w14:prst="orthographicFront"/>
              <w14:lightRig w14:rig="threePt" w14:dir="t">
                <w14:rot w14:lat="0" w14:lon="0" w14:rev="0"/>
              </w14:lightRig>
            </w14:scene3d>
          </w:rPr>
          <w:t>Figure 5:</w:t>
        </w:r>
        <w:r w:rsidR="00B814F0" w:rsidRPr="00462979">
          <w:rPr>
            <w:rStyle w:val="Hyperlink"/>
          </w:rPr>
          <w:t xml:space="preserve"> Distribution of JobKeeper entities and payments</w:t>
        </w:r>
        <w:r w:rsidR="00B814F0">
          <w:rPr>
            <w:webHidden/>
          </w:rPr>
          <w:tab/>
        </w:r>
        <w:r w:rsidR="00B814F0">
          <w:rPr>
            <w:webHidden/>
          </w:rPr>
          <w:fldChar w:fldCharType="begin"/>
        </w:r>
        <w:r w:rsidR="00B814F0">
          <w:rPr>
            <w:webHidden/>
          </w:rPr>
          <w:instrText xml:space="preserve"> PAGEREF _Toc84842565 \h </w:instrText>
        </w:r>
        <w:r w:rsidR="00B814F0">
          <w:rPr>
            <w:webHidden/>
          </w:rPr>
        </w:r>
        <w:r w:rsidR="00B814F0">
          <w:rPr>
            <w:webHidden/>
          </w:rPr>
          <w:fldChar w:fldCharType="separate"/>
        </w:r>
        <w:r w:rsidR="004E7A44">
          <w:rPr>
            <w:webHidden/>
          </w:rPr>
          <w:t>19</w:t>
        </w:r>
        <w:r w:rsidR="00B814F0">
          <w:rPr>
            <w:webHidden/>
          </w:rPr>
          <w:fldChar w:fldCharType="end"/>
        </w:r>
      </w:hyperlink>
    </w:p>
    <w:p w14:paraId="244A820D" w14:textId="2A0C73E4" w:rsidR="00B814F0" w:rsidRDefault="00B1613D" w:rsidP="00B814F0">
      <w:pPr>
        <w:pStyle w:val="TOC2"/>
        <w:rPr>
          <w:rFonts w:asciiTheme="minorHAnsi" w:eastAsiaTheme="minorEastAsia" w:hAnsiTheme="minorHAnsi" w:cstheme="minorBidi"/>
          <w:b/>
          <w:color w:val="auto"/>
        </w:rPr>
      </w:pPr>
      <w:hyperlink w:anchor="_Toc84842566" w:history="1">
        <w:r w:rsidR="00B814F0" w:rsidRPr="00462979">
          <w:rPr>
            <w:rStyle w:val="Hyperlink"/>
            <w:bCs/>
            <w14:scene3d>
              <w14:camera w14:prst="orthographicFront"/>
              <w14:lightRig w14:rig="threePt" w14:dir="t">
                <w14:rot w14:lat="0" w14:lon="0" w14:rev="0"/>
              </w14:lightRig>
            </w14:scene3d>
          </w:rPr>
          <w:t>Figure 6:</w:t>
        </w:r>
        <w:r w:rsidR="00B814F0" w:rsidRPr="00462979">
          <w:rPr>
            <w:rStyle w:val="Hyperlink"/>
          </w:rPr>
          <w:t xml:space="preserve"> JobKeeper coverage of employment</w:t>
        </w:r>
        <w:r w:rsidR="00B814F0">
          <w:rPr>
            <w:webHidden/>
          </w:rPr>
          <w:tab/>
        </w:r>
        <w:r w:rsidR="00B814F0">
          <w:rPr>
            <w:webHidden/>
          </w:rPr>
          <w:fldChar w:fldCharType="begin"/>
        </w:r>
        <w:r w:rsidR="00B814F0">
          <w:rPr>
            <w:webHidden/>
          </w:rPr>
          <w:instrText xml:space="preserve"> PAGEREF _Toc84842566 \h </w:instrText>
        </w:r>
        <w:r w:rsidR="00B814F0">
          <w:rPr>
            <w:webHidden/>
          </w:rPr>
        </w:r>
        <w:r w:rsidR="00B814F0">
          <w:rPr>
            <w:webHidden/>
          </w:rPr>
          <w:fldChar w:fldCharType="separate"/>
        </w:r>
        <w:r w:rsidR="004E7A44">
          <w:rPr>
            <w:webHidden/>
          </w:rPr>
          <w:t>20</w:t>
        </w:r>
        <w:r w:rsidR="00B814F0">
          <w:rPr>
            <w:webHidden/>
          </w:rPr>
          <w:fldChar w:fldCharType="end"/>
        </w:r>
      </w:hyperlink>
    </w:p>
    <w:p w14:paraId="596BDF86" w14:textId="72308DF6" w:rsidR="00B814F0" w:rsidRDefault="00B1613D" w:rsidP="00B814F0">
      <w:pPr>
        <w:pStyle w:val="TOC2"/>
        <w:rPr>
          <w:rFonts w:asciiTheme="minorHAnsi" w:eastAsiaTheme="minorEastAsia" w:hAnsiTheme="minorHAnsi" w:cstheme="minorBidi"/>
          <w:b/>
          <w:color w:val="auto"/>
        </w:rPr>
      </w:pPr>
      <w:hyperlink w:anchor="_Toc84842567" w:history="1">
        <w:r w:rsidR="00B814F0" w:rsidRPr="00462979">
          <w:rPr>
            <w:rStyle w:val="Hyperlink"/>
            <w:bCs/>
            <w14:scene3d>
              <w14:camera w14:prst="orthographicFront"/>
              <w14:lightRig w14:rig="threePt" w14:dir="t">
                <w14:rot w14:lat="0" w14:lon="0" w14:rev="0"/>
              </w14:lightRig>
            </w14:scene3d>
          </w:rPr>
          <w:t>Figure 7:</w:t>
        </w:r>
        <w:r w:rsidR="00B814F0" w:rsidRPr="00462979">
          <w:rPr>
            <w:rStyle w:val="Hyperlink"/>
          </w:rPr>
          <w:t xml:space="preserve"> Shares of employment and JobKeeper participants</w:t>
        </w:r>
        <w:r w:rsidR="00B814F0">
          <w:rPr>
            <w:webHidden/>
          </w:rPr>
          <w:tab/>
        </w:r>
        <w:r w:rsidR="00B814F0">
          <w:rPr>
            <w:webHidden/>
          </w:rPr>
          <w:fldChar w:fldCharType="begin"/>
        </w:r>
        <w:r w:rsidR="00B814F0">
          <w:rPr>
            <w:webHidden/>
          </w:rPr>
          <w:instrText xml:space="preserve"> PAGEREF _Toc84842567 \h </w:instrText>
        </w:r>
        <w:r w:rsidR="00B814F0">
          <w:rPr>
            <w:webHidden/>
          </w:rPr>
        </w:r>
        <w:r w:rsidR="00B814F0">
          <w:rPr>
            <w:webHidden/>
          </w:rPr>
          <w:fldChar w:fldCharType="separate"/>
        </w:r>
        <w:r w:rsidR="004E7A44">
          <w:rPr>
            <w:webHidden/>
          </w:rPr>
          <w:t>21</w:t>
        </w:r>
        <w:r w:rsidR="00B814F0">
          <w:rPr>
            <w:webHidden/>
          </w:rPr>
          <w:fldChar w:fldCharType="end"/>
        </w:r>
      </w:hyperlink>
    </w:p>
    <w:p w14:paraId="1A6AF75E" w14:textId="151D9E09" w:rsidR="00B814F0" w:rsidRDefault="00B1613D" w:rsidP="00B814F0">
      <w:pPr>
        <w:pStyle w:val="TOC2"/>
        <w:rPr>
          <w:rFonts w:asciiTheme="minorHAnsi" w:eastAsiaTheme="minorEastAsia" w:hAnsiTheme="minorHAnsi" w:cstheme="minorBidi"/>
          <w:b/>
          <w:color w:val="auto"/>
        </w:rPr>
      </w:pPr>
      <w:hyperlink w:anchor="_Toc84842568" w:history="1">
        <w:r w:rsidR="00B814F0" w:rsidRPr="00462979">
          <w:rPr>
            <w:rStyle w:val="Hyperlink"/>
            <w:bCs/>
            <w14:scene3d>
              <w14:camera w14:prst="orthographicFront"/>
              <w14:lightRig w14:rig="threePt" w14:dir="t">
                <w14:rot w14:lat="0" w14:lon="0" w14:rev="0"/>
              </w14:lightRig>
            </w14:scene3d>
          </w:rPr>
          <w:t>Figure 8:</w:t>
        </w:r>
        <w:r w:rsidR="00B814F0" w:rsidRPr="00462979">
          <w:rPr>
            <w:rStyle w:val="Hyperlink"/>
          </w:rPr>
          <w:t xml:space="preserve"> JobKeeper payments and coverage by industry</w:t>
        </w:r>
        <w:r w:rsidR="00B814F0">
          <w:rPr>
            <w:webHidden/>
          </w:rPr>
          <w:tab/>
        </w:r>
        <w:r w:rsidR="00B814F0">
          <w:rPr>
            <w:webHidden/>
          </w:rPr>
          <w:fldChar w:fldCharType="begin"/>
        </w:r>
        <w:r w:rsidR="00B814F0">
          <w:rPr>
            <w:webHidden/>
          </w:rPr>
          <w:instrText xml:space="preserve"> PAGEREF _Toc84842568 \h </w:instrText>
        </w:r>
        <w:r w:rsidR="00B814F0">
          <w:rPr>
            <w:webHidden/>
          </w:rPr>
        </w:r>
        <w:r w:rsidR="00B814F0">
          <w:rPr>
            <w:webHidden/>
          </w:rPr>
          <w:fldChar w:fldCharType="separate"/>
        </w:r>
        <w:r w:rsidR="004E7A44">
          <w:rPr>
            <w:webHidden/>
          </w:rPr>
          <w:t>22</w:t>
        </w:r>
        <w:r w:rsidR="00B814F0">
          <w:rPr>
            <w:webHidden/>
          </w:rPr>
          <w:fldChar w:fldCharType="end"/>
        </w:r>
      </w:hyperlink>
    </w:p>
    <w:p w14:paraId="14A082E7" w14:textId="59407791" w:rsidR="00B814F0" w:rsidRDefault="00B1613D" w:rsidP="00B814F0">
      <w:pPr>
        <w:pStyle w:val="TOC2"/>
        <w:rPr>
          <w:rFonts w:asciiTheme="minorHAnsi" w:eastAsiaTheme="minorEastAsia" w:hAnsiTheme="minorHAnsi" w:cstheme="minorBidi"/>
          <w:b/>
          <w:color w:val="auto"/>
        </w:rPr>
      </w:pPr>
      <w:hyperlink w:anchor="_Toc84842569" w:history="1">
        <w:r w:rsidR="00B814F0" w:rsidRPr="00462979">
          <w:rPr>
            <w:rStyle w:val="Hyperlink"/>
            <w:bCs/>
            <w14:scene3d>
              <w14:camera w14:prst="orthographicFront"/>
              <w14:lightRig w14:rig="threePt" w14:dir="t">
                <w14:rot w14:lat="0" w14:lon="0" w14:rev="0"/>
              </w14:lightRig>
            </w14:scene3d>
          </w:rPr>
          <w:t>Figure 9:</w:t>
        </w:r>
        <w:r w:rsidR="00B814F0" w:rsidRPr="00462979">
          <w:rPr>
            <w:rStyle w:val="Hyperlink"/>
          </w:rPr>
          <w:t xml:space="preserve"> JobKeeper individuals and coverage by industry</w:t>
        </w:r>
        <w:r w:rsidR="00B814F0">
          <w:rPr>
            <w:webHidden/>
          </w:rPr>
          <w:tab/>
        </w:r>
        <w:r w:rsidR="00B814F0">
          <w:rPr>
            <w:webHidden/>
          </w:rPr>
          <w:fldChar w:fldCharType="begin"/>
        </w:r>
        <w:r w:rsidR="00B814F0">
          <w:rPr>
            <w:webHidden/>
          </w:rPr>
          <w:instrText xml:space="preserve"> PAGEREF _Toc84842569 \h </w:instrText>
        </w:r>
        <w:r w:rsidR="00B814F0">
          <w:rPr>
            <w:webHidden/>
          </w:rPr>
        </w:r>
        <w:r w:rsidR="00B814F0">
          <w:rPr>
            <w:webHidden/>
          </w:rPr>
          <w:fldChar w:fldCharType="separate"/>
        </w:r>
        <w:r w:rsidR="004E7A44">
          <w:rPr>
            <w:webHidden/>
          </w:rPr>
          <w:t>22</w:t>
        </w:r>
        <w:r w:rsidR="00B814F0">
          <w:rPr>
            <w:webHidden/>
          </w:rPr>
          <w:fldChar w:fldCharType="end"/>
        </w:r>
      </w:hyperlink>
    </w:p>
    <w:p w14:paraId="6CCAA2C5" w14:textId="0DA226CF" w:rsidR="00B814F0" w:rsidRDefault="00B1613D" w:rsidP="00B814F0">
      <w:pPr>
        <w:pStyle w:val="TOC2"/>
        <w:rPr>
          <w:rFonts w:asciiTheme="minorHAnsi" w:eastAsiaTheme="minorEastAsia" w:hAnsiTheme="minorHAnsi" w:cstheme="minorBidi"/>
          <w:b/>
          <w:color w:val="auto"/>
        </w:rPr>
      </w:pPr>
      <w:hyperlink w:anchor="_Toc84842570" w:history="1">
        <w:r w:rsidR="00B814F0" w:rsidRPr="00462979">
          <w:rPr>
            <w:rStyle w:val="Hyperlink"/>
            <w:bCs/>
            <w14:scene3d>
              <w14:camera w14:prst="orthographicFront"/>
              <w14:lightRig w14:rig="threePt" w14:dir="t">
                <w14:rot w14:lat="0" w14:lon="0" w14:rev="0"/>
              </w14:lightRig>
            </w14:scene3d>
          </w:rPr>
          <w:t>Figure 10:</w:t>
        </w:r>
        <w:r w:rsidR="00B814F0" w:rsidRPr="00462979">
          <w:rPr>
            <w:rStyle w:val="Hyperlink"/>
          </w:rPr>
          <w:t xml:space="preserve"> JobKeeper entities and coverage by industry</w:t>
        </w:r>
        <w:r w:rsidR="00B814F0">
          <w:rPr>
            <w:webHidden/>
          </w:rPr>
          <w:tab/>
        </w:r>
        <w:r w:rsidR="00B814F0">
          <w:rPr>
            <w:webHidden/>
          </w:rPr>
          <w:fldChar w:fldCharType="begin"/>
        </w:r>
        <w:r w:rsidR="00B814F0">
          <w:rPr>
            <w:webHidden/>
          </w:rPr>
          <w:instrText xml:space="preserve"> PAGEREF _Toc84842570 \h </w:instrText>
        </w:r>
        <w:r w:rsidR="00B814F0">
          <w:rPr>
            <w:webHidden/>
          </w:rPr>
        </w:r>
        <w:r w:rsidR="00B814F0">
          <w:rPr>
            <w:webHidden/>
          </w:rPr>
          <w:fldChar w:fldCharType="separate"/>
        </w:r>
        <w:r w:rsidR="004E7A44">
          <w:rPr>
            <w:webHidden/>
          </w:rPr>
          <w:t>23</w:t>
        </w:r>
        <w:r w:rsidR="00B814F0">
          <w:rPr>
            <w:webHidden/>
          </w:rPr>
          <w:fldChar w:fldCharType="end"/>
        </w:r>
      </w:hyperlink>
    </w:p>
    <w:p w14:paraId="34D34B04" w14:textId="3C99824E" w:rsidR="00B814F0" w:rsidRDefault="00B1613D" w:rsidP="00B814F0">
      <w:pPr>
        <w:pStyle w:val="TOC2"/>
        <w:rPr>
          <w:rFonts w:asciiTheme="minorHAnsi" w:eastAsiaTheme="minorEastAsia" w:hAnsiTheme="minorHAnsi" w:cstheme="minorBidi"/>
          <w:b/>
          <w:color w:val="auto"/>
        </w:rPr>
      </w:pPr>
      <w:hyperlink w:anchor="_Toc84842571" w:history="1">
        <w:r w:rsidR="00B814F0" w:rsidRPr="00462979">
          <w:rPr>
            <w:rStyle w:val="Hyperlink"/>
            <w:bCs/>
            <w14:scene3d>
              <w14:camera w14:prst="orthographicFront"/>
              <w14:lightRig w14:rig="threePt" w14:dir="t">
                <w14:rot w14:lat="0" w14:lon="0" w14:rev="0"/>
              </w14:lightRig>
            </w14:scene3d>
          </w:rPr>
          <w:t>Figure 11:</w:t>
        </w:r>
        <w:r w:rsidR="00B814F0" w:rsidRPr="00462979">
          <w:rPr>
            <w:rStyle w:val="Hyperlink"/>
          </w:rPr>
          <w:t xml:space="preserve"> JobKeeper individuals – coverage by region</w:t>
        </w:r>
        <w:r w:rsidR="00B814F0">
          <w:rPr>
            <w:webHidden/>
          </w:rPr>
          <w:tab/>
        </w:r>
        <w:r w:rsidR="00B814F0">
          <w:rPr>
            <w:webHidden/>
          </w:rPr>
          <w:fldChar w:fldCharType="begin"/>
        </w:r>
        <w:r w:rsidR="00B814F0">
          <w:rPr>
            <w:webHidden/>
          </w:rPr>
          <w:instrText xml:space="preserve"> PAGEREF _Toc84842571 \h </w:instrText>
        </w:r>
        <w:r w:rsidR="00B814F0">
          <w:rPr>
            <w:webHidden/>
          </w:rPr>
        </w:r>
        <w:r w:rsidR="00B814F0">
          <w:rPr>
            <w:webHidden/>
          </w:rPr>
          <w:fldChar w:fldCharType="separate"/>
        </w:r>
        <w:r w:rsidR="004E7A44">
          <w:rPr>
            <w:webHidden/>
          </w:rPr>
          <w:t>24</w:t>
        </w:r>
        <w:r w:rsidR="00B814F0">
          <w:rPr>
            <w:webHidden/>
          </w:rPr>
          <w:fldChar w:fldCharType="end"/>
        </w:r>
      </w:hyperlink>
    </w:p>
    <w:p w14:paraId="584F5B93" w14:textId="7C1DC4FF" w:rsidR="00B814F0" w:rsidRDefault="00B1613D" w:rsidP="00B814F0">
      <w:pPr>
        <w:pStyle w:val="TOC2"/>
        <w:rPr>
          <w:rFonts w:asciiTheme="minorHAnsi" w:eastAsiaTheme="minorEastAsia" w:hAnsiTheme="minorHAnsi" w:cstheme="minorBidi"/>
          <w:b/>
          <w:color w:val="auto"/>
        </w:rPr>
      </w:pPr>
      <w:hyperlink w:anchor="_Toc84842573" w:history="1">
        <w:r w:rsidR="00B814F0" w:rsidRPr="00462979">
          <w:rPr>
            <w:rStyle w:val="Hyperlink"/>
            <w:bCs/>
            <w14:scene3d>
              <w14:camera w14:prst="orthographicFront"/>
              <w14:lightRig w14:rig="threePt" w14:dir="t">
                <w14:rot w14:lat="0" w14:lon="0" w14:rev="0"/>
              </w14:lightRig>
            </w14:scene3d>
          </w:rPr>
          <w:t>Figure 12:</w:t>
        </w:r>
        <w:r w:rsidR="00B814F0" w:rsidRPr="00462979">
          <w:rPr>
            <w:rStyle w:val="Hyperlink"/>
          </w:rPr>
          <w:t xml:space="preserve"> Consumer and business confidence</w:t>
        </w:r>
        <w:r w:rsidR="00B814F0">
          <w:rPr>
            <w:webHidden/>
          </w:rPr>
          <w:tab/>
        </w:r>
        <w:r w:rsidR="00B814F0">
          <w:rPr>
            <w:webHidden/>
          </w:rPr>
          <w:fldChar w:fldCharType="begin"/>
        </w:r>
        <w:r w:rsidR="00B814F0">
          <w:rPr>
            <w:webHidden/>
          </w:rPr>
          <w:instrText xml:space="preserve"> PAGEREF _Toc84842573 \h </w:instrText>
        </w:r>
        <w:r w:rsidR="00B814F0">
          <w:rPr>
            <w:webHidden/>
          </w:rPr>
        </w:r>
        <w:r w:rsidR="00B814F0">
          <w:rPr>
            <w:webHidden/>
          </w:rPr>
          <w:fldChar w:fldCharType="separate"/>
        </w:r>
        <w:r w:rsidR="004E7A44">
          <w:rPr>
            <w:webHidden/>
          </w:rPr>
          <w:t>26</w:t>
        </w:r>
        <w:r w:rsidR="00B814F0">
          <w:rPr>
            <w:webHidden/>
          </w:rPr>
          <w:fldChar w:fldCharType="end"/>
        </w:r>
      </w:hyperlink>
    </w:p>
    <w:p w14:paraId="77790E0F" w14:textId="3C4F54ED" w:rsidR="00B814F0" w:rsidRDefault="00B1613D" w:rsidP="00B814F0">
      <w:pPr>
        <w:pStyle w:val="TOC2"/>
        <w:rPr>
          <w:rFonts w:asciiTheme="minorHAnsi" w:eastAsiaTheme="minorEastAsia" w:hAnsiTheme="minorHAnsi" w:cstheme="minorBidi"/>
          <w:b/>
          <w:color w:val="auto"/>
        </w:rPr>
      </w:pPr>
      <w:hyperlink w:anchor="_Toc84842574" w:history="1">
        <w:r w:rsidR="00B814F0" w:rsidRPr="00462979">
          <w:rPr>
            <w:rStyle w:val="Hyperlink"/>
            <w:bCs/>
            <w:lang w:val="en-US"/>
            <w14:scene3d>
              <w14:camera w14:prst="orthographicFront"/>
              <w14:lightRig w14:rig="threePt" w14:dir="t">
                <w14:rot w14:lat="0" w14:lon="0" w14:rev="0"/>
              </w14:lightRig>
            </w14:scene3d>
          </w:rPr>
          <w:t>Figure 13:</w:t>
        </w:r>
        <w:r w:rsidR="00B814F0" w:rsidRPr="00462979">
          <w:rPr>
            <w:rStyle w:val="Hyperlink"/>
            <w:lang w:val="en-US"/>
          </w:rPr>
          <w:t xml:space="preserve"> Job separations by JobKeeper status</w:t>
        </w:r>
        <w:r w:rsidR="00B814F0">
          <w:rPr>
            <w:webHidden/>
          </w:rPr>
          <w:tab/>
        </w:r>
        <w:r w:rsidR="00B814F0">
          <w:rPr>
            <w:webHidden/>
          </w:rPr>
          <w:fldChar w:fldCharType="begin"/>
        </w:r>
        <w:r w:rsidR="00B814F0">
          <w:rPr>
            <w:webHidden/>
          </w:rPr>
          <w:instrText xml:space="preserve"> PAGEREF _Toc84842574 \h </w:instrText>
        </w:r>
        <w:r w:rsidR="00B814F0">
          <w:rPr>
            <w:webHidden/>
          </w:rPr>
        </w:r>
        <w:r w:rsidR="00B814F0">
          <w:rPr>
            <w:webHidden/>
          </w:rPr>
          <w:fldChar w:fldCharType="separate"/>
        </w:r>
        <w:r w:rsidR="004E7A44">
          <w:rPr>
            <w:webHidden/>
          </w:rPr>
          <w:t>27</w:t>
        </w:r>
        <w:r w:rsidR="00B814F0">
          <w:rPr>
            <w:webHidden/>
          </w:rPr>
          <w:fldChar w:fldCharType="end"/>
        </w:r>
      </w:hyperlink>
    </w:p>
    <w:p w14:paraId="7A1D58B8" w14:textId="3D70CD4E" w:rsidR="00B814F0" w:rsidRDefault="00B1613D" w:rsidP="00B814F0">
      <w:pPr>
        <w:pStyle w:val="TOC2"/>
        <w:rPr>
          <w:rFonts w:asciiTheme="minorHAnsi" w:eastAsiaTheme="minorEastAsia" w:hAnsiTheme="minorHAnsi" w:cstheme="minorBidi"/>
          <w:b/>
          <w:color w:val="auto"/>
        </w:rPr>
      </w:pPr>
      <w:hyperlink w:anchor="_Toc84842575" w:history="1">
        <w:r w:rsidR="00B814F0" w:rsidRPr="00462979">
          <w:rPr>
            <w:rStyle w:val="Hyperlink"/>
            <w:bCs/>
            <w14:scene3d>
              <w14:camera w14:prst="orthographicFront"/>
              <w14:lightRig w14:rig="threePt" w14:dir="t">
                <w14:rot w14:lat="0" w14:lon="0" w14:rev="0"/>
              </w14:lightRig>
            </w14:scene3d>
          </w:rPr>
          <w:t>Figure 14:</w:t>
        </w:r>
        <w:r w:rsidR="00B814F0" w:rsidRPr="00462979">
          <w:rPr>
            <w:rStyle w:val="Hyperlink"/>
          </w:rPr>
          <w:t xml:space="preserve"> Entries into employment</w:t>
        </w:r>
        <w:r w:rsidR="00B814F0">
          <w:rPr>
            <w:webHidden/>
          </w:rPr>
          <w:tab/>
        </w:r>
        <w:r w:rsidR="00B814F0">
          <w:rPr>
            <w:webHidden/>
          </w:rPr>
          <w:fldChar w:fldCharType="begin"/>
        </w:r>
        <w:r w:rsidR="00B814F0">
          <w:rPr>
            <w:webHidden/>
          </w:rPr>
          <w:instrText xml:space="preserve"> PAGEREF _Toc84842575 \h </w:instrText>
        </w:r>
        <w:r w:rsidR="00B814F0">
          <w:rPr>
            <w:webHidden/>
          </w:rPr>
        </w:r>
        <w:r w:rsidR="00B814F0">
          <w:rPr>
            <w:webHidden/>
          </w:rPr>
          <w:fldChar w:fldCharType="separate"/>
        </w:r>
        <w:r w:rsidR="004E7A44">
          <w:rPr>
            <w:webHidden/>
          </w:rPr>
          <w:t>28</w:t>
        </w:r>
        <w:r w:rsidR="00B814F0">
          <w:rPr>
            <w:webHidden/>
          </w:rPr>
          <w:fldChar w:fldCharType="end"/>
        </w:r>
      </w:hyperlink>
    </w:p>
    <w:p w14:paraId="52E19409" w14:textId="0DF69772" w:rsidR="00B814F0" w:rsidRDefault="00B1613D" w:rsidP="00B814F0">
      <w:pPr>
        <w:pStyle w:val="TOC2"/>
        <w:rPr>
          <w:rFonts w:asciiTheme="minorHAnsi" w:eastAsiaTheme="minorEastAsia" w:hAnsiTheme="minorHAnsi" w:cstheme="minorBidi"/>
          <w:b/>
          <w:color w:val="auto"/>
        </w:rPr>
      </w:pPr>
      <w:hyperlink w:anchor="_Toc84842576" w:history="1">
        <w:r w:rsidR="00B814F0" w:rsidRPr="00462979">
          <w:rPr>
            <w:rStyle w:val="Hyperlink"/>
            <w:bCs/>
            <w:lang w:val="en-US"/>
            <w14:scene3d>
              <w14:camera w14:prst="orthographicFront"/>
              <w14:lightRig w14:rig="threePt" w14:dir="t">
                <w14:rot w14:lat="0" w14:lon="0" w14:rev="0"/>
              </w14:lightRig>
            </w14:scene3d>
          </w:rPr>
          <w:t>Figure 15:</w:t>
        </w:r>
        <w:r w:rsidR="00B814F0" w:rsidRPr="00462979">
          <w:rPr>
            <w:rStyle w:val="Hyperlink"/>
            <w:lang w:val="en-US"/>
          </w:rPr>
          <w:t xml:space="preserve"> JobKeeper income transfer payments to workers</w:t>
        </w:r>
        <w:r w:rsidR="00B814F0">
          <w:rPr>
            <w:webHidden/>
          </w:rPr>
          <w:tab/>
        </w:r>
        <w:r w:rsidR="00B814F0">
          <w:rPr>
            <w:webHidden/>
          </w:rPr>
          <w:fldChar w:fldCharType="begin"/>
        </w:r>
        <w:r w:rsidR="00B814F0">
          <w:rPr>
            <w:webHidden/>
          </w:rPr>
          <w:instrText xml:space="preserve"> PAGEREF _Toc84842576 \h </w:instrText>
        </w:r>
        <w:r w:rsidR="00B814F0">
          <w:rPr>
            <w:webHidden/>
          </w:rPr>
        </w:r>
        <w:r w:rsidR="00B814F0">
          <w:rPr>
            <w:webHidden/>
          </w:rPr>
          <w:fldChar w:fldCharType="separate"/>
        </w:r>
        <w:r w:rsidR="004E7A44">
          <w:rPr>
            <w:webHidden/>
          </w:rPr>
          <w:t>29</w:t>
        </w:r>
        <w:r w:rsidR="00B814F0">
          <w:rPr>
            <w:webHidden/>
          </w:rPr>
          <w:fldChar w:fldCharType="end"/>
        </w:r>
      </w:hyperlink>
    </w:p>
    <w:p w14:paraId="32F90D97" w14:textId="1168A9BB" w:rsidR="00B814F0" w:rsidRDefault="00B1613D" w:rsidP="00B814F0">
      <w:pPr>
        <w:pStyle w:val="TOC2"/>
        <w:rPr>
          <w:rFonts w:asciiTheme="minorHAnsi" w:eastAsiaTheme="minorEastAsia" w:hAnsiTheme="minorHAnsi" w:cstheme="minorBidi"/>
          <w:b/>
          <w:color w:val="auto"/>
        </w:rPr>
      </w:pPr>
      <w:hyperlink w:anchor="_Toc84842577" w:history="1">
        <w:r w:rsidR="00B814F0" w:rsidRPr="00462979">
          <w:rPr>
            <w:rStyle w:val="Hyperlink"/>
            <w:bCs/>
            <w14:scene3d>
              <w14:camera w14:prst="orthographicFront"/>
              <w14:lightRig w14:rig="threePt" w14:dir="t">
                <w14:rot w14:lat="0" w14:lon="0" w14:rev="0"/>
              </w14:lightRig>
            </w14:scene3d>
          </w:rPr>
          <w:t>Figure 16:</w:t>
        </w:r>
        <w:r w:rsidR="00B814F0" w:rsidRPr="00462979">
          <w:rPr>
            <w:rStyle w:val="Hyperlink"/>
          </w:rPr>
          <w:t xml:space="preserve"> Labour market</w:t>
        </w:r>
        <w:r w:rsidR="00B814F0">
          <w:rPr>
            <w:webHidden/>
          </w:rPr>
          <w:tab/>
        </w:r>
        <w:r w:rsidR="00B814F0">
          <w:rPr>
            <w:webHidden/>
          </w:rPr>
          <w:fldChar w:fldCharType="begin"/>
        </w:r>
        <w:r w:rsidR="00B814F0">
          <w:rPr>
            <w:webHidden/>
          </w:rPr>
          <w:instrText xml:space="preserve"> PAGEREF _Toc84842577 \h </w:instrText>
        </w:r>
        <w:r w:rsidR="00B814F0">
          <w:rPr>
            <w:webHidden/>
          </w:rPr>
        </w:r>
        <w:r w:rsidR="00B814F0">
          <w:rPr>
            <w:webHidden/>
          </w:rPr>
          <w:fldChar w:fldCharType="separate"/>
        </w:r>
        <w:r w:rsidR="004E7A44">
          <w:rPr>
            <w:webHidden/>
          </w:rPr>
          <w:t>30</w:t>
        </w:r>
        <w:r w:rsidR="00B814F0">
          <w:rPr>
            <w:webHidden/>
          </w:rPr>
          <w:fldChar w:fldCharType="end"/>
        </w:r>
      </w:hyperlink>
    </w:p>
    <w:p w14:paraId="178B180C" w14:textId="0CFBC08D" w:rsidR="00B814F0" w:rsidRDefault="00B1613D" w:rsidP="00B814F0">
      <w:pPr>
        <w:pStyle w:val="TOC2"/>
        <w:rPr>
          <w:rFonts w:asciiTheme="minorHAnsi" w:eastAsiaTheme="minorEastAsia" w:hAnsiTheme="minorHAnsi" w:cstheme="minorBidi"/>
          <w:b/>
          <w:color w:val="auto"/>
        </w:rPr>
      </w:pPr>
      <w:hyperlink w:anchor="_Toc84842578" w:history="1">
        <w:r w:rsidR="00B814F0" w:rsidRPr="00462979">
          <w:rPr>
            <w:rStyle w:val="Hyperlink"/>
            <w:bCs/>
            <w14:scene3d>
              <w14:camera w14:prst="orthographicFront"/>
              <w14:lightRig w14:rig="threePt" w14:dir="t">
                <w14:rot w14:lat="0" w14:lon="0" w14:rev="0"/>
              </w14:lightRig>
            </w14:scene3d>
          </w:rPr>
          <w:t>Figure 17:</w:t>
        </w:r>
        <w:r w:rsidR="00B814F0" w:rsidRPr="00462979">
          <w:rPr>
            <w:rStyle w:val="Hyperlink"/>
          </w:rPr>
          <w:t xml:space="preserve"> Income sources as share of March quarter income, by quintile</w:t>
        </w:r>
        <w:r w:rsidR="00B814F0">
          <w:rPr>
            <w:webHidden/>
          </w:rPr>
          <w:tab/>
        </w:r>
        <w:r w:rsidR="00B814F0">
          <w:rPr>
            <w:webHidden/>
          </w:rPr>
          <w:fldChar w:fldCharType="begin"/>
        </w:r>
        <w:r w:rsidR="00B814F0">
          <w:rPr>
            <w:webHidden/>
          </w:rPr>
          <w:instrText xml:space="preserve"> PAGEREF _Toc84842578 \h </w:instrText>
        </w:r>
        <w:r w:rsidR="00B814F0">
          <w:rPr>
            <w:webHidden/>
          </w:rPr>
        </w:r>
        <w:r w:rsidR="00B814F0">
          <w:rPr>
            <w:webHidden/>
          </w:rPr>
          <w:fldChar w:fldCharType="separate"/>
        </w:r>
        <w:r w:rsidR="004E7A44">
          <w:rPr>
            <w:webHidden/>
          </w:rPr>
          <w:t>31</w:t>
        </w:r>
        <w:r w:rsidR="00B814F0">
          <w:rPr>
            <w:webHidden/>
          </w:rPr>
          <w:fldChar w:fldCharType="end"/>
        </w:r>
      </w:hyperlink>
    </w:p>
    <w:p w14:paraId="4E26550E" w14:textId="4A3C69BC" w:rsidR="00B814F0" w:rsidRDefault="00B1613D" w:rsidP="00B814F0">
      <w:pPr>
        <w:pStyle w:val="TOC2"/>
        <w:rPr>
          <w:rFonts w:asciiTheme="minorHAnsi" w:eastAsiaTheme="minorEastAsia" w:hAnsiTheme="minorHAnsi" w:cstheme="minorBidi"/>
          <w:b/>
          <w:color w:val="auto"/>
        </w:rPr>
      </w:pPr>
      <w:hyperlink w:anchor="_Toc84842579" w:history="1">
        <w:r w:rsidR="00B814F0" w:rsidRPr="00462979">
          <w:rPr>
            <w:rStyle w:val="Hyperlink"/>
            <w:bCs/>
            <w14:scene3d>
              <w14:camera w14:prst="orthographicFront"/>
              <w14:lightRig w14:rig="threePt" w14:dir="t">
                <w14:rot w14:lat="0" w14:lon="0" w14:rev="0"/>
              </w14:lightRig>
            </w14:scene3d>
          </w:rPr>
          <w:t>Figure 18:</w:t>
        </w:r>
        <w:r w:rsidR="00B814F0" w:rsidRPr="00462979">
          <w:rPr>
            <w:rStyle w:val="Hyperlink"/>
          </w:rPr>
          <w:t xml:space="preserve"> Income support flows for individuals on  the first phase of JobKeeper</w:t>
        </w:r>
        <w:r w:rsidR="00B814F0">
          <w:rPr>
            <w:webHidden/>
          </w:rPr>
          <w:tab/>
        </w:r>
        <w:r w:rsidR="00B814F0">
          <w:rPr>
            <w:webHidden/>
          </w:rPr>
          <w:fldChar w:fldCharType="begin"/>
        </w:r>
        <w:r w:rsidR="00B814F0">
          <w:rPr>
            <w:webHidden/>
          </w:rPr>
          <w:instrText xml:space="preserve"> PAGEREF _Toc84842579 \h </w:instrText>
        </w:r>
        <w:r w:rsidR="00B814F0">
          <w:rPr>
            <w:webHidden/>
          </w:rPr>
        </w:r>
        <w:r w:rsidR="00B814F0">
          <w:rPr>
            <w:webHidden/>
          </w:rPr>
          <w:fldChar w:fldCharType="separate"/>
        </w:r>
        <w:r w:rsidR="004E7A44">
          <w:rPr>
            <w:webHidden/>
          </w:rPr>
          <w:t>32</w:t>
        </w:r>
        <w:r w:rsidR="00B814F0">
          <w:rPr>
            <w:webHidden/>
          </w:rPr>
          <w:fldChar w:fldCharType="end"/>
        </w:r>
      </w:hyperlink>
    </w:p>
    <w:p w14:paraId="2F99EBFA" w14:textId="48F07979" w:rsidR="00B814F0" w:rsidRDefault="00B1613D" w:rsidP="00B814F0">
      <w:pPr>
        <w:pStyle w:val="TOC2"/>
        <w:rPr>
          <w:rFonts w:asciiTheme="minorHAnsi" w:eastAsiaTheme="minorEastAsia" w:hAnsiTheme="minorHAnsi" w:cstheme="minorBidi"/>
          <w:b/>
          <w:color w:val="auto"/>
        </w:rPr>
      </w:pPr>
      <w:hyperlink w:anchor="_Toc84842580" w:history="1">
        <w:r w:rsidR="00B814F0" w:rsidRPr="00462979">
          <w:rPr>
            <w:rStyle w:val="Hyperlink"/>
            <w:bCs/>
            <w14:scene3d>
              <w14:camera w14:prst="orthographicFront"/>
              <w14:lightRig w14:rig="threePt" w14:dir="t">
                <w14:rot w14:lat="0" w14:lon="0" w14:rev="0"/>
              </w14:lightRig>
            </w14:scene3d>
          </w:rPr>
          <w:t>Figure 19:</w:t>
        </w:r>
        <w:r w:rsidR="00B814F0" w:rsidRPr="00462979">
          <w:rPr>
            <w:rStyle w:val="Hyperlink"/>
          </w:rPr>
          <w:t xml:space="preserve"> Distribution of turnover growth outcomes  for JobKeeper recipients</w:t>
        </w:r>
        <w:r w:rsidR="00B814F0">
          <w:rPr>
            <w:webHidden/>
          </w:rPr>
          <w:tab/>
        </w:r>
        <w:r w:rsidR="00B814F0">
          <w:rPr>
            <w:webHidden/>
          </w:rPr>
          <w:fldChar w:fldCharType="begin"/>
        </w:r>
        <w:r w:rsidR="00B814F0">
          <w:rPr>
            <w:webHidden/>
          </w:rPr>
          <w:instrText xml:space="preserve"> PAGEREF _Toc84842580 \h </w:instrText>
        </w:r>
        <w:r w:rsidR="00B814F0">
          <w:rPr>
            <w:webHidden/>
          </w:rPr>
        </w:r>
        <w:r w:rsidR="00B814F0">
          <w:rPr>
            <w:webHidden/>
          </w:rPr>
          <w:fldChar w:fldCharType="separate"/>
        </w:r>
        <w:r w:rsidR="004E7A44">
          <w:rPr>
            <w:webHidden/>
          </w:rPr>
          <w:t>34</w:t>
        </w:r>
        <w:r w:rsidR="00B814F0">
          <w:rPr>
            <w:webHidden/>
          </w:rPr>
          <w:fldChar w:fldCharType="end"/>
        </w:r>
      </w:hyperlink>
    </w:p>
    <w:p w14:paraId="3EFEB342" w14:textId="25EEFB78" w:rsidR="00B814F0" w:rsidRDefault="00B1613D" w:rsidP="00B814F0">
      <w:pPr>
        <w:pStyle w:val="TOC2"/>
        <w:rPr>
          <w:rFonts w:asciiTheme="minorHAnsi" w:eastAsiaTheme="minorEastAsia" w:hAnsiTheme="minorHAnsi" w:cstheme="minorBidi"/>
          <w:b/>
          <w:color w:val="auto"/>
        </w:rPr>
      </w:pPr>
      <w:hyperlink w:anchor="_Toc84842581" w:history="1">
        <w:r w:rsidR="00B814F0" w:rsidRPr="00462979">
          <w:rPr>
            <w:rStyle w:val="Hyperlink"/>
            <w:bCs/>
            <w14:scene3d>
              <w14:camera w14:prst="orthographicFront"/>
              <w14:lightRig w14:rig="threePt" w14:dir="t">
                <w14:rot w14:lat="0" w14:lon="0" w14:rev="0"/>
              </w14:lightRig>
            </w14:scene3d>
          </w:rPr>
          <w:t>Figure 20:</w:t>
        </w:r>
        <w:r w:rsidR="00B814F0" w:rsidRPr="00462979">
          <w:rPr>
            <w:rStyle w:val="Hyperlink"/>
          </w:rPr>
          <w:t xml:space="preserve"> Net saving in the household and non</w:t>
        </w:r>
        <w:r w:rsidR="00B814F0" w:rsidRPr="00462979">
          <w:rPr>
            <w:rStyle w:val="Hyperlink"/>
          </w:rPr>
          <w:noBreakHyphen/>
          <w:t>financial corporate sectors</w:t>
        </w:r>
        <w:r w:rsidR="00B814F0">
          <w:rPr>
            <w:webHidden/>
          </w:rPr>
          <w:tab/>
        </w:r>
        <w:r w:rsidR="00B814F0">
          <w:rPr>
            <w:webHidden/>
          </w:rPr>
          <w:fldChar w:fldCharType="begin"/>
        </w:r>
        <w:r w:rsidR="00B814F0">
          <w:rPr>
            <w:webHidden/>
          </w:rPr>
          <w:instrText xml:space="preserve"> PAGEREF _Toc84842581 \h </w:instrText>
        </w:r>
        <w:r w:rsidR="00B814F0">
          <w:rPr>
            <w:webHidden/>
          </w:rPr>
        </w:r>
        <w:r w:rsidR="00B814F0">
          <w:rPr>
            <w:webHidden/>
          </w:rPr>
          <w:fldChar w:fldCharType="separate"/>
        </w:r>
        <w:r w:rsidR="004E7A44">
          <w:rPr>
            <w:webHidden/>
          </w:rPr>
          <w:t>36</w:t>
        </w:r>
        <w:r w:rsidR="00B814F0">
          <w:rPr>
            <w:webHidden/>
          </w:rPr>
          <w:fldChar w:fldCharType="end"/>
        </w:r>
      </w:hyperlink>
    </w:p>
    <w:p w14:paraId="4C2FB1DC" w14:textId="04B035B5" w:rsidR="00B814F0" w:rsidRDefault="00B1613D" w:rsidP="00B814F0">
      <w:pPr>
        <w:pStyle w:val="TOC2"/>
        <w:rPr>
          <w:rFonts w:asciiTheme="minorHAnsi" w:eastAsiaTheme="minorEastAsia" w:hAnsiTheme="minorHAnsi" w:cstheme="minorBidi"/>
          <w:b/>
          <w:color w:val="auto"/>
        </w:rPr>
      </w:pPr>
      <w:hyperlink w:anchor="_Toc84842582" w:history="1">
        <w:r w:rsidR="00B814F0" w:rsidRPr="00462979">
          <w:rPr>
            <w:rStyle w:val="Hyperlink"/>
            <w:bCs/>
            <w14:scene3d>
              <w14:camera w14:prst="orthographicFront"/>
              <w14:lightRig w14:rig="threePt" w14:dir="t">
                <w14:rot w14:lat="0" w14:lon="0" w14:rev="0"/>
              </w14:lightRig>
            </w14:scene3d>
          </w:rPr>
          <w:t>Figure 21:</w:t>
        </w:r>
        <w:r w:rsidR="00B814F0" w:rsidRPr="00462979">
          <w:rPr>
            <w:rStyle w:val="Hyperlink"/>
          </w:rPr>
          <w:t xml:space="preserve"> Real GDP</w:t>
        </w:r>
        <w:r w:rsidR="00B814F0">
          <w:rPr>
            <w:webHidden/>
          </w:rPr>
          <w:tab/>
        </w:r>
        <w:r w:rsidR="00B814F0">
          <w:rPr>
            <w:webHidden/>
          </w:rPr>
          <w:fldChar w:fldCharType="begin"/>
        </w:r>
        <w:r w:rsidR="00B814F0">
          <w:rPr>
            <w:webHidden/>
          </w:rPr>
          <w:instrText xml:space="preserve"> PAGEREF _Toc84842582 \h </w:instrText>
        </w:r>
        <w:r w:rsidR="00B814F0">
          <w:rPr>
            <w:webHidden/>
          </w:rPr>
        </w:r>
        <w:r w:rsidR="00B814F0">
          <w:rPr>
            <w:webHidden/>
          </w:rPr>
          <w:fldChar w:fldCharType="separate"/>
        </w:r>
        <w:r w:rsidR="004E7A44">
          <w:rPr>
            <w:webHidden/>
          </w:rPr>
          <w:t>37</w:t>
        </w:r>
        <w:r w:rsidR="00B814F0">
          <w:rPr>
            <w:webHidden/>
          </w:rPr>
          <w:fldChar w:fldCharType="end"/>
        </w:r>
      </w:hyperlink>
    </w:p>
    <w:p w14:paraId="5CC71851" w14:textId="3481D447" w:rsidR="00B814F0" w:rsidRDefault="00B1613D" w:rsidP="00B814F0">
      <w:pPr>
        <w:pStyle w:val="TOC2"/>
        <w:rPr>
          <w:rFonts w:asciiTheme="minorHAnsi" w:eastAsiaTheme="minorEastAsia" w:hAnsiTheme="minorHAnsi" w:cstheme="minorBidi"/>
          <w:b/>
          <w:color w:val="auto"/>
        </w:rPr>
      </w:pPr>
      <w:hyperlink w:anchor="_Toc84842583" w:history="1">
        <w:r w:rsidR="00B814F0" w:rsidRPr="00462979">
          <w:rPr>
            <w:rStyle w:val="Hyperlink"/>
            <w:bCs/>
            <w14:scene3d>
              <w14:camera w14:prst="orthographicFront"/>
              <w14:lightRig w14:rig="threePt" w14:dir="t">
                <w14:rot w14:lat="0" w14:lon="0" w14:rev="0"/>
              </w14:lightRig>
            </w14:scene3d>
          </w:rPr>
          <w:t>Figure 22:</w:t>
        </w:r>
        <w:r w:rsidR="00B814F0" w:rsidRPr="00462979">
          <w:rPr>
            <w:rStyle w:val="Hyperlink"/>
          </w:rPr>
          <w:t xml:space="preserve"> International comparison of GDP and employment outcomes</w:t>
        </w:r>
        <w:r w:rsidR="00B814F0">
          <w:rPr>
            <w:webHidden/>
          </w:rPr>
          <w:tab/>
        </w:r>
        <w:r w:rsidR="00B814F0">
          <w:rPr>
            <w:webHidden/>
          </w:rPr>
          <w:fldChar w:fldCharType="begin"/>
        </w:r>
        <w:r w:rsidR="00B814F0">
          <w:rPr>
            <w:webHidden/>
          </w:rPr>
          <w:instrText xml:space="preserve"> PAGEREF _Toc84842583 \h </w:instrText>
        </w:r>
        <w:r w:rsidR="00B814F0">
          <w:rPr>
            <w:webHidden/>
          </w:rPr>
        </w:r>
        <w:r w:rsidR="00B814F0">
          <w:rPr>
            <w:webHidden/>
          </w:rPr>
          <w:fldChar w:fldCharType="separate"/>
        </w:r>
        <w:r w:rsidR="004E7A44">
          <w:rPr>
            <w:webHidden/>
          </w:rPr>
          <w:t>38</w:t>
        </w:r>
        <w:r w:rsidR="00B814F0">
          <w:rPr>
            <w:webHidden/>
          </w:rPr>
          <w:fldChar w:fldCharType="end"/>
        </w:r>
      </w:hyperlink>
    </w:p>
    <w:p w14:paraId="73A4AACB" w14:textId="2B0B9F6D" w:rsidR="00B814F0" w:rsidRDefault="00B1613D" w:rsidP="00B814F0">
      <w:pPr>
        <w:pStyle w:val="TOC2"/>
        <w:rPr>
          <w:rFonts w:asciiTheme="minorHAnsi" w:eastAsiaTheme="minorEastAsia" w:hAnsiTheme="minorHAnsi" w:cstheme="minorBidi"/>
          <w:b/>
          <w:color w:val="auto"/>
        </w:rPr>
      </w:pPr>
      <w:hyperlink w:anchor="_Toc84842587" w:history="1">
        <w:r w:rsidR="00B814F0" w:rsidRPr="00462979">
          <w:rPr>
            <w:rStyle w:val="Hyperlink"/>
            <w:bCs/>
            <w14:scene3d>
              <w14:camera w14:prst="orthographicFront"/>
              <w14:lightRig w14:rig="threePt" w14:dir="t">
                <w14:rot w14:lat="0" w14:lon="0" w14:rev="0"/>
              </w14:lightRig>
            </w14:scene3d>
          </w:rPr>
          <w:t>Figure 23:</w:t>
        </w:r>
        <w:r w:rsidR="00B814F0" w:rsidRPr="00462979">
          <w:rPr>
            <w:rStyle w:val="Hyperlink"/>
          </w:rPr>
          <w:t xml:space="preserve"> Cumulative distribution of turnover growth to June quarter</w:t>
        </w:r>
        <w:r w:rsidR="00B814F0">
          <w:rPr>
            <w:webHidden/>
          </w:rPr>
          <w:tab/>
        </w:r>
        <w:r w:rsidR="00B814F0">
          <w:rPr>
            <w:webHidden/>
          </w:rPr>
          <w:fldChar w:fldCharType="begin"/>
        </w:r>
        <w:r w:rsidR="00B814F0">
          <w:rPr>
            <w:webHidden/>
          </w:rPr>
          <w:instrText xml:space="preserve"> PAGEREF _Toc84842587 \h </w:instrText>
        </w:r>
        <w:r w:rsidR="00B814F0">
          <w:rPr>
            <w:webHidden/>
          </w:rPr>
        </w:r>
        <w:r w:rsidR="00B814F0">
          <w:rPr>
            <w:webHidden/>
          </w:rPr>
          <w:fldChar w:fldCharType="separate"/>
        </w:r>
        <w:r w:rsidR="004E7A44">
          <w:rPr>
            <w:webHidden/>
          </w:rPr>
          <w:t>42</w:t>
        </w:r>
        <w:r w:rsidR="00B814F0">
          <w:rPr>
            <w:webHidden/>
          </w:rPr>
          <w:fldChar w:fldCharType="end"/>
        </w:r>
      </w:hyperlink>
    </w:p>
    <w:p w14:paraId="4AE814AA" w14:textId="4A0991CF" w:rsidR="00B814F0" w:rsidRDefault="00B1613D" w:rsidP="00B814F0">
      <w:pPr>
        <w:pStyle w:val="TOC2"/>
        <w:rPr>
          <w:rFonts w:asciiTheme="minorHAnsi" w:eastAsiaTheme="minorEastAsia" w:hAnsiTheme="minorHAnsi" w:cstheme="minorBidi"/>
          <w:b/>
          <w:color w:val="auto"/>
        </w:rPr>
      </w:pPr>
      <w:hyperlink w:anchor="_Toc84842589" w:history="1">
        <w:r w:rsidR="00B814F0" w:rsidRPr="00462979">
          <w:rPr>
            <w:rStyle w:val="Hyperlink"/>
            <w:bCs/>
            <w14:scene3d>
              <w14:camera w14:prst="orthographicFront"/>
              <w14:lightRig w14:rig="threePt" w14:dir="t">
                <w14:rot w14:lat="0" w14:lon="0" w14:rev="0"/>
              </w14:lightRig>
            </w14:scene3d>
          </w:rPr>
          <w:t>Figure 24:</w:t>
        </w:r>
        <w:r w:rsidR="00B814F0" w:rsidRPr="00462979">
          <w:rPr>
            <w:rStyle w:val="Hyperlink"/>
          </w:rPr>
          <w:t xml:space="preserve"> JobKeeper payments by business size and turnover category, $b</w:t>
        </w:r>
        <w:r w:rsidR="00B814F0">
          <w:rPr>
            <w:webHidden/>
          </w:rPr>
          <w:tab/>
        </w:r>
        <w:r w:rsidR="00B814F0">
          <w:rPr>
            <w:webHidden/>
          </w:rPr>
          <w:fldChar w:fldCharType="begin"/>
        </w:r>
        <w:r w:rsidR="00B814F0">
          <w:rPr>
            <w:webHidden/>
          </w:rPr>
          <w:instrText xml:space="preserve"> PAGEREF _Toc84842589 \h </w:instrText>
        </w:r>
        <w:r w:rsidR="00B814F0">
          <w:rPr>
            <w:webHidden/>
          </w:rPr>
        </w:r>
        <w:r w:rsidR="00B814F0">
          <w:rPr>
            <w:webHidden/>
          </w:rPr>
          <w:fldChar w:fldCharType="separate"/>
        </w:r>
        <w:r w:rsidR="004E7A44">
          <w:rPr>
            <w:webHidden/>
          </w:rPr>
          <w:t>43</w:t>
        </w:r>
        <w:r w:rsidR="00B814F0">
          <w:rPr>
            <w:webHidden/>
          </w:rPr>
          <w:fldChar w:fldCharType="end"/>
        </w:r>
      </w:hyperlink>
    </w:p>
    <w:p w14:paraId="446DAD2D" w14:textId="5E99A271" w:rsidR="00B814F0" w:rsidRDefault="00B1613D" w:rsidP="00B814F0">
      <w:pPr>
        <w:pStyle w:val="TOC2"/>
        <w:spacing w:after="480"/>
        <w:rPr>
          <w:rFonts w:asciiTheme="minorHAnsi" w:eastAsiaTheme="minorEastAsia" w:hAnsiTheme="minorHAnsi" w:cstheme="minorBidi"/>
          <w:b/>
          <w:color w:val="auto"/>
        </w:rPr>
      </w:pPr>
      <w:hyperlink w:anchor="_Toc84842590" w:history="1">
        <w:r w:rsidR="00B814F0" w:rsidRPr="00462979">
          <w:rPr>
            <w:rStyle w:val="Hyperlink"/>
            <w:bCs/>
            <w14:scene3d>
              <w14:camera w14:prst="orthographicFront"/>
              <w14:lightRig w14:rig="threePt" w14:dir="t">
                <w14:rot w14:lat="0" w14:lon="0" w14:rev="0"/>
              </w14:lightRig>
            </w14:scene3d>
          </w:rPr>
          <w:t>Figure 25:</w:t>
        </w:r>
        <w:r w:rsidR="00B814F0" w:rsidRPr="00462979">
          <w:rPr>
            <w:rStyle w:val="Hyperlink"/>
          </w:rPr>
          <w:t xml:space="preserve"> Separations and jobs, by JobKeeper status and turnover</w:t>
        </w:r>
        <w:r w:rsidR="00B814F0">
          <w:rPr>
            <w:webHidden/>
          </w:rPr>
          <w:tab/>
        </w:r>
        <w:r w:rsidR="00B814F0">
          <w:rPr>
            <w:webHidden/>
          </w:rPr>
          <w:fldChar w:fldCharType="begin"/>
        </w:r>
        <w:r w:rsidR="00B814F0">
          <w:rPr>
            <w:webHidden/>
          </w:rPr>
          <w:instrText xml:space="preserve"> PAGEREF _Toc84842590 \h </w:instrText>
        </w:r>
        <w:r w:rsidR="00B814F0">
          <w:rPr>
            <w:webHidden/>
          </w:rPr>
        </w:r>
        <w:r w:rsidR="00B814F0">
          <w:rPr>
            <w:webHidden/>
          </w:rPr>
          <w:fldChar w:fldCharType="separate"/>
        </w:r>
        <w:r w:rsidR="004E7A44">
          <w:rPr>
            <w:webHidden/>
          </w:rPr>
          <w:t>45</w:t>
        </w:r>
        <w:r w:rsidR="00B814F0">
          <w:rPr>
            <w:webHidden/>
          </w:rPr>
          <w:fldChar w:fldCharType="end"/>
        </w:r>
      </w:hyperlink>
    </w:p>
    <w:p w14:paraId="66B71861" w14:textId="71BCD891" w:rsidR="00B814F0" w:rsidRDefault="00B1613D" w:rsidP="00B814F0">
      <w:pPr>
        <w:pStyle w:val="TOC2"/>
        <w:rPr>
          <w:rFonts w:asciiTheme="minorHAnsi" w:eastAsiaTheme="minorEastAsia" w:hAnsiTheme="minorHAnsi" w:cstheme="minorBidi"/>
          <w:b/>
          <w:color w:val="auto"/>
        </w:rPr>
      </w:pPr>
      <w:hyperlink w:anchor="_Toc84842585" w:history="1">
        <w:r w:rsidR="00B814F0" w:rsidRPr="00462979">
          <w:rPr>
            <w:rStyle w:val="Hyperlink"/>
          </w:rPr>
          <w:t>Table 1: JobKeeper payments, $b, and businesses within sample</w:t>
        </w:r>
        <w:r w:rsidR="00B814F0">
          <w:rPr>
            <w:webHidden/>
          </w:rPr>
          <w:tab/>
        </w:r>
        <w:r w:rsidR="00B814F0">
          <w:rPr>
            <w:webHidden/>
          </w:rPr>
          <w:fldChar w:fldCharType="begin"/>
        </w:r>
        <w:r w:rsidR="00B814F0">
          <w:rPr>
            <w:webHidden/>
          </w:rPr>
          <w:instrText xml:space="preserve"> PAGEREF _Toc84842585 \h </w:instrText>
        </w:r>
        <w:r w:rsidR="00B814F0">
          <w:rPr>
            <w:webHidden/>
          </w:rPr>
        </w:r>
        <w:r w:rsidR="00B814F0">
          <w:rPr>
            <w:webHidden/>
          </w:rPr>
          <w:fldChar w:fldCharType="separate"/>
        </w:r>
        <w:r w:rsidR="004E7A44">
          <w:rPr>
            <w:webHidden/>
          </w:rPr>
          <w:t>40</w:t>
        </w:r>
        <w:r w:rsidR="00B814F0">
          <w:rPr>
            <w:webHidden/>
          </w:rPr>
          <w:fldChar w:fldCharType="end"/>
        </w:r>
      </w:hyperlink>
    </w:p>
    <w:p w14:paraId="192F3BF9" w14:textId="7D7686E1" w:rsidR="00B814F0" w:rsidRDefault="00B1613D" w:rsidP="00B814F0">
      <w:pPr>
        <w:pStyle w:val="TOC2"/>
        <w:rPr>
          <w:rFonts w:asciiTheme="minorHAnsi" w:eastAsiaTheme="minorEastAsia" w:hAnsiTheme="minorHAnsi" w:cstheme="minorBidi"/>
          <w:b/>
          <w:color w:val="auto"/>
        </w:rPr>
      </w:pPr>
      <w:hyperlink w:anchor="_Toc84842586" w:history="1">
        <w:r w:rsidR="00B814F0" w:rsidRPr="00462979">
          <w:rPr>
            <w:rStyle w:val="Hyperlink"/>
          </w:rPr>
          <w:t>Table 2: Turnover decline, %, by JobKeeper recipient status</w:t>
        </w:r>
        <w:r w:rsidR="00B814F0">
          <w:rPr>
            <w:webHidden/>
          </w:rPr>
          <w:tab/>
        </w:r>
        <w:r w:rsidR="00B814F0">
          <w:rPr>
            <w:webHidden/>
          </w:rPr>
          <w:fldChar w:fldCharType="begin"/>
        </w:r>
        <w:r w:rsidR="00B814F0">
          <w:rPr>
            <w:webHidden/>
          </w:rPr>
          <w:instrText xml:space="preserve"> PAGEREF _Toc84842586 \h </w:instrText>
        </w:r>
        <w:r w:rsidR="00B814F0">
          <w:rPr>
            <w:webHidden/>
          </w:rPr>
        </w:r>
        <w:r w:rsidR="00B814F0">
          <w:rPr>
            <w:webHidden/>
          </w:rPr>
          <w:fldChar w:fldCharType="separate"/>
        </w:r>
        <w:r w:rsidR="004E7A44">
          <w:rPr>
            <w:webHidden/>
          </w:rPr>
          <w:t>41</w:t>
        </w:r>
        <w:r w:rsidR="00B814F0">
          <w:rPr>
            <w:webHidden/>
          </w:rPr>
          <w:fldChar w:fldCharType="end"/>
        </w:r>
      </w:hyperlink>
    </w:p>
    <w:p w14:paraId="157A2995" w14:textId="68F44D6A" w:rsidR="00B814F0" w:rsidRDefault="00B1613D" w:rsidP="00B814F0">
      <w:pPr>
        <w:pStyle w:val="TOC2"/>
        <w:rPr>
          <w:rFonts w:asciiTheme="minorHAnsi" w:eastAsiaTheme="minorEastAsia" w:hAnsiTheme="minorHAnsi" w:cstheme="minorBidi"/>
          <w:b/>
          <w:color w:val="auto"/>
        </w:rPr>
      </w:pPr>
      <w:hyperlink w:anchor="_Toc84842588" w:history="1">
        <w:r w:rsidR="00B814F0" w:rsidRPr="00462979">
          <w:rPr>
            <w:rStyle w:val="Hyperlink"/>
          </w:rPr>
          <w:t>Table 3: JobKeeper payments and individuals supported</w:t>
        </w:r>
        <w:r w:rsidR="00B814F0">
          <w:rPr>
            <w:webHidden/>
          </w:rPr>
          <w:tab/>
        </w:r>
        <w:r w:rsidR="00B814F0">
          <w:rPr>
            <w:webHidden/>
          </w:rPr>
          <w:fldChar w:fldCharType="begin"/>
        </w:r>
        <w:r w:rsidR="00B814F0">
          <w:rPr>
            <w:webHidden/>
          </w:rPr>
          <w:instrText xml:space="preserve"> PAGEREF _Toc84842588 \h </w:instrText>
        </w:r>
        <w:r w:rsidR="00B814F0">
          <w:rPr>
            <w:webHidden/>
          </w:rPr>
        </w:r>
        <w:r w:rsidR="00B814F0">
          <w:rPr>
            <w:webHidden/>
          </w:rPr>
          <w:fldChar w:fldCharType="separate"/>
        </w:r>
        <w:r w:rsidR="004E7A44">
          <w:rPr>
            <w:webHidden/>
          </w:rPr>
          <w:t>42</w:t>
        </w:r>
        <w:r w:rsidR="00B814F0">
          <w:rPr>
            <w:webHidden/>
          </w:rPr>
          <w:fldChar w:fldCharType="end"/>
        </w:r>
      </w:hyperlink>
    </w:p>
    <w:p w14:paraId="79667101" w14:textId="72E7A8CD" w:rsidR="00B814F0" w:rsidRDefault="00B1613D" w:rsidP="00B814F0">
      <w:pPr>
        <w:pStyle w:val="TOC2"/>
        <w:rPr>
          <w:rFonts w:asciiTheme="minorHAnsi" w:eastAsiaTheme="minorEastAsia" w:hAnsiTheme="minorHAnsi" w:cstheme="minorBidi"/>
          <w:b/>
          <w:color w:val="auto"/>
        </w:rPr>
      </w:pPr>
      <w:hyperlink w:anchor="_Toc84842592" w:history="1">
        <w:r w:rsidR="00B814F0" w:rsidRPr="00462979">
          <w:rPr>
            <w:rStyle w:val="Hyperlink"/>
          </w:rPr>
          <w:t>Table 4: JobKeeper take up – all phases of the program (April 2020 to March 2021)</w:t>
        </w:r>
        <w:r w:rsidR="00B814F0">
          <w:rPr>
            <w:webHidden/>
          </w:rPr>
          <w:tab/>
        </w:r>
        <w:r w:rsidR="00B814F0">
          <w:rPr>
            <w:webHidden/>
          </w:rPr>
          <w:fldChar w:fldCharType="begin"/>
        </w:r>
        <w:r w:rsidR="00B814F0">
          <w:rPr>
            <w:webHidden/>
          </w:rPr>
          <w:instrText xml:space="preserve"> PAGEREF _Toc84842592 \h </w:instrText>
        </w:r>
        <w:r w:rsidR="00B814F0">
          <w:rPr>
            <w:webHidden/>
          </w:rPr>
        </w:r>
        <w:r w:rsidR="00B814F0">
          <w:rPr>
            <w:webHidden/>
          </w:rPr>
          <w:fldChar w:fldCharType="separate"/>
        </w:r>
        <w:r w:rsidR="004E7A44">
          <w:rPr>
            <w:webHidden/>
          </w:rPr>
          <w:t>49</w:t>
        </w:r>
        <w:r w:rsidR="00B814F0">
          <w:rPr>
            <w:webHidden/>
          </w:rPr>
          <w:fldChar w:fldCharType="end"/>
        </w:r>
      </w:hyperlink>
    </w:p>
    <w:p w14:paraId="6A0A1B49" w14:textId="09E830C7" w:rsidR="00B814F0" w:rsidRDefault="00B1613D" w:rsidP="00B814F0">
      <w:pPr>
        <w:pStyle w:val="TOC2"/>
        <w:rPr>
          <w:rFonts w:asciiTheme="minorHAnsi" w:eastAsiaTheme="minorEastAsia" w:hAnsiTheme="minorHAnsi" w:cstheme="minorBidi"/>
          <w:b/>
          <w:color w:val="auto"/>
        </w:rPr>
      </w:pPr>
      <w:hyperlink w:anchor="_Toc84842593" w:history="1">
        <w:r w:rsidR="00B814F0" w:rsidRPr="00462979">
          <w:rPr>
            <w:rStyle w:val="Hyperlink"/>
          </w:rPr>
          <w:t>Table 5a: Distribution of JobKeeper entities and payments</w:t>
        </w:r>
        <w:r w:rsidR="00B814F0">
          <w:rPr>
            <w:rStyle w:val="Hyperlink"/>
          </w:rPr>
          <w:t xml:space="preserve">, </w:t>
        </w:r>
        <w:r w:rsidR="00B814F0" w:rsidRPr="00B814F0">
          <w:rPr>
            <w:rStyle w:val="Hyperlink"/>
          </w:rPr>
          <w:t>Turnover size</w:t>
        </w:r>
        <w:r w:rsidR="00B814F0">
          <w:rPr>
            <w:webHidden/>
          </w:rPr>
          <w:tab/>
        </w:r>
        <w:r w:rsidR="00B814F0">
          <w:rPr>
            <w:webHidden/>
          </w:rPr>
          <w:fldChar w:fldCharType="begin"/>
        </w:r>
        <w:r w:rsidR="00B814F0">
          <w:rPr>
            <w:webHidden/>
          </w:rPr>
          <w:instrText xml:space="preserve"> PAGEREF _Toc84842593 \h </w:instrText>
        </w:r>
        <w:r w:rsidR="00B814F0">
          <w:rPr>
            <w:webHidden/>
          </w:rPr>
        </w:r>
        <w:r w:rsidR="00B814F0">
          <w:rPr>
            <w:webHidden/>
          </w:rPr>
          <w:fldChar w:fldCharType="separate"/>
        </w:r>
        <w:r w:rsidR="004E7A44">
          <w:rPr>
            <w:webHidden/>
          </w:rPr>
          <w:t>50</w:t>
        </w:r>
        <w:r w:rsidR="00B814F0">
          <w:rPr>
            <w:webHidden/>
          </w:rPr>
          <w:fldChar w:fldCharType="end"/>
        </w:r>
      </w:hyperlink>
    </w:p>
    <w:p w14:paraId="5CFCF204" w14:textId="4B3B0232" w:rsidR="00B814F0" w:rsidRDefault="00B814F0" w:rsidP="00B814F0">
      <w:pPr>
        <w:pStyle w:val="TOC2"/>
        <w:rPr>
          <w:rFonts w:asciiTheme="minorHAnsi" w:eastAsiaTheme="minorEastAsia" w:hAnsiTheme="minorHAnsi" w:cstheme="minorBidi"/>
          <w:b/>
          <w:color w:val="auto"/>
        </w:rPr>
      </w:pPr>
      <w:r w:rsidRPr="00B814F0">
        <w:t xml:space="preserve">Table </w:t>
      </w:r>
      <w:r>
        <w:t>5</w:t>
      </w:r>
      <w:hyperlink w:anchor="_Toc84842595" w:history="1">
        <w:r w:rsidRPr="00462979">
          <w:rPr>
            <w:rStyle w:val="Hyperlink"/>
          </w:rPr>
          <w:t>b</w:t>
        </w:r>
        <w:r>
          <w:rPr>
            <w:rStyle w:val="Hyperlink"/>
          </w:rPr>
          <w:t xml:space="preserve">: Distribution of JobKeeper entities and payments, </w:t>
        </w:r>
        <w:r w:rsidRPr="00462979">
          <w:rPr>
            <w:rStyle w:val="Hyperlink"/>
          </w:rPr>
          <w:t>Entity type</w:t>
        </w:r>
        <w:r>
          <w:rPr>
            <w:webHidden/>
          </w:rPr>
          <w:tab/>
        </w:r>
        <w:r>
          <w:rPr>
            <w:webHidden/>
          </w:rPr>
          <w:fldChar w:fldCharType="begin"/>
        </w:r>
        <w:r>
          <w:rPr>
            <w:webHidden/>
          </w:rPr>
          <w:instrText xml:space="preserve"> PAGEREF _Toc84842595 \h </w:instrText>
        </w:r>
        <w:r>
          <w:rPr>
            <w:webHidden/>
          </w:rPr>
        </w:r>
        <w:r>
          <w:rPr>
            <w:webHidden/>
          </w:rPr>
          <w:fldChar w:fldCharType="separate"/>
        </w:r>
        <w:r w:rsidR="004E7A44">
          <w:rPr>
            <w:webHidden/>
          </w:rPr>
          <w:t>50</w:t>
        </w:r>
        <w:r>
          <w:rPr>
            <w:webHidden/>
          </w:rPr>
          <w:fldChar w:fldCharType="end"/>
        </w:r>
      </w:hyperlink>
    </w:p>
    <w:p w14:paraId="6EDD6DA0" w14:textId="17CDD0D6" w:rsidR="00B814F0" w:rsidRPr="00B814F0" w:rsidRDefault="00B814F0" w:rsidP="00B814F0">
      <w:pPr>
        <w:pStyle w:val="TOC2"/>
        <w:rPr>
          <w:rFonts w:eastAsiaTheme="minorEastAsia"/>
        </w:rPr>
      </w:pPr>
      <w:r w:rsidRPr="00B814F0">
        <w:rPr>
          <w:rStyle w:val="Hyperlink"/>
          <w:color w:val="002C47" w:themeColor="accent1"/>
        </w:rPr>
        <w:t>Table 5</w:t>
      </w:r>
      <w:hyperlink w:anchor="_Toc84842596" w:history="1">
        <w:r w:rsidRPr="00B814F0">
          <w:rPr>
            <w:rStyle w:val="Hyperlink"/>
            <w:color w:val="002C47" w:themeColor="accent1"/>
          </w:rPr>
          <w:t>c: Distribution of JobKeeper entities and payments, State</w:t>
        </w:r>
        <w:r w:rsidRPr="00B814F0">
          <w:rPr>
            <w:webHidden/>
          </w:rPr>
          <w:tab/>
        </w:r>
        <w:r w:rsidRPr="00B814F0">
          <w:rPr>
            <w:webHidden/>
          </w:rPr>
          <w:fldChar w:fldCharType="begin"/>
        </w:r>
        <w:r w:rsidRPr="00B814F0">
          <w:rPr>
            <w:webHidden/>
          </w:rPr>
          <w:instrText xml:space="preserve"> PAGEREF _Toc84842596 \h </w:instrText>
        </w:r>
        <w:r w:rsidRPr="00B814F0">
          <w:rPr>
            <w:webHidden/>
          </w:rPr>
        </w:r>
        <w:r w:rsidRPr="00B814F0">
          <w:rPr>
            <w:webHidden/>
          </w:rPr>
          <w:fldChar w:fldCharType="separate"/>
        </w:r>
        <w:r w:rsidR="004E7A44">
          <w:rPr>
            <w:webHidden/>
          </w:rPr>
          <w:t>50</w:t>
        </w:r>
        <w:r w:rsidRPr="00B814F0">
          <w:rPr>
            <w:webHidden/>
          </w:rPr>
          <w:fldChar w:fldCharType="end"/>
        </w:r>
      </w:hyperlink>
    </w:p>
    <w:p w14:paraId="3FC37BBA" w14:textId="76C70896" w:rsidR="00B814F0" w:rsidRDefault="00B1613D" w:rsidP="00B814F0">
      <w:pPr>
        <w:pStyle w:val="TOC2"/>
        <w:rPr>
          <w:rFonts w:asciiTheme="minorHAnsi" w:eastAsiaTheme="minorEastAsia" w:hAnsiTheme="minorHAnsi" w:cstheme="minorBidi"/>
          <w:b/>
          <w:color w:val="auto"/>
        </w:rPr>
      </w:pPr>
      <w:hyperlink w:anchor="_Toc84842597" w:history="1">
        <w:r w:rsidR="00B814F0" w:rsidRPr="00462979">
          <w:rPr>
            <w:rStyle w:val="Hyperlink"/>
          </w:rPr>
          <w:t>Table 6a: JobKeeper coverage of employment</w:t>
        </w:r>
        <w:r w:rsidR="00B814F0">
          <w:rPr>
            <w:rStyle w:val="Hyperlink"/>
          </w:rPr>
          <w:t xml:space="preserve">, </w:t>
        </w:r>
        <w:r w:rsidR="00B814F0" w:rsidRPr="00B814F0">
          <w:rPr>
            <w:rStyle w:val="Hyperlink"/>
          </w:rPr>
          <w:t>Share of total vs private</w:t>
        </w:r>
        <w:r w:rsidR="00B814F0" w:rsidRPr="00B814F0">
          <w:rPr>
            <w:rStyle w:val="Hyperlink"/>
          </w:rPr>
          <w:noBreakHyphen/>
          <w:t>sector employment</w:t>
        </w:r>
        <w:r w:rsidR="00B814F0">
          <w:rPr>
            <w:webHidden/>
          </w:rPr>
          <w:tab/>
        </w:r>
        <w:r w:rsidR="00B814F0">
          <w:rPr>
            <w:webHidden/>
          </w:rPr>
          <w:fldChar w:fldCharType="begin"/>
        </w:r>
        <w:r w:rsidR="00B814F0">
          <w:rPr>
            <w:webHidden/>
          </w:rPr>
          <w:instrText xml:space="preserve"> PAGEREF _Toc84842597 \h </w:instrText>
        </w:r>
        <w:r w:rsidR="00B814F0">
          <w:rPr>
            <w:webHidden/>
          </w:rPr>
        </w:r>
        <w:r w:rsidR="00B814F0">
          <w:rPr>
            <w:webHidden/>
          </w:rPr>
          <w:fldChar w:fldCharType="separate"/>
        </w:r>
        <w:r w:rsidR="004E7A44">
          <w:rPr>
            <w:webHidden/>
          </w:rPr>
          <w:t>51</w:t>
        </w:r>
        <w:r w:rsidR="00B814F0">
          <w:rPr>
            <w:webHidden/>
          </w:rPr>
          <w:fldChar w:fldCharType="end"/>
        </w:r>
      </w:hyperlink>
    </w:p>
    <w:p w14:paraId="292FF245" w14:textId="63041E7C" w:rsidR="00B814F0" w:rsidRPr="00B814F0" w:rsidRDefault="00B814F0" w:rsidP="00B814F0">
      <w:pPr>
        <w:pStyle w:val="TOC2"/>
        <w:rPr>
          <w:rFonts w:eastAsiaTheme="minorEastAsia"/>
        </w:rPr>
      </w:pPr>
      <w:r w:rsidRPr="00B814F0">
        <w:rPr>
          <w:rStyle w:val="Hyperlink"/>
          <w:color w:val="002C47" w:themeColor="accent1"/>
        </w:rPr>
        <w:t>Table 6</w:t>
      </w:r>
      <w:hyperlink w:anchor="_Toc84842599" w:history="1">
        <w:r w:rsidRPr="00B814F0">
          <w:rPr>
            <w:rStyle w:val="Hyperlink"/>
            <w:color w:val="002C47" w:themeColor="accent1"/>
          </w:rPr>
          <w:t>b: JobKeeper coverage of employment, Share of total employment</w:t>
        </w:r>
        <w:r w:rsidRPr="00B814F0">
          <w:rPr>
            <w:webHidden/>
          </w:rPr>
          <w:tab/>
        </w:r>
        <w:r w:rsidRPr="00B814F0">
          <w:rPr>
            <w:webHidden/>
          </w:rPr>
          <w:fldChar w:fldCharType="begin"/>
        </w:r>
        <w:r w:rsidRPr="00B814F0">
          <w:rPr>
            <w:webHidden/>
          </w:rPr>
          <w:instrText xml:space="preserve"> PAGEREF _Toc84842599 \h </w:instrText>
        </w:r>
        <w:r w:rsidRPr="00B814F0">
          <w:rPr>
            <w:webHidden/>
          </w:rPr>
        </w:r>
        <w:r w:rsidRPr="00B814F0">
          <w:rPr>
            <w:webHidden/>
          </w:rPr>
          <w:fldChar w:fldCharType="separate"/>
        </w:r>
        <w:r w:rsidR="004E7A44">
          <w:rPr>
            <w:webHidden/>
          </w:rPr>
          <w:t>51</w:t>
        </w:r>
        <w:r w:rsidRPr="00B814F0">
          <w:rPr>
            <w:webHidden/>
          </w:rPr>
          <w:fldChar w:fldCharType="end"/>
        </w:r>
      </w:hyperlink>
    </w:p>
    <w:p w14:paraId="2F6E0C5F" w14:textId="4E34CD43" w:rsidR="00B814F0" w:rsidRDefault="00B1613D" w:rsidP="00B814F0">
      <w:pPr>
        <w:pStyle w:val="TOC2"/>
        <w:rPr>
          <w:rFonts w:asciiTheme="minorHAnsi" w:eastAsiaTheme="minorEastAsia" w:hAnsiTheme="minorHAnsi" w:cstheme="minorBidi"/>
          <w:b/>
          <w:color w:val="auto"/>
        </w:rPr>
      </w:pPr>
      <w:hyperlink w:anchor="_Toc84842600" w:history="1">
        <w:r w:rsidR="00B814F0" w:rsidRPr="00462979">
          <w:rPr>
            <w:rStyle w:val="Hyperlink"/>
          </w:rPr>
          <w:t xml:space="preserve">Table 7a: JobKeeper first phase distribution of private sector employment, </w:t>
        </w:r>
        <w:r w:rsidR="00B814F0">
          <w:rPr>
            <w:rStyle w:val="Hyperlink"/>
          </w:rPr>
          <w:br/>
        </w:r>
        <w:r w:rsidR="00B814F0" w:rsidRPr="00462979">
          <w:rPr>
            <w:rStyle w:val="Hyperlink"/>
          </w:rPr>
          <w:t>decline in employment, and JobKeeper participants</w:t>
        </w:r>
        <w:r w:rsidR="00B814F0">
          <w:rPr>
            <w:rStyle w:val="Hyperlink"/>
          </w:rPr>
          <w:t xml:space="preserve">, </w:t>
        </w:r>
        <w:r w:rsidR="00B814F0" w:rsidRPr="00B814F0">
          <w:rPr>
            <w:rStyle w:val="Hyperlink"/>
          </w:rPr>
          <w:t>By sex</w:t>
        </w:r>
        <w:r w:rsidR="00B814F0">
          <w:rPr>
            <w:webHidden/>
          </w:rPr>
          <w:tab/>
        </w:r>
        <w:r w:rsidR="00B814F0">
          <w:rPr>
            <w:webHidden/>
          </w:rPr>
          <w:fldChar w:fldCharType="begin"/>
        </w:r>
        <w:r w:rsidR="00B814F0">
          <w:rPr>
            <w:webHidden/>
          </w:rPr>
          <w:instrText xml:space="preserve"> PAGEREF _Toc84842600 \h </w:instrText>
        </w:r>
        <w:r w:rsidR="00B814F0">
          <w:rPr>
            <w:webHidden/>
          </w:rPr>
        </w:r>
        <w:r w:rsidR="00B814F0">
          <w:rPr>
            <w:webHidden/>
          </w:rPr>
          <w:fldChar w:fldCharType="separate"/>
        </w:r>
        <w:r w:rsidR="004E7A44">
          <w:rPr>
            <w:webHidden/>
          </w:rPr>
          <w:t>52</w:t>
        </w:r>
        <w:r w:rsidR="00B814F0">
          <w:rPr>
            <w:webHidden/>
          </w:rPr>
          <w:fldChar w:fldCharType="end"/>
        </w:r>
      </w:hyperlink>
    </w:p>
    <w:p w14:paraId="66E0B63D" w14:textId="2C63F265" w:rsidR="00B814F0" w:rsidRPr="00B814F0" w:rsidRDefault="00B814F0" w:rsidP="00B814F0">
      <w:pPr>
        <w:pStyle w:val="TOC2"/>
        <w:rPr>
          <w:rFonts w:eastAsiaTheme="minorEastAsia"/>
        </w:rPr>
      </w:pPr>
      <w:r w:rsidRPr="00B814F0">
        <w:rPr>
          <w:rStyle w:val="Hyperlink"/>
          <w:color w:val="002C47" w:themeColor="accent1"/>
        </w:rPr>
        <w:t>Table 7</w:t>
      </w:r>
      <w:hyperlink w:anchor="_Toc84842602" w:history="1">
        <w:r w:rsidRPr="00B814F0">
          <w:rPr>
            <w:rStyle w:val="Hyperlink"/>
            <w:color w:val="002C47" w:themeColor="accent1"/>
          </w:rPr>
          <w:t xml:space="preserve">b: JobKeeper first phase distribution of private sector employment, </w:t>
        </w:r>
        <w:r>
          <w:rPr>
            <w:rStyle w:val="Hyperlink"/>
            <w:color w:val="002C47" w:themeColor="accent1"/>
          </w:rPr>
          <w:br/>
        </w:r>
        <w:r w:rsidRPr="00B814F0">
          <w:rPr>
            <w:rStyle w:val="Hyperlink"/>
            <w:color w:val="002C47" w:themeColor="accent1"/>
          </w:rPr>
          <w:t>decline in employment, and JobKeeper participants, By age</w:t>
        </w:r>
        <w:r w:rsidRPr="00B814F0">
          <w:rPr>
            <w:webHidden/>
          </w:rPr>
          <w:tab/>
        </w:r>
        <w:r w:rsidRPr="00B814F0">
          <w:rPr>
            <w:webHidden/>
          </w:rPr>
          <w:fldChar w:fldCharType="begin"/>
        </w:r>
        <w:r w:rsidRPr="00B814F0">
          <w:rPr>
            <w:webHidden/>
          </w:rPr>
          <w:instrText xml:space="preserve"> PAGEREF _Toc84842602 \h </w:instrText>
        </w:r>
        <w:r w:rsidRPr="00B814F0">
          <w:rPr>
            <w:webHidden/>
          </w:rPr>
        </w:r>
        <w:r w:rsidRPr="00B814F0">
          <w:rPr>
            <w:webHidden/>
          </w:rPr>
          <w:fldChar w:fldCharType="separate"/>
        </w:r>
        <w:r w:rsidR="004E7A44">
          <w:rPr>
            <w:webHidden/>
          </w:rPr>
          <w:t>52</w:t>
        </w:r>
        <w:r w:rsidRPr="00B814F0">
          <w:rPr>
            <w:webHidden/>
          </w:rPr>
          <w:fldChar w:fldCharType="end"/>
        </w:r>
      </w:hyperlink>
    </w:p>
    <w:p w14:paraId="55BC3ACB" w14:textId="4C91EFB1" w:rsidR="00B814F0" w:rsidRDefault="00B1613D" w:rsidP="00B814F0">
      <w:pPr>
        <w:pStyle w:val="TOC2"/>
        <w:rPr>
          <w:rFonts w:asciiTheme="minorHAnsi" w:eastAsiaTheme="minorEastAsia" w:hAnsiTheme="minorHAnsi" w:cstheme="minorBidi"/>
          <w:b/>
          <w:color w:val="auto"/>
        </w:rPr>
      </w:pPr>
      <w:hyperlink w:anchor="_Toc84842603" w:history="1">
        <w:r w:rsidR="00B814F0" w:rsidRPr="00462979">
          <w:rPr>
            <w:rStyle w:val="Hyperlink"/>
          </w:rPr>
          <w:t>Table 8: JobKeeper first phase payments – levels and share of compensation of employees,</w:t>
        </w:r>
        <w:r w:rsidR="00B814F0">
          <w:rPr>
            <w:rStyle w:val="Hyperlink"/>
          </w:rPr>
          <w:br/>
        </w:r>
        <w:r w:rsidR="00B814F0" w:rsidRPr="00462979">
          <w:rPr>
            <w:rStyle w:val="Hyperlink"/>
          </w:rPr>
          <w:t xml:space="preserve"> by industry</w:t>
        </w:r>
        <w:r w:rsidR="00B814F0">
          <w:rPr>
            <w:webHidden/>
          </w:rPr>
          <w:tab/>
        </w:r>
        <w:r w:rsidR="00B814F0">
          <w:rPr>
            <w:webHidden/>
          </w:rPr>
          <w:fldChar w:fldCharType="begin"/>
        </w:r>
        <w:r w:rsidR="00B814F0">
          <w:rPr>
            <w:webHidden/>
          </w:rPr>
          <w:instrText xml:space="preserve"> PAGEREF _Toc84842603 \h </w:instrText>
        </w:r>
        <w:r w:rsidR="00B814F0">
          <w:rPr>
            <w:webHidden/>
          </w:rPr>
        </w:r>
        <w:r w:rsidR="00B814F0">
          <w:rPr>
            <w:webHidden/>
          </w:rPr>
          <w:fldChar w:fldCharType="separate"/>
        </w:r>
        <w:r w:rsidR="004E7A44">
          <w:rPr>
            <w:webHidden/>
          </w:rPr>
          <w:t>53</w:t>
        </w:r>
        <w:r w:rsidR="00B814F0">
          <w:rPr>
            <w:webHidden/>
          </w:rPr>
          <w:fldChar w:fldCharType="end"/>
        </w:r>
      </w:hyperlink>
    </w:p>
    <w:p w14:paraId="31286885" w14:textId="7E629557" w:rsidR="00B814F0" w:rsidRDefault="00B1613D" w:rsidP="00B814F0">
      <w:pPr>
        <w:pStyle w:val="TOC2"/>
        <w:rPr>
          <w:rFonts w:asciiTheme="minorHAnsi" w:eastAsiaTheme="minorEastAsia" w:hAnsiTheme="minorHAnsi" w:cstheme="minorBidi"/>
          <w:b/>
          <w:color w:val="auto"/>
        </w:rPr>
      </w:pPr>
      <w:hyperlink w:anchor="_Toc84842604" w:history="1">
        <w:r w:rsidR="00B814F0" w:rsidRPr="00462979">
          <w:rPr>
            <w:rStyle w:val="Hyperlink"/>
          </w:rPr>
          <w:t xml:space="preserve">Table 9: JobKeeper first </w:t>
        </w:r>
        <w:r w:rsidR="00B814F0" w:rsidRPr="00462979">
          <w:rPr>
            <w:rStyle w:val="Hyperlink"/>
            <w:rFonts w:cstheme="minorHAnsi"/>
          </w:rPr>
          <w:t>phase</w:t>
        </w:r>
        <w:r w:rsidR="00B814F0" w:rsidRPr="00462979">
          <w:rPr>
            <w:rStyle w:val="Hyperlink"/>
          </w:rPr>
          <w:t xml:space="preserve"> individuals – number and coverage of pre</w:t>
        </w:r>
        <w:r w:rsidR="00B814F0" w:rsidRPr="00462979">
          <w:rPr>
            <w:rStyle w:val="Hyperlink"/>
          </w:rPr>
          <w:noBreakHyphen/>
          <w:t>COVID</w:t>
        </w:r>
        <w:r w:rsidR="00B814F0" w:rsidRPr="00462979">
          <w:rPr>
            <w:rStyle w:val="Hyperlink"/>
          </w:rPr>
          <w:noBreakHyphen/>
          <w:t xml:space="preserve">19 </w:t>
        </w:r>
        <w:r w:rsidR="00B814F0">
          <w:rPr>
            <w:rStyle w:val="Hyperlink"/>
          </w:rPr>
          <w:br/>
        </w:r>
        <w:r w:rsidR="00B814F0" w:rsidRPr="00462979">
          <w:rPr>
            <w:rStyle w:val="Hyperlink"/>
          </w:rPr>
          <w:t>employment, by industry</w:t>
        </w:r>
        <w:r w:rsidR="00B814F0">
          <w:rPr>
            <w:webHidden/>
          </w:rPr>
          <w:tab/>
        </w:r>
        <w:r w:rsidR="00B814F0">
          <w:rPr>
            <w:webHidden/>
          </w:rPr>
          <w:fldChar w:fldCharType="begin"/>
        </w:r>
        <w:r w:rsidR="00B814F0">
          <w:rPr>
            <w:webHidden/>
          </w:rPr>
          <w:instrText xml:space="preserve"> PAGEREF _Toc84842604 \h </w:instrText>
        </w:r>
        <w:r w:rsidR="00B814F0">
          <w:rPr>
            <w:webHidden/>
          </w:rPr>
        </w:r>
        <w:r w:rsidR="00B814F0">
          <w:rPr>
            <w:webHidden/>
          </w:rPr>
          <w:fldChar w:fldCharType="separate"/>
        </w:r>
        <w:r w:rsidR="004E7A44">
          <w:rPr>
            <w:webHidden/>
          </w:rPr>
          <w:t>54</w:t>
        </w:r>
        <w:r w:rsidR="00B814F0">
          <w:rPr>
            <w:webHidden/>
          </w:rPr>
          <w:fldChar w:fldCharType="end"/>
        </w:r>
      </w:hyperlink>
    </w:p>
    <w:p w14:paraId="763E89EF" w14:textId="7F67B8A1" w:rsidR="00B814F0" w:rsidRDefault="00B1613D" w:rsidP="00B814F0">
      <w:pPr>
        <w:pStyle w:val="TOC2"/>
        <w:rPr>
          <w:rFonts w:asciiTheme="minorHAnsi" w:eastAsiaTheme="minorEastAsia" w:hAnsiTheme="minorHAnsi" w:cstheme="minorBidi"/>
          <w:b/>
          <w:color w:val="auto"/>
        </w:rPr>
      </w:pPr>
      <w:hyperlink w:anchor="_Toc84842605" w:history="1">
        <w:r w:rsidR="00B814F0" w:rsidRPr="00462979">
          <w:rPr>
            <w:rStyle w:val="Hyperlink"/>
          </w:rPr>
          <w:t>Table 10: JobKeeper first phase entities – number and coverage by industry</w:t>
        </w:r>
        <w:r w:rsidR="00B814F0">
          <w:rPr>
            <w:webHidden/>
          </w:rPr>
          <w:tab/>
        </w:r>
        <w:r w:rsidR="00B814F0">
          <w:rPr>
            <w:webHidden/>
          </w:rPr>
          <w:fldChar w:fldCharType="begin"/>
        </w:r>
        <w:r w:rsidR="00B814F0">
          <w:rPr>
            <w:webHidden/>
          </w:rPr>
          <w:instrText xml:space="preserve"> PAGEREF _Toc84842605 \h </w:instrText>
        </w:r>
        <w:r w:rsidR="00B814F0">
          <w:rPr>
            <w:webHidden/>
          </w:rPr>
        </w:r>
        <w:r w:rsidR="00B814F0">
          <w:rPr>
            <w:webHidden/>
          </w:rPr>
          <w:fldChar w:fldCharType="separate"/>
        </w:r>
        <w:r w:rsidR="004E7A44">
          <w:rPr>
            <w:webHidden/>
          </w:rPr>
          <w:t>55</w:t>
        </w:r>
        <w:r w:rsidR="00B814F0">
          <w:rPr>
            <w:webHidden/>
          </w:rPr>
          <w:fldChar w:fldCharType="end"/>
        </w:r>
      </w:hyperlink>
    </w:p>
    <w:p w14:paraId="583E8AF0" w14:textId="5DD68E2E" w:rsidR="00B814F0" w:rsidRDefault="00B1613D" w:rsidP="00B814F0">
      <w:pPr>
        <w:pStyle w:val="TOC2"/>
        <w:rPr>
          <w:rFonts w:asciiTheme="minorHAnsi" w:eastAsiaTheme="minorEastAsia" w:hAnsiTheme="minorHAnsi" w:cstheme="minorBidi"/>
          <w:b/>
          <w:color w:val="auto"/>
        </w:rPr>
      </w:pPr>
      <w:hyperlink w:anchor="_Toc84842606" w:history="1">
        <w:r w:rsidR="00B814F0" w:rsidRPr="00462979">
          <w:rPr>
            <w:rStyle w:val="Hyperlink"/>
          </w:rPr>
          <w:t xml:space="preserve">Table 11: JobKeeper first </w:t>
        </w:r>
        <w:r w:rsidR="00B814F0" w:rsidRPr="00462979">
          <w:rPr>
            <w:rStyle w:val="Hyperlink"/>
            <w:rFonts w:cstheme="minorHAnsi"/>
          </w:rPr>
          <w:t>phase</w:t>
        </w:r>
        <w:r w:rsidR="00B814F0" w:rsidRPr="00462979">
          <w:rPr>
            <w:rStyle w:val="Hyperlink"/>
          </w:rPr>
          <w:t xml:space="preserve"> coverage of pre</w:t>
        </w:r>
        <w:r w:rsidR="00B814F0" w:rsidRPr="00462979">
          <w:rPr>
            <w:rStyle w:val="Hyperlink"/>
          </w:rPr>
          <w:noBreakHyphen/>
          <w:t>COVID</w:t>
        </w:r>
        <w:r w:rsidR="00B814F0" w:rsidRPr="00462979">
          <w:rPr>
            <w:rStyle w:val="Hyperlink"/>
          </w:rPr>
          <w:noBreakHyphen/>
          <w:t>19 employment, distribution by SA4</w:t>
        </w:r>
        <w:r w:rsidR="00B814F0">
          <w:rPr>
            <w:webHidden/>
          </w:rPr>
          <w:tab/>
        </w:r>
        <w:r w:rsidR="00B814F0">
          <w:rPr>
            <w:webHidden/>
          </w:rPr>
          <w:fldChar w:fldCharType="begin"/>
        </w:r>
        <w:r w:rsidR="00B814F0">
          <w:rPr>
            <w:webHidden/>
          </w:rPr>
          <w:instrText xml:space="preserve"> PAGEREF _Toc84842606 \h </w:instrText>
        </w:r>
        <w:r w:rsidR="00B814F0">
          <w:rPr>
            <w:webHidden/>
          </w:rPr>
        </w:r>
        <w:r w:rsidR="00B814F0">
          <w:rPr>
            <w:webHidden/>
          </w:rPr>
          <w:fldChar w:fldCharType="separate"/>
        </w:r>
        <w:r w:rsidR="004E7A44">
          <w:rPr>
            <w:webHidden/>
          </w:rPr>
          <w:t>56</w:t>
        </w:r>
        <w:r w:rsidR="00B814F0">
          <w:rPr>
            <w:webHidden/>
          </w:rPr>
          <w:fldChar w:fldCharType="end"/>
        </w:r>
      </w:hyperlink>
    </w:p>
    <w:p w14:paraId="7264EF6D" w14:textId="6A0EE5E1" w:rsidR="00B814F0" w:rsidRDefault="00B1613D" w:rsidP="00B814F0">
      <w:pPr>
        <w:pStyle w:val="TOC2"/>
        <w:rPr>
          <w:rFonts w:asciiTheme="minorHAnsi" w:eastAsiaTheme="minorEastAsia" w:hAnsiTheme="minorHAnsi" w:cstheme="minorBidi"/>
          <w:b/>
          <w:color w:val="auto"/>
        </w:rPr>
      </w:pPr>
      <w:hyperlink w:anchor="_Toc84842607" w:history="1">
        <w:r w:rsidR="00B814F0" w:rsidRPr="00462979">
          <w:rPr>
            <w:rStyle w:val="Hyperlink"/>
          </w:rPr>
          <w:t>Table 12: JobKeeper recipients by through-the-year turnover decline and size,</w:t>
        </w:r>
        <w:r w:rsidR="00B814F0">
          <w:rPr>
            <w:rStyle w:val="Hyperlink"/>
          </w:rPr>
          <w:br/>
        </w:r>
        <w:r w:rsidR="00B814F0" w:rsidRPr="00462979">
          <w:rPr>
            <w:rStyle w:val="Hyperlink"/>
          </w:rPr>
          <w:t xml:space="preserve"> June quarter 2020</w:t>
        </w:r>
        <w:r w:rsidR="00B814F0">
          <w:rPr>
            <w:webHidden/>
          </w:rPr>
          <w:tab/>
        </w:r>
        <w:r w:rsidR="00B814F0">
          <w:rPr>
            <w:webHidden/>
          </w:rPr>
          <w:fldChar w:fldCharType="begin"/>
        </w:r>
        <w:r w:rsidR="00B814F0">
          <w:rPr>
            <w:webHidden/>
          </w:rPr>
          <w:instrText xml:space="preserve"> PAGEREF _Toc84842607 \h </w:instrText>
        </w:r>
        <w:r w:rsidR="00B814F0">
          <w:rPr>
            <w:webHidden/>
          </w:rPr>
        </w:r>
        <w:r w:rsidR="00B814F0">
          <w:rPr>
            <w:webHidden/>
          </w:rPr>
          <w:fldChar w:fldCharType="separate"/>
        </w:r>
        <w:r w:rsidR="004E7A44">
          <w:rPr>
            <w:webHidden/>
          </w:rPr>
          <w:t>59</w:t>
        </w:r>
        <w:r w:rsidR="00B814F0">
          <w:rPr>
            <w:webHidden/>
          </w:rPr>
          <w:fldChar w:fldCharType="end"/>
        </w:r>
      </w:hyperlink>
    </w:p>
    <w:p w14:paraId="25422B6D" w14:textId="05EBC735" w:rsidR="00B814F0" w:rsidRDefault="00B1613D" w:rsidP="00B814F0">
      <w:pPr>
        <w:pStyle w:val="TOC2"/>
        <w:rPr>
          <w:rFonts w:asciiTheme="minorHAnsi" w:eastAsiaTheme="minorEastAsia" w:hAnsiTheme="minorHAnsi" w:cstheme="minorBidi"/>
          <w:b/>
          <w:color w:val="auto"/>
        </w:rPr>
      </w:pPr>
      <w:hyperlink w:anchor="_Toc84842608" w:history="1">
        <w:r w:rsidR="00B814F0" w:rsidRPr="00462979">
          <w:rPr>
            <w:rStyle w:val="Hyperlink"/>
          </w:rPr>
          <w:t xml:space="preserve">Table 13: JobKeeper recipients by through-the-year turnover decline and industry, </w:t>
        </w:r>
        <w:r w:rsidR="00B814F0">
          <w:rPr>
            <w:rStyle w:val="Hyperlink"/>
          </w:rPr>
          <w:br/>
        </w:r>
        <w:r w:rsidR="00B814F0" w:rsidRPr="00462979">
          <w:rPr>
            <w:rStyle w:val="Hyperlink"/>
          </w:rPr>
          <w:t>June quarter 2020</w:t>
        </w:r>
        <w:r w:rsidR="00B814F0">
          <w:rPr>
            <w:webHidden/>
          </w:rPr>
          <w:tab/>
        </w:r>
        <w:r w:rsidR="00B814F0">
          <w:rPr>
            <w:webHidden/>
          </w:rPr>
          <w:fldChar w:fldCharType="begin"/>
        </w:r>
        <w:r w:rsidR="00B814F0">
          <w:rPr>
            <w:webHidden/>
          </w:rPr>
          <w:instrText xml:space="preserve"> PAGEREF _Toc84842608 \h </w:instrText>
        </w:r>
        <w:r w:rsidR="00B814F0">
          <w:rPr>
            <w:webHidden/>
          </w:rPr>
        </w:r>
        <w:r w:rsidR="00B814F0">
          <w:rPr>
            <w:webHidden/>
          </w:rPr>
          <w:fldChar w:fldCharType="separate"/>
        </w:r>
        <w:r w:rsidR="004E7A44">
          <w:rPr>
            <w:webHidden/>
          </w:rPr>
          <w:t>60</w:t>
        </w:r>
        <w:r w:rsidR="00B814F0">
          <w:rPr>
            <w:webHidden/>
          </w:rPr>
          <w:fldChar w:fldCharType="end"/>
        </w:r>
      </w:hyperlink>
    </w:p>
    <w:p w14:paraId="7688ADC4" w14:textId="3221D515" w:rsidR="00B814F0" w:rsidRDefault="00B1613D" w:rsidP="00B814F0">
      <w:pPr>
        <w:pStyle w:val="TOC2"/>
        <w:rPr>
          <w:rFonts w:asciiTheme="minorHAnsi" w:eastAsiaTheme="minorEastAsia" w:hAnsiTheme="minorHAnsi" w:cstheme="minorBidi"/>
          <w:b/>
          <w:color w:val="auto"/>
        </w:rPr>
      </w:pPr>
      <w:hyperlink w:anchor="_Toc84842609" w:history="1">
        <w:r w:rsidR="00B814F0" w:rsidRPr="00462979">
          <w:rPr>
            <w:rStyle w:val="Hyperlink"/>
          </w:rPr>
          <w:t>Table 14: JobKeeper recipients by through-the-year turnover decline by state,</w:t>
        </w:r>
        <w:r w:rsidR="00B814F0">
          <w:rPr>
            <w:rStyle w:val="Hyperlink"/>
          </w:rPr>
          <w:br/>
        </w:r>
        <w:r w:rsidR="00B814F0" w:rsidRPr="00462979">
          <w:rPr>
            <w:rStyle w:val="Hyperlink"/>
          </w:rPr>
          <w:t>June quarter 2020</w:t>
        </w:r>
        <w:r w:rsidR="00B814F0">
          <w:rPr>
            <w:webHidden/>
          </w:rPr>
          <w:tab/>
        </w:r>
        <w:r w:rsidR="00B814F0">
          <w:rPr>
            <w:webHidden/>
          </w:rPr>
          <w:fldChar w:fldCharType="begin"/>
        </w:r>
        <w:r w:rsidR="00B814F0">
          <w:rPr>
            <w:webHidden/>
          </w:rPr>
          <w:instrText xml:space="preserve"> PAGEREF _Toc84842609 \h </w:instrText>
        </w:r>
        <w:r w:rsidR="00B814F0">
          <w:rPr>
            <w:webHidden/>
          </w:rPr>
        </w:r>
        <w:r w:rsidR="00B814F0">
          <w:rPr>
            <w:webHidden/>
          </w:rPr>
          <w:fldChar w:fldCharType="separate"/>
        </w:r>
        <w:r w:rsidR="004E7A44">
          <w:rPr>
            <w:webHidden/>
          </w:rPr>
          <w:t>61</w:t>
        </w:r>
        <w:r w:rsidR="00B814F0">
          <w:rPr>
            <w:webHidden/>
          </w:rPr>
          <w:fldChar w:fldCharType="end"/>
        </w:r>
      </w:hyperlink>
    </w:p>
    <w:p w14:paraId="747F28BE" w14:textId="0FD0A1D5" w:rsidR="00B814F0" w:rsidRDefault="00B1613D" w:rsidP="00B814F0">
      <w:pPr>
        <w:pStyle w:val="TOC2"/>
        <w:rPr>
          <w:rFonts w:asciiTheme="minorHAnsi" w:eastAsiaTheme="minorEastAsia" w:hAnsiTheme="minorHAnsi" w:cstheme="minorBidi"/>
          <w:b/>
          <w:color w:val="auto"/>
        </w:rPr>
      </w:pPr>
      <w:hyperlink w:anchor="_Toc84842610" w:history="1">
        <w:r w:rsidR="00B814F0" w:rsidRPr="00462979">
          <w:rPr>
            <w:rStyle w:val="Hyperlink"/>
          </w:rPr>
          <w:t xml:space="preserve">Table 15: JobKeeper recipients by through-the-year turnover decline and size, </w:t>
        </w:r>
        <w:r w:rsidR="00B814F0">
          <w:rPr>
            <w:rStyle w:val="Hyperlink"/>
          </w:rPr>
          <w:br/>
        </w:r>
        <w:r w:rsidR="00B814F0" w:rsidRPr="00462979">
          <w:rPr>
            <w:rStyle w:val="Hyperlink"/>
          </w:rPr>
          <w:t>September quarter 2020</w:t>
        </w:r>
        <w:r w:rsidR="00B814F0">
          <w:rPr>
            <w:webHidden/>
          </w:rPr>
          <w:tab/>
        </w:r>
        <w:r w:rsidR="00B814F0">
          <w:rPr>
            <w:webHidden/>
          </w:rPr>
          <w:fldChar w:fldCharType="begin"/>
        </w:r>
        <w:r w:rsidR="00B814F0">
          <w:rPr>
            <w:webHidden/>
          </w:rPr>
          <w:instrText xml:space="preserve"> PAGEREF _Toc84842610 \h </w:instrText>
        </w:r>
        <w:r w:rsidR="00B814F0">
          <w:rPr>
            <w:webHidden/>
          </w:rPr>
        </w:r>
        <w:r w:rsidR="00B814F0">
          <w:rPr>
            <w:webHidden/>
          </w:rPr>
          <w:fldChar w:fldCharType="separate"/>
        </w:r>
        <w:r w:rsidR="004E7A44">
          <w:rPr>
            <w:webHidden/>
          </w:rPr>
          <w:t>61</w:t>
        </w:r>
        <w:r w:rsidR="00B814F0">
          <w:rPr>
            <w:webHidden/>
          </w:rPr>
          <w:fldChar w:fldCharType="end"/>
        </w:r>
      </w:hyperlink>
    </w:p>
    <w:p w14:paraId="4D4AFAA2" w14:textId="2AE70DB5" w:rsidR="00B814F0" w:rsidRDefault="00B1613D" w:rsidP="00B814F0">
      <w:pPr>
        <w:pStyle w:val="TOC2"/>
        <w:rPr>
          <w:rFonts w:asciiTheme="minorHAnsi" w:eastAsiaTheme="minorEastAsia" w:hAnsiTheme="minorHAnsi" w:cstheme="minorBidi"/>
          <w:b/>
          <w:color w:val="auto"/>
        </w:rPr>
      </w:pPr>
      <w:hyperlink w:anchor="_Toc84842611" w:history="1">
        <w:r w:rsidR="00B814F0" w:rsidRPr="00462979">
          <w:rPr>
            <w:rStyle w:val="Hyperlink"/>
          </w:rPr>
          <w:t>Table 16: JobKeeper recipients by through-the-year turnover decline and industry, September quarter 2020</w:t>
        </w:r>
        <w:r w:rsidR="00B814F0">
          <w:rPr>
            <w:webHidden/>
          </w:rPr>
          <w:tab/>
        </w:r>
        <w:r w:rsidR="00B814F0">
          <w:rPr>
            <w:webHidden/>
          </w:rPr>
          <w:fldChar w:fldCharType="begin"/>
        </w:r>
        <w:r w:rsidR="00B814F0">
          <w:rPr>
            <w:webHidden/>
          </w:rPr>
          <w:instrText xml:space="preserve"> PAGEREF _Toc84842611 \h </w:instrText>
        </w:r>
        <w:r w:rsidR="00B814F0">
          <w:rPr>
            <w:webHidden/>
          </w:rPr>
        </w:r>
        <w:r w:rsidR="00B814F0">
          <w:rPr>
            <w:webHidden/>
          </w:rPr>
          <w:fldChar w:fldCharType="separate"/>
        </w:r>
        <w:r w:rsidR="004E7A44">
          <w:rPr>
            <w:webHidden/>
          </w:rPr>
          <w:t>62</w:t>
        </w:r>
        <w:r w:rsidR="00B814F0">
          <w:rPr>
            <w:webHidden/>
          </w:rPr>
          <w:fldChar w:fldCharType="end"/>
        </w:r>
      </w:hyperlink>
    </w:p>
    <w:p w14:paraId="507DEB32" w14:textId="5A31D5F9" w:rsidR="00B814F0" w:rsidRDefault="00B1613D" w:rsidP="00B814F0">
      <w:pPr>
        <w:pStyle w:val="TOC2"/>
        <w:rPr>
          <w:rFonts w:asciiTheme="minorHAnsi" w:eastAsiaTheme="minorEastAsia" w:hAnsiTheme="minorHAnsi" w:cstheme="minorBidi"/>
          <w:b/>
          <w:color w:val="auto"/>
        </w:rPr>
      </w:pPr>
      <w:hyperlink w:anchor="_Toc84842612" w:history="1">
        <w:r w:rsidR="00B814F0" w:rsidRPr="00462979">
          <w:rPr>
            <w:rStyle w:val="Hyperlink"/>
          </w:rPr>
          <w:t xml:space="preserve">Table 17: JobKeeper recipients by through-the-year turnover decline by state, </w:t>
        </w:r>
        <w:r w:rsidR="00B814F0">
          <w:rPr>
            <w:rStyle w:val="Hyperlink"/>
          </w:rPr>
          <w:br/>
        </w:r>
        <w:r w:rsidR="00B814F0" w:rsidRPr="00462979">
          <w:rPr>
            <w:rStyle w:val="Hyperlink"/>
          </w:rPr>
          <w:t>September quarter 2020</w:t>
        </w:r>
        <w:r w:rsidR="00B814F0">
          <w:rPr>
            <w:webHidden/>
          </w:rPr>
          <w:tab/>
        </w:r>
        <w:r w:rsidR="00B814F0">
          <w:rPr>
            <w:webHidden/>
          </w:rPr>
          <w:fldChar w:fldCharType="begin"/>
        </w:r>
        <w:r w:rsidR="00B814F0">
          <w:rPr>
            <w:webHidden/>
          </w:rPr>
          <w:instrText xml:space="preserve"> PAGEREF _Toc84842612 \h </w:instrText>
        </w:r>
        <w:r w:rsidR="00B814F0">
          <w:rPr>
            <w:webHidden/>
          </w:rPr>
        </w:r>
        <w:r w:rsidR="00B814F0">
          <w:rPr>
            <w:webHidden/>
          </w:rPr>
          <w:fldChar w:fldCharType="separate"/>
        </w:r>
        <w:r w:rsidR="004E7A44">
          <w:rPr>
            <w:webHidden/>
          </w:rPr>
          <w:t>63</w:t>
        </w:r>
        <w:r w:rsidR="00B814F0">
          <w:rPr>
            <w:webHidden/>
          </w:rPr>
          <w:fldChar w:fldCharType="end"/>
        </w:r>
      </w:hyperlink>
    </w:p>
    <w:p w14:paraId="09B4CEE9" w14:textId="775B9858" w:rsidR="00B814F0" w:rsidRDefault="00B1613D" w:rsidP="00B814F0">
      <w:pPr>
        <w:pStyle w:val="TOC2"/>
        <w:rPr>
          <w:rFonts w:asciiTheme="minorHAnsi" w:eastAsiaTheme="minorEastAsia" w:hAnsiTheme="minorHAnsi" w:cstheme="minorBidi"/>
          <w:b/>
          <w:color w:val="auto"/>
        </w:rPr>
      </w:pPr>
      <w:hyperlink w:anchor="_Toc84842613" w:history="1">
        <w:r w:rsidR="00B814F0" w:rsidRPr="00462979">
          <w:rPr>
            <w:rStyle w:val="Hyperlink"/>
          </w:rPr>
          <w:t>Table 18: Employment increases in JobKeeper businesses with through</w:t>
        </w:r>
        <w:r w:rsidR="00B814F0" w:rsidRPr="00462979">
          <w:rPr>
            <w:rStyle w:val="Hyperlink"/>
          </w:rPr>
          <w:noBreakHyphen/>
          <w:t>the</w:t>
        </w:r>
        <w:r w:rsidR="00B814F0" w:rsidRPr="00462979">
          <w:rPr>
            <w:rStyle w:val="Hyperlink"/>
          </w:rPr>
          <w:noBreakHyphen/>
          <w:t xml:space="preserve">year </w:t>
        </w:r>
        <w:r w:rsidR="00B814F0">
          <w:rPr>
            <w:rStyle w:val="Hyperlink"/>
          </w:rPr>
          <w:br/>
        </w:r>
        <w:r w:rsidR="00B814F0" w:rsidRPr="00462979">
          <w:rPr>
            <w:rStyle w:val="Hyperlink"/>
          </w:rPr>
          <w:t>turnover declines of less than 30 per cent in June quarter 2020, May to September 2020</w:t>
        </w:r>
        <w:r w:rsidR="00B814F0">
          <w:rPr>
            <w:webHidden/>
          </w:rPr>
          <w:tab/>
        </w:r>
        <w:r w:rsidR="00B814F0">
          <w:rPr>
            <w:webHidden/>
          </w:rPr>
          <w:fldChar w:fldCharType="begin"/>
        </w:r>
        <w:r w:rsidR="00B814F0">
          <w:rPr>
            <w:webHidden/>
          </w:rPr>
          <w:instrText xml:space="preserve"> PAGEREF _Toc84842613 \h </w:instrText>
        </w:r>
        <w:r w:rsidR="00B814F0">
          <w:rPr>
            <w:webHidden/>
          </w:rPr>
        </w:r>
        <w:r w:rsidR="00B814F0">
          <w:rPr>
            <w:webHidden/>
          </w:rPr>
          <w:fldChar w:fldCharType="separate"/>
        </w:r>
        <w:r w:rsidR="004E7A44">
          <w:rPr>
            <w:webHidden/>
          </w:rPr>
          <w:t>63</w:t>
        </w:r>
        <w:r w:rsidR="00B814F0">
          <w:rPr>
            <w:webHidden/>
          </w:rPr>
          <w:fldChar w:fldCharType="end"/>
        </w:r>
      </w:hyperlink>
    </w:p>
    <w:p w14:paraId="3A287364" w14:textId="6227542C" w:rsidR="00EC5ABA" w:rsidRPr="006209A4" w:rsidRDefault="00CE2201" w:rsidP="000B6C0C">
      <w:pPr>
        <w:pStyle w:val="TOC2"/>
        <w:spacing w:before="0" w:after="120"/>
      </w:pPr>
      <w:r w:rsidRPr="006209A4">
        <w:fldChar w:fldCharType="end"/>
      </w:r>
    </w:p>
    <w:p w14:paraId="48F9C48D" w14:textId="779C16ED" w:rsidR="00EC5ABA" w:rsidRPr="006209A4" w:rsidRDefault="00EC5ABA" w:rsidP="000B6C0C">
      <w:pPr>
        <w:spacing w:before="0"/>
        <w:sectPr w:rsidR="00EC5ABA" w:rsidRPr="006209A4" w:rsidSect="00B93F12">
          <w:headerReference w:type="first" r:id="rId30"/>
          <w:footerReference w:type="first" r:id="rId31"/>
          <w:pgSz w:w="11907" w:h="16840" w:code="9"/>
          <w:pgMar w:top="1418" w:right="1418" w:bottom="1418" w:left="1418" w:header="907" w:footer="737" w:gutter="0"/>
          <w:pgNumType w:fmt="lowerRoman"/>
          <w:cols w:space="708"/>
          <w:titlePg/>
          <w:docGrid w:linePitch="360"/>
        </w:sectPr>
      </w:pPr>
    </w:p>
    <w:p w14:paraId="4F479186" w14:textId="740AADB5" w:rsidR="00F012EA" w:rsidRPr="006209A4" w:rsidRDefault="006C066C" w:rsidP="00F012EA">
      <w:pPr>
        <w:pStyle w:val="Heading1"/>
      </w:pPr>
      <w:bookmarkStart w:id="8" w:name="_Toc83215040"/>
      <w:bookmarkStart w:id="9" w:name="_Toc84842614"/>
      <w:r w:rsidRPr="006209A4">
        <w:lastRenderedPageBreak/>
        <w:t xml:space="preserve">Executive </w:t>
      </w:r>
      <w:bookmarkEnd w:id="7"/>
      <w:bookmarkEnd w:id="8"/>
      <w:r w:rsidR="00601199" w:rsidRPr="006209A4">
        <w:t>s</w:t>
      </w:r>
      <w:r w:rsidRPr="006209A4">
        <w:t>ummary</w:t>
      </w:r>
      <w:bookmarkEnd w:id="9"/>
    </w:p>
    <w:p w14:paraId="2992E8E9" w14:textId="38B9C109" w:rsidR="001F37C7" w:rsidRDefault="003F4950" w:rsidP="001F37C7">
      <w:r>
        <w:t>The JobKeeper Payment</w:t>
      </w:r>
      <w:r w:rsidR="004005E4">
        <w:t xml:space="preserve"> </w:t>
      </w:r>
      <w:r w:rsidR="00475D6F">
        <w:t xml:space="preserve">was a wage subsidy </w:t>
      </w:r>
      <w:r w:rsidR="001D59FB">
        <w:t xml:space="preserve">and income support </w:t>
      </w:r>
      <w:r w:rsidR="00475D6F">
        <w:t xml:space="preserve">program delivered </w:t>
      </w:r>
      <w:r w:rsidR="00F36F8B">
        <w:t xml:space="preserve">in </w:t>
      </w:r>
      <w:r w:rsidR="00475D6F">
        <w:t>the first year of the COVID</w:t>
      </w:r>
      <w:r w:rsidR="0038520A">
        <w:noBreakHyphen/>
      </w:r>
      <w:r w:rsidR="00475D6F">
        <w:t xml:space="preserve">19 </w:t>
      </w:r>
      <w:r w:rsidR="00DC7F67">
        <w:t>p</w:t>
      </w:r>
      <w:r w:rsidR="00475D6F">
        <w:t>andemic</w:t>
      </w:r>
      <w:r w:rsidR="005010F2">
        <w:t>. It w</w:t>
      </w:r>
      <w:r w:rsidR="00DD6190">
        <w:t>as</w:t>
      </w:r>
      <w:r w:rsidR="00475D6F">
        <w:t xml:space="preserve"> a key element of the </w:t>
      </w:r>
      <w:r w:rsidR="007011B3">
        <w:t xml:space="preserve">Australian </w:t>
      </w:r>
      <w:r w:rsidR="00475D6F">
        <w:t>Government</w:t>
      </w:r>
      <w:r w:rsidR="0038520A">
        <w:t>’</w:t>
      </w:r>
      <w:r w:rsidR="00475D6F">
        <w:t xml:space="preserve">s </w:t>
      </w:r>
      <w:r w:rsidR="001D59FB">
        <w:t>macro</w:t>
      </w:r>
      <w:r w:rsidR="00475D6F">
        <w:t>economic response</w:t>
      </w:r>
      <w:r w:rsidR="005010F2">
        <w:t xml:space="preserve"> to the global health and economic crisis</w:t>
      </w:r>
      <w:r w:rsidR="00475D6F">
        <w:t>.</w:t>
      </w:r>
      <w:r>
        <w:t xml:space="preserve"> </w:t>
      </w:r>
      <w:r w:rsidR="001D59FB">
        <w:t>T</w:t>
      </w:r>
      <w:r w:rsidR="001F37C7">
        <w:t>his</w:t>
      </w:r>
      <w:r w:rsidR="001532FC">
        <w:t xml:space="preserve"> </w:t>
      </w:r>
      <w:r w:rsidR="001F37C7">
        <w:t xml:space="preserve">Insights report provides updated data and analysis on the first </w:t>
      </w:r>
      <w:r w:rsidR="006728BE">
        <w:t>six</w:t>
      </w:r>
      <w:r w:rsidR="00DE22C8">
        <w:t xml:space="preserve"> </w:t>
      </w:r>
      <w:r w:rsidR="001F37C7">
        <w:t>months of the program</w:t>
      </w:r>
      <w:r w:rsidR="00BF1170">
        <w:t>, the initial phase of JobKeeper</w:t>
      </w:r>
      <w:r w:rsidR="00131D83">
        <w:t>,</w:t>
      </w:r>
      <w:r w:rsidR="00E23FC6">
        <w:t xml:space="preserve"> and builds on the Treasury </w:t>
      </w:r>
      <w:r w:rsidR="00E23FC6" w:rsidRPr="00E23FC6">
        <w:rPr>
          <w:i/>
          <w:iCs/>
        </w:rPr>
        <w:t>JobKeeper Payment: Three</w:t>
      </w:r>
      <w:r w:rsidR="00ED3477">
        <w:rPr>
          <w:i/>
          <w:iCs/>
        </w:rPr>
        <w:t>-m</w:t>
      </w:r>
      <w:r w:rsidR="00E23FC6" w:rsidRPr="00E23FC6">
        <w:rPr>
          <w:i/>
          <w:iCs/>
        </w:rPr>
        <w:t xml:space="preserve">onth </w:t>
      </w:r>
      <w:r w:rsidR="00253CEE">
        <w:rPr>
          <w:i/>
          <w:iCs/>
        </w:rPr>
        <w:t>r</w:t>
      </w:r>
      <w:r w:rsidR="00E23FC6" w:rsidRPr="00E23FC6">
        <w:rPr>
          <w:i/>
          <w:iCs/>
        </w:rPr>
        <w:t>eview</w:t>
      </w:r>
      <w:r w:rsidR="001F37C7">
        <w:t xml:space="preserve">. </w:t>
      </w:r>
    </w:p>
    <w:p w14:paraId="74641494" w14:textId="36B3FAB7" w:rsidR="001F37C7" w:rsidRPr="007818BB" w:rsidRDefault="001F37C7" w:rsidP="003F4950">
      <w:pPr>
        <w:rPr>
          <w:i/>
          <w:color w:val="002C47" w:themeColor="accent1"/>
        </w:rPr>
      </w:pPr>
      <w:r w:rsidRPr="007818BB">
        <w:rPr>
          <w:i/>
          <w:color w:val="002C47" w:themeColor="accent1"/>
        </w:rPr>
        <w:t xml:space="preserve">JobKeeper was designed </w:t>
      </w:r>
      <w:r w:rsidR="004005E4" w:rsidRPr="007818BB">
        <w:rPr>
          <w:i/>
          <w:color w:val="002C47" w:themeColor="accent1"/>
        </w:rPr>
        <w:t>in an environment of</w:t>
      </w:r>
      <w:r w:rsidR="00B12BF8">
        <w:rPr>
          <w:i/>
          <w:color w:val="002C47" w:themeColor="accent1"/>
        </w:rPr>
        <w:t xml:space="preserve"> </w:t>
      </w:r>
      <w:r w:rsidR="00A446E1">
        <w:rPr>
          <w:i/>
          <w:color w:val="002C47" w:themeColor="accent1"/>
        </w:rPr>
        <w:t>significant</w:t>
      </w:r>
      <w:r w:rsidR="004005E4" w:rsidRPr="007818BB">
        <w:rPr>
          <w:i/>
          <w:color w:val="002C47" w:themeColor="accent1"/>
        </w:rPr>
        <w:t xml:space="preserve"> uncertainty</w:t>
      </w:r>
    </w:p>
    <w:p w14:paraId="7B8410D4" w14:textId="2A78835F" w:rsidR="0053734F" w:rsidRDefault="0053734F" w:rsidP="003F4950">
      <w:r>
        <w:t xml:space="preserve">JobKeeper was designed to support the economy </w:t>
      </w:r>
      <w:r w:rsidR="00475D6F">
        <w:t xml:space="preserve">during a period when </w:t>
      </w:r>
      <w:r w:rsidR="00580FAE">
        <w:t>widespread</w:t>
      </w:r>
      <w:r w:rsidR="001D0C25">
        <w:t xml:space="preserve"> public health </w:t>
      </w:r>
      <w:r>
        <w:t xml:space="preserve">restrictions </w:t>
      </w:r>
      <w:r w:rsidR="00475D6F">
        <w:t xml:space="preserve">were being imposed </w:t>
      </w:r>
      <w:r w:rsidR="004947E8">
        <w:t>to control the spread of COVID</w:t>
      </w:r>
      <w:r w:rsidR="0038520A">
        <w:noBreakHyphen/>
      </w:r>
      <w:r w:rsidR="004947E8">
        <w:t xml:space="preserve">19. </w:t>
      </w:r>
      <w:r w:rsidR="001749D3">
        <w:t>JobKeeper</w:t>
      </w:r>
      <w:r w:rsidR="0038520A">
        <w:t>’</w:t>
      </w:r>
      <w:r w:rsidR="001749D3">
        <w:t xml:space="preserve">s purpose </w:t>
      </w:r>
      <w:r w:rsidR="00E50C99">
        <w:t>was to support business and job survival, keep employees connected to their employers</w:t>
      </w:r>
      <w:r w:rsidR="00131D83">
        <w:t>,</w:t>
      </w:r>
      <w:r w:rsidR="00D25780">
        <w:t xml:space="preserve"> and</w:t>
      </w:r>
      <w:r w:rsidR="00E35321">
        <w:t xml:space="preserve"> </w:t>
      </w:r>
      <w:r w:rsidR="00E35321" w:rsidRPr="00E35321">
        <w:t>provide income support</w:t>
      </w:r>
      <w:r w:rsidR="00E35321">
        <w:t xml:space="preserve"> to individuals</w:t>
      </w:r>
      <w:r w:rsidR="001D0C25">
        <w:t>.</w:t>
      </w:r>
      <w:r w:rsidR="001749D3">
        <w:t xml:space="preserve"> </w:t>
      </w:r>
      <w:r w:rsidR="001D0C25" w:rsidRPr="001D0C25">
        <w:t>JobKeeper was the largest component of the Government</w:t>
      </w:r>
      <w:r w:rsidR="0038520A">
        <w:t>’</w:t>
      </w:r>
      <w:r w:rsidR="001D0C25" w:rsidRPr="001D0C25">
        <w:t>s macroeconomic stimulus package, delivered to support households and businesses</w:t>
      </w:r>
      <w:r w:rsidR="001749D3">
        <w:t xml:space="preserve"> during </w:t>
      </w:r>
      <w:r w:rsidR="001D0C25" w:rsidRPr="001D0C25">
        <w:t>lockdown and improve the prospects for economic recovery once restrictions were eased.</w:t>
      </w:r>
      <w:r w:rsidR="00FE6F95">
        <w:t xml:space="preserve"> </w:t>
      </w:r>
    </w:p>
    <w:p w14:paraId="4A059D6A" w14:textId="0AFF2506" w:rsidR="0069575A" w:rsidRDefault="0069575A" w:rsidP="003F4950">
      <w:r>
        <w:t xml:space="preserve">There was </w:t>
      </w:r>
      <w:r w:rsidR="00A94382">
        <w:t>a high degree of</w:t>
      </w:r>
      <w:r>
        <w:t xml:space="preserve"> uncertainty about the economic outlook when JobKeeper was being designed</w:t>
      </w:r>
      <w:r w:rsidR="000D3428">
        <w:t xml:space="preserve">, in terms of </w:t>
      </w:r>
      <w:r w:rsidR="00076D91">
        <w:t xml:space="preserve">both </w:t>
      </w:r>
      <w:r w:rsidR="000D3428">
        <w:t xml:space="preserve">the severity of the shock </w:t>
      </w:r>
      <w:r w:rsidR="00076D91">
        <w:t>and</w:t>
      </w:r>
      <w:r w:rsidR="000D3428">
        <w:t xml:space="preserve"> its duration</w:t>
      </w:r>
      <w:r>
        <w:t xml:space="preserve">. </w:t>
      </w:r>
      <w:r w:rsidRPr="009A5B48">
        <w:t>In March 2020</w:t>
      </w:r>
      <w:r w:rsidR="00561E57">
        <w:t>,</w:t>
      </w:r>
      <w:r w:rsidRPr="009A5B48">
        <w:t xml:space="preserve"> </w:t>
      </w:r>
      <w:r w:rsidR="00561E57">
        <w:t xml:space="preserve">the NAB </w:t>
      </w:r>
      <w:r w:rsidR="00A428C4">
        <w:t>monthly</w:t>
      </w:r>
      <w:r w:rsidR="00561E57">
        <w:t xml:space="preserve"> measure of </w:t>
      </w:r>
      <w:r w:rsidRPr="009A5B48">
        <w:t>business confidence fell 62</w:t>
      </w:r>
      <w:r w:rsidR="0078313B">
        <w:t> </w:t>
      </w:r>
      <w:r w:rsidRPr="009A5B48">
        <w:t xml:space="preserve">points to </w:t>
      </w:r>
      <w:r w:rsidR="0038520A">
        <w:noBreakHyphen/>
      </w:r>
      <w:r w:rsidRPr="009A5B48">
        <w:t>66</w:t>
      </w:r>
      <w:r w:rsidR="002D4B75">
        <w:t> </w:t>
      </w:r>
      <w:r w:rsidRPr="009A5B48">
        <w:t>points</w:t>
      </w:r>
      <w:r w:rsidR="001F38D3">
        <w:t xml:space="preserve"> – </w:t>
      </w:r>
      <w:r w:rsidRPr="009A5B48">
        <w:t>the largest single month decline and lowest level since the survey began</w:t>
      </w:r>
      <w:r w:rsidR="00561E57">
        <w:t xml:space="preserve"> in 1997</w:t>
      </w:r>
      <w:r w:rsidRPr="009A5B48">
        <w:t xml:space="preserve">. At that time, Treasury considered </w:t>
      </w:r>
      <w:r>
        <w:t xml:space="preserve">it </w:t>
      </w:r>
      <w:r w:rsidRPr="009A5B48">
        <w:t xml:space="preserve">plausible </w:t>
      </w:r>
      <w:r w:rsidR="001D0C25">
        <w:t>that</w:t>
      </w:r>
      <w:r w:rsidR="001D0C25" w:rsidRPr="009A5B48">
        <w:t xml:space="preserve"> </w:t>
      </w:r>
      <w:r w:rsidRPr="009A5B48">
        <w:t xml:space="preserve">GDP </w:t>
      </w:r>
      <w:r>
        <w:t>c</w:t>
      </w:r>
      <w:r w:rsidRPr="009A5B48">
        <w:t xml:space="preserve">ould be 10 to 12 per cent lower </w:t>
      </w:r>
      <w:r>
        <w:t xml:space="preserve">in the June quarter </w:t>
      </w:r>
      <w:r w:rsidRPr="009A5B48">
        <w:t xml:space="preserve">than </w:t>
      </w:r>
      <w:r>
        <w:t>previously fore</w:t>
      </w:r>
      <w:r w:rsidRPr="00C20A55">
        <w:t>cast</w:t>
      </w:r>
      <w:r w:rsidR="00762084">
        <w:t>. Treasury estimated</w:t>
      </w:r>
      <w:r w:rsidR="00725B25" w:rsidDel="00762084">
        <w:t xml:space="preserve"> the </w:t>
      </w:r>
      <w:r w:rsidR="00725B25">
        <w:t>unemployment rate could increase to 15 per cent</w:t>
      </w:r>
      <w:r w:rsidR="001B0836" w:rsidRPr="00C20A55">
        <w:t xml:space="preserve">. </w:t>
      </w:r>
      <w:r w:rsidR="001D0C25" w:rsidRPr="00C20A55">
        <w:t>An even</w:t>
      </w:r>
      <w:r w:rsidR="001D0C25">
        <w:t xml:space="preserve"> weaker outlook </w:t>
      </w:r>
      <w:r w:rsidR="00B53D8E">
        <w:t xml:space="preserve">with GDP </w:t>
      </w:r>
      <w:r w:rsidR="00DE22C8">
        <w:t xml:space="preserve">falling </w:t>
      </w:r>
      <w:r w:rsidR="00B53D8E">
        <w:t xml:space="preserve">by 24 per cent </w:t>
      </w:r>
      <w:r w:rsidR="00661D3B">
        <w:t xml:space="preserve">was </w:t>
      </w:r>
      <w:r w:rsidR="001D0C25">
        <w:t xml:space="preserve">considered </w:t>
      </w:r>
      <w:r w:rsidR="00661D3B">
        <w:t xml:space="preserve">possible </w:t>
      </w:r>
      <w:r w:rsidR="00C84B20">
        <w:t>if</w:t>
      </w:r>
      <w:r w:rsidR="00661D3B">
        <w:t xml:space="preserve"> </w:t>
      </w:r>
      <w:r>
        <w:t>lockdown</w:t>
      </w:r>
      <w:r w:rsidR="00661D3B">
        <w:t xml:space="preserve">s and restrictions were </w:t>
      </w:r>
      <w:r w:rsidR="001D0C25">
        <w:t>extended to additional sectors</w:t>
      </w:r>
      <w:r w:rsidR="00C5106F">
        <w:t xml:space="preserve"> as </w:t>
      </w:r>
      <w:r w:rsidR="00131D83">
        <w:t>occurred</w:t>
      </w:r>
      <w:r w:rsidR="00C5106F">
        <w:t xml:space="preserve"> in </w:t>
      </w:r>
      <w:r w:rsidR="00C5106F" w:rsidRPr="00F91865">
        <w:t xml:space="preserve">countries </w:t>
      </w:r>
      <w:r w:rsidR="00032D58" w:rsidRPr="00F91865">
        <w:t>such as</w:t>
      </w:r>
      <w:r w:rsidR="006A551A" w:rsidRPr="00F91865">
        <w:t xml:space="preserve"> </w:t>
      </w:r>
      <w:r w:rsidR="00C5106F" w:rsidRPr="00F91865">
        <w:t xml:space="preserve">Italy and Spain. </w:t>
      </w:r>
    </w:p>
    <w:p w14:paraId="7DE7CC7A" w14:textId="602CCD9E" w:rsidR="0070277D" w:rsidRDefault="0070277D" w:rsidP="0070277D">
      <w:r>
        <w:t>JobKeeper provided</w:t>
      </w:r>
      <w:r w:rsidR="001B3DC5">
        <w:t xml:space="preserve"> </w:t>
      </w:r>
      <w:r w:rsidR="006728BE">
        <w:t>six</w:t>
      </w:r>
      <w:r w:rsidR="005E1635">
        <w:t xml:space="preserve"> </w:t>
      </w:r>
      <w:r>
        <w:t xml:space="preserve">months </w:t>
      </w:r>
      <w:r w:rsidR="001F38D3">
        <w:t>of</w:t>
      </w:r>
      <w:r>
        <w:t xml:space="preserve"> support to businesses that expected their turnover to fall substantially at the outset of the pandemic. </w:t>
      </w:r>
      <w:r w:rsidR="003B2C3C">
        <w:t xml:space="preserve">Given the potential for </w:t>
      </w:r>
      <w:r w:rsidR="00BA263E">
        <w:t xml:space="preserve">a very severe </w:t>
      </w:r>
      <w:r w:rsidR="00BA263E" w:rsidRPr="00C20A55">
        <w:t>outcome</w:t>
      </w:r>
      <w:r w:rsidR="003B2C3C" w:rsidRPr="00C20A55">
        <w:t xml:space="preserve"> to materialise, </w:t>
      </w:r>
      <w:r w:rsidR="00DF60E3" w:rsidRPr="00C20A55">
        <w:t>i</w:t>
      </w:r>
      <w:r w:rsidRPr="00C20A55">
        <w:t xml:space="preserve">t was designed to be simple and implemented rapidly, to maximise the amount of support delivered to households and businesses in the shortest possible time. </w:t>
      </w:r>
      <w:r w:rsidR="001B3DC5" w:rsidRPr="00C20A55">
        <w:t>Guaranteed support for six months was designed to provide certainty to businesses. The timeframe was linked to the health advice that restrictions could need to be in place for six months and the ongoing evolution of the pandemic was highly uncertain.</w:t>
      </w:r>
      <w:r w:rsidR="001B3DC5" w:rsidRPr="00C20A55" w:rsidDel="006578AA">
        <w:t xml:space="preserve"> </w:t>
      </w:r>
      <w:r w:rsidR="001B3DC5" w:rsidRPr="00C20A55">
        <w:t xml:space="preserve">It was understood that this risked making payments to businesses that recovered quickly and may not need support by the end of this period. </w:t>
      </w:r>
      <w:r w:rsidR="008F0D97" w:rsidRPr="00C20A55">
        <w:t xml:space="preserve">A mechanism to claw back payments from businesses that performed better than expected was not included, reflecting a desire to avoid any disincentives for businesses to adapt and recover. </w:t>
      </w:r>
      <w:r w:rsidR="008D1961" w:rsidRPr="00C20A55">
        <w:t xml:space="preserve">The introduction of such a mechanism </w:t>
      </w:r>
      <w:r w:rsidR="00ED3477">
        <w:t>would</w:t>
      </w:r>
      <w:r w:rsidR="008D1961" w:rsidRPr="00C20A55">
        <w:t xml:space="preserve"> likely have reduced the overall level of activity and muted the recovery.</w:t>
      </w:r>
    </w:p>
    <w:p w14:paraId="14271491" w14:textId="20B4A5D7" w:rsidR="00BD7E94" w:rsidRPr="0033015D" w:rsidRDefault="00BD7E94" w:rsidP="00C0200C">
      <w:r w:rsidRPr="00662F3E">
        <w:t>At the time of the</w:t>
      </w:r>
      <w:r w:rsidR="00661B31" w:rsidRPr="00662F3E">
        <w:t xml:space="preserve"> </w:t>
      </w:r>
      <w:r w:rsidR="00661B31" w:rsidRPr="00110F96">
        <w:rPr>
          <w:i/>
          <w:iCs/>
        </w:rPr>
        <w:t>JobKeeper review</w:t>
      </w:r>
      <w:r w:rsidRPr="00662F3E">
        <w:t xml:space="preserve"> in June 2020, </w:t>
      </w:r>
      <w:r w:rsidR="00BA041D" w:rsidRPr="00662F3E">
        <w:t>it</w:t>
      </w:r>
      <w:r w:rsidR="00BA041D">
        <w:t xml:space="preserve"> was judged </w:t>
      </w:r>
      <w:r w:rsidR="00242E04">
        <w:t xml:space="preserve">appropriate </w:t>
      </w:r>
      <w:r w:rsidR="00904F57">
        <w:t xml:space="preserve">to maintain JobKeeper in its current form for a further </w:t>
      </w:r>
      <w:r w:rsidR="006728BE">
        <w:t>three</w:t>
      </w:r>
      <w:r w:rsidR="00B11EAE">
        <w:t xml:space="preserve"> </w:t>
      </w:r>
      <w:r w:rsidR="00904F57">
        <w:t>months, even though there was evidence some businesses that were initially heavily impacted</w:t>
      </w:r>
      <w:r w:rsidR="00A52434">
        <w:t xml:space="preserve"> were</w:t>
      </w:r>
      <w:r w:rsidR="00904F57">
        <w:t xml:space="preserve"> showing signs of recovery</w:t>
      </w:r>
      <w:r>
        <w:t>. This</w:t>
      </w:r>
      <w:r w:rsidR="00BA041D">
        <w:t xml:space="preserve"> judgement</w:t>
      </w:r>
      <w:r>
        <w:t xml:space="preserve"> reflected the </w:t>
      </w:r>
      <w:r w:rsidR="00BA041D">
        <w:t xml:space="preserve">still heightened uncertainty surrounding both the pandemic and the economic recovery, </w:t>
      </w:r>
      <w:r>
        <w:t xml:space="preserve">the </w:t>
      </w:r>
      <w:r w:rsidR="00BA041D">
        <w:t xml:space="preserve">weak </w:t>
      </w:r>
      <w:r>
        <w:t xml:space="preserve">economic conditions at the </w:t>
      </w:r>
      <w:r w:rsidRPr="00C03E4A">
        <w:t>time</w:t>
      </w:r>
      <w:r w:rsidR="00D264F0" w:rsidRPr="00C03E4A">
        <w:t>,</w:t>
      </w:r>
      <w:r w:rsidRPr="00C03E4A">
        <w:t xml:space="preserve"> </w:t>
      </w:r>
      <w:r w:rsidR="00BA041D" w:rsidRPr="00C03E4A">
        <w:t>and the role that JobKeeper was playing as part of the broader macroeconomic response</w:t>
      </w:r>
      <w:r w:rsidR="00D264F0" w:rsidRPr="00C03E4A">
        <w:t xml:space="preserve">. </w:t>
      </w:r>
      <w:r w:rsidR="009F3928" w:rsidRPr="00C03E4A">
        <w:t xml:space="preserve">Eligibility for </w:t>
      </w:r>
      <w:r w:rsidR="00C75AE7" w:rsidRPr="00C03E4A">
        <w:t xml:space="preserve">JobKeeper </w:t>
      </w:r>
      <w:r w:rsidR="009F3928" w:rsidRPr="00C03E4A">
        <w:t xml:space="preserve">moved from an assessment of anticipated decline to actual decline </w:t>
      </w:r>
      <w:r w:rsidR="00AD4FF7" w:rsidRPr="00C03E4A">
        <w:t xml:space="preserve">in turnover </w:t>
      </w:r>
      <w:r w:rsidR="009F3928" w:rsidRPr="00C03E4A">
        <w:t>as the recovery strengthened.</w:t>
      </w:r>
      <w:r w:rsidR="00C75AE7">
        <w:t xml:space="preserve"> </w:t>
      </w:r>
    </w:p>
    <w:p w14:paraId="10ED985C" w14:textId="77777777" w:rsidR="00C03E4A" w:rsidRDefault="00C03E4A" w:rsidP="00C2429A">
      <w:pPr>
        <w:rPr>
          <w:i/>
        </w:rPr>
      </w:pPr>
    </w:p>
    <w:p w14:paraId="36DD98F4" w14:textId="77777777" w:rsidR="00C03E4A" w:rsidRDefault="00C03E4A" w:rsidP="00C2429A">
      <w:pPr>
        <w:rPr>
          <w:i/>
        </w:rPr>
      </w:pPr>
    </w:p>
    <w:p w14:paraId="53E72187" w14:textId="253D2C6A" w:rsidR="00C2429A" w:rsidRPr="007818BB" w:rsidRDefault="00C2429A" w:rsidP="00C2429A">
      <w:pPr>
        <w:rPr>
          <w:i/>
          <w:color w:val="002C47" w:themeColor="accent1"/>
        </w:rPr>
      </w:pPr>
      <w:r w:rsidRPr="007818BB">
        <w:rPr>
          <w:i/>
          <w:color w:val="002C47" w:themeColor="accent1"/>
        </w:rPr>
        <w:lastRenderedPageBreak/>
        <w:t xml:space="preserve">In the first </w:t>
      </w:r>
      <w:r w:rsidR="003A0EEE" w:rsidRPr="007818BB">
        <w:rPr>
          <w:i/>
          <w:color w:val="002C47" w:themeColor="accent1"/>
        </w:rPr>
        <w:t>six</w:t>
      </w:r>
      <w:r w:rsidRPr="007818BB">
        <w:rPr>
          <w:i/>
          <w:color w:val="002C47" w:themeColor="accent1"/>
        </w:rPr>
        <w:t xml:space="preserve"> months</w:t>
      </w:r>
      <w:r w:rsidR="007621DD" w:rsidRPr="007818BB">
        <w:rPr>
          <w:i/>
          <w:color w:val="002C47" w:themeColor="accent1"/>
        </w:rPr>
        <w:t>,</w:t>
      </w:r>
      <w:r w:rsidRPr="007818BB">
        <w:rPr>
          <w:i/>
          <w:color w:val="002C47" w:themeColor="accent1"/>
        </w:rPr>
        <w:t xml:space="preserve"> JobKeeper payments went </w:t>
      </w:r>
      <w:r w:rsidR="008A6F89" w:rsidRPr="007818BB">
        <w:rPr>
          <w:i/>
          <w:color w:val="002C47" w:themeColor="accent1"/>
        </w:rPr>
        <w:t>to</w:t>
      </w:r>
      <w:r w:rsidRPr="007818BB">
        <w:rPr>
          <w:i/>
          <w:color w:val="002C47" w:themeColor="accent1"/>
        </w:rPr>
        <w:t xml:space="preserve"> </w:t>
      </w:r>
      <w:r w:rsidR="008A6F89" w:rsidRPr="007818BB">
        <w:rPr>
          <w:i/>
          <w:color w:val="002C47" w:themeColor="accent1"/>
        </w:rPr>
        <w:t>businesses</w:t>
      </w:r>
      <w:r w:rsidR="006E346D" w:rsidRPr="007818BB">
        <w:rPr>
          <w:i/>
          <w:color w:val="002C47" w:themeColor="accent1"/>
        </w:rPr>
        <w:t xml:space="preserve"> </w:t>
      </w:r>
      <w:r w:rsidR="008A6F89" w:rsidRPr="007818BB">
        <w:rPr>
          <w:i/>
          <w:color w:val="002C47" w:themeColor="accent1"/>
        </w:rPr>
        <w:t>strongly affected by health restrictions</w:t>
      </w:r>
    </w:p>
    <w:p w14:paraId="5DB733E2" w14:textId="788491A7" w:rsidR="00BA041D" w:rsidRPr="00BA041D" w:rsidRDefault="00BA041D" w:rsidP="00BA041D">
      <w:r>
        <w:t>JobKeeper payments were targeted to:</w:t>
      </w:r>
    </w:p>
    <w:p w14:paraId="7805420A" w14:textId="500AAA29" w:rsidR="003F4950" w:rsidRDefault="00C2429A" w:rsidP="008A6F89">
      <w:pPr>
        <w:pStyle w:val="Bullet"/>
      </w:pPr>
      <w:r w:rsidRPr="00D4656B">
        <w:rPr>
          <w:b/>
          <w:bCs/>
        </w:rPr>
        <w:t>B</w:t>
      </w:r>
      <w:r w:rsidR="003F4950" w:rsidRPr="00D4656B">
        <w:rPr>
          <w:b/>
        </w:rPr>
        <w:t>usinesses strongly affected by the pandemic</w:t>
      </w:r>
      <w:r w:rsidR="008A6F89" w:rsidRPr="00A17B5C">
        <w:rPr>
          <w:b/>
        </w:rPr>
        <w:t>:</w:t>
      </w:r>
      <w:r w:rsidR="003F4950">
        <w:t xml:space="preserve"> JobKeeper businesses faced a median decline in turnover of </w:t>
      </w:r>
      <w:r w:rsidR="00020676">
        <w:t>28</w:t>
      </w:r>
      <w:r w:rsidR="003F4950">
        <w:t xml:space="preserve"> per cent </w:t>
      </w:r>
      <w:r w:rsidR="00BA041D">
        <w:t xml:space="preserve">over the year to </w:t>
      </w:r>
      <w:r w:rsidR="003F4950">
        <w:t>the June quarter</w:t>
      </w:r>
      <w:r w:rsidR="00DE22C8">
        <w:t xml:space="preserve"> </w:t>
      </w:r>
      <w:r w:rsidR="003F4950">
        <w:t xml:space="preserve">and </w:t>
      </w:r>
      <w:r w:rsidR="00020676">
        <w:t>23</w:t>
      </w:r>
      <w:r w:rsidR="003F4950">
        <w:t xml:space="preserve"> per cent </w:t>
      </w:r>
      <w:r w:rsidR="00BA041D">
        <w:t xml:space="preserve">over the year to </w:t>
      </w:r>
      <w:r w:rsidR="003F4950">
        <w:t>the September quarter</w:t>
      </w:r>
      <w:r w:rsidR="00DE22C8">
        <w:t xml:space="preserve"> 2020.</w:t>
      </w:r>
      <w:r>
        <w:t xml:space="preserve"> This</w:t>
      </w:r>
      <w:r w:rsidR="003F4950">
        <w:t xml:space="preserve"> compared with </w:t>
      </w:r>
      <w:r w:rsidR="00E23FC6">
        <w:t>no decline in</w:t>
      </w:r>
      <w:r w:rsidR="00735DCE">
        <w:t xml:space="preserve"> median turnover</w:t>
      </w:r>
      <w:r w:rsidR="003F4950">
        <w:t xml:space="preserve"> for other businesses</w:t>
      </w:r>
      <w:r>
        <w:t>.</w:t>
      </w:r>
    </w:p>
    <w:p w14:paraId="1C7A7E23" w14:textId="2A930314" w:rsidR="000A43A9" w:rsidRDefault="00C2429A" w:rsidP="00400629">
      <w:pPr>
        <w:pStyle w:val="Bullet"/>
      </w:pPr>
      <w:r w:rsidRPr="00D4656B">
        <w:rPr>
          <w:b/>
        </w:rPr>
        <w:t>B</w:t>
      </w:r>
      <w:r w:rsidR="003F4950" w:rsidRPr="00D4656B">
        <w:rPr>
          <w:b/>
        </w:rPr>
        <w:t>usinesses at high risk of shedding employees</w:t>
      </w:r>
      <w:r w:rsidR="008A6F89">
        <w:rPr>
          <w:b/>
          <w:bCs/>
        </w:rPr>
        <w:t>:</w:t>
      </w:r>
      <w:r w:rsidR="003F4950">
        <w:t xml:space="preserve"> </w:t>
      </w:r>
      <w:r w:rsidR="00131D83">
        <w:t xml:space="preserve">in March 2020, </w:t>
      </w:r>
      <w:r w:rsidR="008A6F89">
        <w:t>t</w:t>
      </w:r>
      <w:r w:rsidR="003F4950">
        <w:t xml:space="preserve">he job separation rate at </w:t>
      </w:r>
      <w:r w:rsidR="00131D83">
        <w:t xml:space="preserve">JobKeeper </w:t>
      </w:r>
      <w:r w:rsidR="003F4950">
        <w:t xml:space="preserve">businesses </w:t>
      </w:r>
      <w:r w:rsidR="00BF77E9">
        <w:t xml:space="preserve">had </w:t>
      </w:r>
      <w:r w:rsidR="003C0B27">
        <w:t>almost</w:t>
      </w:r>
      <w:r w:rsidR="00BF77E9">
        <w:t xml:space="preserve"> </w:t>
      </w:r>
      <w:r w:rsidR="003F4950">
        <w:t xml:space="preserve">doubled </w:t>
      </w:r>
      <w:r w:rsidR="00BF77E9">
        <w:t>due to</w:t>
      </w:r>
      <w:r w:rsidR="003F4950">
        <w:t xml:space="preserve"> </w:t>
      </w:r>
      <w:r w:rsidR="00BF77E9">
        <w:t xml:space="preserve">the </w:t>
      </w:r>
      <w:r w:rsidR="00C8530A">
        <w:t>COVID</w:t>
      </w:r>
      <w:r w:rsidR="0038520A">
        <w:noBreakHyphen/>
      </w:r>
      <w:r w:rsidR="00C8530A">
        <w:t xml:space="preserve">19 </w:t>
      </w:r>
      <w:r w:rsidR="00BF77E9">
        <w:t xml:space="preserve">health </w:t>
      </w:r>
      <w:r w:rsidR="003F4950">
        <w:t xml:space="preserve">restrictions, </w:t>
      </w:r>
      <w:r w:rsidR="00B27183">
        <w:t>but w</w:t>
      </w:r>
      <w:r w:rsidR="00E879FE">
        <w:t>as</w:t>
      </w:r>
      <w:r w:rsidR="00B27183">
        <w:t xml:space="preserve"> broadly unchanged</w:t>
      </w:r>
      <w:r w:rsidR="003F4950">
        <w:t xml:space="preserve"> in other businesses</w:t>
      </w:r>
      <w:r w:rsidR="00C8530A">
        <w:t>.</w:t>
      </w:r>
      <w:r w:rsidR="003F4950">
        <w:t xml:space="preserve"> </w:t>
      </w:r>
    </w:p>
    <w:p w14:paraId="249D9C39" w14:textId="3542F37B" w:rsidR="003F5971" w:rsidRPr="006F2AC3" w:rsidRDefault="0028151A" w:rsidP="003F5971">
      <w:pPr>
        <w:pStyle w:val="Bullet"/>
      </w:pPr>
      <w:r w:rsidRPr="00D4656B">
        <w:rPr>
          <w:b/>
          <w:bCs/>
        </w:rPr>
        <w:t>S</w:t>
      </w:r>
      <w:r w:rsidR="003F4950" w:rsidRPr="00D4656B">
        <w:rPr>
          <w:b/>
        </w:rPr>
        <w:t>ectors directly affected by the public health restrictions</w:t>
      </w:r>
      <w:r w:rsidRPr="00A17B5C">
        <w:rPr>
          <w:b/>
        </w:rPr>
        <w:t>:</w:t>
      </w:r>
      <w:r>
        <w:t xml:space="preserve"> </w:t>
      </w:r>
      <w:r w:rsidR="003F4950">
        <w:t xml:space="preserve">JobKeeper </w:t>
      </w:r>
      <w:r w:rsidR="00BF77E9">
        <w:t>payment</w:t>
      </w:r>
      <w:r w:rsidR="007621DD">
        <w:t>s</w:t>
      </w:r>
      <w:r w:rsidR="00BF77E9">
        <w:t xml:space="preserve"> were made to </w:t>
      </w:r>
      <w:r w:rsidR="00BF2B64">
        <w:t xml:space="preserve">around half </w:t>
      </w:r>
      <w:r w:rsidR="00BF77E9">
        <w:t xml:space="preserve">of </w:t>
      </w:r>
      <w:r w:rsidR="00BF2B64">
        <w:t xml:space="preserve">the </w:t>
      </w:r>
      <w:r w:rsidR="00BF77E9">
        <w:t>individuals employed</w:t>
      </w:r>
      <w:r w:rsidR="00BF2B64">
        <w:t xml:space="preserve"> </w:t>
      </w:r>
      <w:r w:rsidR="003F4950">
        <w:t xml:space="preserve">in the </w:t>
      </w:r>
      <w:r>
        <w:t>a</w:t>
      </w:r>
      <w:r w:rsidR="003F4950">
        <w:t xml:space="preserve">rts and </w:t>
      </w:r>
      <w:r>
        <w:t>r</w:t>
      </w:r>
      <w:r w:rsidR="003F4950">
        <w:t xml:space="preserve">ecreation </w:t>
      </w:r>
      <w:r w:rsidR="00CE7C04">
        <w:t>industry</w:t>
      </w:r>
      <w:r w:rsidR="00DE22C8" w:rsidDel="00E23FC6">
        <w:t xml:space="preserve"> </w:t>
      </w:r>
      <w:r w:rsidR="00B079AE">
        <w:t>and</w:t>
      </w:r>
      <w:r w:rsidR="003F4950">
        <w:t xml:space="preserve"> around 35</w:t>
      </w:r>
      <w:r w:rsidR="001C1F5B">
        <w:t> </w:t>
      </w:r>
      <w:r w:rsidR="003F4950">
        <w:t>per</w:t>
      </w:r>
      <w:r w:rsidR="001C1F5B">
        <w:t> </w:t>
      </w:r>
      <w:r w:rsidR="003F4950" w:rsidRPr="006F2AC3">
        <w:t xml:space="preserve">cent in the </w:t>
      </w:r>
      <w:r w:rsidRPr="006F2AC3">
        <w:t>a</w:t>
      </w:r>
      <w:r w:rsidR="003F4950" w:rsidRPr="006F2AC3">
        <w:t xml:space="preserve">ccommodation and </w:t>
      </w:r>
      <w:r w:rsidRPr="006F2AC3">
        <w:t>f</w:t>
      </w:r>
      <w:r w:rsidR="003F4950" w:rsidRPr="006F2AC3">
        <w:t xml:space="preserve">ood </w:t>
      </w:r>
      <w:r w:rsidRPr="006F2AC3">
        <w:t>s</w:t>
      </w:r>
      <w:r w:rsidR="003F4950" w:rsidRPr="006F2AC3">
        <w:t xml:space="preserve">ervices </w:t>
      </w:r>
      <w:r w:rsidR="00CE7C04" w:rsidRPr="006F2AC3">
        <w:t>industry</w:t>
      </w:r>
      <w:r w:rsidRPr="006F2AC3">
        <w:t>.</w:t>
      </w:r>
      <w:r w:rsidR="003F4950" w:rsidRPr="006F2AC3">
        <w:t xml:space="preserve"> </w:t>
      </w:r>
    </w:p>
    <w:p w14:paraId="1DD61722" w14:textId="09C0D10B" w:rsidR="003F4950" w:rsidRPr="006F2AC3" w:rsidRDefault="0028151A" w:rsidP="00400629">
      <w:pPr>
        <w:pStyle w:val="Bullet"/>
      </w:pPr>
      <w:r w:rsidRPr="006F2AC3">
        <w:rPr>
          <w:b/>
          <w:bCs/>
        </w:rPr>
        <w:t>S</w:t>
      </w:r>
      <w:r w:rsidR="003F4950" w:rsidRPr="006F2AC3">
        <w:rPr>
          <w:b/>
        </w:rPr>
        <w:t>mall businesses</w:t>
      </w:r>
      <w:r w:rsidR="009F40C9" w:rsidRPr="006F2AC3">
        <w:rPr>
          <w:b/>
        </w:rPr>
        <w:t xml:space="preserve"> and not</w:t>
      </w:r>
      <w:r w:rsidR="0038520A" w:rsidRPr="006F2AC3">
        <w:rPr>
          <w:b/>
        </w:rPr>
        <w:noBreakHyphen/>
      </w:r>
      <w:r w:rsidR="009F40C9" w:rsidRPr="006F2AC3">
        <w:rPr>
          <w:b/>
        </w:rPr>
        <w:t>for</w:t>
      </w:r>
      <w:r w:rsidR="0038520A" w:rsidRPr="006F2AC3">
        <w:rPr>
          <w:b/>
        </w:rPr>
        <w:noBreakHyphen/>
      </w:r>
      <w:r w:rsidR="009F40C9" w:rsidRPr="006F2AC3">
        <w:rPr>
          <w:b/>
        </w:rPr>
        <w:t>profit entities</w:t>
      </w:r>
      <w:r w:rsidR="00551CFD" w:rsidRPr="006F2AC3">
        <w:rPr>
          <w:b/>
        </w:rPr>
        <w:t>:</w:t>
      </w:r>
      <w:r w:rsidR="00103961" w:rsidRPr="006F2AC3">
        <w:t xml:space="preserve"> </w:t>
      </w:r>
      <w:r w:rsidR="009F3928" w:rsidRPr="006F2AC3">
        <w:t>9</w:t>
      </w:r>
      <w:r w:rsidR="00B7766A" w:rsidRPr="006F2AC3">
        <w:t>9</w:t>
      </w:r>
      <w:r w:rsidR="009F3928" w:rsidRPr="006F2AC3">
        <w:t> per cent of entities receiving JobKeeper had a turnover of less than $50 million</w:t>
      </w:r>
      <w:r w:rsidR="00B7766A" w:rsidRPr="006F2AC3">
        <w:t xml:space="preserve"> or were not-for-profits</w:t>
      </w:r>
      <w:r w:rsidR="009F3928" w:rsidRPr="006F2AC3">
        <w:t xml:space="preserve">, and over 80 per cent </w:t>
      </w:r>
      <w:r w:rsidR="0071185D" w:rsidRPr="006F2AC3">
        <w:t xml:space="preserve">of </w:t>
      </w:r>
      <w:r w:rsidR="00847C92" w:rsidRPr="006F2AC3">
        <w:t xml:space="preserve">JobKeeper payments went to </w:t>
      </w:r>
      <w:r w:rsidR="00B7766A" w:rsidRPr="006F2AC3">
        <w:t>these</w:t>
      </w:r>
      <w:r w:rsidR="00847C92" w:rsidRPr="006F2AC3">
        <w:t xml:space="preserve"> entities. The</w:t>
      </w:r>
      <w:r w:rsidR="001B0D02" w:rsidRPr="006F2AC3">
        <w:t>se groups</w:t>
      </w:r>
      <w:r w:rsidR="00393DF6" w:rsidRPr="006F2AC3">
        <w:t xml:space="preserve"> </w:t>
      </w:r>
      <w:r w:rsidR="00847C92" w:rsidRPr="006F2AC3">
        <w:t xml:space="preserve">were particularly </w:t>
      </w:r>
      <w:r w:rsidR="00103961" w:rsidRPr="006F2AC3">
        <w:t xml:space="preserve">vulnerable to the impact of health restrictions </w:t>
      </w:r>
      <w:r w:rsidR="00545C4F" w:rsidRPr="006F2AC3">
        <w:t>because of</w:t>
      </w:r>
      <w:r w:rsidR="00DD6190" w:rsidRPr="006F2AC3">
        <w:t xml:space="preserve"> </w:t>
      </w:r>
      <w:r w:rsidR="00545C4F" w:rsidRPr="006F2AC3">
        <w:t>their</w:t>
      </w:r>
      <w:r w:rsidR="00DD6190" w:rsidRPr="006F2AC3">
        <w:t xml:space="preserve"> limited </w:t>
      </w:r>
      <w:r w:rsidR="00EB7B1E" w:rsidRPr="006F2AC3">
        <w:t>ability to weather economic shocks</w:t>
      </w:r>
      <w:r w:rsidR="003F4950" w:rsidRPr="006F2AC3">
        <w:t xml:space="preserve">. </w:t>
      </w:r>
      <w:r w:rsidR="009E6187" w:rsidRPr="006F2AC3">
        <w:t>(Large businesses with a turnover of more than $250 million made up 0.2 per cent of JobKeeper entities and received around 11 per cent of payments.)</w:t>
      </w:r>
      <w:r w:rsidR="003F4950" w:rsidRPr="006F2AC3">
        <w:t xml:space="preserve"> </w:t>
      </w:r>
    </w:p>
    <w:p w14:paraId="2D8A32B6" w14:textId="68FA41D0" w:rsidR="00847C92" w:rsidRPr="007818BB" w:rsidRDefault="00847C92" w:rsidP="00C0200C">
      <w:pPr>
        <w:rPr>
          <w:i/>
          <w:color w:val="002C47" w:themeColor="accent1"/>
        </w:rPr>
      </w:pPr>
      <w:r w:rsidRPr="007818BB">
        <w:rPr>
          <w:i/>
          <w:color w:val="002C47" w:themeColor="accent1"/>
        </w:rPr>
        <w:t>JobKeeper kept employers and employees connected</w:t>
      </w:r>
    </w:p>
    <w:p w14:paraId="29C82B03" w14:textId="4603DB07" w:rsidR="00847C92" w:rsidRDefault="007D70C6" w:rsidP="00BD22A0">
      <w:r>
        <w:t>In</w:t>
      </w:r>
      <w:r w:rsidR="002D4B75">
        <w:t xml:space="preserve"> May 2020 </w:t>
      </w:r>
      <w:r>
        <w:t>it is estimated that</w:t>
      </w:r>
      <w:r w:rsidR="002D4B75">
        <w:t xml:space="preserve"> </w:t>
      </w:r>
      <w:r w:rsidR="00847C92">
        <w:t xml:space="preserve">around 12 per cent of JobKeeper recipients – about 375,000 workers – had been stood down </w:t>
      </w:r>
      <w:r w:rsidR="00E879FE">
        <w:t xml:space="preserve">from their job </w:t>
      </w:r>
      <w:r w:rsidR="00847C92">
        <w:t xml:space="preserve">and were </w:t>
      </w:r>
      <w:r w:rsidR="00E879FE">
        <w:t>only receiving</w:t>
      </w:r>
      <w:r w:rsidR="00847C92">
        <w:t xml:space="preserve"> JobKeeper payments. From June to September</w:t>
      </w:r>
      <w:r w:rsidR="00BD2B9E">
        <w:t xml:space="preserve"> 2020</w:t>
      </w:r>
      <w:r w:rsidR="00847C92">
        <w:t>, an average of around 260,000 stood</w:t>
      </w:r>
      <w:r w:rsidR="0038520A">
        <w:noBreakHyphen/>
      </w:r>
      <w:r w:rsidR="00847C92">
        <w:t xml:space="preserve">down workers were </w:t>
      </w:r>
      <w:r w:rsidR="00847C92" w:rsidRPr="00D04799">
        <w:t>only r</w:t>
      </w:r>
      <w:r w:rsidR="00847C92">
        <w:t xml:space="preserve">eceiving payments due to JobKeeper each month. </w:t>
      </w:r>
      <w:r w:rsidR="00A07876">
        <w:t>Moreover, many JobKeeper workers returned to their jobs after short periods on JobSeeker</w:t>
      </w:r>
      <w:r w:rsidR="00847C92">
        <w:t>.</w:t>
      </w:r>
    </w:p>
    <w:p w14:paraId="7F26E315" w14:textId="77777777" w:rsidR="00847C92" w:rsidRPr="007818BB" w:rsidRDefault="00847C92" w:rsidP="00C0200C">
      <w:pPr>
        <w:rPr>
          <w:i/>
          <w:color w:val="002C47" w:themeColor="accent1"/>
        </w:rPr>
      </w:pPr>
      <w:r w:rsidRPr="007818BB">
        <w:rPr>
          <w:i/>
          <w:color w:val="002C47" w:themeColor="accent1"/>
        </w:rPr>
        <w:t>JobKeeper supported productivity and business recovery</w:t>
      </w:r>
    </w:p>
    <w:p w14:paraId="11E2AA65" w14:textId="3BA25B21" w:rsidR="00847C92" w:rsidRDefault="00DE22C8" w:rsidP="00C0200C">
      <w:r>
        <w:t xml:space="preserve">In the first </w:t>
      </w:r>
      <w:r w:rsidR="003A0EEE">
        <w:t>six</w:t>
      </w:r>
      <w:r>
        <w:t xml:space="preserve"> months of the program, </w:t>
      </w:r>
      <w:r w:rsidR="00847C92">
        <w:t xml:space="preserve">JobKeeper </w:t>
      </w:r>
      <w:r w:rsidR="00A07876">
        <w:t xml:space="preserve">went disproportionately to more productive </w:t>
      </w:r>
      <w:r w:rsidR="00BD2247">
        <w:t>businesses</w:t>
      </w:r>
      <w:r w:rsidR="00A07876">
        <w:t xml:space="preserve">, particularly ones that were financially fragile and which may have had difficulty </w:t>
      </w:r>
      <w:r w:rsidR="001D5241">
        <w:t>surviving a period of reduced revenue</w:t>
      </w:r>
      <w:r w:rsidR="00A07876">
        <w:t xml:space="preserve"> during restrictions.</w:t>
      </w:r>
      <w:r w:rsidR="00847C92">
        <w:t xml:space="preserve"> This helped prevent longer</w:t>
      </w:r>
      <w:r w:rsidR="0038520A">
        <w:noBreakHyphen/>
      </w:r>
      <w:r w:rsidR="00847C92">
        <w:t>term scarring</w:t>
      </w:r>
      <w:r w:rsidR="00A07876">
        <w:t xml:space="preserve"> by preserving important </w:t>
      </w:r>
      <w:r w:rsidR="00B807EE">
        <w:t>business</w:t>
      </w:r>
      <w:r w:rsidR="0038520A">
        <w:noBreakHyphen/>
      </w:r>
      <w:r w:rsidR="00A07876">
        <w:t>specific capital, knowledge and rela</w:t>
      </w:r>
      <w:r w:rsidR="009F4978">
        <w:t>ti</w:t>
      </w:r>
      <w:r w:rsidR="00A07876">
        <w:t>onships</w:t>
      </w:r>
      <w:r w:rsidR="00847C92">
        <w:t>.</w:t>
      </w:r>
    </w:p>
    <w:p w14:paraId="4EA46876" w14:textId="5EFF29DF" w:rsidR="00847C92" w:rsidRPr="007818BB" w:rsidRDefault="00847C92" w:rsidP="00FF0AE2">
      <w:pPr>
        <w:rPr>
          <w:i/>
          <w:color w:val="002C47" w:themeColor="accent1"/>
        </w:rPr>
      </w:pPr>
      <w:r w:rsidRPr="007818BB">
        <w:rPr>
          <w:i/>
          <w:color w:val="002C47" w:themeColor="accent1"/>
        </w:rPr>
        <w:t xml:space="preserve">Some businesses did not have large declines in their turnover in the first </w:t>
      </w:r>
      <w:r w:rsidR="003A0EEE" w:rsidRPr="007818BB">
        <w:rPr>
          <w:i/>
          <w:color w:val="002C47" w:themeColor="accent1"/>
        </w:rPr>
        <w:t xml:space="preserve">six </w:t>
      </w:r>
      <w:r w:rsidRPr="007818BB">
        <w:rPr>
          <w:i/>
          <w:color w:val="002C47" w:themeColor="accent1"/>
        </w:rPr>
        <w:t xml:space="preserve">months of the program when compared with a year earlier </w:t>
      </w:r>
    </w:p>
    <w:p w14:paraId="11BDCB0E" w14:textId="41F74D42" w:rsidR="00E11AB8" w:rsidRDefault="00E11AB8" w:rsidP="00FF0AE2">
      <w:r>
        <w:t xml:space="preserve">In the first </w:t>
      </w:r>
      <w:r w:rsidR="003A0EEE">
        <w:t>six</w:t>
      </w:r>
      <w:r>
        <w:t xml:space="preserve"> months of the scheme, eligibility for JobKeeper was based on a business</w:t>
      </w:r>
      <w:r w:rsidR="0038520A">
        <w:t>’</w:t>
      </w:r>
      <w:r>
        <w:t xml:space="preserve">s forecast of </w:t>
      </w:r>
      <w:r w:rsidR="00110F96">
        <w:t>its</w:t>
      </w:r>
      <w:r>
        <w:t xml:space="preserve"> turnover decline, over a month or a quarter, to enable the payment to be made rapidly given the unfolding crisis</w:t>
      </w:r>
      <w:r w:rsidR="0038520A">
        <w:t xml:space="preserve">. </w:t>
      </w:r>
    </w:p>
    <w:p w14:paraId="0D7E77FB" w14:textId="1C1AD0BE" w:rsidR="006C0D44" w:rsidRPr="00A6467E" w:rsidRDefault="00E11AB8" w:rsidP="00FF0AE2">
      <w:r w:rsidRPr="007902C4">
        <w:t>A</w:t>
      </w:r>
      <w:r w:rsidR="00847C92" w:rsidRPr="007902C4">
        <w:t xml:space="preserve">nalysis of turnover data indicates that </w:t>
      </w:r>
      <w:r w:rsidR="006C0D44" w:rsidRPr="007902C4">
        <w:t xml:space="preserve">$11.4 billion and $15.6 billion in the June and September quarters 2020 was paid to businesses </w:t>
      </w:r>
      <w:r w:rsidR="00847C92" w:rsidRPr="007902C4">
        <w:t xml:space="preserve">whose turnover did not decline by 30 per cent (or 50 per cent) </w:t>
      </w:r>
      <w:r w:rsidR="00895C0E" w:rsidRPr="007902C4">
        <w:t xml:space="preserve">compared with a </w:t>
      </w:r>
      <w:r w:rsidR="00895C0E" w:rsidRPr="00F1581F">
        <w:t>year earlier</w:t>
      </w:r>
      <w:r w:rsidR="00847C92" w:rsidRPr="00F1581F">
        <w:t xml:space="preserve">. </w:t>
      </w:r>
      <w:r w:rsidR="00F8373F" w:rsidRPr="00F1581F">
        <w:t xml:space="preserve">JobKeeper payments to these businesses </w:t>
      </w:r>
      <w:r w:rsidR="000477D8" w:rsidRPr="00F1581F">
        <w:t>covered on average</w:t>
      </w:r>
      <w:r w:rsidR="00F8373F" w:rsidRPr="00F1581F">
        <w:t xml:space="preserve"> </w:t>
      </w:r>
      <w:r w:rsidR="003F51D7" w:rsidRPr="00F1581F">
        <w:t xml:space="preserve">around </w:t>
      </w:r>
      <w:r w:rsidR="000477D8" w:rsidRPr="00F1581F">
        <w:t>1.45</w:t>
      </w:r>
      <w:r w:rsidR="003F51D7" w:rsidRPr="00F1581F">
        <w:t xml:space="preserve"> million </w:t>
      </w:r>
      <w:r w:rsidR="00DD2097" w:rsidRPr="00F1581F">
        <w:t>individuals</w:t>
      </w:r>
      <w:r w:rsidR="003F51D7" w:rsidRPr="00F1581F">
        <w:t>.</w:t>
      </w:r>
      <w:r w:rsidR="00847C92" w:rsidRPr="00F1581F" w:rsidDel="00725B25">
        <w:t xml:space="preserve"> </w:t>
      </w:r>
      <w:r w:rsidR="00725B25">
        <w:t>Around</w:t>
      </w:r>
      <w:r w:rsidR="00847C92" w:rsidRPr="007902C4">
        <w:t xml:space="preserve"> </w:t>
      </w:r>
      <w:r w:rsidR="009E6187" w:rsidRPr="007902C4">
        <w:t>$6.</w:t>
      </w:r>
      <w:r w:rsidR="00830AB5" w:rsidRPr="007902C4">
        <w:t>8</w:t>
      </w:r>
      <w:r w:rsidR="009E6187" w:rsidRPr="007902C4">
        <w:t xml:space="preserve"> billion and $6.</w:t>
      </w:r>
      <w:r w:rsidR="00830AB5" w:rsidRPr="007902C4">
        <w:t>4</w:t>
      </w:r>
      <w:r w:rsidR="009E6187" w:rsidRPr="007902C4">
        <w:t xml:space="preserve"> billion </w:t>
      </w:r>
      <w:r w:rsidR="00895C0E" w:rsidRPr="007902C4">
        <w:t>in the June and September quarters was paid</w:t>
      </w:r>
      <w:r w:rsidR="009E6187" w:rsidRPr="007902C4">
        <w:t xml:space="preserve"> to businesses whose turnover fell, but not by </w:t>
      </w:r>
      <w:r w:rsidR="00BB2EC8">
        <w:t xml:space="preserve">30 </w:t>
      </w:r>
      <w:r w:rsidR="00940DE0">
        <w:t xml:space="preserve">per cent </w:t>
      </w:r>
      <w:r w:rsidR="00BB2EC8">
        <w:t>(</w:t>
      </w:r>
      <w:r w:rsidR="00940DE0">
        <w:t xml:space="preserve">or </w:t>
      </w:r>
      <w:r w:rsidR="00BB2EC8">
        <w:t>50 per cent</w:t>
      </w:r>
      <w:r w:rsidR="00940DE0">
        <w:t>)</w:t>
      </w:r>
      <w:r w:rsidR="009E6187" w:rsidRPr="007902C4">
        <w:t>, and</w:t>
      </w:r>
      <w:r w:rsidR="00847C92" w:rsidRPr="007902C4">
        <w:t xml:space="preserve"> </w:t>
      </w:r>
      <w:r w:rsidR="00847C92" w:rsidRPr="007902C4" w:rsidDel="006C0D44">
        <w:t>$</w:t>
      </w:r>
      <w:r w:rsidR="006C0D44" w:rsidRPr="007902C4">
        <w:t>4.6 billion and $9.2</w:t>
      </w:r>
      <w:r w:rsidR="002A404C">
        <w:t> </w:t>
      </w:r>
      <w:r w:rsidR="006C0D44" w:rsidRPr="007902C4">
        <w:t>billion</w:t>
      </w:r>
      <w:r w:rsidR="00895C0E" w:rsidRPr="007902C4">
        <w:t xml:space="preserve">, respectively, </w:t>
      </w:r>
      <w:r w:rsidR="006C0D44" w:rsidRPr="007902C4">
        <w:t>was paid to businesses with a turnover increase</w:t>
      </w:r>
      <w:r w:rsidR="00895C0E" w:rsidRPr="007902C4">
        <w:t xml:space="preserve"> compared with a year earlier</w:t>
      </w:r>
      <w:r w:rsidR="006C0D44" w:rsidRPr="00447C24">
        <w:t>.</w:t>
      </w:r>
      <w:r w:rsidR="00602E18" w:rsidRPr="00447C24">
        <w:t xml:space="preserve"> This </w:t>
      </w:r>
      <w:r w:rsidR="00A15106" w:rsidRPr="00447C24">
        <w:t>analysis</w:t>
      </w:r>
      <w:r w:rsidR="00602E18" w:rsidRPr="00447C24">
        <w:t xml:space="preserve"> does not, however, indicate whether businesses were adversely affected by COVID-19 restrictions</w:t>
      </w:r>
      <w:r w:rsidR="006C0D44" w:rsidRPr="00447C24">
        <w:t>.</w:t>
      </w:r>
      <w:r w:rsidR="00F8373F">
        <w:t xml:space="preserve"> </w:t>
      </w:r>
    </w:p>
    <w:p w14:paraId="795FC674" w14:textId="7D163632" w:rsidR="00895C0E" w:rsidRDefault="00895C0E" w:rsidP="00895C0E">
      <w:r w:rsidRPr="00E21228">
        <w:lastRenderedPageBreak/>
        <w:t>Some businesses</w:t>
      </w:r>
      <w:r w:rsidR="00602E18" w:rsidRPr="00E21228">
        <w:t>, in particular,</w:t>
      </w:r>
      <w:r w:rsidRPr="00E21228">
        <w:t xml:space="preserve"> experienced a decline in turnover following the imposition of the COVID</w:t>
      </w:r>
      <w:r w:rsidRPr="00E21228">
        <w:noBreakHyphen/>
        <w:t xml:space="preserve">19 restrictions, but because they were growing businesses or had otherwise changed their structure, this </w:t>
      </w:r>
      <w:r w:rsidR="0071185D" w:rsidRPr="00E21228">
        <w:t>i</w:t>
      </w:r>
      <w:r w:rsidRPr="00E21228">
        <w:t xml:space="preserve">s not evident when their turnover </w:t>
      </w:r>
      <w:r w:rsidR="00324BD5" w:rsidRPr="00E21228">
        <w:t>is</w:t>
      </w:r>
      <w:r w:rsidRPr="00E21228">
        <w:t xml:space="preserve"> compared with a year earlier. Estimates suggest that at least $4.9 billion of the $13.8 billion paid to businesses with higher turnover through the year went to growing or changing businesses. These businesses were allowed to use a different test to determine their eligibility for JobKeeper to more accurately reflect the size of the business at the onset of the </w:t>
      </w:r>
      <w:r w:rsidRPr="00E21228" w:rsidDel="009B6007">
        <w:t>pandemic</w:t>
      </w:r>
      <w:r w:rsidRPr="00E21228">
        <w:t>.</w:t>
      </w:r>
      <w:r w:rsidR="00324BD5" w:rsidRPr="00E21228">
        <w:t xml:space="preserve"> </w:t>
      </w:r>
      <w:r w:rsidR="00602E18" w:rsidRPr="00E21228">
        <w:t>JobKeeper payments to these businesses were important to offset the impact of COVID-19 restrictions on their operations and avoid labour shedding.</w:t>
      </w:r>
      <w:r w:rsidR="00602E18">
        <w:t xml:space="preserve"> </w:t>
      </w:r>
      <w:r w:rsidR="00BB2EC8" w:rsidRPr="00FA3D70">
        <w:t xml:space="preserve">Abstracting </w:t>
      </w:r>
      <w:r w:rsidR="00D15745" w:rsidRPr="00FA3D70">
        <w:t>from</w:t>
      </w:r>
      <w:r w:rsidR="00BB2EC8" w:rsidRPr="00FA3D70">
        <w:t xml:space="preserve"> payments</w:t>
      </w:r>
      <w:r w:rsidR="00D15745" w:rsidRPr="00FA3D70">
        <w:t xml:space="preserve"> to </w:t>
      </w:r>
      <w:r w:rsidR="00D15745" w:rsidRPr="00626FD1">
        <w:t>business</w:t>
      </w:r>
      <w:r w:rsidR="00122874" w:rsidRPr="00626FD1">
        <w:t>es</w:t>
      </w:r>
      <w:r w:rsidR="00BB2EC8" w:rsidRPr="00626FD1">
        <w:t xml:space="preserve"> </w:t>
      </w:r>
      <w:r w:rsidR="00716D64" w:rsidRPr="00626FD1">
        <w:t>that had grown strongly over the previous year</w:t>
      </w:r>
      <w:r w:rsidR="00EF3F7A" w:rsidRPr="00626FD1">
        <w:t xml:space="preserve"> but </w:t>
      </w:r>
      <w:r w:rsidR="00DD2097" w:rsidRPr="00763519">
        <w:t>appear to have been</w:t>
      </w:r>
      <w:r w:rsidR="00EF3F7A" w:rsidRPr="00763519">
        <w:t xml:space="preserve"> </w:t>
      </w:r>
      <w:r w:rsidR="00EF3F7A" w:rsidRPr="00626FD1">
        <w:t>adversely affected in the quarter</w:t>
      </w:r>
      <w:r w:rsidR="004828B9" w:rsidRPr="00626FD1">
        <w:t xml:space="preserve">, </w:t>
      </w:r>
      <w:r w:rsidR="003271E5" w:rsidRPr="00626FD1">
        <w:t>th</w:t>
      </w:r>
      <w:r w:rsidR="003271E5" w:rsidRPr="00FA3D70">
        <w:t xml:space="preserve">e </w:t>
      </w:r>
      <w:r w:rsidR="004828B9" w:rsidRPr="00FA3D70">
        <w:t>payments</w:t>
      </w:r>
      <w:r w:rsidR="00BB2EC8" w:rsidRPr="00FA3D70">
        <w:t xml:space="preserve"> </w:t>
      </w:r>
      <w:r w:rsidR="003271E5" w:rsidRPr="00FA3D70">
        <w:t xml:space="preserve">to businesses that increased their turnover compared with a year earlier </w:t>
      </w:r>
      <w:r w:rsidR="00BB2EC8" w:rsidRPr="00FA3D70">
        <w:t>amounted to around $8.9</w:t>
      </w:r>
      <w:r w:rsidR="00796436" w:rsidRPr="00FA3D70">
        <w:t> </w:t>
      </w:r>
      <w:r w:rsidR="00BB2EC8" w:rsidRPr="00FA3D70">
        <w:t>billion</w:t>
      </w:r>
      <w:r w:rsidR="00BB2EC8" w:rsidRPr="00E773AD">
        <w:t>.</w:t>
      </w:r>
      <w:r w:rsidR="00F8373F" w:rsidRPr="00E773AD">
        <w:t xml:space="preserve"> These </w:t>
      </w:r>
      <w:r w:rsidR="003F51D7" w:rsidRPr="00E773AD">
        <w:t xml:space="preserve">payments </w:t>
      </w:r>
      <w:r w:rsidR="00DD2097" w:rsidRPr="00E773AD">
        <w:t>covered</w:t>
      </w:r>
      <w:r w:rsidR="003F51D7" w:rsidRPr="00E773AD">
        <w:t xml:space="preserve"> </w:t>
      </w:r>
      <w:r w:rsidR="00E773AD">
        <w:t xml:space="preserve">on average </w:t>
      </w:r>
      <w:r w:rsidR="003F51D7" w:rsidRPr="00E773AD">
        <w:t xml:space="preserve">around </w:t>
      </w:r>
      <w:r w:rsidR="005320CC" w:rsidRPr="00E773AD">
        <w:t>48</w:t>
      </w:r>
      <w:r w:rsidR="00583F3B" w:rsidRPr="00E773AD">
        <w:t>0,000</w:t>
      </w:r>
      <w:r w:rsidR="00993FE3">
        <w:t> </w:t>
      </w:r>
      <w:r w:rsidR="00DD2097" w:rsidRPr="00E773AD">
        <w:t>individuals</w:t>
      </w:r>
      <w:r w:rsidR="003F51D7" w:rsidRPr="00E773AD">
        <w:t>.</w:t>
      </w:r>
    </w:p>
    <w:p w14:paraId="4642324A" w14:textId="680D6CAE" w:rsidR="00EF3C3F" w:rsidRPr="00E21228" w:rsidRDefault="00847C92" w:rsidP="00FF0AE2">
      <w:r w:rsidRPr="00E21228">
        <w:t xml:space="preserve">Most of the businesses </w:t>
      </w:r>
      <w:r w:rsidR="00324BD5" w:rsidRPr="00E21228">
        <w:t xml:space="preserve">that </w:t>
      </w:r>
      <w:r w:rsidR="00F21DE7">
        <w:t>did not experience</w:t>
      </w:r>
      <w:r w:rsidR="00324BD5" w:rsidRPr="00E21228">
        <w:t xml:space="preserve"> declines in turnover </w:t>
      </w:r>
      <w:r w:rsidR="00F21DE7">
        <w:t>of</w:t>
      </w:r>
      <w:r w:rsidR="00324BD5" w:rsidRPr="00E21228">
        <w:t xml:space="preserve"> </w:t>
      </w:r>
      <w:r w:rsidR="00D15745">
        <w:t xml:space="preserve">30 </w:t>
      </w:r>
      <w:r w:rsidR="00940DE0">
        <w:t xml:space="preserve">per cent </w:t>
      </w:r>
      <w:r w:rsidR="00D15745">
        <w:t>(</w:t>
      </w:r>
      <w:r w:rsidR="00940DE0">
        <w:t xml:space="preserve">or </w:t>
      </w:r>
      <w:r w:rsidR="00D15745">
        <w:t>50 per cent</w:t>
      </w:r>
      <w:r w:rsidR="00940DE0">
        <w:t>)</w:t>
      </w:r>
      <w:r w:rsidR="00324BD5" w:rsidRPr="00E21228">
        <w:t xml:space="preserve"> </w:t>
      </w:r>
      <w:r w:rsidRPr="00E21228">
        <w:t xml:space="preserve">were small businesses. </w:t>
      </w:r>
      <w:r w:rsidR="006F0DC3" w:rsidRPr="00E21228">
        <w:t>O</w:t>
      </w:r>
      <w:r w:rsidRPr="00E21228">
        <w:t xml:space="preserve">f the businesses that did not experience the </w:t>
      </w:r>
      <w:r w:rsidR="00E11AB8" w:rsidRPr="00E21228">
        <w:t xml:space="preserve">30 per cent </w:t>
      </w:r>
      <w:r w:rsidRPr="00E21228">
        <w:t>turnover decline</w:t>
      </w:r>
      <w:r w:rsidR="003271E5">
        <w:t>,</w:t>
      </w:r>
      <w:r w:rsidRPr="00E21228">
        <w:t xml:space="preserve"> </w:t>
      </w:r>
      <w:r w:rsidR="006F0DC3" w:rsidRPr="00E21228">
        <w:t>99</w:t>
      </w:r>
      <w:r w:rsidR="005D4036" w:rsidRPr="00E21228">
        <w:t> </w:t>
      </w:r>
      <w:r w:rsidR="006F0DC3" w:rsidRPr="00E21228">
        <w:t xml:space="preserve">per cent </w:t>
      </w:r>
      <w:r w:rsidRPr="00E21228">
        <w:t>were small (having a turnover of less than $50</w:t>
      </w:r>
      <w:r w:rsidR="00B71F68" w:rsidRPr="00E21228">
        <w:t> </w:t>
      </w:r>
      <w:r w:rsidRPr="00E21228">
        <w:t>million), and $</w:t>
      </w:r>
      <w:r w:rsidR="000F6E3F" w:rsidRPr="00E21228">
        <w:t>22.5</w:t>
      </w:r>
      <w:r w:rsidRPr="00E21228">
        <w:t xml:space="preserve"> billion in payments went to these businesses. </w:t>
      </w:r>
      <w:r w:rsidR="001B3DC5" w:rsidRPr="00E21228">
        <w:t xml:space="preserve">These businesses had, on average, around four employees. </w:t>
      </w:r>
      <w:r w:rsidRPr="00E21228">
        <w:t>Small businesses accounted for $</w:t>
      </w:r>
      <w:r w:rsidR="00AF2E0C" w:rsidRPr="00E21228">
        <w:t>12.1</w:t>
      </w:r>
      <w:r w:rsidRPr="00E21228">
        <w:t xml:space="preserve"> billion (88 per cent) of JobKeeper payments that were made to businesses </w:t>
      </w:r>
      <w:r w:rsidR="00F53E37" w:rsidRPr="00E21228">
        <w:t>that</w:t>
      </w:r>
      <w:r w:rsidR="006F22BC" w:rsidRPr="00E21228">
        <w:t xml:space="preserve"> had </w:t>
      </w:r>
      <w:r w:rsidRPr="00E21228" w:rsidDel="00B07BA1">
        <w:t>increased</w:t>
      </w:r>
      <w:r w:rsidRPr="00E21228">
        <w:t xml:space="preserve"> turnover. Less than $2</w:t>
      </w:r>
      <w:r w:rsidR="00131D83" w:rsidRPr="00E21228">
        <w:t>00</w:t>
      </w:r>
      <w:r w:rsidRPr="00E21228">
        <w:t xml:space="preserve"> </w:t>
      </w:r>
      <w:r w:rsidR="00131D83" w:rsidRPr="00E21228">
        <w:t>m</w:t>
      </w:r>
      <w:r w:rsidRPr="00E21228">
        <w:t xml:space="preserve">illion was paid to businesses with a turnover above $1 billion whose turnover </w:t>
      </w:r>
      <w:r w:rsidR="00825EFB" w:rsidRPr="00E21228">
        <w:t>increased</w:t>
      </w:r>
      <w:r w:rsidRPr="00E21228">
        <w:t xml:space="preserve">. </w:t>
      </w:r>
    </w:p>
    <w:p w14:paraId="74D73002" w14:textId="5D6FFD81" w:rsidR="0034590C" w:rsidRPr="00E21228" w:rsidRDefault="00C631F5" w:rsidP="00FF0AE2">
      <w:r w:rsidRPr="00E21228">
        <w:t xml:space="preserve">For many </w:t>
      </w:r>
      <w:r w:rsidR="0034590C" w:rsidRPr="00E21228">
        <w:t xml:space="preserve">businesses that were eligible for JobKeeper </w:t>
      </w:r>
      <w:r w:rsidRPr="00E21228">
        <w:t>but</w:t>
      </w:r>
      <w:r w:rsidR="0034590C" w:rsidRPr="00E21228">
        <w:t xml:space="preserve"> did not end up experiencing their projected decline in turnover, this was because health restrictions were eased </w:t>
      </w:r>
      <w:r w:rsidR="00480F5B" w:rsidRPr="00E21228">
        <w:t>earlier,</w:t>
      </w:r>
      <w:r w:rsidR="0034590C" w:rsidRPr="00E21228">
        <w:t xml:space="preserve"> and these businesses</w:t>
      </w:r>
      <w:r w:rsidR="0038520A" w:rsidRPr="00E21228">
        <w:t>’</w:t>
      </w:r>
      <w:r w:rsidR="0034590C" w:rsidRPr="00E21228">
        <w:t xml:space="preserve"> operations recovered more rapidly than expected. Other businesses were able to operate as a result of the support and successfully adapted their business models. </w:t>
      </w:r>
    </w:p>
    <w:p w14:paraId="7F8F5E24" w14:textId="70DE185E" w:rsidR="00EE4D7E" w:rsidRPr="00E21228" w:rsidRDefault="00EE4D7E" w:rsidP="00FF0AE2">
      <w:r w:rsidRPr="00E21228">
        <w:t>This analysis does not suggest</w:t>
      </w:r>
      <w:r w:rsidR="00324BD5" w:rsidRPr="00E21228">
        <w:t xml:space="preserve"> any of </w:t>
      </w:r>
      <w:r w:rsidRPr="00E21228">
        <w:t xml:space="preserve">these businesses were ineligible for the JobKeeper Payment. </w:t>
      </w:r>
      <w:r w:rsidR="00D15745">
        <w:t>Eligibility for JobKeeper was based on a prospective assessment of a business</w:t>
      </w:r>
      <w:r w:rsidR="007512B4">
        <w:t>’</w:t>
      </w:r>
      <w:r w:rsidR="00D15745">
        <w:t xml:space="preserve">s expected change in turnover, and there were a number </w:t>
      </w:r>
      <w:r w:rsidR="007512B4">
        <w:t xml:space="preserve">of </w:t>
      </w:r>
      <w:r w:rsidR="00D15745">
        <w:t xml:space="preserve">different tests that businesses in different circumstances were allowed to use. </w:t>
      </w:r>
      <w:r w:rsidR="00996508" w:rsidRPr="00E21228">
        <w:t>The Australian Taxation Office (</w:t>
      </w:r>
      <w:r w:rsidRPr="00E21228">
        <w:t>ATO</w:t>
      </w:r>
      <w:r w:rsidR="00996508" w:rsidRPr="00E21228">
        <w:t>)</w:t>
      </w:r>
      <w:r w:rsidRPr="00E21228">
        <w:t xml:space="preserve"> set out guidance on how to undertake the decline in turnover test/s and the relevant evidence to support the turnover decline estimate, including where using an alternative test. The ATO has established that the vast majority of JobKeeper businesses reasonably estimated their projected decline in turnover. </w:t>
      </w:r>
    </w:p>
    <w:p w14:paraId="15297DD5" w14:textId="1EEB49EA" w:rsidR="00D9744D" w:rsidRDefault="00CA768C" w:rsidP="00D9744D">
      <w:r w:rsidRPr="00E21228">
        <w:t xml:space="preserve">Most of the businesses </w:t>
      </w:r>
      <w:r w:rsidR="00324BD5" w:rsidRPr="00E21228">
        <w:t xml:space="preserve">who did not experience their expected </w:t>
      </w:r>
      <w:r w:rsidR="00D02204" w:rsidRPr="00E21228">
        <w:t xml:space="preserve">decline </w:t>
      </w:r>
      <w:r w:rsidR="00FB5028" w:rsidRPr="00E21228">
        <w:t xml:space="preserve">in turnover </w:t>
      </w:r>
      <w:r w:rsidRPr="00E21228">
        <w:t>were still significantly negatively impacted by COVID</w:t>
      </w:r>
      <w:r w:rsidR="0038520A" w:rsidRPr="00E21228">
        <w:noBreakHyphen/>
      </w:r>
      <w:r w:rsidRPr="00E21228">
        <w:t>19.</w:t>
      </w:r>
      <w:r w:rsidR="00EF3C3F" w:rsidRPr="00E21228">
        <w:t xml:space="preserve"> In particular, the number of separations for these businesses increased by </w:t>
      </w:r>
      <w:r w:rsidR="00EF18E8" w:rsidRPr="00E21228">
        <w:t>almost 6</w:t>
      </w:r>
      <w:r w:rsidR="00EF3C3F" w:rsidRPr="00E21228">
        <w:t>0 per cent in late March</w:t>
      </w:r>
      <w:r w:rsidR="00E34B48">
        <w:t xml:space="preserve"> 2020</w:t>
      </w:r>
      <w:r w:rsidR="00EF3C3F" w:rsidRPr="00E21228">
        <w:t>, compared to almost no increase for non</w:t>
      </w:r>
      <w:r w:rsidR="0038520A" w:rsidRPr="00E21228">
        <w:noBreakHyphen/>
      </w:r>
      <w:r w:rsidR="00EF3C3F" w:rsidRPr="00E21228">
        <w:t>JobKeeper businesses (</w:t>
      </w:r>
      <w:r w:rsidR="00CE7C04" w:rsidRPr="00E21228">
        <w:t>Figure 1a</w:t>
      </w:r>
      <w:r w:rsidR="00EF3C3F" w:rsidRPr="00E21228">
        <w:t xml:space="preserve">). The number of jobs at these businesses also declined sharply at the start of the </w:t>
      </w:r>
      <w:r w:rsidR="00EF3C3F" w:rsidRPr="00E21228" w:rsidDel="00864C61">
        <w:t>crisis</w:t>
      </w:r>
      <w:r w:rsidR="00EF3C3F" w:rsidRPr="00E21228">
        <w:t xml:space="preserve"> and remained below the level for non</w:t>
      </w:r>
      <w:r w:rsidR="0038520A" w:rsidRPr="00E21228">
        <w:noBreakHyphen/>
      </w:r>
      <w:r w:rsidR="00EF3C3F" w:rsidRPr="00E21228">
        <w:t xml:space="preserve">JobKeeper businesses at the end of September </w:t>
      </w:r>
      <w:r w:rsidR="00E34B48">
        <w:t xml:space="preserve">2020 </w:t>
      </w:r>
      <w:r w:rsidR="00EF3C3F" w:rsidRPr="00E21228">
        <w:t>(</w:t>
      </w:r>
      <w:r w:rsidR="00CE7C04" w:rsidRPr="00E21228">
        <w:t>Figure 1b</w:t>
      </w:r>
      <w:r w:rsidR="00EF3C3F" w:rsidRPr="00E21228">
        <w:t>)</w:t>
      </w:r>
      <w:r w:rsidR="00EF3C3F" w:rsidRPr="00E21228" w:rsidDel="0041706C">
        <w:t>.</w:t>
      </w:r>
      <w:r w:rsidR="00D9744D" w:rsidRPr="00E21228">
        <w:t xml:space="preserve"> Following the introduction of JobKeeper, job shedding declined sharply in these businesses and employment outcomes substantially recovered, with estimates suggesting around 200,000 JobKeeper workers were brought back once the policy was introduced. As the economy recovered and these businesses expanded and pivoted production, hours worked for JobKeeper workers increased, as did employment of non</w:t>
      </w:r>
      <w:r w:rsidR="00D9744D" w:rsidRPr="00E21228">
        <w:noBreakHyphen/>
        <w:t xml:space="preserve">JobKeeper workers, by </w:t>
      </w:r>
      <w:r w:rsidR="00AE3C97">
        <w:t>an estimated</w:t>
      </w:r>
      <w:r w:rsidR="00D9744D" w:rsidRPr="00E21228">
        <w:t xml:space="preserve"> 150,000.</w:t>
      </w:r>
      <w:r w:rsidR="00D9744D">
        <w:t xml:space="preserve"> </w:t>
      </w:r>
    </w:p>
    <w:p w14:paraId="3BFACACB" w14:textId="77777777" w:rsidR="00D9744D" w:rsidRDefault="00D9744D" w:rsidP="00FF0AE2"/>
    <w:p w14:paraId="5CBD8086" w14:textId="2A042DB9" w:rsidR="006C1A26" w:rsidRPr="00C71D7B" w:rsidRDefault="00CE7C04" w:rsidP="00C71D7B">
      <w:pPr>
        <w:pStyle w:val="ChartMainHeading"/>
      </w:pPr>
      <w:bookmarkStart w:id="10" w:name="_Toc84842556"/>
      <w:bookmarkStart w:id="11" w:name="_Hlk83998057"/>
      <w:r>
        <w:lastRenderedPageBreak/>
        <w:t xml:space="preserve">Separations </w:t>
      </w:r>
      <w:r w:rsidR="00EF3C3F">
        <w:t xml:space="preserve">and </w:t>
      </w:r>
      <w:r w:rsidR="00B15259">
        <w:t>jobs</w:t>
      </w:r>
      <w:r w:rsidR="00EF3C3F">
        <w:t xml:space="preserve"> by JobKeeper status and turnove</w:t>
      </w:r>
      <w:r w:rsidR="00C71D7B">
        <w:t>r</w:t>
      </w:r>
      <w:bookmarkEnd w:id="10"/>
    </w:p>
    <w:tbl>
      <w:tblPr>
        <w:tblW w:w="5000" w:type="pct"/>
        <w:tblLook w:val="01E0" w:firstRow="1" w:lastRow="1" w:firstColumn="1" w:lastColumn="1" w:noHBand="0" w:noVBand="0"/>
      </w:tblPr>
      <w:tblGrid>
        <w:gridCol w:w="4535"/>
        <w:gridCol w:w="4536"/>
      </w:tblGrid>
      <w:tr w:rsidR="00166D51" w14:paraId="15A5E74A" w14:textId="77777777" w:rsidTr="00A430FB">
        <w:trPr>
          <w:cantSplit/>
          <w:trHeight w:val="283"/>
        </w:trPr>
        <w:tc>
          <w:tcPr>
            <w:tcW w:w="2500" w:type="pct"/>
          </w:tcPr>
          <w:p w14:paraId="76807E3A" w14:textId="41CE0519" w:rsidR="00166D51" w:rsidRDefault="00166D51" w:rsidP="00A430FB">
            <w:pPr>
              <w:pStyle w:val="ChartSecondHeading"/>
            </w:pPr>
            <w:r>
              <w:t>a. Separations</w:t>
            </w:r>
          </w:p>
        </w:tc>
        <w:tc>
          <w:tcPr>
            <w:tcW w:w="2500" w:type="pct"/>
          </w:tcPr>
          <w:p w14:paraId="3A77813D" w14:textId="247587CC" w:rsidR="00166D51" w:rsidRDefault="00166D51" w:rsidP="00A430FB">
            <w:pPr>
              <w:pStyle w:val="ChartSecondHeading"/>
              <w:rPr>
                <w:noProof/>
              </w:rPr>
            </w:pPr>
            <w:r>
              <w:t>b. Jobs</w:t>
            </w:r>
          </w:p>
        </w:tc>
      </w:tr>
      <w:tr w:rsidR="00A430FB" w14:paraId="2DC39755" w14:textId="77777777" w:rsidTr="00A430FB">
        <w:trPr>
          <w:cantSplit/>
          <w:trHeight w:val="4825"/>
        </w:trPr>
        <w:tc>
          <w:tcPr>
            <w:tcW w:w="5000" w:type="pct"/>
            <w:gridSpan w:val="2"/>
          </w:tcPr>
          <w:p w14:paraId="12ED1ECF" w14:textId="746CA106" w:rsidR="00A430FB" w:rsidRDefault="009230F1" w:rsidP="00286567">
            <w:pPr>
              <w:pStyle w:val="ChartGraphic"/>
            </w:pPr>
            <w:r w:rsidRPr="009230F1">
              <w:rPr>
                <w:noProof/>
              </w:rPr>
              <w:drawing>
                <wp:inline distT="0" distB="0" distL="0" distR="0" wp14:anchorId="48A4A168" wp14:editId="10D0D167">
                  <wp:extent cx="5670550" cy="3324860"/>
                  <wp:effectExtent l="0" t="0" r="0" b="8890"/>
                  <wp:docPr id="26" name="Picture 26" descr="Panel A shows job separations, indexed to the fortnight ending 1 March 2020 for non-JobKeeper firms, and JobKeeper firms grouped based on their through the year turnover change – decline of 30 or more per cent, decline between 0 and 30 per cent, or increase. It shows that the peak in job separations was much higher at JobKeeper-recipient firms, particularly firms with higher through the year turnover declines. Non-recipient firms only had a small increase in separations. The rate of job separations decreased significantly after JobKeeper was announced. Panel B shows jobs, indexed to the fortnight ending 1 March 2020 for non-JobKeeper firms, and JobKeeper firms grouped based on their through the year turnover change – decline of 30 or more per cent, decline between 0 and 30 per cent, or increase. There was a larger fall in jobs at JobKeeper-recipient firms, particularly firms with larger through the year turnover declines, though firms with smaller declines or increased turnover also had falls in employment. Non-JobKeeper firms experienced very little changes in jobs. The number of jobs at JobKeeper-recipient firms remained below non-JobKeeper firms at the end of September, for all three turnov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nel A shows job separations, indexed to the fortnight ending 1 March 2020 for non-JobKeeper firms, and JobKeeper firms grouped based on their through the year turnover change – decline of 30 or more per cent, decline between 0 and 30 per cent, or increase. It shows that the peak in job separations was much higher at JobKeeper-recipient firms, particularly firms with higher through the year turnover declines. Non-recipient firms only had a small increase in separations. The rate of job separations decreased significantly after JobKeeper was announced. Panel B shows jobs, indexed to the fortnight ending 1 March 2020 for non-JobKeeper firms, and JobKeeper firms grouped based on their through the year turnover change – decline of 30 or more per cent, decline between 0 and 30 per cent, or increase. There was a larger fall in jobs at JobKeeper-recipient firms, particularly firms with larger through the year turnover declines, though firms with smaller declines or increased turnover also had falls in employment. Non-JobKeeper firms experienced very little changes in jobs. The number of jobs at JobKeeper-recipient firms remained below non-JobKeeper firms at the end of September, for all three turnover grou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0550" cy="3324860"/>
                          </a:xfrm>
                          <a:prstGeom prst="rect">
                            <a:avLst/>
                          </a:prstGeom>
                          <a:noFill/>
                          <a:ln>
                            <a:noFill/>
                          </a:ln>
                        </pic:spPr>
                      </pic:pic>
                    </a:graphicData>
                  </a:graphic>
                </wp:inline>
              </w:drawing>
            </w:r>
            <w:r w:rsidR="002B257B">
              <w:t xml:space="preserve"> </w:t>
            </w:r>
            <w:r w:rsidR="006F14A3">
              <w:t xml:space="preserve"> </w:t>
            </w:r>
          </w:p>
        </w:tc>
      </w:tr>
    </w:tbl>
    <w:p w14:paraId="1765633E" w14:textId="14D3F696" w:rsidR="00EF3C3F" w:rsidRDefault="00EF3C3F" w:rsidP="00EF3C3F">
      <w:pPr>
        <w:pStyle w:val="ChartorTableNote"/>
        <w:rPr>
          <w:lang w:val="en-US"/>
        </w:rPr>
      </w:pPr>
      <w:r w:rsidRPr="00350D40">
        <w:rPr>
          <w:lang w:val="en-US"/>
        </w:rPr>
        <w:t>Note:</w:t>
      </w:r>
      <w:r w:rsidR="00653921">
        <w:rPr>
          <w:lang w:val="en-US"/>
        </w:rPr>
        <w:t xml:space="preserve"> </w:t>
      </w:r>
      <w:r w:rsidRPr="00350D40">
        <w:rPr>
          <w:lang w:val="en-US"/>
        </w:rPr>
        <w:t>Figure</w:t>
      </w:r>
      <w:r w:rsidR="0051426A">
        <w:rPr>
          <w:lang w:val="en-US"/>
        </w:rPr>
        <w:t xml:space="preserve"> 1</w:t>
      </w:r>
      <w:r w:rsidRPr="00350D40">
        <w:rPr>
          <w:lang w:val="en-US"/>
        </w:rPr>
        <w:t xml:space="preserve"> presents fortnightly time series of job</w:t>
      </w:r>
      <w:r>
        <w:rPr>
          <w:lang w:val="en-US"/>
        </w:rPr>
        <w:t>s and job separations</w:t>
      </w:r>
      <w:r w:rsidRPr="00350D40">
        <w:rPr>
          <w:lang w:val="en-US"/>
        </w:rPr>
        <w:t>, indexed to equal 100 in the fortnight ending 1</w:t>
      </w:r>
      <w:r w:rsidR="00F67E75">
        <w:rPr>
          <w:lang w:val="en-US"/>
        </w:rPr>
        <w:t> </w:t>
      </w:r>
      <w:r w:rsidRPr="00350D40">
        <w:rPr>
          <w:lang w:val="en-US"/>
        </w:rPr>
        <w:t xml:space="preserve">March 2020. </w:t>
      </w:r>
      <w:r w:rsidRPr="00F47CF1">
        <w:rPr>
          <w:lang w:val="en-US"/>
        </w:rPr>
        <w:t>Separations are based on cease dates for a worker</w:t>
      </w:r>
      <w:r w:rsidR="0038520A">
        <w:rPr>
          <w:lang w:val="en-US"/>
        </w:rPr>
        <w:t>’</w:t>
      </w:r>
      <w:r w:rsidRPr="00F47CF1">
        <w:rPr>
          <w:lang w:val="en-US"/>
        </w:rPr>
        <w:t xml:space="preserve">s employment relationship with a business (it can include workers who were on zero pay). </w:t>
      </w:r>
      <w:r>
        <w:rPr>
          <w:lang w:val="en-US"/>
        </w:rPr>
        <w:t>S</w:t>
      </w:r>
      <w:r w:rsidRPr="00F47CF1">
        <w:rPr>
          <w:lang w:val="en-US"/>
        </w:rPr>
        <w:t xml:space="preserve">eries exhibits volatility around end of financial year, which has been corrected. </w:t>
      </w:r>
      <w:r>
        <w:rPr>
          <w:lang w:val="en-US"/>
        </w:rPr>
        <w:t>Payroll jobs are based on employee</w:t>
      </w:r>
      <w:r w:rsidR="0038520A">
        <w:rPr>
          <w:lang w:val="en-US"/>
        </w:rPr>
        <w:noBreakHyphen/>
      </w:r>
      <w:r>
        <w:rPr>
          <w:lang w:val="en-US"/>
        </w:rPr>
        <w:t>employer relationships with pay, including any JobKeeper amounts.</w:t>
      </w:r>
      <w:r w:rsidRPr="00275311">
        <w:rPr>
          <w:lang w:val="en-US"/>
        </w:rPr>
        <w:t xml:space="preserve"> </w:t>
      </w:r>
      <w:r w:rsidRPr="00F47CF1">
        <w:rPr>
          <w:lang w:val="en-US"/>
        </w:rPr>
        <w:t>Dashed line</w:t>
      </w:r>
      <w:r>
        <w:rPr>
          <w:lang w:val="en-US"/>
        </w:rPr>
        <w:t xml:space="preserve"> indicates</w:t>
      </w:r>
      <w:r w:rsidRPr="00F47CF1">
        <w:rPr>
          <w:lang w:val="en-US"/>
        </w:rPr>
        <w:t xml:space="preserve"> start of JobKeeper.</w:t>
      </w:r>
      <w:r w:rsidRPr="00275311">
        <w:rPr>
          <w:lang w:val="en-US"/>
        </w:rPr>
        <w:t xml:space="preserve"> </w:t>
      </w:r>
      <w:r w:rsidR="00286567" w:rsidRPr="00664EA0">
        <w:t>Turnover a</w:t>
      </w:r>
      <w:r w:rsidR="00286567" w:rsidRPr="00664EA0">
        <w:rPr>
          <w:szCs w:val="16"/>
        </w:rPr>
        <w:t xml:space="preserve">nalysis is based on </w:t>
      </w:r>
      <w:r w:rsidR="00286567">
        <w:rPr>
          <w:szCs w:val="16"/>
        </w:rPr>
        <w:t xml:space="preserve">June </w:t>
      </w:r>
      <w:r w:rsidR="00286567" w:rsidRPr="00664EA0">
        <w:rPr>
          <w:szCs w:val="16"/>
        </w:rPr>
        <w:t>quarter</w:t>
      </w:r>
      <w:r w:rsidR="00286567">
        <w:rPr>
          <w:szCs w:val="16"/>
        </w:rPr>
        <w:t xml:space="preserve"> 2020</w:t>
      </w:r>
      <w:r w:rsidR="00286567" w:rsidRPr="00664EA0">
        <w:rPr>
          <w:szCs w:val="16"/>
        </w:rPr>
        <w:t xml:space="preserve"> data compared </w:t>
      </w:r>
      <w:r w:rsidR="00160434">
        <w:rPr>
          <w:szCs w:val="16"/>
        </w:rPr>
        <w:t>with</w:t>
      </w:r>
      <w:r w:rsidR="00160434" w:rsidRPr="00664EA0">
        <w:rPr>
          <w:szCs w:val="16"/>
        </w:rPr>
        <w:t xml:space="preserve"> </w:t>
      </w:r>
      <w:r w:rsidR="00286567" w:rsidRPr="00664EA0">
        <w:rPr>
          <w:szCs w:val="16"/>
        </w:rPr>
        <w:t>a year earlier</w:t>
      </w:r>
      <w:r w:rsidR="00A45E4A" w:rsidRPr="00664EA0">
        <w:rPr>
          <w:szCs w:val="16"/>
        </w:rPr>
        <w:t>.</w:t>
      </w:r>
    </w:p>
    <w:bookmarkEnd w:id="11"/>
    <w:p w14:paraId="3566E043" w14:textId="7D23E7E8" w:rsidR="00847C92" w:rsidRPr="003B3859" w:rsidRDefault="003B3859" w:rsidP="003B3859">
      <w:pPr>
        <w:pStyle w:val="ChartorTableNote"/>
        <w:jc w:val="left"/>
        <w:rPr>
          <w:lang w:val="en-US"/>
        </w:rPr>
      </w:pPr>
      <w:r w:rsidRPr="00350D40">
        <w:rPr>
          <w:lang w:val="en-US"/>
        </w:rPr>
        <w:t xml:space="preserve">Source: </w:t>
      </w:r>
      <w:r w:rsidR="001D6865">
        <w:rPr>
          <w:lang w:val="en-US"/>
        </w:rPr>
        <w:t>Treasury analysis of d</w:t>
      </w:r>
      <w:r w:rsidR="007D70C6">
        <w:rPr>
          <w:lang w:val="en-US"/>
        </w:rPr>
        <w:t>e</w:t>
      </w:r>
      <w:r w:rsidR="0038520A">
        <w:rPr>
          <w:lang w:val="en-US"/>
        </w:rPr>
        <w:noBreakHyphen/>
      </w:r>
      <w:r w:rsidRPr="00350D40">
        <w:rPr>
          <w:lang w:val="en-US"/>
        </w:rPr>
        <w:t>identified administrative data (STP</w:t>
      </w:r>
      <w:r>
        <w:rPr>
          <w:lang w:val="en-US"/>
        </w:rPr>
        <w:t xml:space="preserve"> and BAS</w:t>
      </w:r>
      <w:r w:rsidRPr="00350D40">
        <w:rPr>
          <w:lang w:val="en-US"/>
        </w:rPr>
        <w:t xml:space="preserve"> data linked to JobKeeper status). </w:t>
      </w:r>
    </w:p>
    <w:p w14:paraId="5D198018" w14:textId="21ABF105" w:rsidR="003F4950" w:rsidRPr="006B4964" w:rsidRDefault="003F4950" w:rsidP="00C71D7B">
      <w:pPr>
        <w:keepNext/>
        <w:rPr>
          <w:i/>
          <w:color w:val="002C47" w:themeColor="accent1"/>
        </w:rPr>
      </w:pPr>
      <w:r w:rsidRPr="006B4964">
        <w:rPr>
          <w:i/>
          <w:color w:val="002C47" w:themeColor="accent1"/>
        </w:rPr>
        <w:t>JobKeeper played an important role in macroeconomic</w:t>
      </w:r>
      <w:r w:rsidR="005E0301" w:rsidRPr="006B4964">
        <w:rPr>
          <w:i/>
          <w:color w:val="002C47" w:themeColor="accent1"/>
        </w:rPr>
        <w:t xml:space="preserve"> stabilisation and </w:t>
      </w:r>
      <w:r w:rsidRPr="006B4964">
        <w:rPr>
          <w:i/>
          <w:color w:val="002C47" w:themeColor="accent1"/>
        </w:rPr>
        <w:t>recovery</w:t>
      </w:r>
    </w:p>
    <w:p w14:paraId="0D94851E" w14:textId="153A0CE3" w:rsidR="00255F75" w:rsidRDefault="001B1459" w:rsidP="003F4950">
      <w:r>
        <w:t xml:space="preserve">JobKeeper </w:t>
      </w:r>
      <w:r w:rsidR="003F4950">
        <w:t xml:space="preserve">was designed to support households and businesses during lockdowns so that the economy was in the best position to </w:t>
      </w:r>
      <w:r w:rsidR="003F1184">
        <w:t>adapt to lockdown conditions and</w:t>
      </w:r>
      <w:r w:rsidR="003F4950">
        <w:t xml:space="preserve"> recover quickly once restrictions eased. </w:t>
      </w:r>
    </w:p>
    <w:p w14:paraId="4E3F619A" w14:textId="310F8FD4" w:rsidR="003F4950" w:rsidRDefault="003F4950" w:rsidP="003F4950">
      <w:r>
        <w:t>Without the Government</w:t>
      </w:r>
      <w:r w:rsidR="0038520A">
        <w:t>’</w:t>
      </w:r>
      <w:r>
        <w:t xml:space="preserve">s </w:t>
      </w:r>
      <w:r w:rsidR="00814425">
        <w:t xml:space="preserve">significant </w:t>
      </w:r>
      <w:r>
        <w:t xml:space="preserve">fiscal support, </w:t>
      </w:r>
      <w:r w:rsidR="00082668">
        <w:t xml:space="preserve">including </w:t>
      </w:r>
      <w:r>
        <w:t xml:space="preserve">JobKeeper, </w:t>
      </w:r>
      <w:r w:rsidR="002513BB">
        <w:t xml:space="preserve">Treasury </w:t>
      </w:r>
      <w:r w:rsidR="00B01357">
        <w:t xml:space="preserve">has </w:t>
      </w:r>
      <w:r w:rsidR="002513BB">
        <w:t>estimate</w:t>
      </w:r>
      <w:r w:rsidR="00B01357">
        <w:t>d</w:t>
      </w:r>
      <w:r w:rsidR="002513BB">
        <w:t xml:space="preserve"> that </w:t>
      </w:r>
      <w:r>
        <w:t xml:space="preserve">the peak of the unemployment rate would have been at least 5 percentage points higher. Without the support provided by JobKeeper and other measures, many </w:t>
      </w:r>
      <w:r w:rsidR="00C1777E">
        <w:t xml:space="preserve">individuals could have faced extended periods of unemployment. And </w:t>
      </w:r>
      <w:r>
        <w:t xml:space="preserve">many </w:t>
      </w:r>
      <w:r w:rsidR="007B77CB">
        <w:t>businesses</w:t>
      </w:r>
      <w:r>
        <w:t xml:space="preserve"> that recovered </w:t>
      </w:r>
      <w:r w:rsidR="00DD77DC">
        <w:t>–</w:t>
      </w:r>
      <w:r>
        <w:t xml:space="preserve"> even those that recovered quickly – may not have been able to do so. </w:t>
      </w:r>
    </w:p>
    <w:p w14:paraId="5C3ADB8D" w14:textId="3B807438" w:rsidR="002C2D9B" w:rsidRDefault="009D0081" w:rsidP="002C2D9B">
      <w:r>
        <w:t xml:space="preserve">This </w:t>
      </w:r>
      <w:r w:rsidR="002E59FF">
        <w:t xml:space="preserve">broad </w:t>
      </w:r>
      <w:r>
        <w:t xml:space="preserve">fiscal support </w:t>
      </w:r>
      <w:r w:rsidR="002E59FF">
        <w:t>came</w:t>
      </w:r>
      <w:r w:rsidR="003F4950">
        <w:t xml:space="preserve"> </w:t>
      </w:r>
      <w:r w:rsidR="00666380">
        <w:t xml:space="preserve">through two channels: by directly supporting </w:t>
      </w:r>
      <w:r w:rsidR="00895A99">
        <w:t>businesses</w:t>
      </w:r>
      <w:r w:rsidR="00666380">
        <w:t xml:space="preserve"> and households</w:t>
      </w:r>
      <w:r w:rsidR="00666380" w:rsidDel="00E11AB8">
        <w:t xml:space="preserve"> </w:t>
      </w:r>
      <w:r w:rsidR="00666380">
        <w:t>and by supporting</w:t>
      </w:r>
      <w:r w:rsidR="003F4950">
        <w:t xml:space="preserve"> confidence</w:t>
      </w:r>
      <w:r w:rsidR="00666380">
        <w:t xml:space="preserve"> and reducing uncertainty across the economy</w:t>
      </w:r>
      <w:r w:rsidR="003F4950">
        <w:t xml:space="preserve">. </w:t>
      </w:r>
      <w:r w:rsidR="0069575A">
        <w:t>Combined with other macroeconomic measures and the successful control of the virus</w:t>
      </w:r>
      <w:r w:rsidR="00224A30">
        <w:t xml:space="preserve">, </w:t>
      </w:r>
      <w:r w:rsidR="009955B3" w:rsidRPr="009A5B48">
        <w:t xml:space="preserve">JobKeeper contributed to stronger economic outcomes, and better </w:t>
      </w:r>
      <w:r w:rsidR="00566BE7">
        <w:t>business</w:t>
      </w:r>
      <w:r w:rsidR="00566BE7" w:rsidRPr="009A5B48">
        <w:t xml:space="preserve"> </w:t>
      </w:r>
      <w:r w:rsidR="009955B3" w:rsidRPr="009A5B48">
        <w:t xml:space="preserve">performance, than </w:t>
      </w:r>
      <w:r w:rsidR="009955B3" w:rsidRPr="00055FF6">
        <w:t xml:space="preserve">anticipated. </w:t>
      </w:r>
      <w:r w:rsidR="002C2D9B" w:rsidRPr="00055FF6">
        <w:t>The fall in employment following the outbreak of COVID</w:t>
      </w:r>
      <w:r w:rsidR="002C2D9B" w:rsidRPr="00055FF6">
        <w:noBreakHyphen/>
        <w:t>19 was rapid and much sharper than in previous downturns, but as a result of the policy support and better</w:t>
      </w:r>
      <w:r w:rsidR="002C2D9B" w:rsidRPr="00055FF6">
        <w:noBreakHyphen/>
        <w:t>than</w:t>
      </w:r>
      <w:r w:rsidR="002C2D9B" w:rsidRPr="00055FF6">
        <w:noBreakHyphen/>
        <w:t>expected health outcomes the recovery in employment was also faster than in previous episodes.</w:t>
      </w:r>
    </w:p>
    <w:p w14:paraId="026661C7" w14:textId="306B5969" w:rsidR="00FB16D2" w:rsidRDefault="0069575A" w:rsidP="00287603">
      <w:pPr>
        <w:rPr>
          <w:rFonts w:ascii="Arial Bold" w:hAnsi="Arial Bold"/>
          <w:b/>
          <w:smallCaps/>
          <w:color w:val="002C47" w:themeColor="accent1"/>
          <w:sz w:val="32"/>
        </w:rPr>
      </w:pPr>
      <w:r>
        <w:t>Australia</w:t>
      </w:r>
      <w:r w:rsidR="0038520A">
        <w:t>’</w:t>
      </w:r>
      <w:r>
        <w:t>s economic and health outcomes were</w:t>
      </w:r>
      <w:r w:rsidDel="00E11AB8">
        <w:t xml:space="preserve"> </w:t>
      </w:r>
      <w:r>
        <w:t>better than many comparable countries</w:t>
      </w:r>
      <w:r w:rsidR="00227E1C">
        <w:t>. I</w:t>
      </w:r>
      <w:r>
        <w:t>n the June</w:t>
      </w:r>
      <w:r w:rsidR="00E04353">
        <w:t> </w:t>
      </w:r>
      <w:r>
        <w:t>quarter</w:t>
      </w:r>
      <w:r w:rsidR="00D046B0">
        <w:t xml:space="preserve"> 2020</w:t>
      </w:r>
      <w:r>
        <w:t xml:space="preserve">, </w:t>
      </w:r>
      <w:r w:rsidR="00B157E5">
        <w:t xml:space="preserve">real </w:t>
      </w:r>
      <w:r>
        <w:t xml:space="preserve">GDP fell by </w:t>
      </w:r>
      <w:r w:rsidR="00684653">
        <w:t xml:space="preserve">19.5 per cent </w:t>
      </w:r>
      <w:r>
        <w:t>in the U</w:t>
      </w:r>
      <w:r w:rsidR="0000342B">
        <w:t xml:space="preserve">nited </w:t>
      </w:r>
      <w:r>
        <w:t>K</w:t>
      </w:r>
      <w:r w:rsidR="0000342B">
        <w:t>ingdom</w:t>
      </w:r>
      <w:r>
        <w:t xml:space="preserve">, </w:t>
      </w:r>
      <w:r w:rsidR="0000342B">
        <w:t>11.3</w:t>
      </w:r>
      <w:r w:rsidR="0018577B">
        <w:t> </w:t>
      </w:r>
      <w:r w:rsidR="00684653">
        <w:t>per</w:t>
      </w:r>
      <w:r w:rsidR="0018577B">
        <w:t> </w:t>
      </w:r>
      <w:r w:rsidR="00684653">
        <w:t>cent</w:t>
      </w:r>
      <w:r>
        <w:t xml:space="preserve"> in </w:t>
      </w:r>
      <w:r w:rsidR="0000342B">
        <w:t>Canada</w:t>
      </w:r>
      <w:r>
        <w:t xml:space="preserve">, and </w:t>
      </w:r>
      <w:r w:rsidR="0000342B">
        <w:t>10.0</w:t>
      </w:r>
      <w:r w:rsidR="00C100E9">
        <w:t> </w:t>
      </w:r>
      <w:r w:rsidR="00684653">
        <w:t>per</w:t>
      </w:r>
      <w:r w:rsidR="00C100E9">
        <w:t> </w:t>
      </w:r>
      <w:r w:rsidR="00684653" w:rsidRPr="00957A5C">
        <w:t>cent</w:t>
      </w:r>
      <w:r w:rsidRPr="00957A5C">
        <w:t xml:space="preserve"> in </w:t>
      </w:r>
      <w:r w:rsidR="0000342B" w:rsidRPr="00957A5C">
        <w:t>Germany</w:t>
      </w:r>
      <w:r w:rsidR="00082668" w:rsidRPr="00957A5C">
        <w:t xml:space="preserve">, compared </w:t>
      </w:r>
      <w:r w:rsidR="007621DD" w:rsidRPr="00957A5C">
        <w:t>with</w:t>
      </w:r>
      <w:r w:rsidR="00082668" w:rsidRPr="00957A5C">
        <w:t xml:space="preserve"> </w:t>
      </w:r>
      <w:r w:rsidR="00C04553" w:rsidRPr="00957A5C">
        <w:t>7</w:t>
      </w:r>
      <w:r w:rsidR="007621DD" w:rsidRPr="00957A5C">
        <w:t>.0</w:t>
      </w:r>
      <w:r w:rsidR="0018577B" w:rsidRPr="00957A5C">
        <w:t> </w:t>
      </w:r>
      <w:r w:rsidR="00C04553" w:rsidRPr="00957A5C">
        <w:t>per</w:t>
      </w:r>
      <w:r w:rsidR="0018577B" w:rsidRPr="00957A5C">
        <w:t> </w:t>
      </w:r>
      <w:r w:rsidR="00C04553" w:rsidRPr="00957A5C">
        <w:t>cent</w:t>
      </w:r>
      <w:r w:rsidR="00082668" w:rsidRPr="00957A5C">
        <w:t xml:space="preserve"> in Australia</w:t>
      </w:r>
      <w:r w:rsidR="00DD4E0B" w:rsidRPr="00957A5C">
        <w:t>. By March 2021</w:t>
      </w:r>
      <w:r w:rsidR="003B2D02" w:rsidRPr="00957A5C">
        <w:t xml:space="preserve">, Australia </w:t>
      </w:r>
      <w:r w:rsidR="00541576" w:rsidRPr="00957A5C">
        <w:t xml:space="preserve">had surpassed </w:t>
      </w:r>
      <w:r w:rsidR="003B2D02" w:rsidRPr="00957A5C">
        <w:t>its pre</w:t>
      </w:r>
      <w:r w:rsidR="0038520A">
        <w:noBreakHyphen/>
      </w:r>
      <w:r w:rsidR="003B2D02" w:rsidRPr="00957A5C">
        <w:t>COVID</w:t>
      </w:r>
      <w:r w:rsidR="0038520A">
        <w:noBreakHyphen/>
      </w:r>
      <w:r w:rsidR="003B2D02" w:rsidRPr="00957A5C">
        <w:t xml:space="preserve">19 </w:t>
      </w:r>
      <w:r w:rsidR="00D21F5B" w:rsidRPr="00957A5C">
        <w:t xml:space="preserve">levels of </w:t>
      </w:r>
      <w:r w:rsidR="008726DE" w:rsidRPr="00957A5C">
        <w:t xml:space="preserve">GDP </w:t>
      </w:r>
      <w:r w:rsidR="00227E1C" w:rsidRPr="00957A5C">
        <w:t>and employment</w:t>
      </w:r>
      <w:r w:rsidR="003B2D02" w:rsidRPr="00957A5C">
        <w:t xml:space="preserve">, </w:t>
      </w:r>
      <w:r w:rsidR="00D21F5B" w:rsidRPr="00957A5C">
        <w:t xml:space="preserve">a better outcome than </w:t>
      </w:r>
      <w:r w:rsidR="00541576" w:rsidRPr="00957A5C">
        <w:t>all major advanced economies</w:t>
      </w:r>
      <w:r w:rsidRPr="00957A5C">
        <w:t>.</w:t>
      </w:r>
      <w:r>
        <w:t xml:space="preserve"> </w:t>
      </w:r>
      <w:bookmarkStart w:id="12" w:name="_Toc271526783"/>
      <w:bookmarkStart w:id="13" w:name="_Toc320810314"/>
      <w:bookmarkStart w:id="14" w:name="_Toc82787294"/>
      <w:r w:rsidR="00FB16D2">
        <w:br w:type="page"/>
      </w:r>
    </w:p>
    <w:p w14:paraId="301CA6BF" w14:textId="369A2451" w:rsidR="00F012EA" w:rsidRPr="00A57848" w:rsidRDefault="00F012EA" w:rsidP="00611347">
      <w:pPr>
        <w:pStyle w:val="Heading1"/>
      </w:pPr>
      <w:bookmarkStart w:id="15" w:name="_Toc83215041"/>
      <w:bookmarkStart w:id="16" w:name="_Toc84842615"/>
      <w:r w:rsidRPr="00A57848">
        <w:lastRenderedPageBreak/>
        <w:t>Introduction</w:t>
      </w:r>
      <w:bookmarkEnd w:id="12"/>
      <w:bookmarkEnd w:id="13"/>
      <w:bookmarkEnd w:id="14"/>
      <w:bookmarkEnd w:id="15"/>
      <w:bookmarkEnd w:id="16"/>
    </w:p>
    <w:p w14:paraId="2C4958C4" w14:textId="0180CBB8" w:rsidR="008438AD" w:rsidRPr="00F96092" w:rsidRDefault="001B1459" w:rsidP="006E2C94">
      <w:r>
        <w:t>JobKeeper</w:t>
      </w:r>
      <w:r w:rsidR="00F9596B">
        <w:t xml:space="preserve"> </w:t>
      </w:r>
      <w:r w:rsidR="00DC7F67">
        <w:t xml:space="preserve">was a wage subsidy </w:t>
      </w:r>
      <w:r w:rsidR="00217B23">
        <w:t xml:space="preserve">and income support </w:t>
      </w:r>
      <w:r w:rsidR="00DC7F67">
        <w:t>program introduced at the beginning of the C</w:t>
      </w:r>
      <w:r w:rsidR="00FB16D2">
        <w:t>OVID</w:t>
      </w:r>
      <w:r w:rsidR="0038520A">
        <w:noBreakHyphen/>
      </w:r>
      <w:r w:rsidR="00DC7F67">
        <w:t>19 pandemic</w:t>
      </w:r>
      <w:r w:rsidR="00F55B99">
        <w:t xml:space="preserve">. </w:t>
      </w:r>
      <w:r w:rsidR="003F1B68">
        <w:t xml:space="preserve">It </w:t>
      </w:r>
      <w:r w:rsidR="00A91642">
        <w:t>was a key element</w:t>
      </w:r>
      <w:r w:rsidR="003F1B68">
        <w:t xml:space="preserve"> of the Australian </w:t>
      </w:r>
      <w:r w:rsidR="003F1B68" w:rsidRPr="006E2C94">
        <w:t>Government</w:t>
      </w:r>
      <w:r w:rsidR="0038520A">
        <w:t>’</w:t>
      </w:r>
      <w:r w:rsidR="003F1B68" w:rsidRPr="006E2C94">
        <w:t>s</w:t>
      </w:r>
      <w:r w:rsidR="003F1B68">
        <w:t xml:space="preserve"> macroeconomic response to the pandemic. </w:t>
      </w:r>
      <w:r w:rsidR="00F55B99">
        <w:t xml:space="preserve">JobKeeper was announced on 30 March 2020 and ended on </w:t>
      </w:r>
      <w:r w:rsidR="00FF6BBF">
        <w:t xml:space="preserve">28 March 2021. </w:t>
      </w:r>
      <w:r w:rsidR="00943557">
        <w:t xml:space="preserve">This </w:t>
      </w:r>
      <w:r w:rsidR="00943557" w:rsidRPr="002D3B50">
        <w:t>Insights</w:t>
      </w:r>
      <w:r w:rsidR="00943557" w:rsidRPr="00F96092">
        <w:rPr>
          <w:i/>
          <w:iCs/>
        </w:rPr>
        <w:t xml:space="preserve"> </w:t>
      </w:r>
      <w:r w:rsidR="001532FC">
        <w:t xml:space="preserve">report </w:t>
      </w:r>
      <w:r w:rsidR="00943557">
        <w:t xml:space="preserve">draws together analysis undertaken by Treasury on </w:t>
      </w:r>
      <w:r w:rsidR="00D17111">
        <w:t xml:space="preserve">the first </w:t>
      </w:r>
      <w:r w:rsidR="003A0EEE">
        <w:t>six</w:t>
      </w:r>
      <w:r w:rsidR="00F118D7">
        <w:t xml:space="preserve"> </w:t>
      </w:r>
      <w:r w:rsidR="00D17111">
        <w:t xml:space="preserve">months of </w:t>
      </w:r>
      <w:r w:rsidR="00943557">
        <w:t xml:space="preserve">JobKeeper </w:t>
      </w:r>
      <w:r w:rsidR="00E31B7C">
        <w:t>(to 27 September 2020)</w:t>
      </w:r>
      <w:r w:rsidR="00943557">
        <w:t xml:space="preserve"> </w:t>
      </w:r>
      <w:r w:rsidR="00E11AB8">
        <w:t>and build</w:t>
      </w:r>
      <w:r w:rsidR="00876CB4">
        <w:t>s</w:t>
      </w:r>
      <w:r w:rsidR="00E11AB8">
        <w:t xml:space="preserve"> on the </w:t>
      </w:r>
      <w:r w:rsidR="00E11AB8" w:rsidRPr="004A1369">
        <w:rPr>
          <w:i/>
        </w:rPr>
        <w:t>JobKeeper Payment: Three</w:t>
      </w:r>
      <w:r w:rsidR="0038520A">
        <w:rPr>
          <w:i/>
        </w:rPr>
        <w:noBreakHyphen/>
      </w:r>
      <w:r w:rsidR="00E11AB8" w:rsidRPr="004A1369">
        <w:rPr>
          <w:i/>
        </w:rPr>
        <w:t>month review</w:t>
      </w:r>
      <w:r w:rsidR="00E11AB8">
        <w:t xml:space="preserve"> (</w:t>
      </w:r>
      <w:r w:rsidR="006C354D" w:rsidRPr="00F1581F">
        <w:rPr>
          <w:i/>
          <w:iCs/>
        </w:rPr>
        <w:t xml:space="preserve">JobKeeper </w:t>
      </w:r>
      <w:r w:rsidR="00E11AB8" w:rsidRPr="00F1581F">
        <w:rPr>
          <w:i/>
          <w:iCs/>
        </w:rPr>
        <w:t>review</w:t>
      </w:r>
      <w:r w:rsidR="00E11AB8">
        <w:t>)</w:t>
      </w:r>
      <w:r w:rsidR="00F96092">
        <w:t>.</w:t>
      </w:r>
      <w:r w:rsidR="00BF441C">
        <w:rPr>
          <w:rStyle w:val="FootnoteReference"/>
          <w:lang w:val="en-US"/>
        </w:rPr>
        <w:footnoteReference w:id="2"/>
      </w:r>
      <w:r w:rsidR="00F96092">
        <w:rPr>
          <w:lang w:val="en-US"/>
        </w:rPr>
        <w:t xml:space="preserve"> </w:t>
      </w:r>
      <w:r w:rsidR="003F1B68">
        <w:t>The</w:t>
      </w:r>
      <w:r w:rsidR="008438AD">
        <w:t xml:space="preserve"> </w:t>
      </w:r>
      <w:r w:rsidR="001532FC">
        <w:t>report</w:t>
      </w:r>
      <w:r w:rsidR="001532FC">
        <w:rPr>
          <w:i/>
          <w:iCs/>
        </w:rPr>
        <w:t xml:space="preserve"> </w:t>
      </w:r>
      <w:r w:rsidR="00F96092" w:rsidRPr="00F96092">
        <w:t xml:space="preserve">is divided into </w:t>
      </w:r>
      <w:r w:rsidR="00F96092">
        <w:t>five</w:t>
      </w:r>
      <w:r w:rsidR="00F96092" w:rsidRPr="00F96092">
        <w:t xml:space="preserve"> </w:t>
      </w:r>
      <w:r w:rsidR="00F96092">
        <w:t>sections</w:t>
      </w:r>
      <w:r w:rsidR="00F96092" w:rsidRPr="00F96092">
        <w:t xml:space="preserve">. </w:t>
      </w:r>
    </w:p>
    <w:p w14:paraId="14DF3219" w14:textId="0DC53D0A" w:rsidR="008438AD" w:rsidRDefault="00F96092" w:rsidP="004B0A0A">
      <w:pPr>
        <w:pStyle w:val="Bullet"/>
      </w:pPr>
      <w:r w:rsidRPr="00A91642">
        <w:rPr>
          <w:b/>
        </w:rPr>
        <w:t>Section</w:t>
      </w:r>
      <w:r w:rsidRPr="00A91642" w:rsidDel="00C4089F">
        <w:t xml:space="preserve"> </w:t>
      </w:r>
      <w:r w:rsidR="00C4089F">
        <w:rPr>
          <w:b/>
        </w:rPr>
        <w:t>1</w:t>
      </w:r>
      <w:r>
        <w:t xml:space="preserve"> o</w:t>
      </w:r>
      <w:r w:rsidR="008438AD">
        <w:t>utlines the development of JobKeeper</w:t>
      </w:r>
      <w:r w:rsidR="003628F5">
        <w:t>,</w:t>
      </w:r>
      <w:r w:rsidR="008438AD">
        <w:t xml:space="preserve"> including the economic and health context in which JobKeeper was developed, JobKeeper design features</w:t>
      </w:r>
      <w:r w:rsidR="006F538C">
        <w:t xml:space="preserve">, </w:t>
      </w:r>
      <w:r w:rsidR="008438AD">
        <w:t xml:space="preserve">and changes </w:t>
      </w:r>
      <w:r w:rsidR="00D17111">
        <w:t xml:space="preserve">made </w:t>
      </w:r>
      <w:r w:rsidR="008438AD">
        <w:t xml:space="preserve">to the policy over time. </w:t>
      </w:r>
    </w:p>
    <w:p w14:paraId="116EC147" w14:textId="1A2A4E41" w:rsidR="00F96092" w:rsidRDefault="00F96092" w:rsidP="004B0A0A">
      <w:pPr>
        <w:pStyle w:val="Bullet"/>
      </w:pPr>
      <w:r w:rsidRPr="00A91642">
        <w:rPr>
          <w:b/>
        </w:rPr>
        <w:t xml:space="preserve">Section </w:t>
      </w:r>
      <w:r w:rsidR="00C4089F">
        <w:rPr>
          <w:b/>
        </w:rPr>
        <w:t>2</w:t>
      </w:r>
      <w:r w:rsidR="00C4089F" w:rsidRPr="00A91642">
        <w:t xml:space="preserve"> </w:t>
      </w:r>
      <w:r>
        <w:t>p</w:t>
      </w:r>
      <w:r w:rsidR="008438AD">
        <w:t>rovides updated summary program data on JobKeeper recipients.</w:t>
      </w:r>
    </w:p>
    <w:p w14:paraId="326DF592" w14:textId="7C86CB2D" w:rsidR="00B12BF8" w:rsidRDefault="00B12BF8" w:rsidP="00B12BF8">
      <w:pPr>
        <w:pStyle w:val="Bullet"/>
      </w:pPr>
      <w:r w:rsidRPr="00A91642">
        <w:rPr>
          <w:b/>
        </w:rPr>
        <w:t xml:space="preserve">Section </w:t>
      </w:r>
      <w:r>
        <w:rPr>
          <w:b/>
        </w:rPr>
        <w:t>3</w:t>
      </w:r>
      <w:r w:rsidRPr="00A91642">
        <w:t xml:space="preserve"> </w:t>
      </w:r>
      <w:r>
        <w:t xml:space="preserve">provides analysis on the economic effect of JobKeeper. </w:t>
      </w:r>
    </w:p>
    <w:p w14:paraId="00F2DAB3" w14:textId="0C88B7A9" w:rsidR="003F2D4C" w:rsidRPr="009A5B48" w:rsidRDefault="00F96092" w:rsidP="003F2D4C">
      <w:pPr>
        <w:pStyle w:val="Bullet"/>
      </w:pPr>
      <w:r w:rsidRPr="00A91642">
        <w:rPr>
          <w:b/>
        </w:rPr>
        <w:t xml:space="preserve">Section </w:t>
      </w:r>
      <w:r w:rsidR="00C4089F">
        <w:rPr>
          <w:b/>
        </w:rPr>
        <w:t>4</w:t>
      </w:r>
      <w:r w:rsidR="00C4089F" w:rsidRPr="00A91642">
        <w:rPr>
          <w:b/>
        </w:rPr>
        <w:t xml:space="preserve"> </w:t>
      </w:r>
      <w:r w:rsidR="003F2D4C" w:rsidRPr="009A5B48">
        <w:t xml:space="preserve">discusses analysis on JobKeeper and </w:t>
      </w:r>
      <w:r w:rsidR="00B807EE">
        <w:t>business</w:t>
      </w:r>
      <w:r w:rsidR="0038520A">
        <w:noBreakHyphen/>
      </w:r>
      <w:r w:rsidR="003F2D4C" w:rsidRPr="009A5B48">
        <w:t>level performance.</w:t>
      </w:r>
    </w:p>
    <w:p w14:paraId="59C87047" w14:textId="439E5172" w:rsidR="008438AD" w:rsidRDefault="00F96092" w:rsidP="004B0A0A">
      <w:pPr>
        <w:pStyle w:val="Bullet"/>
      </w:pPr>
      <w:r w:rsidRPr="00A91642">
        <w:rPr>
          <w:b/>
        </w:rPr>
        <w:t xml:space="preserve">Section </w:t>
      </w:r>
      <w:r w:rsidR="00C4089F">
        <w:rPr>
          <w:b/>
        </w:rPr>
        <w:t>5</w:t>
      </w:r>
      <w:r w:rsidR="00C4089F">
        <w:t xml:space="preserve"> </w:t>
      </w:r>
      <w:r>
        <w:t xml:space="preserve">outlines future </w:t>
      </w:r>
      <w:r w:rsidR="007C7C53">
        <w:t xml:space="preserve">evaluation </w:t>
      </w:r>
      <w:r w:rsidR="006B0BF7">
        <w:t xml:space="preserve">and audit activities </w:t>
      </w:r>
      <w:r>
        <w:t>planned for JobKeeper</w:t>
      </w:r>
      <w:r w:rsidR="0038520A">
        <w:t xml:space="preserve">. </w:t>
      </w:r>
    </w:p>
    <w:p w14:paraId="4E060989" w14:textId="0E4564CB" w:rsidR="00A91642" w:rsidRDefault="00FD5F43" w:rsidP="00A91642">
      <w:r>
        <w:t xml:space="preserve">The </w:t>
      </w:r>
      <w:r w:rsidR="00881737">
        <w:t>report</w:t>
      </w:r>
      <w:r>
        <w:t xml:space="preserve"> draws on ongoing analysis undertaken by Treasury throughout 2020 and 2021 on JobKeeper and </w:t>
      </w:r>
      <w:r w:rsidR="00D21F5B">
        <w:t xml:space="preserve">macroeconomic </w:t>
      </w:r>
      <w:r>
        <w:t>developments. This analysis has been updated over time as more data</w:t>
      </w:r>
      <w:r w:rsidR="00FF6BBF">
        <w:t xml:space="preserve"> ha</w:t>
      </w:r>
      <w:r w:rsidR="00DA2F84">
        <w:t>ve</w:t>
      </w:r>
      <w:r w:rsidR="00FF6BBF">
        <w:t xml:space="preserve"> become</w:t>
      </w:r>
      <w:r>
        <w:t xml:space="preserve"> available</w:t>
      </w:r>
      <w:r w:rsidR="00082668">
        <w:t xml:space="preserve"> and </w:t>
      </w:r>
      <w:r w:rsidR="00B1065F">
        <w:t>will continue</w:t>
      </w:r>
      <w:r w:rsidR="00A91642">
        <w:t xml:space="preserve"> to be updated</w:t>
      </w:r>
      <w:r w:rsidR="00B1065F">
        <w:t>. A</w:t>
      </w:r>
      <w:r w:rsidR="00881737">
        <w:t xml:space="preserve"> full</w:t>
      </w:r>
      <w:r w:rsidR="00B1065F">
        <w:t xml:space="preserve"> evaluation of </w:t>
      </w:r>
      <w:r w:rsidR="001B1459">
        <w:t>JobKeeper</w:t>
      </w:r>
      <w:r w:rsidR="00B1065F">
        <w:t xml:space="preserve"> </w:t>
      </w:r>
      <w:r w:rsidR="00943557">
        <w:t xml:space="preserve">that considers the process to design and implement </w:t>
      </w:r>
      <w:r w:rsidR="009876E7">
        <w:t>JobKeeper,</w:t>
      </w:r>
      <w:r w:rsidR="00943557">
        <w:t xml:space="preserve"> and its economic and broader impacts will be completed </w:t>
      </w:r>
      <w:r w:rsidR="00DC51B4" w:rsidRPr="003F5268">
        <w:t>in 2022</w:t>
      </w:r>
      <w:r w:rsidR="00DC51B4">
        <w:t xml:space="preserve"> </w:t>
      </w:r>
      <w:r w:rsidR="00943557">
        <w:t xml:space="preserve">to provide an assessment of JobKeeper against its policy objectives and record lessons learned for future policy design. </w:t>
      </w:r>
      <w:r w:rsidR="00A91642">
        <w:t>This will complement other analysis of the JobKeeper program that is being undertaken by the A</w:t>
      </w:r>
      <w:r w:rsidR="006F072B">
        <w:t xml:space="preserve">ustralian </w:t>
      </w:r>
      <w:r w:rsidR="00A91642">
        <w:t>N</w:t>
      </w:r>
      <w:r w:rsidR="006F072B">
        <w:t xml:space="preserve">ational </w:t>
      </w:r>
      <w:r w:rsidR="00A91642">
        <w:t>A</w:t>
      </w:r>
      <w:r w:rsidR="006F072B">
        <w:t xml:space="preserve">udit </w:t>
      </w:r>
      <w:r w:rsidR="00A91642">
        <w:t>O</w:t>
      </w:r>
      <w:r w:rsidR="006F072B">
        <w:t>ffice (</w:t>
      </w:r>
      <w:r w:rsidR="00A91642">
        <w:t>ANAO</w:t>
      </w:r>
      <w:r w:rsidR="006F072B">
        <w:t>)</w:t>
      </w:r>
      <w:r w:rsidR="00A91642">
        <w:t xml:space="preserve"> and by researchers</w:t>
      </w:r>
      <w:r w:rsidR="00D21F5B">
        <w:t xml:space="preserve"> and</w:t>
      </w:r>
      <w:r w:rsidR="00A91642">
        <w:t xml:space="preserve"> academics supported by the </w:t>
      </w:r>
      <w:r w:rsidR="00876CB4">
        <w:t xml:space="preserve">availability </w:t>
      </w:r>
      <w:r w:rsidR="00A91642">
        <w:t>of the JobKeeper administrative data.</w:t>
      </w:r>
    </w:p>
    <w:p w14:paraId="2C9350C5" w14:textId="58A8B2BF" w:rsidR="00F96092" w:rsidRDefault="00F96092" w:rsidP="003645F0"/>
    <w:p w14:paraId="336387D1" w14:textId="77777777" w:rsidR="009A5B48" w:rsidRDefault="009A5B48" w:rsidP="007B147C">
      <w:pPr>
        <w:tabs>
          <w:tab w:val="left" w:pos="6946"/>
        </w:tabs>
        <w:spacing w:after="200" w:line="276" w:lineRule="auto"/>
      </w:pPr>
      <w:r>
        <w:br w:type="page"/>
      </w:r>
    </w:p>
    <w:p w14:paraId="40E265DC" w14:textId="08139253" w:rsidR="00852B74" w:rsidRPr="006F3C8F" w:rsidRDefault="00007A57" w:rsidP="00FD63D7">
      <w:pPr>
        <w:pStyle w:val="Heading1"/>
      </w:pPr>
      <w:bookmarkStart w:id="17" w:name="_Toc82787295"/>
      <w:bookmarkStart w:id="18" w:name="_Toc83215042"/>
      <w:bookmarkStart w:id="19" w:name="_Toc84842616"/>
      <w:bookmarkStart w:id="20" w:name="_Hlk83133213"/>
      <w:r>
        <w:lastRenderedPageBreak/>
        <w:t xml:space="preserve">1. </w:t>
      </w:r>
      <w:r w:rsidR="00257A78">
        <w:t xml:space="preserve">JobKeeper </w:t>
      </w:r>
      <w:bookmarkEnd w:id="17"/>
      <w:r w:rsidR="00601199">
        <w:t>d</w:t>
      </w:r>
      <w:r w:rsidR="00C96684">
        <w:t xml:space="preserve">esign and </w:t>
      </w:r>
      <w:bookmarkEnd w:id="18"/>
      <w:r w:rsidR="00601199">
        <w:t>i</w:t>
      </w:r>
      <w:r w:rsidR="00C96684">
        <w:t>mplementation</w:t>
      </w:r>
      <w:bookmarkEnd w:id="19"/>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1"/>
      </w:tblGrid>
      <w:tr w:rsidR="003E1AAE" w14:paraId="2AEEB612" w14:textId="77777777" w:rsidTr="006439D0">
        <w:tc>
          <w:tcPr>
            <w:tcW w:w="5000" w:type="pct"/>
            <w:shd w:val="clear" w:color="auto" w:fill="EAEAEA" w:themeFill="background2"/>
          </w:tcPr>
          <w:p w14:paraId="2787FC54" w14:textId="33535B9C" w:rsidR="003E1AAE" w:rsidRPr="000553FE" w:rsidRDefault="003E1AAE" w:rsidP="006439D0">
            <w:pPr>
              <w:pStyle w:val="BoxHeading"/>
              <w:rPr>
                <w:b w:val="0"/>
              </w:rPr>
            </w:pPr>
            <w:bookmarkStart w:id="21" w:name="_Toc83324942"/>
            <w:bookmarkStart w:id="22" w:name="_Toc83404401"/>
            <w:bookmarkStart w:id="23" w:name="_Toc83815064"/>
            <w:bookmarkStart w:id="24" w:name="_Toc84099836"/>
            <w:bookmarkStart w:id="25" w:name="_Toc84431324"/>
            <w:bookmarkStart w:id="26" w:name="_Toc84431652"/>
            <w:bookmarkStart w:id="27" w:name="_Toc84607835"/>
            <w:bookmarkStart w:id="28" w:name="_Toc84774118"/>
            <w:bookmarkStart w:id="29" w:name="_Toc84842557"/>
            <w:bookmarkStart w:id="30" w:name="_Toc82787296"/>
            <w:r>
              <w:t>Summary</w:t>
            </w:r>
            <w:bookmarkEnd w:id="21"/>
            <w:bookmarkEnd w:id="22"/>
            <w:bookmarkEnd w:id="23"/>
            <w:bookmarkEnd w:id="24"/>
            <w:bookmarkEnd w:id="25"/>
            <w:bookmarkEnd w:id="26"/>
            <w:bookmarkEnd w:id="27"/>
            <w:bookmarkEnd w:id="28"/>
            <w:bookmarkEnd w:id="29"/>
          </w:p>
          <w:p w14:paraId="4B2D0806" w14:textId="62DF18F9" w:rsidR="00DF2D69" w:rsidRPr="0083592A" w:rsidRDefault="00DF2D69" w:rsidP="0083592A">
            <w:pPr>
              <w:jc w:val="left"/>
              <w:rPr>
                <w:sz w:val="22"/>
                <w:szCs w:val="22"/>
              </w:rPr>
            </w:pPr>
            <w:r w:rsidRPr="0083592A">
              <w:rPr>
                <w:sz w:val="22"/>
                <w:szCs w:val="22"/>
              </w:rPr>
              <w:t xml:space="preserve">JobKeeper was developed in the second half of March 2020 in response to the worsening health and economic situation in Australia. The </w:t>
            </w:r>
            <w:r w:rsidR="00881737" w:rsidRPr="0083592A">
              <w:rPr>
                <w:sz w:val="22"/>
                <w:szCs w:val="22"/>
              </w:rPr>
              <w:t>health</w:t>
            </w:r>
            <w:r w:rsidRPr="0083592A">
              <w:rPr>
                <w:sz w:val="22"/>
                <w:szCs w:val="22"/>
              </w:rPr>
              <w:t xml:space="preserve"> advice at the time was that severe restrictions </w:t>
            </w:r>
            <w:r w:rsidR="00877C5B" w:rsidRPr="0083592A">
              <w:rPr>
                <w:sz w:val="22"/>
                <w:szCs w:val="22"/>
              </w:rPr>
              <w:t>to control the spread of COVID</w:t>
            </w:r>
            <w:r w:rsidR="0038520A">
              <w:rPr>
                <w:sz w:val="22"/>
                <w:szCs w:val="22"/>
              </w:rPr>
              <w:noBreakHyphen/>
            </w:r>
            <w:r w:rsidR="00877C5B" w:rsidRPr="0083592A">
              <w:rPr>
                <w:sz w:val="22"/>
                <w:szCs w:val="22"/>
              </w:rPr>
              <w:t xml:space="preserve">19 </w:t>
            </w:r>
            <w:r w:rsidRPr="0083592A">
              <w:rPr>
                <w:sz w:val="22"/>
                <w:szCs w:val="22"/>
              </w:rPr>
              <w:t xml:space="preserve">may need to be in place for </w:t>
            </w:r>
            <w:r w:rsidR="003A0EEE">
              <w:rPr>
                <w:sz w:val="22"/>
                <w:szCs w:val="22"/>
              </w:rPr>
              <w:t>six</w:t>
            </w:r>
            <w:r w:rsidR="006938A2" w:rsidRPr="0083592A">
              <w:rPr>
                <w:sz w:val="22"/>
                <w:szCs w:val="22"/>
              </w:rPr>
              <w:t xml:space="preserve"> </w:t>
            </w:r>
            <w:r w:rsidRPr="0083592A">
              <w:rPr>
                <w:sz w:val="22"/>
                <w:szCs w:val="22"/>
              </w:rPr>
              <w:t xml:space="preserve">months or more. Treasury modelling suggested that the June quarter </w:t>
            </w:r>
            <w:r w:rsidR="008935D7" w:rsidRPr="0083592A">
              <w:rPr>
                <w:sz w:val="22"/>
                <w:szCs w:val="22"/>
              </w:rPr>
              <w:t xml:space="preserve">2020 </w:t>
            </w:r>
            <w:r w:rsidR="005553D5" w:rsidRPr="0083592A">
              <w:rPr>
                <w:sz w:val="22"/>
                <w:szCs w:val="22"/>
              </w:rPr>
              <w:t xml:space="preserve">could see </w:t>
            </w:r>
            <w:r w:rsidRPr="0083592A">
              <w:rPr>
                <w:sz w:val="22"/>
                <w:szCs w:val="22"/>
              </w:rPr>
              <w:t>2.1 million fewer people working.</w:t>
            </w:r>
          </w:p>
          <w:p w14:paraId="0A484C7F" w14:textId="6BEC94B3" w:rsidR="00E27699" w:rsidRDefault="00DF2D69" w:rsidP="0083592A">
            <w:pPr>
              <w:jc w:val="left"/>
              <w:rPr>
                <w:sz w:val="22"/>
                <w:szCs w:val="22"/>
                <w:lang w:val="en-US"/>
              </w:rPr>
            </w:pPr>
            <w:r w:rsidRPr="0083592A">
              <w:rPr>
                <w:sz w:val="22"/>
                <w:szCs w:val="22"/>
                <w:lang w:val="en-US"/>
              </w:rPr>
              <w:t xml:space="preserve">JobKeeper was designed to provide income support to households and businesses </w:t>
            </w:r>
            <w:r w:rsidR="0055174E">
              <w:rPr>
                <w:sz w:val="22"/>
                <w:szCs w:val="22"/>
                <w:lang w:val="en-US"/>
              </w:rPr>
              <w:t xml:space="preserve">while restrictions were in place and </w:t>
            </w:r>
            <w:r w:rsidRPr="0083592A">
              <w:rPr>
                <w:sz w:val="22"/>
                <w:szCs w:val="22"/>
                <w:lang w:val="en-US"/>
              </w:rPr>
              <w:t xml:space="preserve">to </w:t>
            </w:r>
            <w:r w:rsidR="00E27699">
              <w:rPr>
                <w:sz w:val="22"/>
                <w:szCs w:val="22"/>
                <w:lang w:val="en-US"/>
              </w:rPr>
              <w:t>assist</w:t>
            </w:r>
            <w:r w:rsidRPr="0083592A">
              <w:rPr>
                <w:sz w:val="22"/>
                <w:szCs w:val="22"/>
                <w:lang w:val="en-US"/>
              </w:rPr>
              <w:t xml:space="preserve"> the economy </w:t>
            </w:r>
            <w:r w:rsidRPr="0083592A">
              <w:rPr>
                <w:sz w:val="22"/>
                <w:szCs w:val="22"/>
              </w:rPr>
              <w:t xml:space="preserve">stabilise </w:t>
            </w:r>
            <w:r w:rsidRPr="0083592A">
              <w:rPr>
                <w:sz w:val="22"/>
                <w:szCs w:val="22"/>
                <w:lang w:val="en-US"/>
              </w:rPr>
              <w:t>and then recover</w:t>
            </w:r>
            <w:r w:rsidR="00193EFE" w:rsidRPr="0083592A">
              <w:rPr>
                <w:sz w:val="22"/>
                <w:szCs w:val="22"/>
                <w:lang w:val="en-US"/>
              </w:rPr>
              <w:t>.</w:t>
            </w:r>
            <w:r w:rsidRPr="0083592A">
              <w:rPr>
                <w:sz w:val="22"/>
                <w:szCs w:val="22"/>
                <w:lang w:val="en-US"/>
              </w:rPr>
              <w:t xml:space="preserve"> </w:t>
            </w:r>
          </w:p>
          <w:p w14:paraId="1999B5CF" w14:textId="6781F232" w:rsidR="00DF2D69" w:rsidRPr="0083592A" w:rsidRDefault="00DF2D69" w:rsidP="0083592A">
            <w:pPr>
              <w:jc w:val="left"/>
              <w:rPr>
                <w:sz w:val="22"/>
                <w:szCs w:val="22"/>
                <w:lang w:val="en-US"/>
              </w:rPr>
            </w:pPr>
            <w:r w:rsidRPr="0083592A">
              <w:rPr>
                <w:sz w:val="22"/>
                <w:szCs w:val="22"/>
                <w:lang w:val="en-US"/>
              </w:rPr>
              <w:t xml:space="preserve">Key design </w:t>
            </w:r>
            <w:r w:rsidR="00E27699">
              <w:rPr>
                <w:sz w:val="22"/>
                <w:szCs w:val="22"/>
                <w:lang w:val="en-US"/>
              </w:rPr>
              <w:t>elements</w:t>
            </w:r>
            <w:r w:rsidR="00E27699" w:rsidRPr="0083592A">
              <w:rPr>
                <w:sz w:val="22"/>
                <w:szCs w:val="22"/>
                <w:lang w:val="en-US"/>
              </w:rPr>
              <w:t xml:space="preserve"> </w:t>
            </w:r>
            <w:r w:rsidRPr="0083592A">
              <w:rPr>
                <w:sz w:val="22"/>
                <w:szCs w:val="22"/>
                <w:lang w:val="en-US"/>
              </w:rPr>
              <w:t>were:</w:t>
            </w:r>
          </w:p>
          <w:p w14:paraId="6D490EA8" w14:textId="0A031475" w:rsidR="00DF2D69" w:rsidRPr="0083592A" w:rsidRDefault="00DF2D69" w:rsidP="003D4CAA">
            <w:pPr>
              <w:pStyle w:val="Bullet"/>
              <w:numPr>
                <w:ilvl w:val="0"/>
                <w:numId w:val="24"/>
              </w:numPr>
              <w:spacing w:after="160" w:line="259" w:lineRule="auto"/>
              <w:jc w:val="left"/>
              <w:rPr>
                <w:sz w:val="22"/>
                <w:szCs w:val="22"/>
              </w:rPr>
            </w:pPr>
            <w:r w:rsidRPr="0083592A">
              <w:rPr>
                <w:b/>
                <w:sz w:val="22"/>
                <w:szCs w:val="22"/>
              </w:rPr>
              <w:t>ATO delivery</w:t>
            </w:r>
            <w:r w:rsidRPr="0083592A">
              <w:rPr>
                <w:i/>
                <w:sz w:val="22"/>
                <w:szCs w:val="22"/>
              </w:rPr>
              <w:t xml:space="preserve"> </w:t>
            </w:r>
            <w:r w:rsidRPr="0083592A">
              <w:rPr>
                <w:sz w:val="22"/>
                <w:szCs w:val="22"/>
              </w:rPr>
              <w:t xml:space="preserve">which supported an effective and rapid rollout using existing integrity </w:t>
            </w:r>
            <w:r w:rsidR="00E27699">
              <w:rPr>
                <w:sz w:val="22"/>
                <w:szCs w:val="22"/>
              </w:rPr>
              <w:t>provisions</w:t>
            </w:r>
          </w:p>
          <w:p w14:paraId="786A1101" w14:textId="29DBCB0D" w:rsidR="00DF2D69" w:rsidRPr="00DB308B" w:rsidRDefault="00DF2D69" w:rsidP="003D4CAA">
            <w:pPr>
              <w:pStyle w:val="Bullet"/>
              <w:numPr>
                <w:ilvl w:val="0"/>
                <w:numId w:val="24"/>
              </w:numPr>
              <w:spacing w:after="160" w:line="259" w:lineRule="auto"/>
              <w:jc w:val="left"/>
              <w:rPr>
                <w:iCs/>
                <w:sz w:val="22"/>
                <w:szCs w:val="22"/>
              </w:rPr>
            </w:pPr>
            <w:r w:rsidRPr="0083592A">
              <w:rPr>
                <w:b/>
                <w:sz w:val="22"/>
                <w:szCs w:val="22"/>
              </w:rPr>
              <w:t>A prospective turnover test</w:t>
            </w:r>
            <w:r w:rsidRPr="0083592A">
              <w:rPr>
                <w:i/>
                <w:sz w:val="22"/>
                <w:szCs w:val="22"/>
              </w:rPr>
              <w:t xml:space="preserve"> </w:t>
            </w:r>
            <w:r w:rsidRPr="0083592A">
              <w:rPr>
                <w:sz w:val="22"/>
                <w:szCs w:val="22"/>
              </w:rPr>
              <w:t>which allowed eligibility to be determined almost immediately</w:t>
            </w:r>
          </w:p>
          <w:p w14:paraId="626C58DC" w14:textId="04C321CB" w:rsidR="00796E10" w:rsidRPr="0045504D" w:rsidRDefault="00A63FDA" w:rsidP="003D4CAA">
            <w:pPr>
              <w:pStyle w:val="Bullet"/>
              <w:numPr>
                <w:ilvl w:val="0"/>
                <w:numId w:val="24"/>
              </w:numPr>
              <w:spacing w:after="160" w:line="259" w:lineRule="auto"/>
              <w:jc w:val="left"/>
              <w:rPr>
                <w:i/>
                <w:sz w:val="22"/>
                <w:szCs w:val="22"/>
              </w:rPr>
            </w:pPr>
            <w:r>
              <w:rPr>
                <w:b/>
                <w:sz w:val="22"/>
                <w:szCs w:val="22"/>
              </w:rPr>
              <w:t xml:space="preserve">A flat </w:t>
            </w:r>
            <w:r w:rsidR="00796E10">
              <w:rPr>
                <w:b/>
                <w:sz w:val="22"/>
                <w:szCs w:val="22"/>
              </w:rPr>
              <w:t>payment structure</w:t>
            </w:r>
            <w:r w:rsidR="00796E10">
              <w:rPr>
                <w:bCs/>
                <w:sz w:val="22"/>
                <w:szCs w:val="22"/>
              </w:rPr>
              <w:t xml:space="preserve"> that was broadly equal to the National Minimum Wage and made JobKeeper simple and easy to administer </w:t>
            </w:r>
          </w:p>
          <w:p w14:paraId="4FD8E333" w14:textId="2B6D522C" w:rsidR="00DF2D69" w:rsidRPr="0083592A" w:rsidRDefault="00E27699" w:rsidP="003D4CAA">
            <w:pPr>
              <w:pStyle w:val="Bullet"/>
              <w:numPr>
                <w:ilvl w:val="0"/>
                <w:numId w:val="24"/>
              </w:numPr>
              <w:spacing w:after="160" w:line="259" w:lineRule="auto"/>
              <w:jc w:val="left"/>
              <w:rPr>
                <w:i/>
                <w:sz w:val="22"/>
                <w:szCs w:val="22"/>
              </w:rPr>
            </w:pPr>
            <w:r>
              <w:rPr>
                <w:b/>
                <w:sz w:val="22"/>
                <w:szCs w:val="22"/>
              </w:rPr>
              <w:t>A requirement for f</w:t>
            </w:r>
            <w:r w:rsidR="00DF2D69" w:rsidRPr="0083592A">
              <w:rPr>
                <w:b/>
                <w:sz w:val="22"/>
                <w:szCs w:val="22"/>
              </w:rPr>
              <w:t>ull pass through to employees</w:t>
            </w:r>
            <w:r w:rsidR="00DF2D69" w:rsidRPr="0083592A">
              <w:rPr>
                <w:i/>
                <w:sz w:val="22"/>
                <w:szCs w:val="22"/>
              </w:rPr>
              <w:t xml:space="preserve"> </w:t>
            </w:r>
            <w:r w:rsidR="00DF2D69" w:rsidRPr="0083592A">
              <w:rPr>
                <w:sz w:val="22"/>
                <w:szCs w:val="22"/>
              </w:rPr>
              <w:t>provid</w:t>
            </w:r>
            <w:r w:rsidR="000232E2" w:rsidRPr="0083592A">
              <w:rPr>
                <w:sz w:val="22"/>
                <w:szCs w:val="22"/>
              </w:rPr>
              <w:t>ing</w:t>
            </w:r>
            <w:r w:rsidR="00DF2D69" w:rsidRPr="0083592A">
              <w:rPr>
                <w:sz w:val="22"/>
                <w:szCs w:val="22"/>
              </w:rPr>
              <w:t xml:space="preserve"> income support while </w:t>
            </w:r>
            <w:r w:rsidR="000232E2" w:rsidRPr="0083592A">
              <w:rPr>
                <w:sz w:val="22"/>
                <w:szCs w:val="22"/>
              </w:rPr>
              <w:t>preserving employment connections</w:t>
            </w:r>
          </w:p>
          <w:p w14:paraId="0846F588" w14:textId="780E37E5" w:rsidR="003E1AAE" w:rsidRPr="00DA77F6" w:rsidRDefault="00DF2D69" w:rsidP="003D4CAA">
            <w:pPr>
              <w:pStyle w:val="Bullet"/>
              <w:numPr>
                <w:ilvl w:val="0"/>
                <w:numId w:val="24"/>
              </w:numPr>
              <w:spacing w:after="160" w:line="259" w:lineRule="auto"/>
              <w:jc w:val="left"/>
            </w:pPr>
            <w:r w:rsidRPr="00957A5C">
              <w:rPr>
                <w:b/>
                <w:sz w:val="22"/>
                <w:szCs w:val="22"/>
              </w:rPr>
              <w:t xml:space="preserve">Guaranteed support for </w:t>
            </w:r>
            <w:r w:rsidR="003A0EEE" w:rsidRPr="00957A5C">
              <w:rPr>
                <w:b/>
                <w:sz w:val="22"/>
                <w:szCs w:val="22"/>
              </w:rPr>
              <w:t>six</w:t>
            </w:r>
            <w:r w:rsidR="006938A2" w:rsidRPr="00957A5C">
              <w:rPr>
                <w:b/>
                <w:sz w:val="22"/>
                <w:szCs w:val="22"/>
              </w:rPr>
              <w:t xml:space="preserve"> </w:t>
            </w:r>
            <w:r w:rsidRPr="00957A5C">
              <w:rPr>
                <w:b/>
                <w:sz w:val="22"/>
                <w:szCs w:val="22"/>
              </w:rPr>
              <w:t>months</w:t>
            </w:r>
            <w:r w:rsidRPr="00957A5C">
              <w:rPr>
                <w:sz w:val="22"/>
                <w:szCs w:val="22"/>
              </w:rPr>
              <w:t xml:space="preserve"> which</w:t>
            </w:r>
            <w:r w:rsidRPr="00957A5C">
              <w:rPr>
                <w:i/>
                <w:sz w:val="22"/>
                <w:szCs w:val="22"/>
              </w:rPr>
              <w:t xml:space="preserve"> </w:t>
            </w:r>
            <w:r w:rsidRPr="00957A5C">
              <w:rPr>
                <w:sz w:val="22"/>
                <w:szCs w:val="22"/>
              </w:rPr>
              <w:t>provided</w:t>
            </w:r>
            <w:r w:rsidRPr="0083592A">
              <w:rPr>
                <w:sz w:val="22"/>
                <w:szCs w:val="22"/>
              </w:rPr>
              <w:t xml:space="preserve"> certainty in a highly </w:t>
            </w:r>
            <w:r w:rsidR="00B158E2" w:rsidRPr="0083592A">
              <w:rPr>
                <w:sz w:val="22"/>
                <w:szCs w:val="22"/>
              </w:rPr>
              <w:t>unpredictable</w:t>
            </w:r>
            <w:r w:rsidRPr="0083592A">
              <w:rPr>
                <w:sz w:val="22"/>
                <w:szCs w:val="22"/>
              </w:rPr>
              <w:t xml:space="preserve"> environment</w:t>
            </w:r>
            <w:r w:rsidR="009B5BEE" w:rsidRPr="0083592A">
              <w:rPr>
                <w:sz w:val="22"/>
                <w:szCs w:val="22"/>
              </w:rPr>
              <w:t xml:space="preserve"> and encouraged businesses to operate, adapt and innovate</w:t>
            </w:r>
          </w:p>
          <w:p w14:paraId="26E7EFFE" w14:textId="40B4CC20" w:rsidR="003E1AAE" w:rsidRPr="00C70F33" w:rsidRDefault="00DA77F6" w:rsidP="00DA77F6">
            <w:pPr>
              <w:pStyle w:val="Bullet"/>
              <w:numPr>
                <w:ilvl w:val="0"/>
                <w:numId w:val="0"/>
              </w:numPr>
              <w:spacing w:after="160" w:line="259" w:lineRule="auto"/>
              <w:jc w:val="left"/>
            </w:pPr>
            <w:r w:rsidRPr="0045504D">
              <w:rPr>
                <w:sz w:val="22"/>
                <w:szCs w:val="22"/>
              </w:rPr>
              <w:t xml:space="preserve">The </w:t>
            </w:r>
            <w:r w:rsidR="006C354D">
              <w:rPr>
                <w:i/>
                <w:iCs/>
                <w:sz w:val="22"/>
                <w:szCs w:val="22"/>
              </w:rPr>
              <w:t>JobKeeper review</w:t>
            </w:r>
            <w:r w:rsidRPr="0045504D">
              <w:rPr>
                <w:sz w:val="22"/>
                <w:szCs w:val="22"/>
              </w:rPr>
              <w:t xml:space="preserve"> in June 2020 found that JobKeeper had met its objectives</w:t>
            </w:r>
            <w:r w:rsidR="0045504D" w:rsidRPr="0045504D">
              <w:rPr>
                <w:sz w:val="22"/>
                <w:szCs w:val="22"/>
              </w:rPr>
              <w:t xml:space="preserve"> and recommended that the scheme remain unchanged until the end of September</w:t>
            </w:r>
            <w:r w:rsidR="00EC3487">
              <w:rPr>
                <w:sz w:val="22"/>
                <w:szCs w:val="22"/>
              </w:rPr>
              <w:t> </w:t>
            </w:r>
            <w:r w:rsidR="0045504D" w:rsidRPr="0045504D">
              <w:rPr>
                <w:sz w:val="22"/>
                <w:szCs w:val="22"/>
              </w:rPr>
              <w:t xml:space="preserve">2020. </w:t>
            </w:r>
          </w:p>
        </w:tc>
      </w:tr>
    </w:tbl>
    <w:p w14:paraId="5C4715CC" w14:textId="3E16EA9A" w:rsidR="00257A78" w:rsidRDefault="00797A48" w:rsidP="00FD63D7">
      <w:pPr>
        <w:pStyle w:val="Heading2"/>
      </w:pPr>
      <w:bookmarkStart w:id="31" w:name="_Toc83215043"/>
      <w:bookmarkStart w:id="32" w:name="_Toc84842617"/>
      <w:r>
        <w:t>Initial JobKeeper design</w:t>
      </w:r>
      <w:bookmarkEnd w:id="30"/>
      <w:bookmarkEnd w:id="31"/>
      <w:bookmarkEnd w:id="32"/>
    </w:p>
    <w:p w14:paraId="61776EE6" w14:textId="35252AFB" w:rsidR="003F53A9" w:rsidRDefault="003F53A9" w:rsidP="00FD63D7">
      <w:pPr>
        <w:pStyle w:val="Heading3"/>
      </w:pPr>
      <w:bookmarkStart w:id="33" w:name="_Toc83215044"/>
      <w:r>
        <w:t>Context</w:t>
      </w:r>
      <w:bookmarkEnd w:id="33"/>
    </w:p>
    <w:p w14:paraId="0AC5E006" w14:textId="29608FE2" w:rsidR="00797A48" w:rsidRDefault="001B1459" w:rsidP="004C4478">
      <w:pPr>
        <w:rPr>
          <w:lang w:val="en-US"/>
        </w:rPr>
      </w:pPr>
      <w:r>
        <w:t>JobKeeper</w:t>
      </w:r>
      <w:r>
        <w:rPr>
          <w:lang w:val="en-US"/>
        </w:rPr>
        <w:t xml:space="preserve"> </w:t>
      </w:r>
      <w:r w:rsidR="00797A48">
        <w:rPr>
          <w:lang w:val="en-US"/>
        </w:rPr>
        <w:t>was announced on 30</w:t>
      </w:r>
      <w:r w:rsidR="00F66C95">
        <w:rPr>
          <w:lang w:val="en-US"/>
        </w:rPr>
        <w:t> </w:t>
      </w:r>
      <w:r w:rsidR="00797A48">
        <w:rPr>
          <w:lang w:val="en-US"/>
        </w:rPr>
        <w:t>March 2020</w:t>
      </w:r>
      <w:r w:rsidR="00DA2F84">
        <w:rPr>
          <w:lang w:val="en-US"/>
        </w:rPr>
        <w:t>.</w:t>
      </w:r>
      <w:r w:rsidR="00E34E32">
        <w:rPr>
          <w:rStyle w:val="FootnoteReference"/>
          <w:lang w:val="en-US"/>
        </w:rPr>
        <w:footnoteReference w:id="3"/>
      </w:r>
      <w:r w:rsidR="00797A48" w:rsidDel="001A0A97">
        <w:rPr>
          <w:lang w:val="en-US"/>
        </w:rPr>
        <w:t xml:space="preserve"> </w:t>
      </w:r>
      <w:r w:rsidR="001A0A97">
        <w:t>It</w:t>
      </w:r>
      <w:r w:rsidR="00797A48">
        <w:rPr>
          <w:lang w:val="en-US"/>
        </w:rPr>
        <w:t xml:space="preserve"> was developed in </w:t>
      </w:r>
      <w:r w:rsidR="00256354">
        <w:rPr>
          <w:lang w:val="en-US"/>
        </w:rPr>
        <w:t xml:space="preserve">the second half of March 2020 in </w:t>
      </w:r>
      <w:r w:rsidR="00797A48">
        <w:rPr>
          <w:lang w:val="en-US"/>
        </w:rPr>
        <w:t xml:space="preserve">response to the worsening health and economic </w:t>
      </w:r>
      <w:r w:rsidR="00512C2D">
        <w:rPr>
          <w:lang w:val="en-US"/>
        </w:rPr>
        <w:t xml:space="preserve">situation </w:t>
      </w:r>
      <w:r w:rsidR="00797A48">
        <w:rPr>
          <w:lang w:val="en-US"/>
        </w:rPr>
        <w:t>in Australia,</w:t>
      </w:r>
      <w:r w:rsidR="00256354">
        <w:rPr>
          <w:lang w:val="en-US"/>
        </w:rPr>
        <w:t xml:space="preserve"> </w:t>
      </w:r>
      <w:r w:rsidR="00512C2D">
        <w:rPr>
          <w:lang w:val="en-US"/>
        </w:rPr>
        <w:t>including the need for wide</w:t>
      </w:r>
      <w:r w:rsidR="0038520A">
        <w:rPr>
          <w:lang w:val="en-US"/>
        </w:rPr>
        <w:noBreakHyphen/>
      </w:r>
      <w:r w:rsidR="00512C2D">
        <w:rPr>
          <w:lang w:val="en-US"/>
        </w:rPr>
        <w:t xml:space="preserve">ranging government </w:t>
      </w:r>
      <w:r w:rsidR="00256354">
        <w:rPr>
          <w:lang w:val="en-US"/>
        </w:rPr>
        <w:t xml:space="preserve">restrictions on economic </w:t>
      </w:r>
      <w:r w:rsidR="00256354" w:rsidRPr="004C4478">
        <w:t>activity</w:t>
      </w:r>
      <w:r w:rsidR="00256354">
        <w:rPr>
          <w:lang w:val="en-US"/>
        </w:rPr>
        <w:t xml:space="preserve"> </w:t>
      </w:r>
      <w:r w:rsidR="00797A48">
        <w:rPr>
          <w:lang w:val="en-US"/>
        </w:rPr>
        <w:t>to contain the spread of COVID</w:t>
      </w:r>
      <w:r w:rsidR="0038520A">
        <w:rPr>
          <w:lang w:val="en-US"/>
        </w:rPr>
        <w:noBreakHyphen/>
      </w:r>
      <w:r w:rsidR="00797A48">
        <w:rPr>
          <w:lang w:val="en-US"/>
        </w:rPr>
        <w:t>19</w:t>
      </w:r>
      <w:r w:rsidR="006C502D">
        <w:rPr>
          <w:lang w:val="en-US"/>
        </w:rPr>
        <w:t>.</w:t>
      </w:r>
      <w:r w:rsidR="000119E1">
        <w:rPr>
          <w:rStyle w:val="FootnoteReference"/>
        </w:rPr>
        <w:footnoteReference w:id="4"/>
      </w:r>
      <w:r w:rsidR="000B6E1B">
        <w:rPr>
          <w:lang w:val="en-US"/>
        </w:rPr>
        <w:t xml:space="preserve"> </w:t>
      </w:r>
      <w:r w:rsidR="008C3B86">
        <w:rPr>
          <w:lang w:val="en-US"/>
        </w:rPr>
        <w:t>It</w:t>
      </w:r>
      <w:r w:rsidR="00DD77DC">
        <w:rPr>
          <w:lang w:val="en-US"/>
        </w:rPr>
        <w:t> </w:t>
      </w:r>
      <w:r w:rsidR="008C3B86">
        <w:rPr>
          <w:lang w:val="en-US"/>
        </w:rPr>
        <w:t>followed</w:t>
      </w:r>
      <w:r w:rsidR="00797A48">
        <w:rPr>
          <w:lang w:val="en-US"/>
        </w:rPr>
        <w:t xml:space="preserve"> the </w:t>
      </w:r>
      <w:r w:rsidR="008C3B86">
        <w:t>first</w:t>
      </w:r>
      <w:r w:rsidR="00797A48">
        <w:t xml:space="preserve"> and </w:t>
      </w:r>
      <w:r w:rsidR="008C3B86">
        <w:t>second economic stimulus packages that were announced on 12 and 22</w:t>
      </w:r>
      <w:r w:rsidR="00866694">
        <w:t> </w:t>
      </w:r>
      <w:r w:rsidR="008C3B86">
        <w:t>March</w:t>
      </w:r>
      <w:r w:rsidR="000B6E1B">
        <w:t xml:space="preserve"> 2020</w:t>
      </w:r>
      <w:r w:rsidR="008C3B86">
        <w:t>.</w:t>
      </w:r>
      <w:r w:rsidR="0045504D">
        <w:rPr>
          <w:rStyle w:val="FootnoteReference"/>
        </w:rPr>
        <w:footnoteReference w:id="5"/>
      </w:r>
      <w:r w:rsidR="00256354">
        <w:rPr>
          <w:lang w:val="en-US"/>
        </w:rPr>
        <w:t xml:space="preserve"> </w:t>
      </w:r>
    </w:p>
    <w:p w14:paraId="35C21405" w14:textId="629FC426" w:rsidR="00734000" w:rsidRDefault="00797A48" w:rsidP="004C4478">
      <w:r>
        <w:lastRenderedPageBreak/>
        <w:t xml:space="preserve">In the weeks leading up to the announcement of </w:t>
      </w:r>
      <w:r w:rsidR="00680F4C">
        <w:t>JobKeeper</w:t>
      </w:r>
      <w:r>
        <w:t xml:space="preserve">, it </w:t>
      </w:r>
      <w:r w:rsidR="00A45B77">
        <w:t>became</w:t>
      </w:r>
      <w:r>
        <w:t xml:space="preserve"> evident that Australia would need to take unprecedented measures to restrict the spread of COVID</w:t>
      </w:r>
      <w:r w:rsidR="0038520A">
        <w:noBreakHyphen/>
      </w:r>
      <w:r>
        <w:t xml:space="preserve">19. </w:t>
      </w:r>
      <w:r w:rsidR="00684960">
        <w:t>Severe</w:t>
      </w:r>
      <w:r w:rsidR="005F252E">
        <w:t xml:space="preserve"> restrictions on activity </w:t>
      </w:r>
      <w:r w:rsidR="00684960">
        <w:t xml:space="preserve">were enforced </w:t>
      </w:r>
      <w:r w:rsidR="005F252E">
        <w:t xml:space="preserve">in China </w:t>
      </w:r>
      <w:r w:rsidR="00684960">
        <w:t>during</w:t>
      </w:r>
      <w:r w:rsidR="005F252E">
        <w:t xml:space="preserve"> January and February 2020 </w:t>
      </w:r>
      <w:r w:rsidR="00684960">
        <w:t>and</w:t>
      </w:r>
      <w:r w:rsidR="00DA2F84">
        <w:t>,</w:t>
      </w:r>
      <w:r w:rsidR="00684960">
        <w:t xml:space="preserve"> as</w:t>
      </w:r>
      <w:r w:rsidR="005F252E">
        <w:t xml:space="preserve"> </w:t>
      </w:r>
      <w:r w:rsidR="00DC10CB">
        <w:t xml:space="preserve">the virus </w:t>
      </w:r>
      <w:r w:rsidR="005F252E">
        <w:t>spread</w:t>
      </w:r>
      <w:r w:rsidR="00DC10CB">
        <w:t xml:space="preserve"> around the world</w:t>
      </w:r>
      <w:r w:rsidR="00684960">
        <w:t>,</w:t>
      </w:r>
      <w:r w:rsidR="00DC10CB">
        <w:t xml:space="preserve"> </w:t>
      </w:r>
      <w:r w:rsidR="000B6E1B">
        <w:t>by mid</w:t>
      </w:r>
      <w:r w:rsidR="0038520A">
        <w:noBreakHyphen/>
      </w:r>
      <w:r w:rsidR="000B6E1B">
        <w:t xml:space="preserve">March </w:t>
      </w:r>
      <w:r w:rsidR="00DC10CB">
        <w:t xml:space="preserve">lockdowns </w:t>
      </w:r>
      <w:r w:rsidR="00684960">
        <w:t xml:space="preserve">were being imposed </w:t>
      </w:r>
      <w:r w:rsidR="00DC10CB">
        <w:t xml:space="preserve">in </w:t>
      </w:r>
      <w:r w:rsidR="00860B47">
        <w:t xml:space="preserve">parts of </w:t>
      </w:r>
      <w:r w:rsidR="00DC10CB">
        <w:t>Europe and the United States.</w:t>
      </w:r>
      <w:r w:rsidR="00A37E25">
        <w:t xml:space="preserve"> </w:t>
      </w:r>
    </w:p>
    <w:p w14:paraId="00246A63" w14:textId="2C76A910" w:rsidR="006A2C1B" w:rsidRPr="003B111F" w:rsidRDefault="00797A48" w:rsidP="006E2C94">
      <w:r>
        <w:t xml:space="preserve">From 11 March, </w:t>
      </w:r>
      <w:r w:rsidRPr="00D00D86">
        <w:t>cases</w:t>
      </w:r>
      <w:r>
        <w:t xml:space="preserve"> of COVID</w:t>
      </w:r>
      <w:r w:rsidR="0038520A">
        <w:noBreakHyphen/>
      </w:r>
      <w:r>
        <w:t xml:space="preserve">19 in Australia </w:t>
      </w:r>
      <w:r w:rsidRPr="00D00D86">
        <w:t>double</w:t>
      </w:r>
      <w:r>
        <w:t>d</w:t>
      </w:r>
      <w:r w:rsidRPr="00D00D86">
        <w:t xml:space="preserve"> every few days</w:t>
      </w:r>
      <w:r>
        <w:t>,</w:t>
      </w:r>
      <w:r w:rsidRPr="00D00D86">
        <w:t xml:space="preserve"> reaching over 1,000 by 21</w:t>
      </w:r>
      <w:r w:rsidR="00DA2F84">
        <w:t> </w:t>
      </w:r>
      <w:r w:rsidRPr="00D00D86">
        <w:t>March, over 2,000 by 24</w:t>
      </w:r>
      <w:r>
        <w:t> </w:t>
      </w:r>
      <w:r w:rsidRPr="00D00D86">
        <w:t xml:space="preserve">March and over 4,500 </w:t>
      </w:r>
      <w:r>
        <w:t>by</w:t>
      </w:r>
      <w:r w:rsidRPr="00D00D86">
        <w:t xml:space="preserve"> </w:t>
      </w:r>
      <w:r>
        <w:t xml:space="preserve">the </w:t>
      </w:r>
      <w:r w:rsidRPr="00D00D86">
        <w:t xml:space="preserve">end </w:t>
      </w:r>
      <w:r>
        <w:t xml:space="preserve">of </w:t>
      </w:r>
      <w:r w:rsidRPr="00D00D86">
        <w:t>March</w:t>
      </w:r>
      <w:r w:rsidR="000B6E1B">
        <w:t xml:space="preserve"> 2020</w:t>
      </w:r>
      <w:r>
        <w:t>. Ever greater restrictions were being placed on household and business activities from mid</w:t>
      </w:r>
      <w:r w:rsidR="0038520A">
        <w:noBreakHyphen/>
      </w:r>
      <w:r>
        <w:t>March onwards. Together with the increasing</w:t>
      </w:r>
      <w:r w:rsidR="004D4B5A">
        <w:t>ly</w:t>
      </w:r>
      <w:r>
        <w:t xml:space="preserve"> cautionary behaviour in </w:t>
      </w:r>
      <w:r w:rsidR="00866694">
        <w:t>response to</w:t>
      </w:r>
      <w:r>
        <w:t xml:space="preserve"> the highly uncertain health situation, this was having a significant effect on economic activity. In March 2020, </w:t>
      </w:r>
      <w:r w:rsidR="00561E57">
        <w:t xml:space="preserve">the ANZ measure of </w:t>
      </w:r>
      <w:r>
        <w:t xml:space="preserve">consumer confidence fell by around 38 per cent to 65.3, a record low for the index. NAB business confidence fell by 62 points to </w:t>
      </w:r>
      <w:r w:rsidR="0038520A">
        <w:noBreakHyphen/>
      </w:r>
      <w:r>
        <w:t>66 points in the month, its largest single month decline and the lowest level since the survey began</w:t>
      </w:r>
      <w:r w:rsidR="00CF6B0E">
        <w:t xml:space="preserve">. </w:t>
      </w:r>
      <w:r w:rsidR="00BC1875" w:rsidRPr="00BC1875">
        <w:t>By mid</w:t>
      </w:r>
      <w:r w:rsidR="0038520A">
        <w:noBreakHyphen/>
      </w:r>
      <w:r w:rsidR="00BC1875" w:rsidRPr="00BC1875">
        <w:t>March</w:t>
      </w:r>
      <w:r w:rsidR="00482AC3">
        <w:t>,</w:t>
      </w:r>
      <w:r w:rsidR="00BC1875" w:rsidRPr="00BC1875">
        <w:t xml:space="preserve"> the ASX had lost </w:t>
      </w:r>
      <w:r w:rsidR="00326CF0">
        <w:t>one</w:t>
      </w:r>
      <w:r w:rsidR="0038520A">
        <w:noBreakHyphen/>
      </w:r>
      <w:r w:rsidR="00BC1875" w:rsidRPr="00BC1875">
        <w:t>third of its value</w:t>
      </w:r>
      <w:r w:rsidR="00DA2F84">
        <w:t xml:space="preserve"> and t</w:t>
      </w:r>
      <w:r w:rsidR="00BC1875" w:rsidRPr="00BC1875">
        <w:t xml:space="preserve">he functioning of government bond markets </w:t>
      </w:r>
      <w:r w:rsidR="00DA2F84">
        <w:t>and other financial market</w:t>
      </w:r>
      <w:r w:rsidR="0000342B">
        <w:t>s</w:t>
      </w:r>
      <w:r w:rsidR="00DA2F84">
        <w:t xml:space="preserve"> </w:t>
      </w:r>
      <w:r w:rsidR="0000342B">
        <w:t xml:space="preserve">had rapidly </w:t>
      </w:r>
      <w:r w:rsidR="00BC1875" w:rsidRPr="00BC1875">
        <w:t>deteriorat</w:t>
      </w:r>
      <w:r w:rsidR="0000342B">
        <w:t>ed</w:t>
      </w:r>
      <w:r w:rsidR="00DA2F84">
        <w:t xml:space="preserve">. </w:t>
      </w:r>
    </w:p>
    <w:p w14:paraId="03B65B1C" w14:textId="3E3BC6A4" w:rsidR="00D11EB4" w:rsidRDefault="00680F4C" w:rsidP="004C4478">
      <w:r>
        <w:t xml:space="preserve">JobKeeper </w:t>
      </w:r>
      <w:r w:rsidR="00797A48">
        <w:t xml:space="preserve">was developed as it became clear health restrictions needed to be tightened even further. </w:t>
      </w:r>
      <w:r w:rsidR="00B158E2">
        <w:t>A</w:t>
      </w:r>
      <w:r w:rsidR="00797A48">
        <w:t xml:space="preserve">dvice from </w:t>
      </w:r>
      <w:r w:rsidR="00F24CBF">
        <w:t>the</w:t>
      </w:r>
      <w:r w:rsidR="00797A48">
        <w:t xml:space="preserve"> Chief Medi</w:t>
      </w:r>
      <w:r w:rsidR="00DF0C92">
        <w:t>c</w:t>
      </w:r>
      <w:r w:rsidR="00797A48">
        <w:t>al Officer and the Department of Health</w:t>
      </w:r>
      <w:r w:rsidR="0079166E">
        <w:t xml:space="preserve"> </w:t>
      </w:r>
      <w:r w:rsidR="00797A48">
        <w:t xml:space="preserve">was that severe restrictions </w:t>
      </w:r>
      <w:r w:rsidR="00A45B77">
        <w:t>may</w:t>
      </w:r>
      <w:r w:rsidR="00797A48">
        <w:t xml:space="preserve"> </w:t>
      </w:r>
      <w:r w:rsidR="004B7363">
        <w:t>be required</w:t>
      </w:r>
      <w:r w:rsidR="00797A48">
        <w:t xml:space="preserve"> for </w:t>
      </w:r>
      <w:r w:rsidR="009C36E8">
        <w:t xml:space="preserve">six </w:t>
      </w:r>
      <w:r w:rsidR="00797A48">
        <w:t>months or more</w:t>
      </w:r>
      <w:r w:rsidR="00066E25">
        <w:t>.</w:t>
      </w:r>
      <w:r w:rsidR="00D45DC8">
        <w:rPr>
          <w:rStyle w:val="FootnoteReference"/>
        </w:rPr>
        <w:footnoteReference w:id="6"/>
      </w:r>
      <w:r w:rsidR="00797A48">
        <w:t xml:space="preserve"> </w:t>
      </w:r>
      <w:r w:rsidR="00E23C8F" w:rsidRPr="00E23C8F">
        <w:t>There was active consideration and widespread public discussion of allow</w:t>
      </w:r>
      <w:r w:rsidR="00877C5B">
        <w:t>ing</w:t>
      </w:r>
      <w:r w:rsidR="00E23C8F" w:rsidRPr="00E23C8F">
        <w:t xml:space="preserve"> </w:t>
      </w:r>
      <w:r w:rsidR="004B7363">
        <w:t>only</w:t>
      </w:r>
      <w:r w:rsidR="00E23C8F" w:rsidRPr="00E23C8F">
        <w:t xml:space="preserve"> a narrowly defined list of essential industries to </w:t>
      </w:r>
      <w:r w:rsidR="004B7363">
        <w:t>operate</w:t>
      </w:r>
      <w:r w:rsidR="00E23C8F" w:rsidRPr="00E23C8F">
        <w:t xml:space="preserve">, similar to lockdowns </w:t>
      </w:r>
      <w:r w:rsidR="00B70350">
        <w:t>put in place</w:t>
      </w:r>
      <w:r w:rsidR="00E23C8F" w:rsidRPr="00E23C8F">
        <w:t xml:space="preserve"> in Italy, Spain, the United Kingdom, France and New Zealand.</w:t>
      </w:r>
    </w:p>
    <w:p w14:paraId="767500E0" w14:textId="24CF6270" w:rsidR="00DF0C92" w:rsidRDefault="0081534F" w:rsidP="004C4478">
      <w:pPr>
        <w:rPr>
          <w:lang w:val="en-US"/>
        </w:rPr>
      </w:pPr>
      <w:r>
        <w:t>The high degree of uncertainty and the restrictions on activity announced on 18 March</w:t>
      </w:r>
      <w:r w:rsidR="00DD77DC">
        <w:t> </w:t>
      </w:r>
      <w:r>
        <w:t xml:space="preserve">2020 </w:t>
      </w:r>
      <w:r w:rsidR="001164B6">
        <w:t>saw</w:t>
      </w:r>
      <w:r w:rsidR="009B3D74">
        <w:t xml:space="preserve"> </w:t>
      </w:r>
      <w:r w:rsidR="007B77CB">
        <w:t>businesses</w:t>
      </w:r>
      <w:r w:rsidR="009B3D74">
        <w:t xml:space="preserve"> </w:t>
      </w:r>
      <w:r>
        <w:t>begin</w:t>
      </w:r>
      <w:r w:rsidR="009B3D74">
        <w:t xml:space="preserve"> to lay off staff</w:t>
      </w:r>
      <w:r w:rsidR="00E97583">
        <w:t xml:space="preserve">. </w:t>
      </w:r>
      <w:r w:rsidR="0028449D">
        <w:t>This included some</w:t>
      </w:r>
      <w:r w:rsidR="0028449D">
        <w:rPr>
          <w:lang w:val="en-US"/>
        </w:rPr>
        <w:t xml:space="preserve"> of the country</w:t>
      </w:r>
      <w:r w:rsidR="0038520A">
        <w:rPr>
          <w:lang w:val="en-US"/>
        </w:rPr>
        <w:t>’</w:t>
      </w:r>
      <w:r w:rsidR="0028449D">
        <w:rPr>
          <w:lang w:val="en-US"/>
        </w:rPr>
        <w:t>s largest companies</w:t>
      </w:r>
      <w:r w:rsidR="001164B6">
        <w:rPr>
          <w:lang w:val="en-US"/>
        </w:rPr>
        <w:t>.</w:t>
      </w:r>
      <w:r w:rsidR="0028449D">
        <w:rPr>
          <w:lang w:val="en-US"/>
        </w:rPr>
        <w:t xml:space="preserve"> Virgin Australia, Star Entertainment Group and Mosaic Brands </w:t>
      </w:r>
      <w:r w:rsidR="001164B6">
        <w:rPr>
          <w:lang w:val="en-US"/>
        </w:rPr>
        <w:t xml:space="preserve">laid </w:t>
      </w:r>
      <w:r w:rsidR="0028449D">
        <w:rPr>
          <w:lang w:val="en-US"/>
        </w:rPr>
        <w:t xml:space="preserve">off tens of thousands of staff. </w:t>
      </w:r>
      <w:r w:rsidR="00E97583">
        <w:t>Lengthy</w:t>
      </w:r>
      <w:r>
        <w:t xml:space="preserve"> </w:t>
      </w:r>
      <w:r w:rsidR="00E97583">
        <w:t>q</w:t>
      </w:r>
      <w:r>
        <w:t xml:space="preserve">ueues formed outside Centrelink offices </w:t>
      </w:r>
      <w:r w:rsidR="00E82846">
        <w:t xml:space="preserve">on </w:t>
      </w:r>
      <w:r>
        <w:t>23</w:t>
      </w:r>
      <w:r w:rsidR="00575704">
        <w:t> </w:t>
      </w:r>
      <w:r>
        <w:t>March 2020.</w:t>
      </w:r>
      <w:r w:rsidR="00DF0C92">
        <w:t xml:space="preserve"> </w:t>
      </w:r>
      <w:r w:rsidR="00CD07FE">
        <w:rPr>
          <w:lang w:val="en-US"/>
        </w:rPr>
        <w:t>The A</w:t>
      </w:r>
      <w:r w:rsidR="00F77437">
        <w:rPr>
          <w:lang w:val="en-US"/>
        </w:rPr>
        <w:t xml:space="preserve">ustralian </w:t>
      </w:r>
      <w:r w:rsidR="00CD07FE">
        <w:rPr>
          <w:lang w:val="en-US"/>
        </w:rPr>
        <w:t>B</w:t>
      </w:r>
      <w:r w:rsidR="00F77437">
        <w:rPr>
          <w:lang w:val="en-US"/>
        </w:rPr>
        <w:t xml:space="preserve">ureau of </w:t>
      </w:r>
      <w:r w:rsidR="00CD07FE">
        <w:rPr>
          <w:lang w:val="en-US"/>
        </w:rPr>
        <w:t>S</w:t>
      </w:r>
      <w:r w:rsidR="00F77437">
        <w:rPr>
          <w:lang w:val="en-US"/>
        </w:rPr>
        <w:t>tatistics (</w:t>
      </w:r>
      <w:r w:rsidR="00CD07FE">
        <w:rPr>
          <w:lang w:val="en-US"/>
        </w:rPr>
        <w:t>ABS</w:t>
      </w:r>
      <w:r w:rsidR="00F77437">
        <w:rPr>
          <w:lang w:val="en-US"/>
        </w:rPr>
        <w:t>)</w:t>
      </w:r>
      <w:r w:rsidR="00CD07FE">
        <w:rPr>
          <w:lang w:val="en-US"/>
        </w:rPr>
        <w:t xml:space="preserve"> reported </w:t>
      </w:r>
      <w:r w:rsidR="006F7E03">
        <w:rPr>
          <w:lang w:val="en-US"/>
        </w:rPr>
        <w:t>on 26</w:t>
      </w:r>
      <w:r w:rsidR="00CD07FE">
        <w:rPr>
          <w:lang w:val="en-US"/>
        </w:rPr>
        <w:t xml:space="preserve"> March 2020 that </w:t>
      </w:r>
      <w:r w:rsidR="006F7E03">
        <w:rPr>
          <w:lang w:val="en-US"/>
        </w:rPr>
        <w:t>86</w:t>
      </w:r>
      <w:r w:rsidR="00CD07FE">
        <w:rPr>
          <w:lang w:val="en-US"/>
        </w:rPr>
        <w:t xml:space="preserve"> per cent of all businesses expected to be adversely impacted by COVID</w:t>
      </w:r>
      <w:r w:rsidR="0038520A">
        <w:rPr>
          <w:lang w:val="en-US"/>
        </w:rPr>
        <w:noBreakHyphen/>
      </w:r>
      <w:r w:rsidR="00CD07FE">
        <w:rPr>
          <w:lang w:val="en-US"/>
        </w:rPr>
        <w:t>19</w:t>
      </w:r>
      <w:r w:rsidR="00977C13">
        <w:rPr>
          <w:lang w:val="en-US"/>
        </w:rPr>
        <w:t>.</w:t>
      </w:r>
      <w:r w:rsidR="002713AB">
        <w:rPr>
          <w:rStyle w:val="FootnoteReference"/>
          <w:lang w:val="en-US"/>
        </w:rPr>
        <w:footnoteReference w:id="7"/>
      </w:r>
      <w:r w:rsidR="00CD07FE">
        <w:rPr>
          <w:lang w:val="en-US"/>
        </w:rPr>
        <w:t xml:space="preserve"> </w:t>
      </w:r>
    </w:p>
    <w:p w14:paraId="2133271E" w14:textId="7892E541" w:rsidR="00D1441E" w:rsidRDefault="00797A48" w:rsidP="004C4478">
      <w:r>
        <w:t xml:space="preserve">At </w:t>
      </w:r>
      <w:r w:rsidR="00E82846">
        <w:t xml:space="preserve">the </w:t>
      </w:r>
      <w:r>
        <w:t xml:space="preserve">time, Treasury </w:t>
      </w:r>
      <w:r w:rsidR="00BF528A">
        <w:t>developed</w:t>
      </w:r>
      <w:r>
        <w:t xml:space="preserve"> a scenario </w:t>
      </w:r>
      <w:r w:rsidR="00BF528A">
        <w:t xml:space="preserve">based on restrictions </w:t>
      </w:r>
      <w:r w:rsidR="00633E95">
        <w:t>announced by National Cabinet on 24</w:t>
      </w:r>
      <w:r w:rsidR="00216700">
        <w:t> </w:t>
      </w:r>
      <w:r w:rsidR="00633E95">
        <w:t xml:space="preserve">March 2020 </w:t>
      </w:r>
      <w:r w:rsidR="00BF528A">
        <w:t xml:space="preserve">being in place for </w:t>
      </w:r>
      <w:r w:rsidR="009C36E8">
        <w:t>six</w:t>
      </w:r>
      <w:r w:rsidR="006938A2">
        <w:t xml:space="preserve"> </w:t>
      </w:r>
      <w:r w:rsidR="00BF528A">
        <w:t>months. This modelling suggested that</w:t>
      </w:r>
      <w:r>
        <w:t xml:space="preserve"> GDP could </w:t>
      </w:r>
      <w:r w:rsidR="00E23C8F">
        <w:t>be</w:t>
      </w:r>
      <w:r>
        <w:t xml:space="preserve"> 10 to 12</w:t>
      </w:r>
      <w:r w:rsidR="003155AE">
        <w:t> </w:t>
      </w:r>
      <w:r>
        <w:t>per</w:t>
      </w:r>
      <w:r w:rsidR="00996508">
        <w:t> </w:t>
      </w:r>
      <w:r>
        <w:t xml:space="preserve">cent </w:t>
      </w:r>
      <w:r w:rsidR="00E23C8F">
        <w:t xml:space="preserve">lower than otherwise forecast </w:t>
      </w:r>
      <w:r>
        <w:t>in the June quarter</w:t>
      </w:r>
      <w:r w:rsidR="00BF528A">
        <w:t xml:space="preserve"> with around 2.1 million fewer people working</w:t>
      </w:r>
      <w:r>
        <w:t xml:space="preserve">. </w:t>
      </w:r>
      <w:r w:rsidR="00BC76D7">
        <w:t>Uncertainty around the outlook was very high and</w:t>
      </w:r>
      <w:r>
        <w:t xml:space="preserve"> Treasury </w:t>
      </w:r>
      <w:r w:rsidR="00BF528A">
        <w:t>also modelled</w:t>
      </w:r>
      <w:r>
        <w:t xml:space="preserve"> a scenario </w:t>
      </w:r>
      <w:r w:rsidR="001164B6">
        <w:t>with</w:t>
      </w:r>
      <w:r>
        <w:t xml:space="preserve"> COVID</w:t>
      </w:r>
      <w:r w:rsidR="0038520A">
        <w:noBreakHyphen/>
      </w:r>
      <w:r>
        <w:t>19 restrictions akin to the lockdown</w:t>
      </w:r>
      <w:r w:rsidR="001164B6">
        <w:t>s</w:t>
      </w:r>
      <w:r>
        <w:t xml:space="preserve"> in Europe, </w:t>
      </w:r>
      <w:r w:rsidR="00877C5B">
        <w:t xml:space="preserve">resulting in </w:t>
      </w:r>
      <w:r>
        <w:t>GDP 24 per cent, or $120</w:t>
      </w:r>
      <w:r w:rsidR="000A0CB8">
        <w:t> </w:t>
      </w:r>
      <w:r>
        <w:t>billion</w:t>
      </w:r>
      <w:r w:rsidR="00BF528A">
        <w:t xml:space="preserve">, </w:t>
      </w:r>
      <w:r w:rsidR="004D4B5A">
        <w:t xml:space="preserve">lower </w:t>
      </w:r>
      <w:r w:rsidR="00F3162B">
        <w:t xml:space="preserve">with around </w:t>
      </w:r>
      <w:r w:rsidR="00F8220B">
        <w:t>4.8</w:t>
      </w:r>
      <w:r w:rsidR="00216700">
        <w:t> </w:t>
      </w:r>
      <w:r w:rsidR="00F8220B">
        <w:t>million fewer people working</w:t>
      </w:r>
      <w:r>
        <w:t xml:space="preserve">. </w:t>
      </w:r>
      <w:r w:rsidR="00B70350">
        <w:t xml:space="preserve">Some countries subsequently experienced falls of this </w:t>
      </w:r>
      <w:r w:rsidR="00E82846">
        <w:t xml:space="preserve">magnitude </w:t>
      </w:r>
      <w:r w:rsidR="00B70350">
        <w:t>including the United Kingdom where GDP contracted by 19</w:t>
      </w:r>
      <w:r w:rsidR="00A428C4">
        <w:t>.5</w:t>
      </w:r>
      <w:r w:rsidR="00B70350">
        <w:t xml:space="preserve"> per cent in the June</w:t>
      </w:r>
      <w:r w:rsidR="00993FE3">
        <w:t> </w:t>
      </w:r>
      <w:r w:rsidR="00B70350">
        <w:t>quarter</w:t>
      </w:r>
      <w:r w:rsidR="00A428C4">
        <w:t xml:space="preserve"> 2020</w:t>
      </w:r>
      <w:r w:rsidR="00B70350">
        <w:t>.</w:t>
      </w:r>
    </w:p>
    <w:p w14:paraId="7577873E" w14:textId="0D419E3C" w:rsidR="000A1B15" w:rsidRDefault="000A1B15" w:rsidP="00FD63D7">
      <w:pPr>
        <w:pStyle w:val="Heading3"/>
      </w:pPr>
      <w:bookmarkStart w:id="34" w:name="_Toc83215045"/>
      <w:r>
        <w:t xml:space="preserve">JobKeeper </w:t>
      </w:r>
      <w:bookmarkEnd w:id="34"/>
      <w:r w:rsidR="00655FD9">
        <w:t>d</w:t>
      </w:r>
      <w:r>
        <w:t>esign</w:t>
      </w:r>
    </w:p>
    <w:p w14:paraId="17A9014F" w14:textId="2615B79A" w:rsidR="007F539C" w:rsidRDefault="00725828" w:rsidP="00725828">
      <w:pPr>
        <w:rPr>
          <w:lang w:val="en-US"/>
        </w:rPr>
      </w:pPr>
      <w:r>
        <w:rPr>
          <w:lang w:val="en-US"/>
        </w:rPr>
        <w:t xml:space="preserve">JobKeeper was </w:t>
      </w:r>
      <w:r w:rsidR="00C400AE">
        <w:rPr>
          <w:lang w:val="en-US"/>
        </w:rPr>
        <w:t xml:space="preserve">part of a significant macroeconomic support package that was designed to respond to the unprecedented economic uncertainty and to reduce the risk of a severe economic downturn. It </w:t>
      </w:r>
      <w:r>
        <w:rPr>
          <w:lang w:val="en-US"/>
        </w:rPr>
        <w:t xml:space="preserve">was </w:t>
      </w:r>
      <w:r w:rsidR="00C400AE">
        <w:rPr>
          <w:lang w:val="en-US"/>
        </w:rPr>
        <w:t>intended</w:t>
      </w:r>
      <w:r>
        <w:rPr>
          <w:lang w:val="en-US"/>
        </w:rPr>
        <w:t xml:space="preserve"> to </w:t>
      </w:r>
      <w:r w:rsidR="005B5B5B">
        <w:rPr>
          <w:lang w:val="en-US"/>
        </w:rPr>
        <w:t xml:space="preserve">provide </w:t>
      </w:r>
      <w:r w:rsidR="00BC76D7">
        <w:rPr>
          <w:lang w:val="en-US"/>
        </w:rPr>
        <w:t xml:space="preserve">income </w:t>
      </w:r>
      <w:r w:rsidR="005B5B5B">
        <w:rPr>
          <w:lang w:val="en-US"/>
        </w:rPr>
        <w:t>support</w:t>
      </w:r>
      <w:r w:rsidR="00C30C0D">
        <w:rPr>
          <w:lang w:val="en-US"/>
        </w:rPr>
        <w:t xml:space="preserve"> </w:t>
      </w:r>
      <w:r w:rsidR="007A6A6C">
        <w:rPr>
          <w:lang w:val="en-US"/>
        </w:rPr>
        <w:t xml:space="preserve">to </w:t>
      </w:r>
      <w:r>
        <w:rPr>
          <w:lang w:val="en-US"/>
        </w:rPr>
        <w:t xml:space="preserve">households and businesses while restrictions were in place and to ensure that the </w:t>
      </w:r>
      <w:r w:rsidR="00C30C0D">
        <w:rPr>
          <w:lang w:val="en-US"/>
        </w:rPr>
        <w:t>economy</w:t>
      </w:r>
      <w:r>
        <w:rPr>
          <w:lang w:val="en-US"/>
        </w:rPr>
        <w:t xml:space="preserve"> could </w:t>
      </w:r>
      <w:r w:rsidR="00BC76D7" w:rsidRPr="00CF6B0E">
        <w:t>stabilise</w:t>
      </w:r>
      <w:r w:rsidR="00734000">
        <w:t>, adapt to the</w:t>
      </w:r>
      <w:r w:rsidR="00500148">
        <w:t xml:space="preserve"> changed</w:t>
      </w:r>
      <w:r w:rsidR="00734000">
        <w:t xml:space="preserve"> operating environment</w:t>
      </w:r>
      <w:r w:rsidR="00BC76D7">
        <w:rPr>
          <w:lang w:val="en-US"/>
        </w:rPr>
        <w:t xml:space="preserve"> and then </w:t>
      </w:r>
      <w:r>
        <w:rPr>
          <w:lang w:val="en-US"/>
        </w:rPr>
        <w:t xml:space="preserve">recover quickly once restrictions were eased. It was </w:t>
      </w:r>
      <w:r w:rsidR="007F539C">
        <w:rPr>
          <w:lang w:val="en-US"/>
        </w:rPr>
        <w:t xml:space="preserve">designed </w:t>
      </w:r>
      <w:r>
        <w:rPr>
          <w:lang w:val="en-US"/>
        </w:rPr>
        <w:t>to do this by</w:t>
      </w:r>
      <w:r w:rsidR="007F539C">
        <w:rPr>
          <w:lang w:val="en-US"/>
        </w:rPr>
        <w:t>:</w:t>
      </w:r>
    </w:p>
    <w:p w14:paraId="4F4D86BC" w14:textId="2E2DED43" w:rsidR="007F539C" w:rsidRPr="00531B7E" w:rsidRDefault="00CE7C04" w:rsidP="007F539C">
      <w:pPr>
        <w:pStyle w:val="Bullet"/>
        <w:rPr>
          <w:lang w:val="en-US"/>
        </w:rPr>
      </w:pPr>
      <w:r>
        <w:rPr>
          <w:lang w:val="en-US"/>
        </w:rPr>
        <w:t>p</w:t>
      </w:r>
      <w:r w:rsidR="00725828">
        <w:rPr>
          <w:lang w:val="en-US"/>
        </w:rPr>
        <w:t>roviding income support to people who were no longer able to work some or all of their previous hours</w:t>
      </w:r>
      <w:r w:rsidR="007F539C">
        <w:rPr>
          <w:lang w:val="en-US"/>
        </w:rPr>
        <w:t xml:space="preserve"> (which also worked to </w:t>
      </w:r>
      <w:r w:rsidR="00BB2B1E">
        <w:t>support consumer spending</w:t>
      </w:r>
      <w:r w:rsidR="007F539C">
        <w:t>)</w:t>
      </w:r>
    </w:p>
    <w:p w14:paraId="50A658C6" w14:textId="32F3F11E" w:rsidR="007C5ABF" w:rsidRDefault="00725828" w:rsidP="007F539C">
      <w:pPr>
        <w:pStyle w:val="Bullet"/>
        <w:rPr>
          <w:lang w:val="en-US"/>
        </w:rPr>
      </w:pPr>
      <w:r>
        <w:rPr>
          <w:lang w:val="en-US"/>
        </w:rPr>
        <w:lastRenderedPageBreak/>
        <w:t>keep</w:t>
      </w:r>
      <w:r w:rsidR="007C5ABF">
        <w:rPr>
          <w:lang w:val="en-US"/>
        </w:rPr>
        <w:t>ing</w:t>
      </w:r>
      <w:r>
        <w:rPr>
          <w:lang w:val="en-US"/>
        </w:rPr>
        <w:t xml:space="preserve"> those people connected to their employers so that businesses could restart quickly and easily once restrictions were eased</w:t>
      </w:r>
      <w:r w:rsidR="007C5ABF">
        <w:rPr>
          <w:lang w:val="en-US"/>
        </w:rPr>
        <w:t xml:space="preserve"> and to avoid labour </w:t>
      </w:r>
      <w:r w:rsidR="00204BB3">
        <w:rPr>
          <w:lang w:val="en-US"/>
        </w:rPr>
        <w:t xml:space="preserve">market </w:t>
      </w:r>
      <w:r w:rsidR="007C5ABF">
        <w:rPr>
          <w:lang w:val="en-US"/>
        </w:rPr>
        <w:t>scarring</w:t>
      </w:r>
    </w:p>
    <w:p w14:paraId="4517B16A" w14:textId="09F739B5" w:rsidR="00725828" w:rsidRPr="00935F98" w:rsidRDefault="00725828" w:rsidP="00725828">
      <w:pPr>
        <w:pStyle w:val="Bullet"/>
        <w:rPr>
          <w:lang w:val="en-US"/>
        </w:rPr>
      </w:pPr>
      <w:r>
        <w:rPr>
          <w:lang w:val="en-US"/>
        </w:rPr>
        <w:t>provid</w:t>
      </w:r>
      <w:r w:rsidR="007C5ABF">
        <w:rPr>
          <w:lang w:val="en-US"/>
        </w:rPr>
        <w:t>ing</w:t>
      </w:r>
      <w:r>
        <w:rPr>
          <w:lang w:val="en-US"/>
        </w:rPr>
        <w:t xml:space="preserve"> support to businesses to help them survive, </w:t>
      </w:r>
      <w:r w:rsidR="00734000">
        <w:rPr>
          <w:lang w:val="en-US"/>
        </w:rPr>
        <w:t xml:space="preserve">while also encouraging them to </w:t>
      </w:r>
      <w:r>
        <w:rPr>
          <w:lang w:val="en-US"/>
        </w:rPr>
        <w:t>continue to operate and thrive</w:t>
      </w:r>
      <w:r w:rsidR="00734000">
        <w:rPr>
          <w:lang w:val="en-US"/>
        </w:rPr>
        <w:t xml:space="preserve"> where possible</w:t>
      </w:r>
      <w:r>
        <w:rPr>
          <w:lang w:val="en-US"/>
        </w:rPr>
        <w:t xml:space="preserve"> </w:t>
      </w:r>
    </w:p>
    <w:p w14:paraId="083635AA" w14:textId="0910E19F" w:rsidR="006F3BEB" w:rsidRDefault="00C50E54" w:rsidP="003645F0">
      <w:pPr>
        <w:rPr>
          <w:lang w:val="en-US"/>
        </w:rPr>
      </w:pPr>
      <w:r>
        <w:rPr>
          <w:lang w:val="en-US"/>
        </w:rPr>
        <w:t xml:space="preserve">A </w:t>
      </w:r>
      <w:r w:rsidR="005274AD">
        <w:rPr>
          <w:lang w:val="en-US"/>
        </w:rPr>
        <w:t>central</w:t>
      </w:r>
      <w:r>
        <w:rPr>
          <w:lang w:val="en-US"/>
        </w:rPr>
        <w:t xml:space="preserve"> consideration </w:t>
      </w:r>
      <w:r w:rsidR="00313264">
        <w:rPr>
          <w:lang w:val="en-US"/>
        </w:rPr>
        <w:t xml:space="preserve">in designing the </w:t>
      </w:r>
      <w:r w:rsidR="004D4B5A">
        <w:rPr>
          <w:lang w:val="en-US"/>
        </w:rPr>
        <w:t>macroeconomic support</w:t>
      </w:r>
      <w:r w:rsidR="00313264">
        <w:rPr>
          <w:lang w:val="en-US"/>
        </w:rPr>
        <w:t xml:space="preserve"> package </w:t>
      </w:r>
      <w:r>
        <w:rPr>
          <w:lang w:val="en-US"/>
        </w:rPr>
        <w:t xml:space="preserve">was ensuring the </w:t>
      </w:r>
      <w:r w:rsidR="00136B48">
        <w:rPr>
          <w:lang w:val="en-US"/>
        </w:rPr>
        <w:t xml:space="preserve">overall </w:t>
      </w:r>
      <w:r>
        <w:rPr>
          <w:lang w:val="en-US"/>
        </w:rPr>
        <w:t xml:space="preserve">level of </w:t>
      </w:r>
      <w:r w:rsidR="007E0ED2">
        <w:rPr>
          <w:lang w:val="en-US"/>
        </w:rPr>
        <w:t xml:space="preserve">fiscal </w:t>
      </w:r>
      <w:r>
        <w:rPr>
          <w:lang w:val="en-US"/>
        </w:rPr>
        <w:t xml:space="preserve">support was sufficient to </w:t>
      </w:r>
      <w:r w:rsidR="00664DB5">
        <w:rPr>
          <w:lang w:val="en-US"/>
        </w:rPr>
        <w:t>provide a credible</w:t>
      </w:r>
      <w:r>
        <w:rPr>
          <w:lang w:val="en-US"/>
        </w:rPr>
        <w:t xml:space="preserve"> offset </w:t>
      </w:r>
      <w:r w:rsidR="00664DB5">
        <w:rPr>
          <w:lang w:val="en-US"/>
        </w:rPr>
        <w:t xml:space="preserve">to </w:t>
      </w:r>
      <w:r w:rsidR="0055174E">
        <w:rPr>
          <w:lang w:val="en-US"/>
        </w:rPr>
        <w:t xml:space="preserve">the </w:t>
      </w:r>
      <w:r w:rsidR="007C5ABF">
        <w:rPr>
          <w:lang w:val="en-US"/>
        </w:rPr>
        <w:t xml:space="preserve">economic shock </w:t>
      </w:r>
      <w:r w:rsidR="0055174E">
        <w:rPr>
          <w:lang w:val="en-US"/>
        </w:rPr>
        <w:t>being</w:t>
      </w:r>
      <w:r w:rsidR="00B70350">
        <w:rPr>
          <w:lang w:val="en-US"/>
        </w:rPr>
        <w:t xml:space="preserve"> experienced</w:t>
      </w:r>
      <w:r>
        <w:rPr>
          <w:lang w:val="en-US"/>
        </w:rPr>
        <w:t xml:space="preserve">. </w:t>
      </w:r>
      <w:r w:rsidR="00136B48">
        <w:rPr>
          <w:lang w:val="en-US"/>
        </w:rPr>
        <w:t>Sizeable</w:t>
      </w:r>
      <w:r w:rsidR="005274AD">
        <w:rPr>
          <w:lang w:val="en-US"/>
        </w:rPr>
        <w:t xml:space="preserve"> macroeconomic support was required to </w:t>
      </w:r>
      <w:r w:rsidR="00A02B32">
        <w:rPr>
          <w:lang w:val="en-US"/>
        </w:rPr>
        <w:t xml:space="preserve">provide certainty and </w:t>
      </w:r>
      <w:r w:rsidR="005274AD">
        <w:rPr>
          <w:lang w:val="en-US"/>
        </w:rPr>
        <w:t xml:space="preserve">give households and businesses confidence that </w:t>
      </w:r>
      <w:r w:rsidR="006771AA">
        <w:rPr>
          <w:lang w:val="en-US"/>
        </w:rPr>
        <w:t xml:space="preserve">they would be able to endure the crisis. </w:t>
      </w:r>
      <w:r w:rsidR="00D9778C">
        <w:rPr>
          <w:lang w:val="en-US"/>
        </w:rPr>
        <w:t>By</w:t>
      </w:r>
      <w:r w:rsidR="006F3BEB">
        <w:rPr>
          <w:lang w:val="en-US"/>
        </w:rPr>
        <w:t xml:space="preserve"> prevent</w:t>
      </w:r>
      <w:r w:rsidR="00D9778C">
        <w:rPr>
          <w:lang w:val="en-US"/>
        </w:rPr>
        <w:t>ing</w:t>
      </w:r>
      <w:r w:rsidR="006F3BEB">
        <w:rPr>
          <w:lang w:val="en-US"/>
        </w:rPr>
        <w:t xml:space="preserve"> the destruction of businesses and human capital, </w:t>
      </w:r>
      <w:r w:rsidR="00D9778C">
        <w:rPr>
          <w:lang w:val="en-US"/>
        </w:rPr>
        <w:t xml:space="preserve">JobKeeper was designed to support </w:t>
      </w:r>
      <w:r w:rsidR="006F3BEB">
        <w:rPr>
          <w:lang w:val="en-US"/>
        </w:rPr>
        <w:t xml:space="preserve">a strong and rapid recovery. </w:t>
      </w:r>
    </w:p>
    <w:p w14:paraId="3799B75B" w14:textId="3F634956" w:rsidR="00847997" w:rsidRDefault="00367AAE" w:rsidP="003645F0">
      <w:r>
        <w:rPr>
          <w:lang w:val="en-US"/>
        </w:rPr>
        <w:t>To</w:t>
      </w:r>
      <w:r w:rsidR="00146368">
        <w:rPr>
          <w:lang w:val="en-US"/>
        </w:rPr>
        <w:t xml:space="preserve"> achieve these goals</w:t>
      </w:r>
      <w:r>
        <w:rPr>
          <w:lang w:val="en-US"/>
        </w:rPr>
        <w:t xml:space="preserve"> and maximise take</w:t>
      </w:r>
      <w:r w:rsidR="0038520A">
        <w:rPr>
          <w:lang w:val="en-US"/>
        </w:rPr>
        <w:noBreakHyphen/>
      </w:r>
      <w:r>
        <w:rPr>
          <w:lang w:val="en-US"/>
        </w:rPr>
        <w:t>up</w:t>
      </w:r>
      <w:r w:rsidR="00146368">
        <w:rPr>
          <w:lang w:val="en-US"/>
        </w:rPr>
        <w:t xml:space="preserve">, the scheme </w:t>
      </w:r>
      <w:r>
        <w:rPr>
          <w:lang w:val="en-US"/>
        </w:rPr>
        <w:t xml:space="preserve">needed to be </w:t>
      </w:r>
      <w:r w:rsidR="00146368">
        <w:rPr>
          <w:lang w:val="en-US"/>
        </w:rPr>
        <w:t xml:space="preserve">simple for businesses to </w:t>
      </w:r>
      <w:r w:rsidR="007E0ED2">
        <w:rPr>
          <w:lang w:val="en-US"/>
        </w:rPr>
        <w:t xml:space="preserve">understand and </w:t>
      </w:r>
      <w:r w:rsidR="00146368">
        <w:rPr>
          <w:lang w:val="en-US"/>
        </w:rPr>
        <w:t>engage with</w:t>
      </w:r>
      <w:r>
        <w:rPr>
          <w:lang w:val="en-US"/>
        </w:rPr>
        <w:t>.</w:t>
      </w:r>
      <w:r w:rsidR="00146368">
        <w:rPr>
          <w:lang w:val="en-US"/>
        </w:rPr>
        <w:t xml:space="preserve"> </w:t>
      </w:r>
      <w:r>
        <w:rPr>
          <w:lang w:val="en-US"/>
        </w:rPr>
        <w:t>It also needed to be</w:t>
      </w:r>
      <w:r w:rsidR="00146368">
        <w:rPr>
          <w:lang w:val="en-US"/>
        </w:rPr>
        <w:t xml:space="preserve"> delivered as quickly as possible.</w:t>
      </w:r>
      <w:r w:rsidR="0044340F">
        <w:rPr>
          <w:lang w:val="en-US"/>
        </w:rPr>
        <w:t xml:space="preserve"> </w:t>
      </w:r>
      <w:r w:rsidR="001C6B1D">
        <w:rPr>
          <w:lang w:val="en-US"/>
        </w:rPr>
        <w:t xml:space="preserve">The scheme was </w:t>
      </w:r>
      <w:r w:rsidR="001C6B1D">
        <w:t xml:space="preserve">explicitly designed to </w:t>
      </w:r>
      <w:r w:rsidR="007E23CB">
        <w:t>be a time</w:t>
      </w:r>
      <w:r w:rsidR="0038520A">
        <w:noBreakHyphen/>
      </w:r>
      <w:r w:rsidR="007E23CB">
        <w:t xml:space="preserve">limited program to </w:t>
      </w:r>
      <w:r w:rsidR="001C6B1D">
        <w:t>address the downside risks to the economic outlook that were most evident at the time.</w:t>
      </w:r>
    </w:p>
    <w:p w14:paraId="773A6DF5" w14:textId="473B2B83" w:rsidR="00EC5D3B" w:rsidRPr="00397B87" w:rsidRDefault="00EC5D3B" w:rsidP="00F21FB8">
      <w:pPr>
        <w:pStyle w:val="SingleParagraph"/>
        <w:rPr>
          <w:lang w:val="en-US"/>
        </w:rPr>
      </w:pPr>
    </w:p>
    <w:tbl>
      <w:tblPr>
        <w:tblpPr w:leftFromText="180" w:rightFromText="180" w:vertAnchor="text" w:tblpY="1"/>
        <w:tblOverlap w:val="never"/>
        <w:tblW w:w="5000" w:type="pct"/>
        <w:shd w:val="clear" w:color="auto" w:fill="D5E1F1" w:themeFill="accent2" w:themeFillTint="33"/>
        <w:tblLook w:val="01E0" w:firstRow="1" w:lastRow="1" w:firstColumn="1" w:lastColumn="1" w:noHBand="0" w:noVBand="0"/>
      </w:tblPr>
      <w:tblGrid>
        <w:gridCol w:w="9071"/>
      </w:tblGrid>
      <w:tr w:rsidR="00C97199" w14:paraId="774BF895" w14:textId="77777777" w:rsidTr="0031359B">
        <w:tc>
          <w:tcPr>
            <w:tcW w:w="5000" w:type="pct"/>
            <w:shd w:val="clear" w:color="auto" w:fill="D5E1F1" w:themeFill="accent2" w:themeFillTint="33"/>
          </w:tcPr>
          <w:p w14:paraId="1450C093" w14:textId="4154254B" w:rsidR="00C97199" w:rsidRPr="009C7A31" w:rsidRDefault="00C97199" w:rsidP="009C7A31">
            <w:pPr>
              <w:pStyle w:val="BoxHeading"/>
            </w:pPr>
            <w:bookmarkStart w:id="35" w:name="_Toc84842558"/>
            <w:r w:rsidRPr="009C7A31">
              <w:t>Box 1: Key design features of JobKeeper</w:t>
            </w:r>
            <w:bookmarkEnd w:id="35"/>
            <w:r w:rsidRPr="009C7A31">
              <w:t xml:space="preserve"> </w:t>
            </w:r>
          </w:p>
          <w:p w14:paraId="328F3E86" w14:textId="15225F43" w:rsidR="00935F98" w:rsidRPr="002C0E22" w:rsidRDefault="00935F98" w:rsidP="004D46A9">
            <w:pPr>
              <w:rPr>
                <w:bCs/>
              </w:rPr>
            </w:pPr>
            <w:bookmarkStart w:id="36" w:name="_Toc83324944"/>
            <w:bookmarkStart w:id="37" w:name="_Toc83815066"/>
            <w:r w:rsidRPr="00CA155A">
              <w:rPr>
                <w:b/>
              </w:rPr>
              <w:t>First phase – 30 March 2020 to 27 September 2020</w:t>
            </w:r>
            <w:bookmarkEnd w:id="36"/>
            <w:bookmarkEnd w:id="37"/>
          </w:p>
          <w:p w14:paraId="3AD20E04" w14:textId="010E763C" w:rsidR="00547637" w:rsidRPr="00D00D86" w:rsidRDefault="00547637" w:rsidP="00547637">
            <w:pPr>
              <w:spacing w:after="200" w:line="259" w:lineRule="auto"/>
              <w:rPr>
                <w:color w:val="000000" w:themeColor="text1"/>
              </w:rPr>
            </w:pPr>
            <w:r w:rsidRPr="00D00D86">
              <w:rPr>
                <w:b/>
                <w:color w:val="000000" w:themeColor="text1"/>
              </w:rPr>
              <w:t>Payment level</w:t>
            </w:r>
            <w:r>
              <w:rPr>
                <w:color w:val="000000" w:themeColor="text1"/>
              </w:rPr>
              <w:t xml:space="preserve"> </w:t>
            </w:r>
            <w:r w:rsidR="004138ED">
              <w:rPr>
                <w:color w:val="000000" w:themeColor="text1"/>
              </w:rPr>
              <w:t>–</w:t>
            </w:r>
            <w:r>
              <w:rPr>
                <w:color w:val="000000" w:themeColor="text1"/>
              </w:rPr>
              <w:t xml:space="preserve"> </w:t>
            </w:r>
            <w:r w:rsidRPr="00D00D86">
              <w:rPr>
                <w:color w:val="000000" w:themeColor="text1"/>
              </w:rPr>
              <w:t xml:space="preserve">A </w:t>
            </w:r>
            <w:r w:rsidRPr="00055FF6">
              <w:rPr>
                <w:color w:val="000000" w:themeColor="text1"/>
              </w:rPr>
              <w:t xml:space="preserve">flat </w:t>
            </w:r>
            <w:r w:rsidR="00C806DC" w:rsidRPr="00055FF6">
              <w:rPr>
                <w:color w:val="000000" w:themeColor="text1"/>
              </w:rPr>
              <w:t xml:space="preserve">taxable </w:t>
            </w:r>
            <w:r w:rsidRPr="00055FF6">
              <w:rPr>
                <w:color w:val="000000" w:themeColor="text1"/>
              </w:rPr>
              <w:t>payment</w:t>
            </w:r>
            <w:r w:rsidRPr="00D00D86">
              <w:rPr>
                <w:color w:val="000000" w:themeColor="text1"/>
              </w:rPr>
              <w:t xml:space="preserve"> of $1,500 per fortnight paid in full to eligible employees</w:t>
            </w:r>
            <w:r w:rsidR="006A3B17">
              <w:rPr>
                <w:color w:val="000000" w:themeColor="text1"/>
              </w:rPr>
              <w:t>.</w:t>
            </w:r>
            <w:r w:rsidRPr="00D00D86">
              <w:rPr>
                <w:color w:val="000000" w:themeColor="text1"/>
              </w:rPr>
              <w:t xml:space="preserve"> </w:t>
            </w:r>
          </w:p>
          <w:p w14:paraId="21502AF1" w14:textId="75C25BCF" w:rsidR="00547637" w:rsidRPr="00D00D86" w:rsidRDefault="004A7181" w:rsidP="00547637">
            <w:pPr>
              <w:spacing w:after="200" w:line="259" w:lineRule="auto"/>
              <w:rPr>
                <w:color w:val="000000" w:themeColor="text1"/>
              </w:rPr>
            </w:pPr>
            <w:r>
              <w:rPr>
                <w:b/>
                <w:color w:val="000000" w:themeColor="text1"/>
              </w:rPr>
              <w:t>Business entity</w:t>
            </w:r>
            <w:r w:rsidR="00547637" w:rsidRPr="00D00D86">
              <w:rPr>
                <w:b/>
                <w:color w:val="000000" w:themeColor="text1"/>
              </w:rPr>
              <w:t xml:space="preserve"> eligibility</w:t>
            </w:r>
            <w:r w:rsidR="00547637">
              <w:rPr>
                <w:color w:val="000000" w:themeColor="text1"/>
              </w:rPr>
              <w:t xml:space="preserve"> </w:t>
            </w:r>
            <w:r w:rsidR="004138ED">
              <w:rPr>
                <w:color w:val="000000" w:themeColor="text1"/>
              </w:rPr>
              <w:t>–</w:t>
            </w:r>
            <w:r w:rsidR="00547637">
              <w:rPr>
                <w:color w:val="000000" w:themeColor="text1"/>
              </w:rPr>
              <w:t xml:space="preserve"> </w:t>
            </w:r>
            <w:r w:rsidR="00547637" w:rsidRPr="00D00D86">
              <w:rPr>
                <w:color w:val="000000" w:themeColor="text1"/>
              </w:rPr>
              <w:t xml:space="preserve">Employers </w:t>
            </w:r>
            <w:r w:rsidR="003C68CB">
              <w:rPr>
                <w:color w:val="000000" w:themeColor="text1"/>
              </w:rPr>
              <w:t>were</w:t>
            </w:r>
            <w:r w:rsidR="00547637" w:rsidRPr="00D00D86">
              <w:rPr>
                <w:color w:val="000000" w:themeColor="text1"/>
              </w:rPr>
              <w:t xml:space="preserve"> required to determine </w:t>
            </w:r>
            <w:r w:rsidR="009079DC">
              <w:rPr>
                <w:color w:val="000000" w:themeColor="text1"/>
              </w:rPr>
              <w:t>whether</w:t>
            </w:r>
            <w:r w:rsidR="00547637" w:rsidRPr="00D00D86">
              <w:rPr>
                <w:color w:val="000000" w:themeColor="text1"/>
              </w:rPr>
              <w:t xml:space="preserve"> they </w:t>
            </w:r>
            <w:r w:rsidR="00141222">
              <w:rPr>
                <w:color w:val="000000" w:themeColor="text1"/>
              </w:rPr>
              <w:t>projected</w:t>
            </w:r>
            <w:r w:rsidR="00547637" w:rsidRPr="00D00D86">
              <w:rPr>
                <w:color w:val="000000" w:themeColor="text1"/>
              </w:rPr>
              <w:t xml:space="preserve"> a decline in </w:t>
            </w:r>
            <w:r w:rsidR="009079DC">
              <w:rPr>
                <w:color w:val="000000" w:themeColor="text1"/>
              </w:rPr>
              <w:t>their</w:t>
            </w:r>
            <w:r w:rsidR="00547637" w:rsidRPr="00D00D86">
              <w:rPr>
                <w:color w:val="000000" w:themeColor="text1"/>
              </w:rPr>
              <w:t xml:space="preserve"> </w:t>
            </w:r>
            <w:r>
              <w:rPr>
                <w:color w:val="000000" w:themeColor="text1"/>
              </w:rPr>
              <w:t>Goods and Services Tax (GST)</w:t>
            </w:r>
            <w:r w:rsidR="00547637" w:rsidRPr="00D00D86">
              <w:rPr>
                <w:color w:val="000000" w:themeColor="text1"/>
              </w:rPr>
              <w:t xml:space="preserve"> turnover for a month or quarter during the program compared with a similar </w:t>
            </w:r>
            <w:r w:rsidR="00547637">
              <w:rPr>
                <w:color w:val="000000" w:themeColor="text1"/>
              </w:rPr>
              <w:t>period in 2019 (or meet an alternative test)</w:t>
            </w:r>
            <w:r w:rsidR="00547637" w:rsidRPr="00D00D86">
              <w:rPr>
                <w:color w:val="000000" w:themeColor="text1"/>
              </w:rPr>
              <w:t xml:space="preserve">. </w:t>
            </w:r>
            <w:r w:rsidR="004D4B5A">
              <w:rPr>
                <w:color w:val="000000" w:themeColor="text1"/>
              </w:rPr>
              <w:t>Eligibility criteria varied by</w:t>
            </w:r>
            <w:r w:rsidR="00547637" w:rsidRPr="00D00D86">
              <w:rPr>
                <w:color w:val="000000" w:themeColor="text1"/>
              </w:rPr>
              <w:t xml:space="preserve"> entity size and type</w:t>
            </w:r>
            <w:r w:rsidR="00547637">
              <w:rPr>
                <w:color w:val="000000" w:themeColor="text1"/>
              </w:rPr>
              <w:t xml:space="preserve"> </w:t>
            </w:r>
            <w:r w:rsidR="004138ED">
              <w:rPr>
                <w:color w:val="000000" w:themeColor="text1"/>
              </w:rPr>
              <w:t>–</w:t>
            </w:r>
            <w:r w:rsidR="00547637">
              <w:rPr>
                <w:color w:val="000000" w:themeColor="text1"/>
              </w:rPr>
              <w:t xml:space="preserve"> </w:t>
            </w:r>
            <w:r w:rsidR="003B0CAA">
              <w:rPr>
                <w:color w:val="000000" w:themeColor="text1"/>
              </w:rPr>
              <w:t>expected declines in turnover of</w:t>
            </w:r>
            <w:r w:rsidR="00547637">
              <w:rPr>
                <w:color w:val="000000" w:themeColor="text1"/>
              </w:rPr>
              <w:t xml:space="preserve"> </w:t>
            </w:r>
            <w:r w:rsidR="00547637" w:rsidRPr="00D00D86">
              <w:rPr>
                <w:color w:val="000000" w:themeColor="text1"/>
              </w:rPr>
              <w:t xml:space="preserve">15, 30 or 50 per cent </w:t>
            </w:r>
            <w:r w:rsidR="003B0CAA">
              <w:rPr>
                <w:color w:val="000000" w:themeColor="text1"/>
              </w:rPr>
              <w:t xml:space="preserve">were required for </w:t>
            </w:r>
            <w:r w:rsidR="00547637" w:rsidRPr="00D00D86">
              <w:rPr>
                <w:color w:val="000000" w:themeColor="text1"/>
              </w:rPr>
              <w:t xml:space="preserve">a charity, a business with $1 billion or less in </w:t>
            </w:r>
            <w:r>
              <w:rPr>
                <w:color w:val="000000" w:themeColor="text1"/>
              </w:rPr>
              <w:t>aggregated</w:t>
            </w:r>
            <w:r w:rsidR="00547637" w:rsidRPr="00D00D86">
              <w:rPr>
                <w:color w:val="000000" w:themeColor="text1"/>
              </w:rPr>
              <w:t xml:space="preserve"> annual turnover, or a </w:t>
            </w:r>
            <w:bookmarkStart w:id="38" w:name="_Hlk84498014"/>
            <w:r w:rsidR="00547637" w:rsidRPr="00D00D86">
              <w:rPr>
                <w:color w:val="000000" w:themeColor="text1"/>
              </w:rPr>
              <w:t>business with more than $1 billion in turnover</w:t>
            </w:r>
            <w:bookmarkEnd w:id="38"/>
            <w:r w:rsidR="00547637" w:rsidRPr="00D00D86">
              <w:rPr>
                <w:color w:val="000000" w:themeColor="text1"/>
              </w:rPr>
              <w:t>, respectively. A range of organisations were ineligible, such as government entities.</w:t>
            </w:r>
          </w:p>
          <w:p w14:paraId="1B8C173A" w14:textId="2C43052C" w:rsidR="00547637" w:rsidRPr="00D00D86" w:rsidRDefault="00547637" w:rsidP="00547637">
            <w:pPr>
              <w:spacing w:after="200" w:line="259" w:lineRule="auto"/>
              <w:rPr>
                <w:color w:val="000000" w:themeColor="text1"/>
              </w:rPr>
            </w:pPr>
            <w:r>
              <w:rPr>
                <w:b/>
                <w:color w:val="000000" w:themeColor="text1"/>
              </w:rPr>
              <w:t xml:space="preserve">Worker </w:t>
            </w:r>
            <w:r w:rsidRPr="00D00D86">
              <w:rPr>
                <w:b/>
                <w:color w:val="000000" w:themeColor="text1"/>
              </w:rPr>
              <w:t>eligibility</w:t>
            </w:r>
            <w:r>
              <w:rPr>
                <w:color w:val="000000" w:themeColor="text1"/>
              </w:rPr>
              <w:t xml:space="preserve"> </w:t>
            </w:r>
            <w:r w:rsidR="004138ED">
              <w:rPr>
                <w:color w:val="000000" w:themeColor="text1"/>
              </w:rPr>
              <w:t>–</w:t>
            </w:r>
            <w:r>
              <w:rPr>
                <w:color w:val="000000" w:themeColor="text1"/>
              </w:rPr>
              <w:t xml:space="preserve"> </w:t>
            </w:r>
            <w:r w:rsidRPr="00D00D86">
              <w:rPr>
                <w:color w:val="000000" w:themeColor="text1"/>
              </w:rPr>
              <w:t>Eligible employees include</w:t>
            </w:r>
            <w:r w:rsidR="003B0CAA">
              <w:rPr>
                <w:color w:val="000000" w:themeColor="text1"/>
              </w:rPr>
              <w:t>d</w:t>
            </w:r>
            <w:r w:rsidRPr="00D00D86">
              <w:rPr>
                <w:color w:val="000000" w:themeColor="text1"/>
              </w:rPr>
              <w:t xml:space="preserve"> full</w:t>
            </w:r>
            <w:r w:rsidR="0038520A">
              <w:rPr>
                <w:color w:val="000000" w:themeColor="text1"/>
              </w:rPr>
              <w:noBreakHyphen/>
            </w:r>
            <w:r w:rsidRPr="00D00D86">
              <w:rPr>
                <w:color w:val="000000" w:themeColor="text1"/>
              </w:rPr>
              <w:t>time</w:t>
            </w:r>
            <w:r w:rsidR="004A7181">
              <w:rPr>
                <w:color w:val="000000" w:themeColor="text1"/>
              </w:rPr>
              <w:t xml:space="preserve"> and</w:t>
            </w:r>
            <w:r w:rsidRPr="00D00D86">
              <w:rPr>
                <w:color w:val="000000" w:themeColor="text1"/>
              </w:rPr>
              <w:t xml:space="preserve"> part</w:t>
            </w:r>
            <w:r w:rsidR="0038520A">
              <w:rPr>
                <w:color w:val="000000" w:themeColor="text1"/>
              </w:rPr>
              <w:noBreakHyphen/>
            </w:r>
            <w:r w:rsidRPr="00D00D86">
              <w:rPr>
                <w:color w:val="000000" w:themeColor="text1"/>
              </w:rPr>
              <w:t>time</w:t>
            </w:r>
            <w:r w:rsidR="004A7181">
              <w:rPr>
                <w:color w:val="000000" w:themeColor="text1"/>
              </w:rPr>
              <w:t xml:space="preserve"> employees</w:t>
            </w:r>
            <w:r w:rsidRPr="00D00D86">
              <w:rPr>
                <w:color w:val="000000" w:themeColor="text1"/>
              </w:rPr>
              <w:t xml:space="preserve"> and casual employees who </w:t>
            </w:r>
            <w:r w:rsidR="003B0CAA">
              <w:rPr>
                <w:color w:val="000000" w:themeColor="text1"/>
              </w:rPr>
              <w:t>had</w:t>
            </w:r>
            <w:r w:rsidR="003B0CAA" w:rsidRPr="00D00D86">
              <w:rPr>
                <w:color w:val="000000" w:themeColor="text1"/>
              </w:rPr>
              <w:t xml:space="preserve"> </w:t>
            </w:r>
            <w:r w:rsidRPr="00D00D86">
              <w:rPr>
                <w:color w:val="000000" w:themeColor="text1"/>
              </w:rPr>
              <w:t>been employed on a regular and systematic</w:t>
            </w:r>
            <w:r>
              <w:rPr>
                <w:color w:val="000000" w:themeColor="text1"/>
              </w:rPr>
              <w:t xml:space="preserve"> basis for at least 12 </w:t>
            </w:r>
            <w:r w:rsidRPr="00D00D86">
              <w:rPr>
                <w:color w:val="000000" w:themeColor="text1"/>
              </w:rPr>
              <w:t>months, including stood</w:t>
            </w:r>
            <w:r w:rsidR="0038520A">
              <w:rPr>
                <w:color w:val="000000" w:themeColor="text1"/>
              </w:rPr>
              <w:noBreakHyphen/>
            </w:r>
            <w:r w:rsidRPr="00D00D86">
              <w:rPr>
                <w:color w:val="000000" w:themeColor="text1"/>
              </w:rPr>
              <w:t xml:space="preserve">down employees. </w:t>
            </w:r>
            <w:r w:rsidR="003B0CAA">
              <w:rPr>
                <w:color w:val="000000" w:themeColor="text1"/>
              </w:rPr>
              <w:t>Eligible employees ha</w:t>
            </w:r>
            <w:r w:rsidR="0094144D">
              <w:rPr>
                <w:color w:val="000000" w:themeColor="text1"/>
              </w:rPr>
              <w:t>d</w:t>
            </w:r>
            <w:r w:rsidR="003B0CAA">
              <w:rPr>
                <w:color w:val="000000" w:themeColor="text1"/>
              </w:rPr>
              <w:t xml:space="preserve"> to be</w:t>
            </w:r>
            <w:r w:rsidR="00920826">
              <w:rPr>
                <w:color w:val="000000" w:themeColor="text1"/>
              </w:rPr>
              <w:t xml:space="preserve"> </w:t>
            </w:r>
            <w:r>
              <w:rPr>
                <w:color w:val="000000" w:themeColor="text1"/>
              </w:rPr>
              <w:t xml:space="preserve">Australian residents or </w:t>
            </w:r>
            <w:r w:rsidR="004A7181">
              <w:rPr>
                <w:color w:val="000000" w:themeColor="text1"/>
              </w:rPr>
              <w:t xml:space="preserve">those </w:t>
            </w:r>
            <w:r w:rsidRPr="00D00D86">
              <w:rPr>
                <w:color w:val="000000" w:themeColor="text1"/>
              </w:rPr>
              <w:t>on Special Category 444 visas, aged at least 18</w:t>
            </w:r>
            <w:r w:rsidR="00935F98">
              <w:rPr>
                <w:color w:val="000000" w:themeColor="text1"/>
              </w:rPr>
              <w:t xml:space="preserve"> years old</w:t>
            </w:r>
            <w:r w:rsidR="00935F98" w:rsidRPr="00D00D86">
              <w:rPr>
                <w:color w:val="000000" w:themeColor="text1"/>
              </w:rPr>
              <w:t xml:space="preserve"> </w:t>
            </w:r>
            <w:r w:rsidRPr="00D00D86">
              <w:rPr>
                <w:color w:val="000000" w:themeColor="text1"/>
              </w:rPr>
              <w:t xml:space="preserve">in most cases, and </w:t>
            </w:r>
            <w:r w:rsidR="00C4347F">
              <w:rPr>
                <w:color w:val="000000" w:themeColor="text1"/>
              </w:rPr>
              <w:t xml:space="preserve">employed </w:t>
            </w:r>
            <w:r w:rsidRPr="00D00D86">
              <w:rPr>
                <w:color w:val="000000" w:themeColor="text1"/>
              </w:rPr>
              <w:t>as of 1</w:t>
            </w:r>
            <w:r>
              <w:rPr>
                <w:color w:val="000000" w:themeColor="text1"/>
              </w:rPr>
              <w:t> </w:t>
            </w:r>
            <w:r w:rsidRPr="00D00D86">
              <w:rPr>
                <w:color w:val="000000" w:themeColor="text1"/>
              </w:rPr>
              <w:t>March</w:t>
            </w:r>
            <w:r w:rsidR="00CA5597">
              <w:rPr>
                <w:color w:val="000000" w:themeColor="text1"/>
              </w:rPr>
              <w:t> </w:t>
            </w:r>
            <w:r w:rsidRPr="00D00D86">
              <w:rPr>
                <w:color w:val="000000" w:themeColor="text1"/>
              </w:rPr>
              <w:t xml:space="preserve">2020. Some individuals </w:t>
            </w:r>
            <w:r w:rsidR="00C776E5">
              <w:rPr>
                <w:color w:val="000000" w:themeColor="text1"/>
              </w:rPr>
              <w:t xml:space="preserve">who were not </w:t>
            </w:r>
            <w:r w:rsidR="0038520A">
              <w:rPr>
                <w:color w:val="000000" w:themeColor="text1"/>
              </w:rPr>
              <w:t>‘</w:t>
            </w:r>
            <w:r w:rsidR="00C776E5">
              <w:rPr>
                <w:color w:val="000000" w:themeColor="text1"/>
              </w:rPr>
              <w:t>employees</w:t>
            </w:r>
            <w:r w:rsidR="0038520A">
              <w:rPr>
                <w:color w:val="000000" w:themeColor="text1"/>
              </w:rPr>
              <w:t>’</w:t>
            </w:r>
            <w:r w:rsidR="00C776E5">
              <w:rPr>
                <w:color w:val="000000" w:themeColor="text1"/>
              </w:rPr>
              <w:t xml:space="preserve"> could be nominated as an </w:t>
            </w:r>
            <w:r w:rsidRPr="00D00D86">
              <w:rPr>
                <w:color w:val="000000" w:themeColor="text1"/>
              </w:rPr>
              <w:t xml:space="preserve">eligible business participant, such as sole traders. </w:t>
            </w:r>
            <w:r w:rsidR="003B0CAA">
              <w:rPr>
                <w:color w:val="000000" w:themeColor="text1"/>
              </w:rPr>
              <w:t>The one</w:t>
            </w:r>
            <w:r w:rsidR="0038520A">
              <w:rPr>
                <w:color w:val="000000" w:themeColor="text1"/>
              </w:rPr>
              <w:noBreakHyphen/>
            </w:r>
            <w:r w:rsidR="003B0CAA">
              <w:rPr>
                <w:color w:val="000000" w:themeColor="text1"/>
              </w:rPr>
              <w:t>in</w:t>
            </w:r>
            <w:r w:rsidR="0038520A">
              <w:rPr>
                <w:color w:val="000000" w:themeColor="text1"/>
              </w:rPr>
              <w:noBreakHyphen/>
            </w:r>
            <w:r w:rsidR="003B0CAA">
              <w:rPr>
                <w:color w:val="000000" w:themeColor="text1"/>
              </w:rPr>
              <w:t>all</w:t>
            </w:r>
            <w:r w:rsidR="0038520A">
              <w:rPr>
                <w:color w:val="000000" w:themeColor="text1"/>
              </w:rPr>
              <w:noBreakHyphen/>
            </w:r>
            <w:r w:rsidR="003B0CAA">
              <w:rPr>
                <w:color w:val="000000" w:themeColor="text1"/>
              </w:rPr>
              <w:t>in rule meant that a</w:t>
            </w:r>
            <w:r w:rsidR="00314ED9">
              <w:rPr>
                <w:color w:val="000000" w:themeColor="text1"/>
              </w:rPr>
              <w:t> </w:t>
            </w:r>
            <w:r w:rsidRPr="00D00D86">
              <w:rPr>
                <w:color w:val="000000" w:themeColor="text1"/>
              </w:rPr>
              <w:t xml:space="preserve">participating organisation </w:t>
            </w:r>
            <w:r w:rsidR="00C776E5">
              <w:rPr>
                <w:color w:val="000000" w:themeColor="text1"/>
              </w:rPr>
              <w:t xml:space="preserve">had to nominate all eligible employees for </w:t>
            </w:r>
            <w:r w:rsidR="0008091E">
              <w:rPr>
                <w:color w:val="000000" w:themeColor="text1"/>
              </w:rPr>
              <w:t>JobKeeper</w:t>
            </w:r>
            <w:r w:rsidR="00C776E5">
              <w:rPr>
                <w:color w:val="000000" w:themeColor="text1"/>
              </w:rPr>
              <w:t xml:space="preserve"> unless </w:t>
            </w:r>
            <w:r w:rsidR="007E23CB">
              <w:rPr>
                <w:color w:val="000000" w:themeColor="text1"/>
              </w:rPr>
              <w:t>the individual was</w:t>
            </w:r>
            <w:r w:rsidR="00C776E5">
              <w:rPr>
                <w:color w:val="000000" w:themeColor="text1"/>
              </w:rPr>
              <w:t xml:space="preserve"> receiving JobKeeper through a different employer</w:t>
            </w:r>
            <w:r w:rsidRPr="00D00D86">
              <w:rPr>
                <w:color w:val="000000" w:themeColor="text1"/>
              </w:rPr>
              <w:t xml:space="preserve">. </w:t>
            </w:r>
          </w:p>
          <w:p w14:paraId="5EC99AFE" w14:textId="0994A90B" w:rsidR="00C97199" w:rsidRPr="003C68CB" w:rsidRDefault="00547637" w:rsidP="00547637">
            <w:pPr>
              <w:pStyle w:val="BoxText"/>
              <w:rPr>
                <w:b/>
              </w:rPr>
            </w:pPr>
            <w:r w:rsidRPr="00D00D86">
              <w:rPr>
                <w:b/>
                <w:color w:val="000000" w:themeColor="text1"/>
              </w:rPr>
              <w:t>Delivery</w:t>
            </w:r>
            <w:r>
              <w:rPr>
                <w:color w:val="000000" w:themeColor="text1"/>
              </w:rPr>
              <w:t xml:space="preserve"> </w:t>
            </w:r>
            <w:r w:rsidR="004138ED">
              <w:rPr>
                <w:color w:val="000000" w:themeColor="text1"/>
              </w:rPr>
              <w:t>–</w:t>
            </w:r>
            <w:r>
              <w:rPr>
                <w:color w:val="000000" w:themeColor="text1"/>
              </w:rPr>
              <w:t xml:space="preserve"> </w:t>
            </w:r>
            <w:r w:rsidRPr="00D00D86">
              <w:rPr>
                <w:color w:val="000000" w:themeColor="text1"/>
              </w:rPr>
              <w:t>E</w:t>
            </w:r>
            <w:r w:rsidR="00E33F9D">
              <w:rPr>
                <w:color w:val="000000" w:themeColor="text1"/>
              </w:rPr>
              <w:t>ligible e</w:t>
            </w:r>
            <w:r w:rsidRPr="00D00D86">
              <w:rPr>
                <w:color w:val="000000" w:themeColor="text1"/>
              </w:rPr>
              <w:t xml:space="preserve">mployers </w:t>
            </w:r>
            <w:r w:rsidR="00725B25">
              <w:rPr>
                <w:color w:val="000000" w:themeColor="text1"/>
              </w:rPr>
              <w:t xml:space="preserve">were required to </w:t>
            </w:r>
            <w:r w:rsidR="00C776E5">
              <w:rPr>
                <w:color w:val="000000" w:themeColor="text1"/>
              </w:rPr>
              <w:t>pa</w:t>
            </w:r>
            <w:r w:rsidR="00725B25">
              <w:rPr>
                <w:color w:val="000000" w:themeColor="text1"/>
              </w:rPr>
              <w:t>y</w:t>
            </w:r>
            <w:r w:rsidR="00C776E5">
              <w:rPr>
                <w:color w:val="000000" w:themeColor="text1"/>
              </w:rPr>
              <w:t xml:space="preserve"> </w:t>
            </w:r>
            <w:r w:rsidRPr="00D00D86">
              <w:rPr>
                <w:color w:val="000000" w:themeColor="text1"/>
              </w:rPr>
              <w:t xml:space="preserve">their employees </w:t>
            </w:r>
            <w:r w:rsidR="00C776E5">
              <w:rPr>
                <w:color w:val="000000" w:themeColor="text1"/>
              </w:rPr>
              <w:t xml:space="preserve">a minimum of the JobKeeper amount after tax </w:t>
            </w:r>
            <w:r w:rsidRPr="00D00D86">
              <w:rPr>
                <w:color w:val="000000" w:themeColor="text1"/>
              </w:rPr>
              <w:t xml:space="preserve">for each JobKeeper fortnight. </w:t>
            </w:r>
            <w:r w:rsidR="00C776E5">
              <w:rPr>
                <w:color w:val="000000" w:themeColor="text1"/>
              </w:rPr>
              <w:t>Employers were reimbursed for the payments to employees</w:t>
            </w:r>
            <w:r w:rsidRPr="00D00D86">
              <w:rPr>
                <w:color w:val="000000" w:themeColor="text1"/>
              </w:rPr>
              <w:t xml:space="preserve"> on a monthly cycle, in arrears, </w:t>
            </w:r>
            <w:r w:rsidR="00E33F9D">
              <w:rPr>
                <w:color w:val="000000" w:themeColor="text1"/>
              </w:rPr>
              <w:t xml:space="preserve">through </w:t>
            </w:r>
            <w:r w:rsidRPr="00D00D86">
              <w:rPr>
                <w:color w:val="000000" w:themeColor="text1"/>
              </w:rPr>
              <w:t xml:space="preserve">the ATO </w:t>
            </w:r>
            <w:r w:rsidR="00E33F9D">
              <w:rPr>
                <w:color w:val="000000" w:themeColor="text1"/>
              </w:rPr>
              <w:t xml:space="preserve">following a claim process. </w:t>
            </w:r>
            <w:r w:rsidRPr="00D00D86">
              <w:rPr>
                <w:color w:val="000000" w:themeColor="text1"/>
              </w:rPr>
              <w:t xml:space="preserve">Existing channels for business engagement </w:t>
            </w:r>
            <w:r w:rsidR="00E33F9D">
              <w:rPr>
                <w:color w:val="000000" w:themeColor="text1"/>
              </w:rPr>
              <w:t xml:space="preserve">with the ATO </w:t>
            </w:r>
            <w:r w:rsidRPr="00D00D86">
              <w:rPr>
                <w:color w:val="000000" w:themeColor="text1"/>
              </w:rPr>
              <w:t xml:space="preserve">were used to assist </w:t>
            </w:r>
            <w:r w:rsidR="00E33F9D">
              <w:rPr>
                <w:color w:val="000000" w:themeColor="text1"/>
              </w:rPr>
              <w:t xml:space="preserve">the </w:t>
            </w:r>
            <w:r w:rsidRPr="00D00D86">
              <w:rPr>
                <w:color w:val="000000" w:themeColor="text1"/>
              </w:rPr>
              <w:t xml:space="preserve">delivery and administration of </w:t>
            </w:r>
            <w:r w:rsidR="00A728EC">
              <w:rPr>
                <w:color w:val="000000" w:themeColor="text1"/>
              </w:rPr>
              <w:t>JobKeeper</w:t>
            </w:r>
            <w:r w:rsidRPr="00D00D86">
              <w:rPr>
                <w:color w:val="000000" w:themeColor="text1"/>
              </w:rPr>
              <w:t>.</w:t>
            </w:r>
          </w:p>
        </w:tc>
      </w:tr>
    </w:tbl>
    <w:p w14:paraId="5C512DE5" w14:textId="48E5498F" w:rsidR="00326917" w:rsidRDefault="00326917" w:rsidP="003E7BD1">
      <w:pPr>
        <w:spacing w:before="0" w:after="200" w:line="276" w:lineRule="auto"/>
      </w:pPr>
    </w:p>
    <w:p w14:paraId="1F43BEB4" w14:textId="77777777" w:rsidR="008348C3" w:rsidRDefault="008348C3" w:rsidP="003E7BD1">
      <w:pPr>
        <w:spacing w:before="0" w:after="200" w:line="276" w:lineRule="auto"/>
      </w:pPr>
    </w:p>
    <w:tbl>
      <w:tblPr>
        <w:tblpPr w:leftFromText="180" w:rightFromText="180" w:vertAnchor="text" w:tblpY="1"/>
        <w:tblOverlap w:val="never"/>
        <w:tblW w:w="5000" w:type="pct"/>
        <w:shd w:val="clear" w:color="auto" w:fill="D5E1F1" w:themeFill="accent2" w:themeFillTint="33"/>
        <w:tblLook w:val="01E0" w:firstRow="1" w:lastRow="1" w:firstColumn="1" w:lastColumn="1" w:noHBand="0" w:noVBand="0"/>
      </w:tblPr>
      <w:tblGrid>
        <w:gridCol w:w="9071"/>
      </w:tblGrid>
      <w:tr w:rsidR="00513474" w14:paraId="4360D6B3" w14:textId="77777777" w:rsidTr="003E7BD1">
        <w:tc>
          <w:tcPr>
            <w:tcW w:w="5000" w:type="pct"/>
            <w:shd w:val="clear" w:color="auto" w:fill="D5E1F1" w:themeFill="accent2" w:themeFillTint="33"/>
          </w:tcPr>
          <w:p w14:paraId="3C0B9FCF" w14:textId="62AD5AAA" w:rsidR="00935F98" w:rsidRPr="002C0E22" w:rsidRDefault="00935F98" w:rsidP="004D46A9">
            <w:pPr>
              <w:rPr>
                <w:bCs/>
              </w:rPr>
            </w:pPr>
            <w:bookmarkStart w:id="39" w:name="_Toc83324945"/>
            <w:bookmarkStart w:id="40" w:name="_Toc83815067"/>
            <w:r w:rsidRPr="00CA155A">
              <w:rPr>
                <w:b/>
              </w:rPr>
              <w:lastRenderedPageBreak/>
              <w:t>Second phase – 28 September 2020 to 28 March 2021</w:t>
            </w:r>
            <w:bookmarkEnd w:id="39"/>
            <w:bookmarkEnd w:id="40"/>
          </w:p>
          <w:p w14:paraId="7E497107" w14:textId="6E6475B1" w:rsidR="0080075D" w:rsidRPr="0080075D" w:rsidRDefault="00935F98" w:rsidP="00513474">
            <w:pPr>
              <w:pStyle w:val="BoxText"/>
              <w:rPr>
                <w:b/>
                <w:color w:val="000000" w:themeColor="text1"/>
              </w:rPr>
            </w:pPr>
            <w:r w:rsidRPr="0080075D">
              <w:rPr>
                <w:b/>
                <w:color w:val="000000" w:themeColor="text1"/>
              </w:rPr>
              <w:t>Payment level</w:t>
            </w:r>
          </w:p>
          <w:tbl>
            <w:tblPr>
              <w:tblStyle w:val="TableGridLight"/>
              <w:tblW w:w="8824" w:type="dxa"/>
              <w:shd w:val="clear" w:color="auto" w:fill="FFFFFF" w:themeFill="background1"/>
              <w:tblLook w:val="04A0" w:firstRow="1" w:lastRow="0" w:firstColumn="1" w:lastColumn="0" w:noHBand="0" w:noVBand="1"/>
            </w:tblPr>
            <w:tblGrid>
              <w:gridCol w:w="1737"/>
              <w:gridCol w:w="3544"/>
              <w:gridCol w:w="3543"/>
            </w:tblGrid>
            <w:tr w:rsidR="00AB427B" w:rsidRPr="00F16253" w14:paraId="71028E5D" w14:textId="77777777" w:rsidTr="00AB427B">
              <w:trPr>
                <w:trHeight w:val="170"/>
              </w:trPr>
              <w:tc>
                <w:tcPr>
                  <w:tcW w:w="1737" w:type="dxa"/>
                  <w:shd w:val="clear" w:color="auto" w:fill="FFFFFF" w:themeFill="background1"/>
                </w:tcPr>
                <w:p w14:paraId="58E26F2C" w14:textId="77777777" w:rsidR="00AB427B" w:rsidRPr="003C68CB" w:rsidRDefault="00AB427B" w:rsidP="00B1613D">
                  <w:pPr>
                    <w:pStyle w:val="TableColumnHeadingLeft"/>
                    <w:framePr w:hSpace="180" w:wrap="around" w:vAnchor="text" w:hAnchor="text" w:y="1"/>
                    <w:suppressOverlap/>
                  </w:pPr>
                  <w:r>
                    <w:t>Time period</w:t>
                  </w:r>
                  <w:r w:rsidRPr="003C68CB">
                    <w:t xml:space="preserve"> </w:t>
                  </w:r>
                </w:p>
              </w:tc>
              <w:tc>
                <w:tcPr>
                  <w:tcW w:w="3544" w:type="dxa"/>
                  <w:shd w:val="clear" w:color="auto" w:fill="FFFFFF" w:themeFill="background1"/>
                </w:tcPr>
                <w:p w14:paraId="01CFD4B6" w14:textId="77777777" w:rsidR="00AB427B" w:rsidRPr="00513474" w:rsidRDefault="00AB427B" w:rsidP="00B1613D">
                  <w:pPr>
                    <w:pStyle w:val="TableColumnHeadingLeft"/>
                    <w:framePr w:hSpace="180" w:wrap="around" w:vAnchor="text" w:hAnchor="text" w:y="1"/>
                    <w:suppressOverlap/>
                  </w:pPr>
                  <w:r>
                    <w:t>Tier 1</w:t>
                  </w:r>
                </w:p>
              </w:tc>
              <w:tc>
                <w:tcPr>
                  <w:tcW w:w="3543" w:type="dxa"/>
                  <w:shd w:val="clear" w:color="auto" w:fill="FFFFFF" w:themeFill="background1"/>
                </w:tcPr>
                <w:p w14:paraId="1D2008E9" w14:textId="77777777" w:rsidR="00AB427B" w:rsidRPr="00513474" w:rsidRDefault="00AB427B" w:rsidP="00B1613D">
                  <w:pPr>
                    <w:pStyle w:val="TableColumnHeadingLeft"/>
                    <w:framePr w:hSpace="180" w:wrap="around" w:vAnchor="text" w:hAnchor="text" w:y="1"/>
                    <w:suppressOverlap/>
                  </w:pPr>
                  <w:r>
                    <w:t>Tier 2</w:t>
                  </w:r>
                </w:p>
              </w:tc>
            </w:tr>
            <w:tr w:rsidR="00AB427B" w:rsidRPr="00F16253" w14:paraId="5EA169E2" w14:textId="77777777" w:rsidTr="00AB427B">
              <w:trPr>
                <w:trHeight w:val="170"/>
              </w:trPr>
              <w:tc>
                <w:tcPr>
                  <w:tcW w:w="1737" w:type="dxa"/>
                  <w:shd w:val="clear" w:color="auto" w:fill="FFFFFF" w:themeFill="background1"/>
                </w:tcPr>
                <w:p w14:paraId="0A1C6DB7" w14:textId="77777777" w:rsidR="00AB427B" w:rsidRPr="00F16253" w:rsidRDefault="00AB427B" w:rsidP="00B1613D">
                  <w:pPr>
                    <w:pStyle w:val="TableTextLeft"/>
                    <w:framePr w:hSpace="180" w:wrap="around" w:vAnchor="text" w:hAnchor="text" w:y="1"/>
                    <w:suppressOverlap/>
                  </w:pPr>
                  <w:r w:rsidRPr="00F16253">
                    <w:t>Part 1 – 28 September 2020 to 3 January 2021</w:t>
                  </w:r>
                </w:p>
              </w:tc>
              <w:tc>
                <w:tcPr>
                  <w:tcW w:w="3544" w:type="dxa"/>
                  <w:shd w:val="clear" w:color="auto" w:fill="FFFFFF" w:themeFill="background1"/>
                </w:tcPr>
                <w:p w14:paraId="7FA9B68E" w14:textId="7961D863" w:rsidR="00AB427B" w:rsidRPr="00F16253" w:rsidRDefault="007E23CB" w:rsidP="00B1613D">
                  <w:pPr>
                    <w:pStyle w:val="TableTextLeft"/>
                    <w:framePr w:hSpace="180" w:wrap="around" w:vAnchor="text" w:hAnchor="text" w:y="1"/>
                    <w:suppressOverlap/>
                  </w:pPr>
                  <w:r>
                    <w:t>A</w:t>
                  </w:r>
                  <w:r w:rsidR="00AB427B" w:rsidRPr="00F16253">
                    <w:t xml:space="preserve"> payment rate </w:t>
                  </w:r>
                  <w:r>
                    <w:t>of</w:t>
                  </w:r>
                  <w:r w:rsidR="00AB427B" w:rsidRPr="00F16253">
                    <w:t xml:space="preserve"> $1,200 per fortnight for all eligible employees who, in the </w:t>
                  </w:r>
                  <w:r w:rsidR="006F0DC3">
                    <w:t>four</w:t>
                  </w:r>
                  <w:r w:rsidR="00AB427B" w:rsidRPr="00F16253">
                    <w:t xml:space="preserve"> weekly pay periods before the reference period, were working 20 hours or more </w:t>
                  </w:r>
                  <w:r w:rsidR="00AB6234">
                    <w:t>per</w:t>
                  </w:r>
                  <w:r w:rsidR="00AB427B" w:rsidRPr="00F16253">
                    <w:t xml:space="preserve"> week on average and for business participants who were actively engaged in the business for 20</w:t>
                  </w:r>
                  <w:r w:rsidR="0089040C">
                    <w:t> </w:t>
                  </w:r>
                  <w:r w:rsidR="00AB427B" w:rsidRPr="00F16253">
                    <w:t>hours or more per week</w:t>
                  </w:r>
                  <w:r w:rsidR="00AB427B">
                    <w:t xml:space="preserve">. </w:t>
                  </w:r>
                </w:p>
              </w:tc>
              <w:tc>
                <w:tcPr>
                  <w:tcW w:w="3543" w:type="dxa"/>
                  <w:shd w:val="clear" w:color="auto" w:fill="FFFFFF" w:themeFill="background1"/>
                </w:tcPr>
                <w:p w14:paraId="2CCD64D1" w14:textId="7A0F5AD9" w:rsidR="00AB427B" w:rsidRPr="00F16253" w:rsidRDefault="00AB427B" w:rsidP="00B1613D">
                  <w:pPr>
                    <w:pStyle w:val="TableTextLeft"/>
                    <w:framePr w:hSpace="180" w:wrap="around" w:vAnchor="text" w:hAnchor="text" w:y="1"/>
                    <w:suppressOverlap/>
                  </w:pPr>
                  <w:r w:rsidRPr="00F16253">
                    <w:t xml:space="preserve">A lower payment </w:t>
                  </w:r>
                  <w:r w:rsidR="001717ED">
                    <w:t>of</w:t>
                  </w:r>
                  <w:r w:rsidRPr="00F16253">
                    <w:t xml:space="preserve"> $750 per fortnight for employees who were working less than 20</w:t>
                  </w:r>
                  <w:r>
                    <w:t> </w:t>
                  </w:r>
                  <w:r w:rsidRPr="00F16253">
                    <w:t xml:space="preserve">hours </w:t>
                  </w:r>
                  <w:r w:rsidR="00AB6234">
                    <w:t>per</w:t>
                  </w:r>
                  <w:r w:rsidRPr="00F16253">
                    <w:t xml:space="preserve"> week on average and business participants who were actively engaged in the business less than 20 hours per week in the reference period.</w:t>
                  </w:r>
                </w:p>
              </w:tc>
            </w:tr>
            <w:tr w:rsidR="00AB427B" w:rsidRPr="00F16253" w14:paraId="07A2B1D7" w14:textId="77777777" w:rsidTr="00AB427B">
              <w:trPr>
                <w:trHeight w:val="666"/>
              </w:trPr>
              <w:tc>
                <w:tcPr>
                  <w:tcW w:w="1737" w:type="dxa"/>
                  <w:shd w:val="clear" w:color="auto" w:fill="FFFFFF" w:themeFill="background1"/>
                </w:tcPr>
                <w:p w14:paraId="7167F9A3" w14:textId="77777777" w:rsidR="00AB427B" w:rsidRPr="00F16253" w:rsidRDefault="00AB427B" w:rsidP="00B1613D">
                  <w:pPr>
                    <w:pStyle w:val="TableTextLeft"/>
                    <w:framePr w:hSpace="180" w:wrap="around" w:vAnchor="text" w:hAnchor="text" w:y="1"/>
                    <w:suppressOverlap/>
                  </w:pPr>
                  <w:r w:rsidRPr="00F16253">
                    <w:t>Part 2 – 4 January 2021 to 28 March 2021</w:t>
                  </w:r>
                </w:p>
              </w:tc>
              <w:tc>
                <w:tcPr>
                  <w:tcW w:w="3544" w:type="dxa"/>
                  <w:shd w:val="clear" w:color="auto" w:fill="FFFFFF" w:themeFill="background1"/>
                </w:tcPr>
                <w:p w14:paraId="3CE0C9B1" w14:textId="7088B019" w:rsidR="00AB427B" w:rsidRPr="00F16253" w:rsidRDefault="007E23CB" w:rsidP="00B1613D">
                  <w:pPr>
                    <w:pStyle w:val="TableTextLeft"/>
                    <w:framePr w:hSpace="180" w:wrap="around" w:vAnchor="text" w:hAnchor="text" w:y="1"/>
                    <w:suppressOverlap/>
                  </w:pPr>
                  <w:r>
                    <w:t>A</w:t>
                  </w:r>
                  <w:r w:rsidR="00AB427B" w:rsidRPr="00F16253">
                    <w:t xml:space="preserve"> payment rate </w:t>
                  </w:r>
                  <w:r>
                    <w:t>of</w:t>
                  </w:r>
                  <w:r w:rsidR="00AB427B" w:rsidRPr="00F16253">
                    <w:t xml:space="preserve"> $1,000 per fortnight for all eligible employees who</w:t>
                  </w:r>
                  <w:r w:rsidR="00AB427B">
                    <w:t>,</w:t>
                  </w:r>
                  <w:r w:rsidR="00AB427B" w:rsidRPr="00F16253">
                    <w:t xml:space="preserve"> in the </w:t>
                  </w:r>
                  <w:r w:rsidR="006F0DC3">
                    <w:t>four</w:t>
                  </w:r>
                  <w:r w:rsidR="00AB427B" w:rsidRPr="00F16253">
                    <w:t xml:space="preserve"> weekly pay periods before the reference period, were working 20 hours or more </w:t>
                  </w:r>
                  <w:r w:rsidR="00AB6234">
                    <w:t>per</w:t>
                  </w:r>
                  <w:r w:rsidR="00AB427B" w:rsidRPr="00F16253">
                    <w:t xml:space="preserve"> week on average and for business participants who were actively engaged in the business for 20</w:t>
                  </w:r>
                  <w:r w:rsidR="0089040C">
                    <w:t> </w:t>
                  </w:r>
                  <w:r w:rsidR="00AB427B" w:rsidRPr="00F16253">
                    <w:t>hours or more per week</w:t>
                  </w:r>
                  <w:r w:rsidR="00AB427B">
                    <w:t xml:space="preserve">. </w:t>
                  </w:r>
                </w:p>
              </w:tc>
              <w:tc>
                <w:tcPr>
                  <w:tcW w:w="3543" w:type="dxa"/>
                  <w:shd w:val="clear" w:color="auto" w:fill="FFFFFF" w:themeFill="background1"/>
                </w:tcPr>
                <w:p w14:paraId="16A65F4C" w14:textId="7CFF4E29" w:rsidR="00AB427B" w:rsidRPr="00F16253" w:rsidRDefault="00AB427B" w:rsidP="00B1613D">
                  <w:pPr>
                    <w:pStyle w:val="TableTextLeft"/>
                    <w:framePr w:hSpace="180" w:wrap="around" w:vAnchor="text" w:hAnchor="text" w:y="1"/>
                    <w:suppressOverlap/>
                  </w:pPr>
                  <w:r w:rsidRPr="00F16253">
                    <w:t>A lower payment of $650 per fortnight for employees who were working less than 20</w:t>
                  </w:r>
                  <w:r>
                    <w:t> </w:t>
                  </w:r>
                  <w:r w:rsidRPr="00F16253">
                    <w:t xml:space="preserve">hours </w:t>
                  </w:r>
                  <w:r w:rsidR="00AB6234">
                    <w:t>per</w:t>
                  </w:r>
                  <w:r w:rsidRPr="00F16253">
                    <w:t xml:space="preserve"> week on average and business participants who were actively engaged in the business for less than 20 hours per week in the reference period.</w:t>
                  </w:r>
                </w:p>
              </w:tc>
            </w:tr>
          </w:tbl>
          <w:p w14:paraId="15C71A76" w14:textId="46EEECCA" w:rsidR="00513474" w:rsidRPr="00D00D86" w:rsidRDefault="00513474" w:rsidP="00513474">
            <w:pPr>
              <w:spacing w:after="200" w:line="259" w:lineRule="auto"/>
              <w:rPr>
                <w:color w:val="000000" w:themeColor="text1"/>
              </w:rPr>
            </w:pPr>
            <w:r w:rsidRPr="00D00D86">
              <w:rPr>
                <w:b/>
                <w:color w:val="000000" w:themeColor="text1"/>
              </w:rPr>
              <w:t>Employer eligibility</w:t>
            </w:r>
            <w:r>
              <w:rPr>
                <w:color w:val="000000" w:themeColor="text1"/>
              </w:rPr>
              <w:t xml:space="preserve"> </w:t>
            </w:r>
            <w:r w:rsidR="004138ED">
              <w:rPr>
                <w:color w:val="000000" w:themeColor="text1"/>
              </w:rPr>
              <w:t>–</w:t>
            </w:r>
            <w:r w:rsidR="00AA2330">
              <w:rPr>
                <w:color w:val="000000" w:themeColor="text1"/>
              </w:rPr>
              <w:t xml:space="preserve"> </w:t>
            </w:r>
            <w:r w:rsidR="00AA2330" w:rsidRPr="00AA2330">
              <w:rPr>
                <w:color w:val="000000" w:themeColor="text1"/>
              </w:rPr>
              <w:t xml:space="preserve">To be eligible for </w:t>
            </w:r>
            <w:r w:rsidR="00AA2330">
              <w:rPr>
                <w:color w:val="000000" w:themeColor="text1"/>
              </w:rPr>
              <w:t xml:space="preserve">the </w:t>
            </w:r>
            <w:r w:rsidR="00AA2330" w:rsidRPr="00AA2330">
              <w:rPr>
                <w:color w:val="000000" w:themeColor="text1"/>
              </w:rPr>
              <w:t>JobKeeper extension,</w:t>
            </w:r>
            <w:r>
              <w:rPr>
                <w:color w:val="000000" w:themeColor="text1"/>
              </w:rPr>
              <w:t xml:space="preserve"> </w:t>
            </w:r>
            <w:r w:rsidR="00A92B13" w:rsidRPr="00A92B13">
              <w:rPr>
                <w:color w:val="000000" w:themeColor="text1"/>
              </w:rPr>
              <w:t>businesses and not</w:t>
            </w:r>
            <w:r w:rsidR="0038520A">
              <w:rPr>
                <w:color w:val="000000" w:themeColor="text1"/>
              </w:rPr>
              <w:noBreakHyphen/>
            </w:r>
            <w:r w:rsidR="00A92B13" w:rsidRPr="00A92B13">
              <w:rPr>
                <w:color w:val="000000" w:themeColor="text1"/>
              </w:rPr>
              <w:t>for</w:t>
            </w:r>
            <w:r w:rsidR="0038520A">
              <w:rPr>
                <w:color w:val="000000" w:themeColor="text1"/>
              </w:rPr>
              <w:noBreakHyphen/>
            </w:r>
            <w:r w:rsidR="00A92B13" w:rsidRPr="00A92B13">
              <w:rPr>
                <w:color w:val="000000" w:themeColor="text1"/>
              </w:rPr>
              <w:t>profits needed to demonstrate they had experienced an actual decline</w:t>
            </w:r>
            <w:r w:rsidR="00725B25">
              <w:rPr>
                <w:color w:val="000000" w:themeColor="text1"/>
              </w:rPr>
              <w:t xml:space="preserve"> in turnover</w:t>
            </w:r>
            <w:r w:rsidR="00AA2330">
              <w:rPr>
                <w:color w:val="000000" w:themeColor="text1"/>
              </w:rPr>
              <w:t xml:space="preserve"> </w:t>
            </w:r>
            <w:r w:rsidR="00A92B13" w:rsidRPr="00A92B13">
              <w:rPr>
                <w:color w:val="000000" w:themeColor="text1"/>
              </w:rPr>
              <w:t xml:space="preserve">(as opposed to </w:t>
            </w:r>
            <w:r w:rsidR="00AA2330">
              <w:rPr>
                <w:color w:val="000000" w:themeColor="text1"/>
              </w:rPr>
              <w:t xml:space="preserve">a </w:t>
            </w:r>
            <w:r w:rsidR="00A92B13" w:rsidRPr="00A92B13">
              <w:rPr>
                <w:color w:val="000000" w:themeColor="text1"/>
              </w:rPr>
              <w:t xml:space="preserve">prospective decline) </w:t>
            </w:r>
            <w:r w:rsidR="00AA2330" w:rsidRPr="00AA2330">
              <w:rPr>
                <w:color w:val="000000" w:themeColor="text1"/>
              </w:rPr>
              <w:t xml:space="preserve">using actual GST turnover </w:t>
            </w:r>
            <w:r w:rsidR="00A92B13" w:rsidRPr="00A92B13">
              <w:rPr>
                <w:color w:val="000000" w:themeColor="text1"/>
              </w:rPr>
              <w:t>for a certain reference period</w:t>
            </w:r>
            <w:r w:rsidR="009079DC">
              <w:rPr>
                <w:color w:val="000000" w:themeColor="text1"/>
              </w:rPr>
              <w:t xml:space="preserve">. Those same </w:t>
            </w:r>
            <w:r w:rsidR="009079DC" w:rsidRPr="009079DC">
              <w:rPr>
                <w:color w:val="000000" w:themeColor="text1"/>
              </w:rPr>
              <w:t>rates of decline</w:t>
            </w:r>
            <w:r w:rsidR="00AA2330">
              <w:rPr>
                <w:color w:val="000000" w:themeColor="text1"/>
              </w:rPr>
              <w:t xml:space="preserve"> </w:t>
            </w:r>
            <w:r w:rsidR="00AA2330" w:rsidRPr="00D00D86">
              <w:rPr>
                <w:color w:val="000000" w:themeColor="text1"/>
              </w:rPr>
              <w:t>depending on entity size and type</w:t>
            </w:r>
            <w:r w:rsidR="00AA2330">
              <w:rPr>
                <w:color w:val="000000" w:themeColor="text1"/>
              </w:rPr>
              <w:t xml:space="preserve"> that were</w:t>
            </w:r>
            <w:r w:rsidR="009079DC" w:rsidRPr="009079DC">
              <w:rPr>
                <w:color w:val="000000" w:themeColor="text1"/>
              </w:rPr>
              <w:t xml:space="preserve"> </w:t>
            </w:r>
            <w:r w:rsidR="00AA2330">
              <w:rPr>
                <w:color w:val="000000" w:themeColor="text1"/>
              </w:rPr>
              <w:t>used as a threshold</w:t>
            </w:r>
            <w:r w:rsidR="009079DC">
              <w:rPr>
                <w:color w:val="000000" w:themeColor="text1"/>
              </w:rPr>
              <w:t xml:space="preserve"> for </w:t>
            </w:r>
            <w:r w:rsidR="000C62A6">
              <w:rPr>
                <w:color w:val="000000" w:themeColor="text1"/>
              </w:rPr>
              <w:t>the first phase</w:t>
            </w:r>
            <w:r w:rsidR="00AA2330">
              <w:rPr>
                <w:color w:val="000000" w:themeColor="text1"/>
              </w:rPr>
              <w:t xml:space="preserve"> were also used in </w:t>
            </w:r>
            <w:r w:rsidR="000C62A6">
              <w:rPr>
                <w:color w:val="000000" w:themeColor="text1"/>
              </w:rPr>
              <w:t>the second phase</w:t>
            </w:r>
            <w:r w:rsidR="009079DC">
              <w:rPr>
                <w:color w:val="000000" w:themeColor="text1"/>
              </w:rPr>
              <w:t>.</w:t>
            </w:r>
          </w:p>
          <w:p w14:paraId="49D9CB80" w14:textId="06579D5F" w:rsidR="00513474" w:rsidRPr="005A73BE" w:rsidRDefault="00513474" w:rsidP="005A73BE">
            <w:pPr>
              <w:spacing w:after="200" w:line="259" w:lineRule="auto"/>
              <w:rPr>
                <w:color w:val="000000" w:themeColor="text1"/>
              </w:rPr>
            </w:pPr>
            <w:r>
              <w:rPr>
                <w:b/>
                <w:color w:val="000000" w:themeColor="text1"/>
              </w:rPr>
              <w:t xml:space="preserve">Worker </w:t>
            </w:r>
            <w:r w:rsidRPr="00D00D86">
              <w:rPr>
                <w:b/>
                <w:color w:val="000000" w:themeColor="text1"/>
              </w:rPr>
              <w:t>eligibility</w:t>
            </w:r>
            <w:r w:rsidR="00493F28">
              <w:rPr>
                <w:b/>
                <w:color w:val="000000" w:themeColor="text1"/>
              </w:rPr>
              <w:t xml:space="preserve"> reference period</w:t>
            </w:r>
            <w:r>
              <w:rPr>
                <w:color w:val="000000" w:themeColor="text1"/>
              </w:rPr>
              <w:t xml:space="preserve"> </w:t>
            </w:r>
            <w:r w:rsidR="004138ED">
              <w:rPr>
                <w:color w:val="000000" w:themeColor="text1"/>
              </w:rPr>
              <w:t>–</w:t>
            </w:r>
            <w:r>
              <w:rPr>
                <w:color w:val="000000" w:themeColor="text1"/>
              </w:rPr>
              <w:t xml:space="preserve"> </w:t>
            </w:r>
            <w:r w:rsidR="0008091E" w:rsidRPr="0008091E">
              <w:rPr>
                <w:color w:val="000000" w:themeColor="text1"/>
              </w:rPr>
              <w:t>from 3 August 2020</w:t>
            </w:r>
            <w:r w:rsidR="005A73BE">
              <w:rPr>
                <w:color w:val="000000" w:themeColor="text1"/>
              </w:rPr>
              <w:t xml:space="preserve"> onwards</w:t>
            </w:r>
            <w:r w:rsidR="009F3A8A">
              <w:rPr>
                <w:color w:val="000000" w:themeColor="text1"/>
              </w:rPr>
              <w:t>,</w:t>
            </w:r>
            <w:r w:rsidR="0008091E" w:rsidRPr="0008091E">
              <w:rPr>
                <w:color w:val="000000" w:themeColor="text1"/>
              </w:rPr>
              <w:t xml:space="preserve"> the date </w:t>
            </w:r>
            <w:r w:rsidR="005A73BE">
              <w:rPr>
                <w:color w:val="000000" w:themeColor="text1"/>
              </w:rPr>
              <w:t>for assessing employee</w:t>
            </w:r>
            <w:r w:rsidR="0008091E" w:rsidRPr="0008091E">
              <w:rPr>
                <w:color w:val="000000" w:themeColor="text1"/>
              </w:rPr>
              <w:t xml:space="preserve"> </w:t>
            </w:r>
            <w:r w:rsidR="005A73BE">
              <w:rPr>
                <w:color w:val="000000" w:themeColor="text1"/>
              </w:rPr>
              <w:t>eligibility for the scheme</w:t>
            </w:r>
            <w:r w:rsidR="0008091E" w:rsidRPr="0008091E">
              <w:rPr>
                <w:color w:val="000000" w:themeColor="text1"/>
              </w:rPr>
              <w:t xml:space="preserve"> move</w:t>
            </w:r>
            <w:r w:rsidR="005A73BE">
              <w:rPr>
                <w:color w:val="000000" w:themeColor="text1"/>
              </w:rPr>
              <w:t>d</w:t>
            </w:r>
            <w:r w:rsidR="0008091E" w:rsidRPr="0008091E">
              <w:rPr>
                <w:color w:val="000000" w:themeColor="text1"/>
              </w:rPr>
              <w:t xml:space="preserve"> from</w:t>
            </w:r>
            <w:r w:rsidR="005A73BE">
              <w:rPr>
                <w:color w:val="000000" w:themeColor="text1"/>
              </w:rPr>
              <w:t xml:space="preserve"> those </w:t>
            </w:r>
            <w:r w:rsidR="00D4463D">
              <w:rPr>
                <w:color w:val="000000" w:themeColor="text1"/>
              </w:rPr>
              <w:t xml:space="preserve">employed </w:t>
            </w:r>
            <w:r w:rsidR="005A73BE">
              <w:rPr>
                <w:color w:val="000000" w:themeColor="text1"/>
              </w:rPr>
              <w:t xml:space="preserve">on </w:t>
            </w:r>
            <w:r w:rsidR="0008091E" w:rsidRPr="0008091E">
              <w:rPr>
                <w:color w:val="000000" w:themeColor="text1"/>
              </w:rPr>
              <w:t>1 March to</w:t>
            </w:r>
            <w:r w:rsidR="00D4463D">
              <w:rPr>
                <w:color w:val="000000" w:themeColor="text1"/>
              </w:rPr>
              <w:t xml:space="preserve"> </w:t>
            </w:r>
            <w:r w:rsidR="0008091E" w:rsidRPr="0008091E">
              <w:rPr>
                <w:color w:val="000000" w:themeColor="text1"/>
              </w:rPr>
              <w:t>1 July 2020.</w:t>
            </w:r>
          </w:p>
        </w:tc>
      </w:tr>
    </w:tbl>
    <w:p w14:paraId="493649E2" w14:textId="6B7284A3" w:rsidR="006E5F5E" w:rsidRDefault="006E5F5E" w:rsidP="008A322B">
      <w:pPr>
        <w:pStyle w:val="SingleParagraph"/>
      </w:pPr>
    </w:p>
    <w:p w14:paraId="0625FF23" w14:textId="31B312B6" w:rsidR="00B00700" w:rsidRDefault="00DB7DAF" w:rsidP="008A322B">
      <w:r>
        <w:t>T</w:t>
      </w:r>
      <w:r w:rsidR="00B00700">
        <w:t xml:space="preserve">he use of existing ATO </w:t>
      </w:r>
      <w:r w:rsidR="00510AC7">
        <w:t>channels</w:t>
      </w:r>
      <w:r w:rsidR="00B00700">
        <w:t xml:space="preserve"> to </w:t>
      </w:r>
      <w:r w:rsidR="00313264">
        <w:t>deliver the payment</w:t>
      </w:r>
      <w:r w:rsidR="00794B18">
        <w:t xml:space="preserve"> </w:t>
      </w:r>
      <w:r w:rsidR="000774CA">
        <w:t xml:space="preserve">was the most effective, rapid and robust mechanism for the delivery of JobKeeper. It </w:t>
      </w:r>
      <w:r w:rsidR="00794B18">
        <w:t xml:space="preserve">allowed </w:t>
      </w:r>
      <w:r w:rsidR="00B00700">
        <w:t xml:space="preserve">businesses to use their </w:t>
      </w:r>
      <w:r w:rsidR="00500148">
        <w:t xml:space="preserve">existing </w:t>
      </w:r>
      <w:r w:rsidR="00B00700">
        <w:t xml:space="preserve">systems and processes to meet the requirements and obligations of </w:t>
      </w:r>
      <w:r w:rsidR="009D382E">
        <w:t>JobKeeper</w:t>
      </w:r>
      <w:r w:rsidR="00B00700">
        <w:t xml:space="preserve">. </w:t>
      </w:r>
      <w:r w:rsidR="00124AC3">
        <w:t xml:space="preserve">The first JobKeeper payments were made just over </w:t>
      </w:r>
      <w:r w:rsidR="00721C33">
        <w:t>five </w:t>
      </w:r>
      <w:r w:rsidR="00124AC3">
        <w:t xml:space="preserve">weeks after the announcement, in the first week of May 2020. </w:t>
      </w:r>
      <w:r w:rsidR="00B00700">
        <w:t>Th</w:t>
      </w:r>
      <w:r w:rsidR="009336AE">
        <w:t>e use of existing systems</w:t>
      </w:r>
      <w:r w:rsidR="00B00700">
        <w:t xml:space="preserve"> </w:t>
      </w:r>
      <w:r w:rsidR="00510AC7">
        <w:t xml:space="preserve">and concepts </w:t>
      </w:r>
      <w:r>
        <w:t>also</w:t>
      </w:r>
      <w:r w:rsidR="00B00700">
        <w:t xml:space="preserve"> enabled the ATO to use its </w:t>
      </w:r>
      <w:r w:rsidR="00270A9E">
        <w:t xml:space="preserve">existing </w:t>
      </w:r>
      <w:r w:rsidR="00B00700">
        <w:t xml:space="preserve">compliance and risk programs </w:t>
      </w:r>
      <w:r w:rsidR="00510AC7">
        <w:t>as well as information already reported to the ATO in prior periods</w:t>
      </w:r>
      <w:r w:rsidR="00B00700">
        <w:t xml:space="preserve"> to identify potential compliance or integrity issues from the outset of the scheme.</w:t>
      </w:r>
      <w:r w:rsidR="009445C6" w:rsidRPr="009445C6">
        <w:t xml:space="preserve"> </w:t>
      </w:r>
    </w:p>
    <w:p w14:paraId="66A8A5E4" w14:textId="58CF2609" w:rsidR="00242E97" w:rsidRDefault="00242E97" w:rsidP="00242E97">
      <w:r>
        <w:t xml:space="preserve">However, there were also costs imposed by these </w:t>
      </w:r>
      <w:r w:rsidR="003B0CAA">
        <w:t xml:space="preserve">design </w:t>
      </w:r>
      <w:r>
        <w:t xml:space="preserve">decisions. While support was targeted to each entity on a consistent basis, the eligibility tests did not </w:t>
      </w:r>
      <w:r w:rsidR="00270A9E">
        <w:t>vary by</w:t>
      </w:r>
      <w:r>
        <w:t xml:space="preserve"> specific business models. For example, mixed businesses that did not meet the decline in turnover threshold but had limited ability to cross</w:t>
      </w:r>
      <w:r w:rsidR="0038520A">
        <w:noBreakHyphen/>
      </w:r>
      <w:r>
        <w:t xml:space="preserve">subsidise may not have qualified for the payment. </w:t>
      </w:r>
      <w:r w:rsidR="003B0CAA">
        <w:t>And because the tests were based on turnover</w:t>
      </w:r>
      <w:r w:rsidR="006F538C">
        <w:t>,</w:t>
      </w:r>
      <w:r w:rsidR="003B0CAA">
        <w:t xml:space="preserve"> rather than profitability, they did not distinguish between high and low profit margin businesses.</w:t>
      </w:r>
    </w:p>
    <w:p w14:paraId="3434DB61" w14:textId="073C5224" w:rsidR="00313264" w:rsidRDefault="009445C6" w:rsidP="00D52CBC">
      <w:bookmarkStart w:id="41" w:name="_Hlk82788593"/>
      <w:r>
        <w:t xml:space="preserve">Another feature </w:t>
      </w:r>
      <w:r w:rsidR="00EA4732">
        <w:t xml:space="preserve">that aided </w:t>
      </w:r>
      <w:r>
        <w:t xml:space="preserve">the rapid rollout of the scheme was that eligibility was determined on a prospective </w:t>
      </w:r>
      <w:r w:rsidR="0097062C">
        <w:t xml:space="preserve">basis, </w:t>
      </w:r>
      <w:r>
        <w:t xml:space="preserve">rather than </w:t>
      </w:r>
      <w:r w:rsidR="009F46BD">
        <w:t xml:space="preserve">requiring evidence of an </w:t>
      </w:r>
      <w:r>
        <w:t xml:space="preserve">actual decline in turnover. This allowed eligibility to be determined almost immediately and for those payments to be quickly passed through to employees. </w:t>
      </w:r>
      <w:r w:rsidR="005D7028">
        <w:t>The ATO provided</w:t>
      </w:r>
      <w:r w:rsidR="001201A6">
        <w:t xml:space="preserve"> </w:t>
      </w:r>
      <w:r w:rsidR="005D7028">
        <w:t xml:space="preserve">guidance on how make a reasonable estimate of future turnover in a Law Companion Ruling (LCR), including </w:t>
      </w:r>
      <w:r w:rsidR="00594A00">
        <w:t xml:space="preserve">how to </w:t>
      </w:r>
      <w:r w:rsidR="005D7028">
        <w:t>reasonabl</w:t>
      </w:r>
      <w:r w:rsidR="00594A00">
        <w:t>y</w:t>
      </w:r>
      <w:r w:rsidR="005D7028">
        <w:t xml:space="preserve"> determin</w:t>
      </w:r>
      <w:r w:rsidR="00594A00">
        <w:t>e</w:t>
      </w:r>
      <w:r w:rsidR="005D7028">
        <w:t xml:space="preserve"> </w:t>
      </w:r>
      <w:r w:rsidR="005D7028" w:rsidRPr="008F768F">
        <w:t>whether</w:t>
      </w:r>
      <w:r w:rsidR="005D7028">
        <w:t xml:space="preserve"> the business</w:t>
      </w:r>
      <w:r w:rsidR="005D7028" w:rsidRPr="008F768F">
        <w:t xml:space="preserve"> would </w:t>
      </w:r>
      <w:r w:rsidR="005D7028" w:rsidRPr="001D0797">
        <w:t>stay open</w:t>
      </w:r>
      <w:r w:rsidR="001201A6" w:rsidRPr="001D0797">
        <w:t>.</w:t>
      </w:r>
      <w:r w:rsidR="00935F98" w:rsidRPr="001D0797">
        <w:t xml:space="preserve"> </w:t>
      </w:r>
      <w:r w:rsidR="00CE19BA" w:rsidRPr="001D0797">
        <w:t xml:space="preserve">The LCR explained the relevant evidence that would be accepted to support a prediction </w:t>
      </w:r>
      <w:r w:rsidR="00CE19BA" w:rsidRPr="001D0797">
        <w:lastRenderedPageBreak/>
        <w:t>of turnover.</w:t>
      </w:r>
      <w:r w:rsidR="00F1751F" w:rsidRPr="001D0797">
        <w:rPr>
          <w:rStyle w:val="FootnoteReference"/>
        </w:rPr>
        <w:footnoteReference w:id="8"/>
      </w:r>
      <w:r w:rsidRPr="001D0797">
        <w:t xml:space="preserve"> </w:t>
      </w:r>
      <w:r w:rsidR="003179A6" w:rsidRPr="001D0797">
        <w:t xml:space="preserve">While this guidance </w:t>
      </w:r>
      <w:r w:rsidR="00662F67" w:rsidRPr="001D0797">
        <w:t>provide</w:t>
      </w:r>
      <w:r w:rsidR="00621E44" w:rsidRPr="001D0797">
        <w:t>d</w:t>
      </w:r>
      <w:r w:rsidR="00662F67" w:rsidRPr="001D0797">
        <w:t xml:space="preserve"> </w:t>
      </w:r>
      <w:r w:rsidR="00621E44" w:rsidRPr="001D0797">
        <w:t xml:space="preserve">a useful </w:t>
      </w:r>
      <w:r w:rsidR="00662F67" w:rsidRPr="001D0797">
        <w:t>structure for business</w:t>
      </w:r>
      <w:r w:rsidR="00621E44" w:rsidRPr="001D0797">
        <w:t>es</w:t>
      </w:r>
      <w:r w:rsidR="00662F67" w:rsidRPr="001D0797">
        <w:t xml:space="preserve">, </w:t>
      </w:r>
      <w:r w:rsidR="00EA0094" w:rsidRPr="001D0797">
        <w:t>some</w:t>
      </w:r>
      <w:r w:rsidR="003B1F30" w:rsidRPr="001D0797">
        <w:t xml:space="preserve"> businesses in similar circumstances </w:t>
      </w:r>
      <w:r w:rsidR="00332D2D" w:rsidRPr="001D0797">
        <w:t>could</w:t>
      </w:r>
      <w:r w:rsidR="00EC76CF" w:rsidRPr="001D0797">
        <w:t xml:space="preserve"> have </w:t>
      </w:r>
      <w:r w:rsidR="00EA0094" w:rsidRPr="001D0797">
        <w:t xml:space="preserve">arrived at </w:t>
      </w:r>
      <w:r w:rsidR="00EC76CF" w:rsidRPr="001D0797">
        <w:t>different forecasts of turnover</w:t>
      </w:r>
      <w:r w:rsidR="00B07808" w:rsidRPr="001D0797">
        <w:t>, resulting</w:t>
      </w:r>
      <w:r w:rsidR="009472C5" w:rsidRPr="001D0797">
        <w:t xml:space="preserve"> in</w:t>
      </w:r>
      <w:r w:rsidR="00935F98" w:rsidRPr="001D0797">
        <w:t xml:space="preserve"> different outcomes</w:t>
      </w:r>
      <w:r w:rsidR="00B07808" w:rsidRPr="001D0797">
        <w:t xml:space="preserve"> </w:t>
      </w:r>
      <w:r w:rsidR="004006D9" w:rsidRPr="001D0797">
        <w:t>in terms of</w:t>
      </w:r>
      <w:r w:rsidR="00270A9E" w:rsidRPr="001D0797">
        <w:t xml:space="preserve"> their assessments of their</w:t>
      </w:r>
      <w:r w:rsidR="00B07808" w:rsidRPr="001D0797">
        <w:t xml:space="preserve"> eligibility for the payment</w:t>
      </w:r>
      <w:r w:rsidR="009472C5" w:rsidRPr="001D0797">
        <w:t>.</w:t>
      </w:r>
      <w:r w:rsidR="00612CD9" w:rsidRPr="001D0797">
        <w:t xml:space="preserve"> The ATO</w:t>
      </w:r>
      <w:r w:rsidR="00CC514C" w:rsidRPr="001D0797">
        <w:t xml:space="preserve"> </w:t>
      </w:r>
      <w:r w:rsidR="00612CD9" w:rsidRPr="001D0797">
        <w:t>had the ability to recoup payments where projections were deemed unreasonable to ensure the integrity of the</w:t>
      </w:r>
      <w:r w:rsidR="00612CD9" w:rsidRPr="001D0797" w:rsidDel="00725B25">
        <w:t xml:space="preserve"> </w:t>
      </w:r>
      <w:r w:rsidR="00725B25">
        <w:t>program</w:t>
      </w:r>
      <w:r w:rsidR="00612CD9" w:rsidRPr="001D0797">
        <w:t>.</w:t>
      </w:r>
    </w:p>
    <w:p w14:paraId="1151B7A8" w14:textId="6A7BFBE9" w:rsidR="001E4CA4" w:rsidRDefault="009445C6" w:rsidP="00C04966">
      <w:r>
        <w:t>Alternative tests were also included to allow for circumstances where</w:t>
      </w:r>
      <w:r w:rsidR="009F46BD">
        <w:t xml:space="preserve"> the level of turnover a year earlier would not have provided a reasonable point of comparison</w:t>
      </w:r>
      <w:r w:rsidR="001E6E40">
        <w:t xml:space="preserve"> (see </w:t>
      </w:r>
      <w:r w:rsidR="008E0BB8">
        <w:t>B</w:t>
      </w:r>
      <w:r w:rsidR="001E6E40">
        <w:t xml:space="preserve">ox </w:t>
      </w:r>
      <w:r w:rsidR="003F5268">
        <w:t>2</w:t>
      </w:r>
      <w:r w:rsidR="001E6E40">
        <w:t xml:space="preserve"> for further information)</w:t>
      </w:r>
      <w:r w:rsidR="009F46BD">
        <w:t xml:space="preserve">. </w:t>
      </w:r>
      <w:r w:rsidR="001B3D5F">
        <w:t xml:space="preserve">For </w:t>
      </w:r>
      <w:r w:rsidR="00585586">
        <w:t xml:space="preserve">new and rapidly growing businesses and for businesses </w:t>
      </w:r>
      <w:r w:rsidR="00DE4C0C">
        <w:t>that</w:t>
      </w:r>
      <w:r w:rsidR="00585586">
        <w:t>, for example, had been adversely affected by drought the year earlier</w:t>
      </w:r>
      <w:r w:rsidR="001B3D5F">
        <w:t xml:space="preserve">, </w:t>
      </w:r>
      <w:r w:rsidR="0068187C">
        <w:t xml:space="preserve">comparing to a much lower level of turnover one year prior would </w:t>
      </w:r>
      <w:r w:rsidR="00CF1F06">
        <w:t xml:space="preserve">have </w:t>
      </w:r>
      <w:r w:rsidR="0068187C">
        <w:t>understate</w:t>
      </w:r>
      <w:r w:rsidR="00CF1F06">
        <w:t>d</w:t>
      </w:r>
      <w:r w:rsidR="0068187C">
        <w:t xml:space="preserve"> the effect of the pandemic on the business.</w:t>
      </w:r>
      <w:r w:rsidR="009F46BD">
        <w:t xml:space="preserve"> </w:t>
      </w:r>
      <w:r w:rsidR="00585586">
        <w:t>O</w:t>
      </w:r>
      <w:r>
        <w:t>ther modifications to ordinarily reported GST turnover were made to operationalise the scheme</w:t>
      </w:r>
      <w:r w:rsidR="00585586">
        <w:t>, particularly for not</w:t>
      </w:r>
      <w:r w:rsidR="0038520A">
        <w:noBreakHyphen/>
      </w:r>
      <w:r w:rsidR="00585586">
        <w:t>for</w:t>
      </w:r>
      <w:r w:rsidR="0038520A">
        <w:noBreakHyphen/>
      </w:r>
      <w:r w:rsidR="00585586">
        <w:t>profit entities</w:t>
      </w:r>
      <w:r>
        <w:t xml:space="preserve">. </w:t>
      </w:r>
    </w:p>
    <w:p w14:paraId="681C3909" w14:textId="77777777" w:rsidR="00644C5A" w:rsidRDefault="00644C5A" w:rsidP="004D5AD4">
      <w:pPr>
        <w:pStyle w:val="SingleParagraph"/>
      </w:pPr>
    </w:p>
    <w:tbl>
      <w:tblPr>
        <w:tblpPr w:leftFromText="180" w:rightFromText="180" w:vertAnchor="text" w:horzAnchor="margin" w:tblpY="87"/>
        <w:tblW w:w="5000" w:type="pct"/>
        <w:shd w:val="clear" w:color="auto" w:fill="D5E1F1" w:themeFill="accent2" w:themeFillTint="33"/>
        <w:tblLook w:val="01E0" w:firstRow="1" w:lastRow="1" w:firstColumn="1" w:lastColumn="1" w:noHBand="0" w:noVBand="0"/>
      </w:tblPr>
      <w:tblGrid>
        <w:gridCol w:w="9071"/>
      </w:tblGrid>
      <w:tr w:rsidR="002806AF" w14:paraId="0DAC0FFF" w14:textId="77777777" w:rsidTr="002806AF">
        <w:tc>
          <w:tcPr>
            <w:tcW w:w="5000" w:type="pct"/>
            <w:shd w:val="clear" w:color="auto" w:fill="D5E1F1" w:themeFill="accent2" w:themeFillTint="33"/>
          </w:tcPr>
          <w:p w14:paraId="2068E137" w14:textId="77777777" w:rsidR="002806AF" w:rsidRPr="009C7A31" w:rsidRDefault="002806AF" w:rsidP="002806AF">
            <w:pPr>
              <w:pStyle w:val="BoxHeading"/>
            </w:pPr>
            <w:bookmarkStart w:id="42" w:name="_Toc84842559"/>
            <w:r w:rsidRPr="00601199">
              <w:t>Box 2</w:t>
            </w:r>
            <w:r w:rsidRPr="009C7A31">
              <w:t>: Alternative decline in GST turnover tests</w:t>
            </w:r>
            <w:bookmarkEnd w:id="42"/>
          </w:p>
          <w:p w14:paraId="7294B6D8" w14:textId="60359612" w:rsidR="002806AF" w:rsidRPr="00AC22FC" w:rsidRDefault="002806AF" w:rsidP="002806AF">
            <w:pPr>
              <w:pStyle w:val="BoxText"/>
            </w:pPr>
            <w:r>
              <w:t xml:space="preserve">Alternative tests to determine eligibility were </w:t>
            </w:r>
            <w:r w:rsidR="004922F1">
              <w:t>included</w:t>
            </w:r>
            <w:r>
              <w:t xml:space="preserve"> in the program. These catered for </w:t>
            </w:r>
            <w:r w:rsidRPr="00AC22FC">
              <w:t xml:space="preserve">events or circumstances that resulted in the relevant comparison period in 2019 not being appropriate for </w:t>
            </w:r>
            <w:r>
              <w:t>assessing</w:t>
            </w:r>
            <w:r w:rsidRPr="00AC22FC">
              <w:t xml:space="preserve"> </w:t>
            </w:r>
            <w:r>
              <w:t>the impact of the pandemic on the business</w:t>
            </w:r>
            <w:r w:rsidRPr="00AC22FC">
              <w:t>.</w:t>
            </w:r>
          </w:p>
          <w:p w14:paraId="4E3781B1" w14:textId="77777777" w:rsidR="002806AF" w:rsidRPr="00AC22FC" w:rsidRDefault="002806AF" w:rsidP="002806AF">
            <w:pPr>
              <w:pStyle w:val="BoxText"/>
            </w:pPr>
            <w:r w:rsidRPr="00AC22FC">
              <w:t>The</w:t>
            </w:r>
            <w:r>
              <w:t>se tests covered situations</w:t>
            </w:r>
            <w:r w:rsidRPr="00AC22FC" w:rsidDel="00382004">
              <w:t xml:space="preserve"> </w:t>
            </w:r>
            <w:r w:rsidRPr="00AC22FC">
              <w:t xml:space="preserve">where the </w:t>
            </w:r>
            <w:r>
              <w:t>business</w:t>
            </w:r>
            <w:r w:rsidRPr="00AC22FC">
              <w:t>:</w:t>
            </w:r>
          </w:p>
          <w:p w14:paraId="42773BA4" w14:textId="77777777" w:rsidR="002806AF" w:rsidRPr="00AC22FC" w:rsidRDefault="002806AF" w:rsidP="002806AF">
            <w:pPr>
              <w:pStyle w:val="BoxBullet"/>
            </w:pPr>
            <w:r>
              <w:t xml:space="preserve">was new, </w:t>
            </w:r>
            <w:r w:rsidRPr="00AC22FC">
              <w:t xml:space="preserve">having </w:t>
            </w:r>
            <w:r>
              <w:t>been established within the previous year</w:t>
            </w:r>
          </w:p>
          <w:p w14:paraId="7337E255" w14:textId="77777777" w:rsidR="002806AF" w:rsidRPr="00AC22FC" w:rsidRDefault="002806AF" w:rsidP="002806AF">
            <w:pPr>
              <w:pStyle w:val="BoxBullet"/>
            </w:pPr>
            <w:r>
              <w:t xml:space="preserve">had </w:t>
            </w:r>
            <w:r w:rsidRPr="00AC22FC">
              <w:t>acqui</w:t>
            </w:r>
            <w:r>
              <w:t>red or disposed of significant assets</w:t>
            </w:r>
          </w:p>
          <w:p w14:paraId="41F2DC54" w14:textId="77777777" w:rsidR="002806AF" w:rsidRPr="00AC22FC" w:rsidRDefault="002806AF" w:rsidP="002806AF">
            <w:pPr>
              <w:pStyle w:val="BoxBullet"/>
            </w:pPr>
            <w:r>
              <w:t>had been</w:t>
            </w:r>
            <w:r w:rsidRPr="00AC22FC">
              <w:t xml:space="preserve"> restructure</w:t>
            </w:r>
            <w:r>
              <w:t>d</w:t>
            </w:r>
          </w:p>
          <w:p w14:paraId="1CFB4953" w14:textId="7EC3AA72" w:rsidR="002806AF" w:rsidRPr="00AC22FC" w:rsidRDefault="002806AF" w:rsidP="002806AF">
            <w:pPr>
              <w:pStyle w:val="BoxBullet"/>
            </w:pPr>
            <w:r>
              <w:t>had been growing rapidly</w:t>
            </w:r>
            <w:r w:rsidR="00725B25">
              <w:t xml:space="preserve"> over the previous year</w:t>
            </w:r>
          </w:p>
          <w:p w14:paraId="6F38C194" w14:textId="77777777" w:rsidR="002806AF" w:rsidRPr="00AC22FC" w:rsidRDefault="002806AF" w:rsidP="002806AF">
            <w:pPr>
              <w:pStyle w:val="BoxBullet"/>
            </w:pPr>
            <w:r>
              <w:t xml:space="preserve">had been affected by </w:t>
            </w:r>
            <w:r w:rsidRPr="00AC22FC">
              <w:t>a drought or natural disaster</w:t>
            </w:r>
          </w:p>
          <w:p w14:paraId="6F672F18" w14:textId="77777777" w:rsidR="002806AF" w:rsidRPr="00AC22FC" w:rsidRDefault="002806AF" w:rsidP="002806AF">
            <w:pPr>
              <w:pStyle w:val="BoxBullet"/>
            </w:pPr>
            <w:r>
              <w:t>had experienced</w:t>
            </w:r>
            <w:r w:rsidRPr="00AC22FC">
              <w:t xml:space="preserve"> irregular turnover</w:t>
            </w:r>
          </w:p>
          <w:p w14:paraId="64868DF3" w14:textId="77777777" w:rsidR="002806AF" w:rsidRPr="00AC22FC" w:rsidRDefault="002806AF" w:rsidP="002806AF">
            <w:pPr>
              <w:pStyle w:val="BoxBullet"/>
            </w:pPr>
            <w:r>
              <w:t xml:space="preserve">was </w:t>
            </w:r>
            <w:r w:rsidRPr="00AC22FC">
              <w:t>a sole trader or small partnership having a sickness, injury or leave</w:t>
            </w:r>
          </w:p>
          <w:p w14:paraId="19008237" w14:textId="77777777" w:rsidR="002806AF" w:rsidRPr="00AC22FC" w:rsidRDefault="002806AF" w:rsidP="002806AF">
            <w:pPr>
              <w:pStyle w:val="BoxText"/>
            </w:pPr>
            <w:r>
              <w:t xml:space="preserve">In these situations, businesses were allowed to use an </w:t>
            </w:r>
            <w:r w:rsidRPr="00AC22FC">
              <w:t xml:space="preserve">alternative comparison period to ensure a broad set of </w:t>
            </w:r>
            <w:r>
              <w:t xml:space="preserve">business </w:t>
            </w:r>
            <w:r w:rsidRPr="00AC22FC">
              <w:t>situations were covered. Generally, alternative periods were for different months/quarters that preceded/proceeded the ordinary comparison period or the year prior was used.</w:t>
            </w:r>
          </w:p>
          <w:p w14:paraId="439030C7" w14:textId="77777777" w:rsidR="002806AF" w:rsidRPr="008950C5" w:rsidRDefault="002806AF" w:rsidP="002806AF">
            <w:pPr>
              <w:pStyle w:val="BoxText"/>
            </w:pPr>
            <w:r>
              <w:t>Data on the use of alternative tests was not collected in a manner that allows for detailed analysis on use of these tests in the first six months of the program.</w:t>
            </w:r>
          </w:p>
        </w:tc>
      </w:tr>
    </w:tbl>
    <w:p w14:paraId="722403E7" w14:textId="68C85520" w:rsidR="00644C5A" w:rsidRDefault="00644C5A" w:rsidP="008A322B"/>
    <w:p w14:paraId="6876AB7A" w14:textId="77777777" w:rsidR="00391F5E" w:rsidRDefault="00391F5E" w:rsidP="008A322B"/>
    <w:p w14:paraId="12C4A410" w14:textId="67A64F36" w:rsidR="00E3323C" w:rsidRDefault="00367AAE" w:rsidP="008A322B">
      <w:r>
        <w:lastRenderedPageBreak/>
        <w:t>To</w:t>
      </w:r>
      <w:r w:rsidR="00D52CBC">
        <w:t xml:space="preserve"> demonstrate they </w:t>
      </w:r>
      <w:r>
        <w:t>were</w:t>
      </w:r>
      <w:r w:rsidR="00D52CBC">
        <w:t xml:space="preserve"> substantially affected by the lockdowns, businesses were generally required to demonstrate that they expected a decline in GST turnover of at least </w:t>
      </w:r>
      <w:r w:rsidR="00935F98">
        <w:t xml:space="preserve">30 per cent </w:t>
      </w:r>
      <w:r w:rsidR="00D52CBC">
        <w:t xml:space="preserve">in a month or quarter compared with a similar period a year earlier. The decision to use GST turnover reflected </w:t>
      </w:r>
      <w:r w:rsidR="008C6285">
        <w:t xml:space="preserve">a preference for </w:t>
      </w:r>
      <w:r w:rsidR="006D6702">
        <w:t>using</w:t>
      </w:r>
      <w:r w:rsidR="008C6285">
        <w:t xml:space="preserve"> existing mechanisms and concepts</w:t>
      </w:r>
      <w:r w:rsidR="00D52CBC">
        <w:t xml:space="preserve">, which was important for </w:t>
      </w:r>
      <w:r w:rsidR="008C6285">
        <w:t>simplicity</w:t>
      </w:r>
      <w:r w:rsidR="003B0CAA">
        <w:t>,</w:t>
      </w:r>
      <w:r w:rsidR="00D52CBC">
        <w:t xml:space="preserve"> </w:t>
      </w:r>
      <w:r w:rsidR="003B0CAA">
        <w:t>for</w:t>
      </w:r>
      <w:r w:rsidR="00D52CBC">
        <w:t xml:space="preserve"> the integrity of the scheme</w:t>
      </w:r>
      <w:r w:rsidR="003B0CAA">
        <w:t xml:space="preserve"> and for the rapid rollout</w:t>
      </w:r>
      <w:r w:rsidR="00D52CBC">
        <w:t>. The threshold decline of 30 per</w:t>
      </w:r>
      <w:r w:rsidR="002300A5">
        <w:t> </w:t>
      </w:r>
      <w:r w:rsidR="00D52CBC">
        <w:t xml:space="preserve">cent was judged to be </w:t>
      </w:r>
      <w:r w:rsidR="00E93DC4">
        <w:t>significant enough</w:t>
      </w:r>
      <w:r w:rsidR="00D52CBC">
        <w:t xml:space="preserve"> to capture businesses that were genuinely </w:t>
      </w:r>
      <w:r w:rsidR="00C0384D">
        <w:t xml:space="preserve">expecting to be </w:t>
      </w:r>
      <w:r w:rsidR="002A3E26">
        <w:t xml:space="preserve">affected by the lockdowns, but not too large to </w:t>
      </w:r>
      <w:r w:rsidR="00C0384D">
        <w:t>make it difficult for businesses to qualify for the payment</w:t>
      </w:r>
      <w:r w:rsidR="002A3E26">
        <w:t xml:space="preserve">. </w:t>
      </w:r>
    </w:p>
    <w:bookmarkEnd w:id="41"/>
    <w:p w14:paraId="60A7A739" w14:textId="409756B8" w:rsidR="00B00700" w:rsidRDefault="00E727CB" w:rsidP="008A322B">
      <w:r>
        <w:t>T</w:t>
      </w:r>
      <w:r w:rsidR="00CF474B">
        <w:t>ake</w:t>
      </w:r>
      <w:r w:rsidR="0038520A">
        <w:noBreakHyphen/>
      </w:r>
      <w:r w:rsidR="00CF474B">
        <w:t>up was supported by</w:t>
      </w:r>
      <w:r w:rsidR="002A67D2">
        <w:t xml:space="preserve"> </w:t>
      </w:r>
      <w:r w:rsidR="00AA0B99">
        <w:t>the</w:t>
      </w:r>
      <w:r w:rsidR="00CF474B">
        <w:t xml:space="preserve"> simple design</w:t>
      </w:r>
      <w:r w:rsidR="00AA0B99">
        <w:t xml:space="preserve"> of </w:t>
      </w:r>
      <w:r w:rsidR="00010A5B">
        <w:rPr>
          <w:lang w:val="en-US"/>
        </w:rPr>
        <w:t>JobKeeper</w:t>
      </w:r>
      <w:r w:rsidR="00CF474B">
        <w:t xml:space="preserve">. For example, </w:t>
      </w:r>
      <w:r w:rsidR="003627BB">
        <w:t xml:space="preserve">the first phase of </w:t>
      </w:r>
      <w:r w:rsidR="00CF474B">
        <w:t>JobKeeper had a</w:t>
      </w:r>
      <w:r w:rsidR="00750B40" w:rsidRPr="00D00D86">
        <w:t xml:space="preserve"> flat payment of $1,500 per fortnight paid in full to eligible employees</w:t>
      </w:r>
      <w:r w:rsidR="00750B40">
        <w:t xml:space="preserve"> and other individuals</w:t>
      </w:r>
      <w:r w:rsidR="00124AC3">
        <w:t xml:space="preserve">. </w:t>
      </w:r>
      <w:r w:rsidR="006D6702">
        <w:t xml:space="preserve">The </w:t>
      </w:r>
      <w:r w:rsidR="00D4127D">
        <w:t xml:space="preserve">$1,500 </w:t>
      </w:r>
      <w:r w:rsidR="006D6702">
        <w:t>payment</w:t>
      </w:r>
      <w:r w:rsidR="00D4127D">
        <w:t xml:space="preserve"> was broadly equal to the National Minimum Wage for an adult full</w:t>
      </w:r>
      <w:r w:rsidR="0038520A">
        <w:noBreakHyphen/>
      </w:r>
      <w:r w:rsidR="00D4127D">
        <w:t xml:space="preserve">time employee. </w:t>
      </w:r>
      <w:r w:rsidR="00124AC3">
        <w:t>This</w:t>
      </w:r>
      <w:r w:rsidR="00750B40">
        <w:t xml:space="preserve"> was a design feature that made </w:t>
      </w:r>
      <w:r w:rsidR="006C640F">
        <w:t>JobKeeper</w:t>
      </w:r>
      <w:r w:rsidR="00750B40">
        <w:t xml:space="preserve"> simple, easy to administer and timely to implement</w:t>
      </w:r>
      <w:r w:rsidR="00D54348">
        <w:t xml:space="preserve">. A </w:t>
      </w:r>
      <w:r w:rsidR="00B333EB" w:rsidRPr="00AF073F">
        <w:t xml:space="preserve">proportionate and more targeted </w:t>
      </w:r>
      <w:r w:rsidR="00B333EB">
        <w:t>payment</w:t>
      </w:r>
      <w:r w:rsidR="00B333EB" w:rsidRPr="00AF073F">
        <w:t xml:space="preserve"> for individual employees</w:t>
      </w:r>
      <w:r w:rsidR="00B333EB">
        <w:t xml:space="preserve"> </w:t>
      </w:r>
      <w:r w:rsidR="00C062AB">
        <w:t xml:space="preserve">(such as a fixed share of </w:t>
      </w:r>
      <w:r w:rsidR="00D54348">
        <w:t>wages</w:t>
      </w:r>
      <w:r w:rsidR="00C062AB">
        <w:t>)</w:t>
      </w:r>
      <w:r w:rsidR="00D54348">
        <w:t xml:space="preserve"> was also considered</w:t>
      </w:r>
      <w:r w:rsidR="00AF073F" w:rsidRPr="00AF073F">
        <w:t xml:space="preserve">. </w:t>
      </w:r>
      <w:r w:rsidR="00B333EB">
        <w:t>This</w:t>
      </w:r>
      <w:r w:rsidR="00AF073F" w:rsidRPr="00AF073F">
        <w:t xml:space="preserve"> would have </w:t>
      </w:r>
      <w:r w:rsidR="00FF306B">
        <w:t>prevented</w:t>
      </w:r>
      <w:r w:rsidR="00AF073F" w:rsidRPr="00AF073F" w:rsidDel="00B333EB">
        <w:t xml:space="preserve"> </w:t>
      </w:r>
      <w:r w:rsidR="00AF073F" w:rsidRPr="00AF073F">
        <w:t>some employees</w:t>
      </w:r>
      <w:r w:rsidR="00B333EB">
        <w:t xml:space="preserve"> being paid more than their usual wages</w:t>
      </w:r>
      <w:r w:rsidR="00AF073F">
        <w:t>.</w:t>
      </w:r>
      <w:r w:rsidR="00D54348">
        <w:t xml:space="preserve"> </w:t>
      </w:r>
      <w:r w:rsidR="00AF073F">
        <w:t>Given the timeframes to implement and systems available</w:t>
      </w:r>
      <w:r w:rsidR="005A55B0">
        <w:t>,</w:t>
      </w:r>
      <w:r w:rsidR="00AF073F">
        <w:t xml:space="preserve"> </w:t>
      </w:r>
      <w:r w:rsidR="00D54348">
        <w:t>the ATO could not verify actual pay on a real</w:t>
      </w:r>
      <w:r w:rsidR="0038520A">
        <w:noBreakHyphen/>
      </w:r>
      <w:r w:rsidR="00D54348">
        <w:t>time basis</w:t>
      </w:r>
      <w:r w:rsidR="00AF073F">
        <w:t xml:space="preserve"> to support this option</w:t>
      </w:r>
      <w:r w:rsidR="00D54348">
        <w:t xml:space="preserve">. </w:t>
      </w:r>
      <w:r w:rsidR="00BD24C0">
        <w:t>The flat rate of payment was supported by a rule that employees could only claim the payment from one employer.</w:t>
      </w:r>
    </w:p>
    <w:p w14:paraId="3CB47011" w14:textId="337677C3" w:rsidR="00844D67" w:rsidRDefault="00131D76" w:rsidP="008A322B">
      <w:r>
        <w:t xml:space="preserve">Another key feature of </w:t>
      </w:r>
      <w:r w:rsidR="00680F4C">
        <w:t>JobKeeper</w:t>
      </w:r>
      <w:r>
        <w:t xml:space="preserve"> was that it had to be fully passed through to employees</w:t>
      </w:r>
      <w:r w:rsidR="009D1D95">
        <w:t xml:space="preserve">, so </w:t>
      </w:r>
      <w:r w:rsidR="0073237B">
        <w:t xml:space="preserve">it </w:t>
      </w:r>
      <w:r w:rsidR="009D1D95">
        <w:t>operated as an alternative to the social security system</w:t>
      </w:r>
      <w:r w:rsidR="00187E14">
        <w:t xml:space="preserve"> in providing income support to individuals</w:t>
      </w:r>
      <w:r>
        <w:t xml:space="preserve">. </w:t>
      </w:r>
      <w:r w:rsidR="00844D67">
        <w:t>It</w:t>
      </w:r>
      <w:r w:rsidR="008307E8">
        <w:t> </w:t>
      </w:r>
      <w:r w:rsidR="00844D67">
        <w:t>was targeted to those workers, permanent workers</w:t>
      </w:r>
      <w:r w:rsidR="003C32EE">
        <w:t xml:space="preserve"> and long</w:t>
      </w:r>
      <w:r w:rsidR="0038520A">
        <w:noBreakHyphen/>
      </w:r>
      <w:r w:rsidR="003C32EE">
        <w:t xml:space="preserve">term </w:t>
      </w:r>
      <w:r w:rsidR="00844D67">
        <w:t xml:space="preserve">casuals, that </w:t>
      </w:r>
      <w:r w:rsidR="003C32EE">
        <w:t>were expected to benefit the most from continued connection</w:t>
      </w:r>
      <w:r w:rsidR="00844D67">
        <w:t xml:space="preserve"> with their employers. </w:t>
      </w:r>
      <w:r w:rsidR="000244D7">
        <w:t>But it was designed to work in tandem with</w:t>
      </w:r>
      <w:r w:rsidR="00844D67">
        <w:t xml:space="preserve"> JobSeeker and the Coronavirus Supplement</w:t>
      </w:r>
      <w:r w:rsidR="000244D7">
        <w:t xml:space="preserve">, which provided a similar level of </w:t>
      </w:r>
      <w:r w:rsidR="003C32EE">
        <w:t xml:space="preserve">income support </w:t>
      </w:r>
      <w:r w:rsidR="000244D7">
        <w:t>to other workers</w:t>
      </w:r>
      <w:r w:rsidR="00844D67">
        <w:t xml:space="preserve">. </w:t>
      </w:r>
    </w:p>
    <w:p w14:paraId="62043AE7" w14:textId="6F6AF298" w:rsidR="00A918A9" w:rsidRDefault="00844D67" w:rsidP="008A322B">
      <w:r>
        <w:t>The full pass</w:t>
      </w:r>
      <w:r w:rsidR="0038520A">
        <w:noBreakHyphen/>
      </w:r>
      <w:r w:rsidR="003C32EE">
        <w:t xml:space="preserve">through </w:t>
      </w:r>
      <w:r>
        <w:t>of payments to employees</w:t>
      </w:r>
      <w:r w:rsidR="00131D76">
        <w:t xml:space="preserve"> meant that</w:t>
      </w:r>
      <w:r w:rsidR="00131D76" w:rsidDel="00131D76">
        <w:t xml:space="preserve"> </w:t>
      </w:r>
      <w:r w:rsidR="00131D76">
        <w:t xml:space="preserve">JobKeeper operated as both a wage subsidy and an income transfer, depending on the circumstances of individual recipients. </w:t>
      </w:r>
      <w:r w:rsidR="006335EE">
        <w:t>Where a business was not operating or had to fully stand down its staff, JobKeeper operated as an income transfer</w:t>
      </w:r>
      <w:r w:rsidR="008E0BB8">
        <w:t xml:space="preserve"> (Figure </w:t>
      </w:r>
      <w:r w:rsidR="0051426A">
        <w:t>2</w:t>
      </w:r>
      <w:r w:rsidR="008E0BB8">
        <w:t>)</w:t>
      </w:r>
      <w:r w:rsidR="006335EE">
        <w:t xml:space="preserve">. </w:t>
      </w:r>
      <w:r w:rsidR="00797A48">
        <w:t xml:space="preserve">Where a business was still operating and </w:t>
      </w:r>
      <w:r w:rsidR="00725B25">
        <w:t>had work for its</w:t>
      </w:r>
      <w:r w:rsidR="005B5B5B">
        <w:t xml:space="preserve"> staff</w:t>
      </w:r>
      <w:r w:rsidR="00797A48">
        <w:t xml:space="preserve">, </w:t>
      </w:r>
      <w:r w:rsidR="00680F4C" w:rsidRPr="00680F4C">
        <w:t>JobKeeper</w:t>
      </w:r>
      <w:r w:rsidR="00797A48">
        <w:t xml:space="preserve"> represented a wage subsidy. </w:t>
      </w:r>
      <w:r w:rsidR="00B854BE">
        <w:t>T</w:t>
      </w:r>
      <w:r w:rsidR="00797A48">
        <w:t>he</w:t>
      </w:r>
      <w:r w:rsidR="006335EE">
        <w:t xml:space="preserve"> extent of the subsidy increase</w:t>
      </w:r>
      <w:r w:rsidR="00554B84">
        <w:t>d</w:t>
      </w:r>
      <w:r w:rsidR="006335EE">
        <w:t xml:space="preserve"> with the hours an employee was able to work, </w:t>
      </w:r>
      <w:r w:rsidR="00A8565F">
        <w:t>incentivising</w:t>
      </w:r>
      <w:r w:rsidR="00554B84" w:rsidDel="00A8565F">
        <w:t xml:space="preserve"> </w:t>
      </w:r>
      <w:r w:rsidR="00554B84">
        <w:t xml:space="preserve">businesses </w:t>
      </w:r>
      <w:r w:rsidR="00302311">
        <w:t xml:space="preserve">to </w:t>
      </w:r>
      <w:r w:rsidR="00797A48">
        <w:t xml:space="preserve">continue to operate and to adapt and innovate. </w:t>
      </w:r>
      <w:r w:rsidR="00986BF0">
        <w:t xml:space="preserve">This was supported by temporary changes to the </w:t>
      </w:r>
      <w:r w:rsidR="00986BF0" w:rsidRPr="0045646D">
        <w:rPr>
          <w:i/>
        </w:rPr>
        <w:t>Fair Work Act</w:t>
      </w:r>
      <w:r w:rsidR="00B77974">
        <w:rPr>
          <w:i/>
          <w:iCs/>
        </w:rPr>
        <w:t xml:space="preserve"> 2009</w:t>
      </w:r>
      <w:r w:rsidR="00986BF0">
        <w:t xml:space="preserve"> that allowed employees to use their workers more flexibly. </w:t>
      </w:r>
      <w:r w:rsidR="00FF341C">
        <w:t>B</w:t>
      </w:r>
      <w:r w:rsidR="00223859">
        <w:t>usinesses</w:t>
      </w:r>
      <w:r w:rsidR="00797A48">
        <w:t xml:space="preserve"> </w:t>
      </w:r>
      <w:r w:rsidR="00FF341C">
        <w:t>that continued to operate</w:t>
      </w:r>
      <w:r w:rsidR="00797A48">
        <w:t xml:space="preserve"> support</w:t>
      </w:r>
      <w:r w:rsidR="00302311">
        <w:t>ed</w:t>
      </w:r>
      <w:r w:rsidR="00797A48">
        <w:t xml:space="preserve"> employment and economic activity directly</w:t>
      </w:r>
      <w:r w:rsidR="006335EE">
        <w:t xml:space="preserve">, </w:t>
      </w:r>
      <w:r w:rsidR="00FF341C">
        <w:t>which</w:t>
      </w:r>
      <w:r w:rsidR="00FF341C" w:rsidDel="00302311">
        <w:t xml:space="preserve"> </w:t>
      </w:r>
      <w:r w:rsidR="00302311">
        <w:t>also had spill</w:t>
      </w:r>
      <w:r w:rsidR="0038520A">
        <w:noBreakHyphen/>
      </w:r>
      <w:r w:rsidR="00302311">
        <w:t xml:space="preserve">over effects on </w:t>
      </w:r>
      <w:r w:rsidR="00797A48">
        <w:t xml:space="preserve">other </w:t>
      </w:r>
      <w:r w:rsidR="00E6379E">
        <w:t>businesses.</w:t>
      </w:r>
    </w:p>
    <w:p w14:paraId="1768D72E" w14:textId="2E31E8F3" w:rsidR="00F2566F" w:rsidRPr="00F4007E" w:rsidRDefault="00F2566F" w:rsidP="008307E8">
      <w:pPr>
        <w:pStyle w:val="ChartMainHeading"/>
      </w:pPr>
      <w:bookmarkStart w:id="43" w:name="_Toc43462898"/>
      <w:bookmarkStart w:id="44" w:name="_Toc43466278"/>
      <w:bookmarkStart w:id="45" w:name="_Toc43469270"/>
      <w:bookmarkStart w:id="46" w:name="_Toc43469665"/>
      <w:bookmarkStart w:id="47" w:name="_Toc43469941"/>
      <w:bookmarkStart w:id="48" w:name="_Toc43469955"/>
      <w:bookmarkStart w:id="49" w:name="_Toc43729202"/>
      <w:bookmarkStart w:id="50" w:name="_Toc43730790"/>
      <w:bookmarkStart w:id="51" w:name="_Toc43731568"/>
      <w:bookmarkStart w:id="52" w:name="_Toc43732040"/>
      <w:bookmarkStart w:id="53" w:name="_Toc43733858"/>
      <w:bookmarkStart w:id="54" w:name="_Toc43734760"/>
      <w:bookmarkStart w:id="55" w:name="_Toc43738739"/>
      <w:bookmarkStart w:id="56" w:name="_Toc43743051"/>
      <w:bookmarkStart w:id="57" w:name="_Toc43996224"/>
      <w:bookmarkStart w:id="58" w:name="_Toc43998483"/>
      <w:bookmarkStart w:id="59" w:name="_Toc43998410"/>
      <w:bookmarkStart w:id="60" w:name="_Toc44069932"/>
      <w:bookmarkStart w:id="61" w:name="_Toc44071336"/>
      <w:bookmarkStart w:id="62" w:name="_Toc44073460"/>
      <w:bookmarkStart w:id="63" w:name="_Toc44074600"/>
      <w:bookmarkStart w:id="64" w:name="_Toc44079489"/>
      <w:bookmarkStart w:id="65" w:name="_Toc44079784"/>
      <w:bookmarkStart w:id="66" w:name="_Toc44079919"/>
      <w:bookmarkStart w:id="67" w:name="_Toc44319830"/>
      <w:bookmarkStart w:id="68" w:name="_Toc44321538"/>
      <w:bookmarkStart w:id="69" w:name="_Toc44323705"/>
      <w:bookmarkStart w:id="70" w:name="_Toc44326168"/>
      <w:bookmarkStart w:id="71" w:name="_Toc44330490"/>
      <w:bookmarkStart w:id="72" w:name="_Toc44330732"/>
      <w:bookmarkStart w:id="73" w:name="_Toc44333164"/>
      <w:bookmarkStart w:id="74" w:name="_Toc44334795"/>
      <w:bookmarkStart w:id="75" w:name="_Toc45227422"/>
      <w:bookmarkStart w:id="76" w:name="_Toc45799023"/>
      <w:bookmarkStart w:id="77" w:name="_Toc82787297"/>
      <w:bookmarkStart w:id="78" w:name="_Toc84842560"/>
      <w:r w:rsidRPr="00F4007E">
        <w:lastRenderedPageBreak/>
        <w:t xml:space="preserve">JobKeeper Payment as a wage subsidy and </w:t>
      </w:r>
      <w:r w:rsidRPr="008307E8">
        <w:t>income</w:t>
      </w:r>
      <w:r w:rsidRPr="00F4007E">
        <w:t xml:space="preserve"> transfer</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C13CE3D" w14:textId="39CAC42D" w:rsidR="00F2566F" w:rsidRPr="00F2566F" w:rsidRDefault="001B5387" w:rsidP="008307E8">
      <w:pPr>
        <w:pStyle w:val="ChartGraphic"/>
        <w:rPr>
          <w:rFonts w:eastAsia="Calibri"/>
          <w:sz w:val="18"/>
        </w:rPr>
      </w:pPr>
      <w:r w:rsidRPr="001B5387">
        <w:rPr>
          <w:rFonts w:eastAsia="Calibri"/>
          <w:noProof/>
        </w:rPr>
        <w:drawing>
          <wp:inline distT="0" distB="0" distL="0" distR="0" wp14:anchorId="77EB84FE" wp14:editId="33DC9E4E">
            <wp:extent cx="5361997" cy="2808000"/>
            <wp:effectExtent l="0" t="0" r="0" b="0"/>
            <wp:docPr id="2" name="Picture 2" descr="This figure illustrates how the JobKeeper payment could operate as either a wage subsidy, an income transfer, or a mixture of both, depending on the circumstances of the recipient employee. For an employee earning less than $1500, JobKeeper functioned as both an income transfer and wage subsidy. For a stood down employee, JobKeeper operated as an income transfer. For an employee earning more than $1500, JobKeeper functioned as a wage subsidy for the first $1500, with the employer paying the remaining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illustrates how the JobKeeper payment could operate as either a wage subsidy, an income transfer, or a mixture of both, depending on the circumstances of the recipient employee. For an employee earning less than $1500, JobKeeper functioned as both an income transfer and wage subsidy. For a stood down employee, JobKeeper operated as an income transfer. For an employee earning more than $1500, JobKeeper functioned as a wage subsidy for the first $1500, with the employer paying the remaining w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1997" cy="2808000"/>
                    </a:xfrm>
                    <a:prstGeom prst="rect">
                      <a:avLst/>
                    </a:prstGeom>
                    <a:noFill/>
                    <a:ln>
                      <a:noFill/>
                    </a:ln>
                  </pic:spPr>
                </pic:pic>
              </a:graphicData>
            </a:graphic>
          </wp:inline>
        </w:drawing>
      </w:r>
    </w:p>
    <w:p w14:paraId="3EBBC130" w14:textId="2CA63535" w:rsidR="006A1295" w:rsidRDefault="00F2566F" w:rsidP="00A918A9">
      <w:pPr>
        <w:pStyle w:val="ChartorTableNote"/>
      </w:pPr>
      <w:r w:rsidRPr="00F2566F">
        <w:rPr>
          <w:rFonts w:eastAsia="Calibri"/>
        </w:rPr>
        <w:t xml:space="preserve">Notes: </w:t>
      </w:r>
      <w:r w:rsidR="00DA113A">
        <w:rPr>
          <w:rFonts w:eastAsia="Calibri"/>
        </w:rPr>
        <w:t>This figure presents</w:t>
      </w:r>
      <w:r w:rsidR="00DA113A" w:rsidRPr="00DA113A">
        <w:rPr>
          <w:rFonts w:eastAsia="Calibri"/>
        </w:rPr>
        <w:t xml:space="preserve"> three stylised examples of individual JobKeeper recipients. The first is a lower paid employee who, prior to 1</w:t>
      </w:r>
      <w:r w:rsidR="001030AD">
        <w:rPr>
          <w:rFonts w:eastAsia="Calibri"/>
        </w:rPr>
        <w:t> </w:t>
      </w:r>
      <w:r w:rsidR="00DA113A" w:rsidRPr="00DA113A">
        <w:rPr>
          <w:rFonts w:eastAsia="Calibri"/>
        </w:rPr>
        <w:t>March</w:t>
      </w:r>
      <w:r w:rsidR="001030AD">
        <w:rPr>
          <w:rFonts w:eastAsia="Calibri"/>
        </w:rPr>
        <w:t xml:space="preserve"> 2020</w:t>
      </w:r>
      <w:r w:rsidR="00DA113A" w:rsidRPr="00DA113A">
        <w:rPr>
          <w:rFonts w:eastAsia="Calibri"/>
        </w:rPr>
        <w:t xml:space="preserve">, was earning $1,000 per fortnight in a part time or casual job. They </w:t>
      </w:r>
      <w:r w:rsidR="00FA3082">
        <w:rPr>
          <w:rFonts w:eastAsia="Calibri"/>
        </w:rPr>
        <w:t xml:space="preserve">are continuing to work and </w:t>
      </w:r>
      <w:r w:rsidR="00DA113A" w:rsidRPr="00DA113A">
        <w:rPr>
          <w:rFonts w:eastAsia="Calibri"/>
        </w:rPr>
        <w:t>now receive $1,500 per fortnight, of which $500 is effectively a direct income transfer. The employer benefit, the subsidised wage component, comes from the Government fully covering the $1,000 wages cost. The second is an employee for whom no work is available due to the health restrictions, and who receive</w:t>
      </w:r>
      <w:r w:rsidR="005920D3">
        <w:rPr>
          <w:rFonts w:eastAsia="Calibri"/>
        </w:rPr>
        <w:t>s</w:t>
      </w:r>
      <w:r w:rsidR="00DA113A" w:rsidRPr="00DA113A">
        <w:rPr>
          <w:rFonts w:eastAsia="Calibri"/>
        </w:rPr>
        <w:t xml:space="preserve"> the full $1,500 JobKeeper </w:t>
      </w:r>
      <w:r w:rsidR="008C6FF3">
        <w:rPr>
          <w:rFonts w:eastAsia="Calibri"/>
        </w:rPr>
        <w:t>p</w:t>
      </w:r>
      <w:r w:rsidR="008C6FF3" w:rsidRPr="00DA113A">
        <w:rPr>
          <w:rFonts w:eastAsia="Calibri"/>
        </w:rPr>
        <w:t>ayment</w:t>
      </w:r>
      <w:r w:rsidR="00DA113A" w:rsidRPr="00DA113A">
        <w:rPr>
          <w:rFonts w:eastAsia="Calibri"/>
        </w:rPr>
        <w:t xml:space="preserve">, an income transfer </w:t>
      </w:r>
      <w:r w:rsidR="00FA3082">
        <w:rPr>
          <w:rFonts w:eastAsia="Calibri"/>
        </w:rPr>
        <w:t>through</w:t>
      </w:r>
      <w:r w:rsidR="00DA113A" w:rsidRPr="00DA113A">
        <w:rPr>
          <w:rFonts w:eastAsia="Calibri"/>
        </w:rPr>
        <w:t xml:space="preserve"> their employer. The third individual is someone who continues to work, perhaps on shorter hours, and whose wages exceed $1,500</w:t>
      </w:r>
      <w:r w:rsidR="003645F0">
        <w:rPr>
          <w:rFonts w:eastAsia="Calibri"/>
        </w:rPr>
        <w:t> </w:t>
      </w:r>
      <w:r w:rsidR="00DA113A" w:rsidRPr="00DA113A">
        <w:rPr>
          <w:rFonts w:eastAsia="Calibri"/>
        </w:rPr>
        <w:t xml:space="preserve">per fortnight. The employer is able to use the full $1,500 JobKeeper </w:t>
      </w:r>
      <w:r w:rsidR="008C6FF3">
        <w:rPr>
          <w:rFonts w:eastAsia="Calibri"/>
        </w:rPr>
        <w:t>p</w:t>
      </w:r>
      <w:r w:rsidR="008C6FF3" w:rsidRPr="00DA113A">
        <w:rPr>
          <w:rFonts w:eastAsia="Calibri"/>
        </w:rPr>
        <w:t xml:space="preserve">ayment </w:t>
      </w:r>
      <w:r w:rsidR="00DA113A" w:rsidRPr="00DA113A">
        <w:rPr>
          <w:rFonts w:eastAsia="Calibri"/>
        </w:rPr>
        <w:t xml:space="preserve">as a wage subsidy and makes up the balance themselves. </w:t>
      </w:r>
      <w:r w:rsidR="001B5387" w:rsidRPr="003E7BD1">
        <w:t>The final individual, by way of comparison, is a single JobSeeker recipient without dependents in receipt of the Energy Supplement and Coronavirus Supplement</w:t>
      </w:r>
      <w:r w:rsidR="001B5387" w:rsidRPr="001B5387">
        <w:t xml:space="preserve"> </w:t>
      </w:r>
      <w:r w:rsidR="001B5387" w:rsidRPr="003E7BD1">
        <w:t xml:space="preserve">who is receiving $1,124.50 per fortnight. </w:t>
      </w:r>
      <w:r w:rsidR="00C211C7" w:rsidRPr="00C211C7">
        <w:t>This was the maximum fortnightly rate from 27 April to 24 September 2020, inclusive of the $550 Coronavirus Supplement and $8.80 Energy Supplement.</w:t>
      </w:r>
    </w:p>
    <w:p w14:paraId="7F540951" w14:textId="77777777" w:rsidR="00993FE3" w:rsidRPr="00993FE3" w:rsidRDefault="00993FE3" w:rsidP="00993FE3">
      <w:pPr>
        <w:pStyle w:val="SingleParagraph"/>
      </w:pPr>
    </w:p>
    <w:p w14:paraId="079DF4C7" w14:textId="746AC2B0" w:rsidR="00E152BE" w:rsidRDefault="00755714" w:rsidP="008A322B">
      <w:r>
        <w:t xml:space="preserve">A mechanism to </w:t>
      </w:r>
      <w:r w:rsidR="000D1422">
        <w:t xml:space="preserve">claw back </w:t>
      </w:r>
      <w:r>
        <w:t xml:space="preserve">payments </w:t>
      </w:r>
      <w:r w:rsidR="001C7518">
        <w:t xml:space="preserve">from </w:t>
      </w:r>
      <w:r>
        <w:t xml:space="preserve">those businesses that subsequently performed </w:t>
      </w:r>
      <w:r w:rsidR="00585586">
        <w:t xml:space="preserve">better than expected </w:t>
      </w:r>
      <w:r>
        <w:t>was not included in the design of the scheme. This reflected</w:t>
      </w:r>
      <w:r w:rsidR="00E152BE">
        <w:t>:</w:t>
      </w:r>
    </w:p>
    <w:p w14:paraId="5DB9C99E" w14:textId="392AEC2E" w:rsidR="00E152BE" w:rsidRDefault="00266012" w:rsidP="00E152BE">
      <w:pPr>
        <w:pStyle w:val="Bullet"/>
      </w:pPr>
      <w:r>
        <w:t xml:space="preserve">a </w:t>
      </w:r>
      <w:r w:rsidR="00E152BE">
        <w:t xml:space="preserve">need for </w:t>
      </w:r>
      <w:r w:rsidR="009D382E">
        <w:t>JobKeeper</w:t>
      </w:r>
      <w:r w:rsidR="00E152BE">
        <w:t xml:space="preserve"> to support</w:t>
      </w:r>
      <w:r w:rsidR="00585586">
        <w:t xml:space="preserve"> </w:t>
      </w:r>
      <w:r w:rsidR="00E152BE">
        <w:t xml:space="preserve">confidence </w:t>
      </w:r>
      <w:r w:rsidR="001C7518">
        <w:t xml:space="preserve">to the greatest extent possible </w:t>
      </w:r>
    </w:p>
    <w:p w14:paraId="2A0976F0" w14:textId="5C1143A7" w:rsidR="00A77777" w:rsidRDefault="00AC2EF3" w:rsidP="00E152BE">
      <w:pPr>
        <w:pStyle w:val="Bullet"/>
      </w:pPr>
      <w:r>
        <w:t>a desire to maximise take</w:t>
      </w:r>
      <w:r w:rsidR="0038520A">
        <w:noBreakHyphen/>
      </w:r>
      <w:r>
        <w:t>up of the scheme by reducing uncertainty</w:t>
      </w:r>
      <w:r w:rsidR="009F3A8A">
        <w:t>,</w:t>
      </w:r>
      <w:r>
        <w:t xml:space="preserve"> particularly given that the </w:t>
      </w:r>
      <w:r w:rsidR="00FA3082">
        <w:t xml:space="preserve">JobKeeper </w:t>
      </w:r>
      <w:r>
        <w:t xml:space="preserve">payments had to be paid to employees prior to </w:t>
      </w:r>
      <w:r w:rsidR="007B77CB">
        <w:t>businesses</w:t>
      </w:r>
      <w:r>
        <w:t xml:space="preserve"> receiving them</w:t>
      </w:r>
      <w:r w:rsidR="00FA3082">
        <w:t xml:space="preserve"> from Government</w:t>
      </w:r>
    </w:p>
    <w:p w14:paraId="1962ED41" w14:textId="12853F8C" w:rsidR="00E152BE" w:rsidRDefault="00E152BE" w:rsidP="008C256E">
      <w:pPr>
        <w:pStyle w:val="Bullet"/>
      </w:pPr>
      <w:r>
        <w:t>a</w:t>
      </w:r>
      <w:r w:rsidR="00B46729">
        <w:t xml:space="preserve"> desire to encourage businesses to operate, adapt and innovate</w:t>
      </w:r>
      <w:r w:rsidR="00585586">
        <w:t xml:space="preserve"> and </w:t>
      </w:r>
      <w:r w:rsidR="001D664A">
        <w:t xml:space="preserve">avoid any disincentives for businesses to recover when circumstances </w:t>
      </w:r>
      <w:r w:rsidR="006578AA">
        <w:t>improved</w:t>
      </w:r>
      <w:r>
        <w:t xml:space="preserve"> </w:t>
      </w:r>
    </w:p>
    <w:p w14:paraId="10A84D65" w14:textId="404D3AAC" w:rsidR="005A725A" w:rsidRDefault="00B46729" w:rsidP="00A918A9">
      <w:bookmarkStart w:id="79" w:name="_Hlk84837330"/>
      <w:r w:rsidDel="00762084">
        <w:t xml:space="preserve">Guaranteed support for </w:t>
      </w:r>
      <w:r w:rsidR="009C36E8" w:rsidDel="00762084">
        <w:t>six</w:t>
      </w:r>
      <w:r w:rsidR="006938A2" w:rsidDel="00762084">
        <w:t xml:space="preserve"> </w:t>
      </w:r>
      <w:r w:rsidDel="00762084">
        <w:t xml:space="preserve">months was designed to provide certainty to businesses. </w:t>
      </w:r>
      <w:r w:rsidR="00D115A1" w:rsidDel="00762084">
        <w:t xml:space="preserve">The timeframe was linked to the health advice that restrictions could need to be in place for </w:t>
      </w:r>
      <w:r w:rsidR="009C36E8" w:rsidDel="00762084">
        <w:t>six</w:t>
      </w:r>
      <w:r w:rsidR="006938A2" w:rsidDel="00762084">
        <w:t xml:space="preserve"> </w:t>
      </w:r>
      <w:r w:rsidR="00D115A1" w:rsidDel="00762084">
        <w:t>months</w:t>
      </w:r>
      <w:r w:rsidR="00B70350" w:rsidDel="00762084">
        <w:t xml:space="preserve"> and the ongoing evolution of the pandemic was highly uncertain</w:t>
      </w:r>
      <w:r w:rsidR="00D115A1" w:rsidDel="00762084">
        <w:t>.</w:t>
      </w:r>
      <w:r w:rsidR="00326CF0" w:rsidDel="00762084">
        <w:t xml:space="preserve"> </w:t>
      </w:r>
      <w:r w:rsidR="006578AA" w:rsidDel="00762084">
        <w:t>It was</w:t>
      </w:r>
      <w:r w:rsidR="00326CF0" w:rsidDel="00762084">
        <w:t xml:space="preserve"> understood</w:t>
      </w:r>
      <w:r w:rsidR="00846A55" w:rsidDel="00762084">
        <w:t xml:space="preserve"> that </w:t>
      </w:r>
      <w:r w:rsidR="00326CF0" w:rsidDel="00762084">
        <w:t xml:space="preserve">this risked </w:t>
      </w:r>
      <w:r w:rsidR="00846A55" w:rsidDel="00762084">
        <w:t xml:space="preserve">making payments to businesses that </w:t>
      </w:r>
      <w:r w:rsidR="009C5682" w:rsidDel="00762084">
        <w:t xml:space="preserve">recovered quickly and </w:t>
      </w:r>
      <w:r w:rsidR="009C5682" w:rsidRPr="00957A5C" w:rsidDel="00762084">
        <w:t>may</w:t>
      </w:r>
      <w:r w:rsidR="00846A55" w:rsidRPr="00957A5C" w:rsidDel="00762084">
        <w:t xml:space="preserve"> not </w:t>
      </w:r>
      <w:r w:rsidR="006D6702" w:rsidRPr="00957A5C" w:rsidDel="00762084">
        <w:t>need</w:t>
      </w:r>
      <w:r w:rsidR="00846A55" w:rsidRPr="00957A5C" w:rsidDel="00762084">
        <w:t xml:space="preserve"> support</w:t>
      </w:r>
      <w:r w:rsidR="00D115A1" w:rsidRPr="00957A5C" w:rsidDel="00762084">
        <w:t xml:space="preserve"> </w:t>
      </w:r>
      <w:r w:rsidR="0049208F" w:rsidRPr="00957A5C" w:rsidDel="00762084">
        <w:t>by the end of this period</w:t>
      </w:r>
      <w:r w:rsidR="00E93DC4" w:rsidRPr="00957A5C" w:rsidDel="00762084">
        <w:t>.</w:t>
      </w:r>
      <w:r w:rsidR="00D805CE" w:rsidRPr="00957A5C" w:rsidDel="00762084">
        <w:t xml:space="preserve"> </w:t>
      </w:r>
      <w:bookmarkEnd w:id="79"/>
    </w:p>
    <w:p w14:paraId="6DD0A43C" w14:textId="257FB413" w:rsidR="00836D7A" w:rsidRDefault="00836D7A">
      <w:pPr>
        <w:spacing w:before="0" w:after="200" w:line="276" w:lineRule="auto"/>
      </w:pPr>
      <w:r>
        <w:br w:type="page"/>
      </w:r>
    </w:p>
    <w:p w14:paraId="1C367BD2" w14:textId="7975D7B3" w:rsidR="00181108" w:rsidRPr="00957A5C" w:rsidRDefault="007425FC" w:rsidP="00A918A9">
      <w:r w:rsidRPr="00957A5C">
        <w:lastRenderedPageBreak/>
        <w:t xml:space="preserve">The </w:t>
      </w:r>
      <w:r w:rsidR="00D805CE" w:rsidRPr="00957A5C">
        <w:t xml:space="preserve">potential for </w:t>
      </w:r>
      <w:r w:rsidR="00846A55" w:rsidRPr="00957A5C">
        <w:t>p</w:t>
      </w:r>
      <w:r w:rsidR="00A17615" w:rsidRPr="00957A5C">
        <w:t xml:space="preserve">olicy design features </w:t>
      </w:r>
      <w:r w:rsidR="00D805CE" w:rsidRPr="00957A5C">
        <w:t>to</w:t>
      </w:r>
      <w:r w:rsidR="00A17615" w:rsidRPr="00957A5C">
        <w:t xml:space="preserve"> </w:t>
      </w:r>
      <w:r w:rsidR="00E93DC4" w:rsidRPr="00957A5C">
        <w:t xml:space="preserve">affect </w:t>
      </w:r>
      <w:r w:rsidR="00A17615" w:rsidRPr="00957A5C">
        <w:t>incentives to take</w:t>
      </w:r>
      <w:r w:rsidR="009F3A8A" w:rsidRPr="00957A5C">
        <w:t xml:space="preserve"> </w:t>
      </w:r>
      <w:r w:rsidR="00A17615" w:rsidRPr="00957A5C">
        <w:t xml:space="preserve">up the scheme or hold back </w:t>
      </w:r>
      <w:r w:rsidR="006578AA" w:rsidRPr="00957A5C">
        <w:t xml:space="preserve">the </w:t>
      </w:r>
      <w:r w:rsidR="00A17615" w:rsidRPr="00957A5C">
        <w:t xml:space="preserve">recovery in economic activity </w:t>
      </w:r>
      <w:r w:rsidR="00846A55" w:rsidRPr="00957A5C">
        <w:t xml:space="preserve">was </w:t>
      </w:r>
      <w:r w:rsidR="00D805CE" w:rsidRPr="00957A5C">
        <w:t>an important consideration</w:t>
      </w:r>
      <w:r w:rsidR="0079166A" w:rsidRPr="00957A5C">
        <w:t xml:space="preserve"> in </w:t>
      </w:r>
      <w:r w:rsidR="00EE04CF" w:rsidRPr="00957A5C">
        <w:t xml:space="preserve">these </w:t>
      </w:r>
      <w:r w:rsidR="00D805CE" w:rsidRPr="00957A5C">
        <w:t>decisions</w:t>
      </w:r>
      <w:r w:rsidR="00A17615" w:rsidRPr="00957A5C">
        <w:t>.</w:t>
      </w:r>
      <w:r w:rsidR="00BF7F8C" w:rsidRPr="00957A5C">
        <w:rPr>
          <w:rStyle w:val="FootnoteReference"/>
        </w:rPr>
        <w:footnoteReference w:id="9"/>
      </w:r>
      <w:r w:rsidR="00A17615" w:rsidRPr="00957A5C">
        <w:t xml:space="preserve"> </w:t>
      </w:r>
      <w:r w:rsidR="00181108" w:rsidRPr="00957A5C">
        <w:t>Box 3</w:t>
      </w:r>
      <w:r w:rsidR="00980F37" w:rsidRPr="00957A5C">
        <w:t xml:space="preserve"> below provides a s</w:t>
      </w:r>
      <w:r w:rsidR="00215ABE" w:rsidRPr="00957A5C">
        <w:t>tylised example</w:t>
      </w:r>
      <w:r w:rsidR="00980F37" w:rsidRPr="00957A5C">
        <w:t xml:space="preserve"> to highlight </w:t>
      </w:r>
      <w:r w:rsidR="006666C6" w:rsidRPr="00957A5C">
        <w:t xml:space="preserve">how </w:t>
      </w:r>
      <w:r w:rsidR="00980F37" w:rsidRPr="00957A5C">
        <w:t>incentives</w:t>
      </w:r>
      <w:r w:rsidR="006666C6" w:rsidRPr="00957A5C">
        <w:t xml:space="preserve"> </w:t>
      </w:r>
      <w:r w:rsidR="000D7F7D" w:rsidRPr="00957A5C">
        <w:t xml:space="preserve">could </w:t>
      </w:r>
      <w:r w:rsidR="006578AA" w:rsidRPr="00957A5C">
        <w:t>manifest themselves</w:t>
      </w:r>
      <w:r w:rsidR="00980F37" w:rsidRPr="00957A5C">
        <w:t xml:space="preserve">. It shows </w:t>
      </w:r>
      <w:r w:rsidR="00100C54" w:rsidRPr="00957A5C">
        <w:t>how JobKeeper could have affected the incentives for a business to operate if a claw</w:t>
      </w:r>
      <w:r w:rsidR="0038520A">
        <w:noBreakHyphen/>
      </w:r>
      <w:r w:rsidR="00100C54" w:rsidRPr="00957A5C">
        <w:t xml:space="preserve">back mechanism had been included in the design of the scheme. It shows </w:t>
      </w:r>
      <w:r w:rsidR="00980F37" w:rsidRPr="00957A5C">
        <w:t xml:space="preserve">that for a </w:t>
      </w:r>
      <w:r w:rsidR="0038520A">
        <w:t>‘</w:t>
      </w:r>
      <w:r w:rsidR="00980F37" w:rsidRPr="00957A5C">
        <w:t>typical</w:t>
      </w:r>
      <w:r w:rsidR="0038520A">
        <w:t>’</w:t>
      </w:r>
      <w:r w:rsidR="00980F37" w:rsidRPr="00957A5C">
        <w:t xml:space="preserve"> </w:t>
      </w:r>
      <w:r w:rsidR="00566BE7" w:rsidRPr="00957A5C">
        <w:t xml:space="preserve">business </w:t>
      </w:r>
      <w:r w:rsidR="0079166A" w:rsidRPr="00957A5C">
        <w:t>that ha</w:t>
      </w:r>
      <w:r w:rsidR="00820640" w:rsidRPr="00957A5C">
        <w:t>d</w:t>
      </w:r>
      <w:r w:rsidR="0079166A" w:rsidRPr="00957A5C">
        <w:t xml:space="preserve"> </w:t>
      </w:r>
      <w:r w:rsidR="00100C54" w:rsidRPr="00957A5C">
        <w:t>the opportunity to</w:t>
      </w:r>
      <w:r w:rsidR="0079166A" w:rsidRPr="00957A5C">
        <w:t xml:space="preserve"> recover</w:t>
      </w:r>
      <w:r w:rsidR="00100C54" w:rsidRPr="00957A5C">
        <w:t>,</w:t>
      </w:r>
      <w:r w:rsidR="0079166A" w:rsidRPr="00957A5C">
        <w:t xml:space="preserve"> but </w:t>
      </w:r>
      <w:r w:rsidR="006578AA" w:rsidRPr="00957A5C">
        <w:t xml:space="preserve">did </w:t>
      </w:r>
      <w:r w:rsidR="0079166A" w:rsidRPr="00957A5C">
        <w:t xml:space="preserve">not expect </w:t>
      </w:r>
      <w:r w:rsidR="00100C54" w:rsidRPr="00957A5C">
        <w:t>its</w:t>
      </w:r>
      <w:r w:rsidR="0079166A" w:rsidRPr="00957A5C">
        <w:t xml:space="preserve"> turnover</w:t>
      </w:r>
      <w:r w:rsidR="00100C54" w:rsidRPr="00957A5C">
        <w:t xml:space="preserve"> to increase significantly</w:t>
      </w:r>
      <w:r w:rsidR="00980F37" w:rsidRPr="00957A5C">
        <w:t xml:space="preserve">, </w:t>
      </w:r>
      <w:r w:rsidR="0079166A" w:rsidRPr="00957A5C">
        <w:t xml:space="preserve">the </w:t>
      </w:r>
      <w:r w:rsidR="00100C54" w:rsidRPr="00957A5C">
        <w:t xml:space="preserve">most </w:t>
      </w:r>
      <w:r w:rsidR="0079166A" w:rsidRPr="00957A5C">
        <w:t xml:space="preserve">profitable decision </w:t>
      </w:r>
      <w:r w:rsidR="00100C54" w:rsidRPr="00957A5C">
        <w:t xml:space="preserve">for the business </w:t>
      </w:r>
      <w:r w:rsidR="0079166A" w:rsidRPr="00957A5C">
        <w:t>would</w:t>
      </w:r>
      <w:r w:rsidR="00100C54" w:rsidRPr="00957A5C">
        <w:t xml:space="preserve"> have</w:t>
      </w:r>
      <w:r w:rsidR="0079166A" w:rsidRPr="00957A5C">
        <w:t xml:space="preserve"> be</w:t>
      </w:r>
      <w:r w:rsidR="00100C54" w:rsidRPr="00957A5C">
        <w:t>en</w:t>
      </w:r>
      <w:r w:rsidR="0079166A" w:rsidRPr="00957A5C">
        <w:t xml:space="preserve"> to reduce turnover </w:t>
      </w:r>
      <w:r w:rsidR="006D6702" w:rsidRPr="00957A5C">
        <w:t xml:space="preserve">to </w:t>
      </w:r>
      <w:r w:rsidR="00100C54" w:rsidRPr="00957A5C">
        <w:t xml:space="preserve">ensure it continued to </w:t>
      </w:r>
      <w:r w:rsidR="006D6702" w:rsidRPr="00957A5C">
        <w:t xml:space="preserve">qualify for </w:t>
      </w:r>
      <w:r w:rsidR="0079166A" w:rsidRPr="00957A5C">
        <w:t>JobKeeper.</w:t>
      </w:r>
      <w:r w:rsidR="00980F37" w:rsidRPr="00957A5C">
        <w:t xml:space="preserve"> </w:t>
      </w:r>
      <w:r w:rsidR="00FA6BA4">
        <w:t>In this example, if the business expected turnover to increase</w:t>
      </w:r>
      <w:r w:rsidR="00FA3082">
        <w:t xml:space="preserve"> compared with a year earlier</w:t>
      </w:r>
      <w:r w:rsidR="00FA6BA4">
        <w:t>, but by less than 13 per cent, the business would have faced a</w:t>
      </w:r>
      <w:r w:rsidR="001369BD">
        <w:t>n</w:t>
      </w:r>
      <w:r w:rsidR="00FA6BA4">
        <w:t xml:space="preserve"> incentive to reduce </w:t>
      </w:r>
      <w:r w:rsidR="00AB6A17">
        <w:t>its</w:t>
      </w:r>
      <w:r w:rsidR="00FA6BA4">
        <w:t xml:space="preserve"> turnover by 30 per cent to retain access to JobKeeper and maximise </w:t>
      </w:r>
      <w:r w:rsidR="00364E0E">
        <w:t>its</w:t>
      </w:r>
      <w:r w:rsidR="00FA6BA4">
        <w:t xml:space="preserve"> profits.</w:t>
      </w:r>
      <w:r w:rsidR="00823B89">
        <w:t xml:space="preserve"> </w:t>
      </w:r>
    </w:p>
    <w:p w14:paraId="4824AD8C" w14:textId="1BCF0AAE" w:rsidR="00F209E7" w:rsidRDefault="00181108" w:rsidP="00F209E7">
      <w:pPr>
        <w:pStyle w:val="SingleParagraph"/>
      </w:pPr>
      <w:r w:rsidRPr="00957A5C">
        <w:t xml:space="preserve">The </w:t>
      </w:r>
      <w:r w:rsidR="00215ABE" w:rsidRPr="00957A5C">
        <w:t>stylised example</w:t>
      </w:r>
      <w:r w:rsidRPr="00957A5C">
        <w:t xml:space="preserve"> is a simple one and abstracts from uncertainty about future</w:t>
      </w:r>
      <w:r w:rsidR="00EA7F04" w:rsidRPr="00957A5C">
        <w:t xml:space="preserve"> turnover outcomes</w:t>
      </w:r>
      <w:r w:rsidRPr="00957A5C">
        <w:t xml:space="preserve">, as well as dynamic considerations related to loss of </w:t>
      </w:r>
      <w:r w:rsidR="004C3562" w:rsidRPr="00957A5C">
        <w:t>customers</w:t>
      </w:r>
      <w:r w:rsidRPr="00957A5C">
        <w:t xml:space="preserve"> or</w:t>
      </w:r>
      <w:r w:rsidR="00586302" w:rsidRPr="00957A5C">
        <w:t xml:space="preserve"> future</w:t>
      </w:r>
      <w:r w:rsidRPr="00957A5C">
        <w:t xml:space="preserve"> opening costs.</w:t>
      </w:r>
      <w:r w:rsidR="00266012" w:rsidRPr="00957A5C">
        <w:rPr>
          <w:rStyle w:val="FootnoteReference"/>
        </w:rPr>
        <w:footnoteReference w:id="10"/>
      </w:r>
      <w:r w:rsidR="00266012" w:rsidRPr="00957A5C">
        <w:t xml:space="preserve"> </w:t>
      </w:r>
      <w:r w:rsidRPr="00957A5C">
        <w:t>But it</w:t>
      </w:r>
      <w:r w:rsidR="00B70350" w:rsidRPr="00957A5C">
        <w:t xml:space="preserve"> illustrates that claw</w:t>
      </w:r>
      <w:r w:rsidR="0038520A">
        <w:noBreakHyphen/>
      </w:r>
      <w:r w:rsidR="00B70350" w:rsidRPr="00957A5C">
        <w:t>back mechanisms and re</w:t>
      </w:r>
      <w:r w:rsidR="0038520A">
        <w:noBreakHyphen/>
      </w:r>
      <w:r w:rsidR="00B70350" w:rsidRPr="00957A5C">
        <w:t>testing</w:t>
      </w:r>
      <w:r w:rsidR="00EA7F04" w:rsidRPr="00957A5C">
        <w:t xml:space="preserve"> for eligibility</w:t>
      </w:r>
      <w:r w:rsidR="00B70350" w:rsidRPr="00957A5C">
        <w:t xml:space="preserve"> can </w:t>
      </w:r>
      <w:r w:rsidR="00EA7F04" w:rsidRPr="00957A5C">
        <w:t xml:space="preserve">operate </w:t>
      </w:r>
      <w:r w:rsidR="00B70350" w:rsidRPr="00957A5C">
        <w:t>like anti</w:t>
      </w:r>
      <w:r w:rsidR="0038520A">
        <w:noBreakHyphen/>
      </w:r>
      <w:r w:rsidR="00B70350" w:rsidRPr="00957A5C">
        <w:t xml:space="preserve">production subsidies and perversely encourage </w:t>
      </w:r>
      <w:r w:rsidR="00566BE7" w:rsidRPr="00957A5C">
        <w:t xml:space="preserve">businesses </w:t>
      </w:r>
      <w:r w:rsidR="00B70350" w:rsidRPr="00957A5C">
        <w:t>to</w:t>
      </w:r>
      <w:r w:rsidR="00B70350">
        <w:t xml:space="preserve"> reduce activity to qualify for support. </w:t>
      </w:r>
    </w:p>
    <w:p w14:paraId="65F45F11" w14:textId="4E77609C" w:rsidR="00C71D7B" w:rsidRDefault="007C7C53" w:rsidP="004D5AD4">
      <w:r w:rsidRPr="00247796">
        <w:t>Section 3</w:t>
      </w:r>
      <w:r w:rsidR="00EE04CF">
        <w:t xml:space="preserve"> presents</w:t>
      </w:r>
      <w:r w:rsidR="00EE04CF" w:rsidDel="00575F39">
        <w:t xml:space="preserve"> </w:t>
      </w:r>
      <w:r w:rsidR="00EE04CF">
        <w:t xml:space="preserve">evidence </w:t>
      </w:r>
      <w:r w:rsidR="006578AA">
        <w:t>on how</w:t>
      </w:r>
      <w:r w:rsidR="00EE04CF">
        <w:t xml:space="preserve"> incentives affected business behaviour in the JobKeeper scheme. </w:t>
      </w:r>
      <w:bookmarkStart w:id="80" w:name="_Hlk84837348"/>
      <w:r w:rsidR="000B6DD3" w:rsidRPr="003241A2" w:rsidDel="00762084">
        <w:rPr>
          <w:lang w:val="en-US"/>
        </w:rPr>
        <w:t>The decision not to include a claw</w:t>
      </w:r>
      <w:r w:rsidR="000B6DD3" w:rsidDel="00762084">
        <w:rPr>
          <w:lang w:val="en-US"/>
        </w:rPr>
        <w:noBreakHyphen/>
      </w:r>
      <w:r w:rsidR="000B6DD3" w:rsidRPr="003241A2" w:rsidDel="00762084">
        <w:rPr>
          <w:lang w:val="en-US"/>
        </w:rPr>
        <w:t xml:space="preserve">back mechanism in the design of the scheme or to retest eligibility through the </w:t>
      </w:r>
      <w:r w:rsidR="00B94DD7" w:rsidDel="00762084">
        <w:rPr>
          <w:lang w:val="en-US"/>
        </w:rPr>
        <w:t>first phase</w:t>
      </w:r>
      <w:r w:rsidR="00B94DD7" w:rsidRPr="003241A2" w:rsidDel="00762084">
        <w:rPr>
          <w:lang w:val="en-US"/>
        </w:rPr>
        <w:t xml:space="preserve"> </w:t>
      </w:r>
      <w:r w:rsidR="00575F39" w:rsidDel="00762084">
        <w:rPr>
          <w:lang w:val="en-US"/>
        </w:rPr>
        <w:t xml:space="preserve">also </w:t>
      </w:r>
      <w:r w:rsidR="000B6DD3" w:rsidRPr="003241A2" w:rsidDel="00762084">
        <w:rPr>
          <w:lang w:val="en-US"/>
        </w:rPr>
        <w:t xml:space="preserve">reflected concerns about the potential for significant balance sheet and labour market scarring to impede the recovery. </w:t>
      </w:r>
      <w:r w:rsidR="000B6DD3" w:rsidRPr="003241A2" w:rsidDel="00762084">
        <w:t xml:space="preserve">A decision was taken from the outset that the scheme would be time limited and a review of JobKeeper would be undertaken after three months. As it turned out, the economy recovered more strongly than expected, illustrating the importance of flexibility in policy design, including having appropriate review points to ensure policy can be adapted as </w:t>
      </w:r>
      <w:r w:rsidR="000B6DD3" w:rsidRPr="001369BD" w:rsidDel="00762084">
        <w:t xml:space="preserve">circumstances change. </w:t>
      </w:r>
    </w:p>
    <w:p w14:paraId="0B086482" w14:textId="4F2EECDB" w:rsidR="00836D7A" w:rsidRDefault="00836D7A" w:rsidP="00836D7A">
      <w:pPr>
        <w:spacing w:before="0" w:after="200" w:line="276" w:lineRule="auto"/>
      </w:pPr>
      <w:r>
        <w:br w:type="page"/>
      </w:r>
    </w:p>
    <w:tbl>
      <w:tblPr>
        <w:tblpPr w:leftFromText="180" w:rightFromText="180" w:vertAnchor="text" w:tblpY="1"/>
        <w:tblOverlap w:val="never"/>
        <w:tblW w:w="5000" w:type="pct"/>
        <w:shd w:val="clear" w:color="auto" w:fill="D5E1F1" w:themeFill="accent2" w:themeFillTint="33"/>
        <w:tblCellMar>
          <w:top w:w="113" w:type="dxa"/>
          <w:bottom w:w="113" w:type="dxa"/>
        </w:tblCellMar>
        <w:tblLook w:val="01E0" w:firstRow="1" w:lastRow="1" w:firstColumn="1" w:lastColumn="1" w:noHBand="0" w:noVBand="0"/>
      </w:tblPr>
      <w:tblGrid>
        <w:gridCol w:w="9071"/>
      </w:tblGrid>
      <w:tr w:rsidR="00890C97" w14:paraId="06327BDE" w14:textId="77777777" w:rsidTr="00C71D7B">
        <w:tc>
          <w:tcPr>
            <w:tcW w:w="5000" w:type="pct"/>
            <w:shd w:val="clear" w:color="auto" w:fill="D5E1F1" w:themeFill="accent2" w:themeFillTint="33"/>
          </w:tcPr>
          <w:p w14:paraId="2B009E7A" w14:textId="5D37B842" w:rsidR="00890C97" w:rsidRDefault="00890C97" w:rsidP="00C71D7B">
            <w:pPr>
              <w:pStyle w:val="BoxHeading"/>
            </w:pPr>
            <w:bookmarkStart w:id="81" w:name="_Toc84842561"/>
            <w:bookmarkEnd w:id="80"/>
            <w:r>
              <w:lastRenderedPageBreak/>
              <w:t>Box</w:t>
            </w:r>
            <w:r w:rsidR="00807757">
              <w:t xml:space="preserve"> 3</w:t>
            </w:r>
            <w:r>
              <w:t xml:space="preserve">: Incentives created by a </w:t>
            </w:r>
            <w:r w:rsidR="000A5A0D">
              <w:t>claw</w:t>
            </w:r>
            <w:r w:rsidR="0038520A">
              <w:noBreakHyphen/>
            </w:r>
            <w:r w:rsidR="000A5A0D">
              <w:t xml:space="preserve">back </w:t>
            </w:r>
            <w:r>
              <w:t>mechanism in JobKeeper</w:t>
            </w:r>
            <w:bookmarkEnd w:id="81"/>
          </w:p>
          <w:p w14:paraId="51CC68C3" w14:textId="709827A0" w:rsidR="00890C97" w:rsidRDefault="00890C97" w:rsidP="00C71D7B">
            <w:pPr>
              <w:pStyle w:val="BoxText"/>
            </w:pPr>
            <w:r>
              <w:t xml:space="preserve">This </w:t>
            </w:r>
            <w:r w:rsidR="00096FF6">
              <w:t>box</w:t>
            </w:r>
            <w:r>
              <w:t xml:space="preserve"> </w:t>
            </w:r>
            <w:r w:rsidR="00096FF6">
              <w:t>outlines</w:t>
            </w:r>
            <w:r>
              <w:t xml:space="preserve"> a stylised example </w:t>
            </w:r>
            <w:r w:rsidR="006D6702">
              <w:t>of</w:t>
            </w:r>
            <w:r>
              <w:t xml:space="preserve"> </w:t>
            </w:r>
            <w:r w:rsidR="00543CB9">
              <w:t xml:space="preserve">how </w:t>
            </w:r>
            <w:r>
              <w:t xml:space="preserve">JobKeeper </w:t>
            </w:r>
            <w:r w:rsidR="00543CB9">
              <w:t xml:space="preserve">could have affected incentives </w:t>
            </w:r>
            <w:r w:rsidR="00BA5257">
              <w:t xml:space="preserve">if it was designed with </w:t>
            </w:r>
            <w:r>
              <w:t xml:space="preserve">a strict requirement to meet a turnover threshold and/or </w:t>
            </w:r>
            <w:r w:rsidR="009F3A8A">
              <w:t xml:space="preserve">had </w:t>
            </w:r>
            <w:r>
              <w:t xml:space="preserve">a </w:t>
            </w:r>
            <w:r w:rsidR="000A5A0D">
              <w:t>claw</w:t>
            </w:r>
            <w:r w:rsidR="0038520A">
              <w:noBreakHyphen/>
            </w:r>
            <w:r w:rsidR="000A5A0D">
              <w:t xml:space="preserve">back </w:t>
            </w:r>
            <w:r>
              <w:t>mechanism</w:t>
            </w:r>
            <w:r w:rsidR="00543CB9">
              <w:t xml:space="preserve">. It shows that some </w:t>
            </w:r>
            <w:r>
              <w:t xml:space="preserve">businesses </w:t>
            </w:r>
            <w:r w:rsidR="00543CB9">
              <w:t xml:space="preserve">would have had </w:t>
            </w:r>
            <w:r w:rsidR="00EA7F04">
              <w:t xml:space="preserve">an incentive </w:t>
            </w:r>
            <w:r>
              <w:t xml:space="preserve">to reduce output and revenue to remain below the </w:t>
            </w:r>
            <w:r w:rsidR="00EA7F04">
              <w:t xml:space="preserve">turnover </w:t>
            </w:r>
            <w:r>
              <w:t xml:space="preserve">threshold </w:t>
            </w:r>
            <w:r w:rsidR="00EA7F04">
              <w:t xml:space="preserve">to </w:t>
            </w:r>
            <w:r>
              <w:t xml:space="preserve">retain </w:t>
            </w:r>
            <w:r w:rsidR="00EA7F04">
              <w:t xml:space="preserve">access to </w:t>
            </w:r>
            <w:r>
              <w:t>the payment.</w:t>
            </w:r>
          </w:p>
          <w:p w14:paraId="29DBF4C1" w14:textId="50EB6D09" w:rsidR="00890C97" w:rsidRDefault="00D073E9" w:rsidP="00C71D7B">
            <w:pPr>
              <w:pStyle w:val="BoxText"/>
            </w:pPr>
            <w:r>
              <w:t>F</w:t>
            </w:r>
            <w:r w:rsidR="00890C97">
              <w:t xml:space="preserve">igure </w:t>
            </w:r>
            <w:r w:rsidR="0051426A">
              <w:t>3</w:t>
            </w:r>
            <w:r w:rsidR="00890C97">
              <w:t xml:space="preserve"> below shows a stylised relationship between a business</w:t>
            </w:r>
            <w:r w:rsidR="0038520A">
              <w:t>’</w:t>
            </w:r>
            <w:r w:rsidR="00890C97">
              <w:t xml:space="preserve">s profit and revenue if a JobKeeper </w:t>
            </w:r>
            <w:r w:rsidR="00195E87">
              <w:t>payment</w:t>
            </w:r>
            <w:r w:rsidR="00890C97">
              <w:t xml:space="preserve"> </w:t>
            </w:r>
            <w:r w:rsidR="000A5A0D">
              <w:t>claw</w:t>
            </w:r>
            <w:r w:rsidR="0038520A">
              <w:noBreakHyphen/>
            </w:r>
            <w:r w:rsidR="000A5A0D">
              <w:t xml:space="preserve">back </w:t>
            </w:r>
            <w:r w:rsidR="006578AA">
              <w:t xml:space="preserve">arrangement </w:t>
            </w:r>
            <w:r w:rsidR="00890C97">
              <w:t xml:space="preserve">had been put in place. The figure shows businesses could behave in </w:t>
            </w:r>
            <w:r w:rsidR="00721C33">
              <w:t>three</w:t>
            </w:r>
            <w:r w:rsidR="00A90CF2">
              <w:t xml:space="preserve"> </w:t>
            </w:r>
            <w:r w:rsidR="00890C97">
              <w:t>ways:</w:t>
            </w:r>
          </w:p>
          <w:p w14:paraId="3D2974D0" w14:textId="6BA096F2" w:rsidR="002A0B2C" w:rsidRDefault="00266012" w:rsidP="00C71D7B">
            <w:pPr>
              <w:pStyle w:val="OutlineNumbered1"/>
              <w:keepNext/>
              <w:keepLines/>
              <w:ind w:left="284" w:hanging="284"/>
            </w:pPr>
            <w:r>
              <w:t xml:space="preserve">A </w:t>
            </w:r>
            <w:r w:rsidR="00890C97">
              <w:t xml:space="preserve">business that expects to generate at most 70 per cent </w:t>
            </w:r>
            <w:r w:rsidR="003C0ED5">
              <w:t xml:space="preserve">of </w:t>
            </w:r>
            <w:r w:rsidR="00A90CF2">
              <w:t>its</w:t>
            </w:r>
            <w:r w:rsidR="00890C97">
              <w:t xml:space="preserve"> pre</w:t>
            </w:r>
            <w:r w:rsidR="0038520A">
              <w:noBreakHyphen/>
            </w:r>
            <w:r w:rsidR="00890C97">
              <w:t>COVID</w:t>
            </w:r>
            <w:r w:rsidR="0038520A">
              <w:noBreakHyphen/>
            </w:r>
            <w:r w:rsidR="003233D3">
              <w:t xml:space="preserve">19 </w:t>
            </w:r>
            <w:r w:rsidR="00890C97">
              <w:t xml:space="preserve">revenue </w:t>
            </w:r>
            <w:r w:rsidR="00B94DD7">
              <w:t>(that is, have a turnover decline o</w:t>
            </w:r>
            <w:r w:rsidR="00497BB4">
              <w:t>f</w:t>
            </w:r>
            <w:r w:rsidR="00B94DD7">
              <w:t xml:space="preserve"> more than 30 per cent) would </w:t>
            </w:r>
            <w:r w:rsidR="00F4324F">
              <w:t>be eligible to retain its</w:t>
            </w:r>
            <w:r w:rsidR="00890C97">
              <w:t xml:space="preserve"> JobKeeper</w:t>
            </w:r>
            <w:r w:rsidR="00F4324F">
              <w:t xml:space="preserve"> support</w:t>
            </w:r>
            <w:r w:rsidR="00890C97">
              <w:t xml:space="preserve">, </w:t>
            </w:r>
            <w:r w:rsidR="00A90CF2">
              <w:t>lowering its</w:t>
            </w:r>
            <w:r w:rsidR="00890C97">
              <w:t xml:space="preserve"> effective wage bill and </w:t>
            </w:r>
            <w:r w:rsidR="00A90CF2">
              <w:t xml:space="preserve">raising </w:t>
            </w:r>
            <w:r w:rsidR="00890C97">
              <w:t>profit.</w:t>
            </w:r>
          </w:p>
          <w:p w14:paraId="796FA770" w14:textId="3AFAF40D" w:rsidR="00890C97" w:rsidRDefault="00890C97" w:rsidP="00C71D7B">
            <w:pPr>
              <w:pStyle w:val="OutlineNumbered1"/>
              <w:keepNext/>
              <w:keepLines/>
              <w:ind w:left="284" w:hanging="284"/>
            </w:pPr>
            <w:r>
              <w:t>A business that expects to generate more than 70 per cent</w:t>
            </w:r>
            <w:r w:rsidR="003C0ED5">
              <w:t>,</w:t>
            </w:r>
            <w:r>
              <w:t xml:space="preserve"> but less than 113</w:t>
            </w:r>
            <w:r w:rsidR="00593580">
              <w:t> </w:t>
            </w:r>
            <w:r>
              <w:t>per</w:t>
            </w:r>
            <w:r w:rsidR="00593580">
              <w:t> </w:t>
            </w:r>
            <w:r>
              <w:t>cent</w:t>
            </w:r>
            <w:r w:rsidR="001644EF">
              <w:t>,</w:t>
            </w:r>
            <w:r>
              <w:t xml:space="preserve"> of pre</w:t>
            </w:r>
            <w:r w:rsidR="0038520A">
              <w:noBreakHyphen/>
            </w:r>
            <w:r>
              <w:t>COVID</w:t>
            </w:r>
            <w:r w:rsidR="0038520A">
              <w:noBreakHyphen/>
            </w:r>
            <w:r w:rsidR="003233D3">
              <w:t xml:space="preserve">19 </w:t>
            </w:r>
            <w:r>
              <w:t>revenue would be better off reducing revenue to the 70</w:t>
            </w:r>
            <w:r w:rsidR="00593580">
              <w:t> </w:t>
            </w:r>
            <w:r>
              <w:t>per</w:t>
            </w:r>
            <w:r w:rsidR="00593580">
              <w:t> </w:t>
            </w:r>
            <w:r>
              <w:t xml:space="preserve">cent threshold by reducing purchases of inputs including labour, lowering output, sales and revenue, thereby retaining eligibility for JobKeeper </w:t>
            </w:r>
            <w:r w:rsidR="00F4324F">
              <w:t xml:space="preserve">as this </w:t>
            </w:r>
            <w:r w:rsidR="00B94DD7">
              <w:t xml:space="preserve">would have led </w:t>
            </w:r>
            <w:r w:rsidR="00F4324F">
              <w:t xml:space="preserve">to </w:t>
            </w:r>
            <w:r>
              <w:t>higher profits.</w:t>
            </w:r>
          </w:p>
          <w:p w14:paraId="4A785A71" w14:textId="0AAACEE9" w:rsidR="00836D7A" w:rsidRPr="008950C5" w:rsidRDefault="00890C97" w:rsidP="00836D7A">
            <w:pPr>
              <w:pStyle w:val="OutlineNumbered1"/>
              <w:numPr>
                <w:ilvl w:val="0"/>
                <w:numId w:val="0"/>
              </w:numPr>
            </w:pPr>
            <w:r>
              <w:t xml:space="preserve">A business that expects to generate more than 113 per cent of </w:t>
            </w:r>
            <w:r w:rsidR="001644EF">
              <w:t xml:space="preserve">its </w:t>
            </w:r>
            <w:r>
              <w:t>pre</w:t>
            </w:r>
            <w:r w:rsidR="0038520A">
              <w:noBreakHyphen/>
            </w:r>
            <w:r w:rsidR="003233D3">
              <w:t>COVID</w:t>
            </w:r>
            <w:r w:rsidR="0038520A">
              <w:noBreakHyphen/>
            </w:r>
            <w:r w:rsidR="003233D3">
              <w:t xml:space="preserve">19 </w:t>
            </w:r>
            <w:r>
              <w:t>revenue would be better off not reducing revenue to retain eligibility for JobKeeper.</w:t>
            </w:r>
          </w:p>
        </w:tc>
      </w:tr>
      <w:tr w:rsidR="00836D7A" w14:paraId="21F14F70" w14:textId="77777777" w:rsidTr="003A746B">
        <w:tc>
          <w:tcPr>
            <w:tcW w:w="5000" w:type="pct"/>
            <w:shd w:val="clear" w:color="auto" w:fill="D5E1F1" w:themeFill="accent2" w:themeFillTint="33"/>
          </w:tcPr>
          <w:p w14:paraId="6505836B" w14:textId="77777777" w:rsidR="00836D7A" w:rsidRDefault="00836D7A" w:rsidP="003A746B">
            <w:pPr>
              <w:pStyle w:val="ChartMainHeading"/>
              <w:keepLines/>
            </w:pPr>
            <w:bookmarkStart w:id="82" w:name="_Toc84842562"/>
            <w:r>
              <w:t>Businesses’ revenue, profits and JobKeeper impact</w:t>
            </w:r>
            <w:bookmarkEnd w:id="82"/>
          </w:p>
          <w:p w14:paraId="1F8F86C0" w14:textId="77777777" w:rsidR="00836D7A" w:rsidRPr="00726794" w:rsidRDefault="00836D7A" w:rsidP="003A746B">
            <w:pPr>
              <w:pStyle w:val="ChartGraphic"/>
              <w:keepLines/>
              <w:spacing w:before="60" w:after="60"/>
            </w:pPr>
            <w:r>
              <w:rPr>
                <w:noProof/>
              </w:rPr>
              <w:drawing>
                <wp:inline distT="0" distB="0" distL="0" distR="0" wp14:anchorId="4181487D" wp14:editId="17C6C438">
                  <wp:extent cx="5041900" cy="3145790"/>
                  <wp:effectExtent l="0" t="0" r="6350" b="0"/>
                  <wp:docPr id="7" name="Picture 7" descr="This figure shows the relationship between revenue, profits, and the JobKeeper subsidy. Profits are plotted against revenue for two cases: where a business receives JobKeeper, and where a business does not receive JobKeeper. The plot shows two straight lines from the origin, where the ‘with JobKeeper’ line is above the ‘without JobKeeper’ line. The ‘with JobKeeper’ line cuts off at 70 per cent revenue. Profits ‘with JobKeeper’ at 70 per cent revenue are higher than profits ‘without JobKeeper’ until revenue reaches 113 per cent. This figure illustrates that under this framework, there are incentives for a business to reduce revenue to increase their profits with the JobKeeper subs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shows the relationship between revenue, profits, and the JobKeeper subsidy. Profits are plotted against revenue for two cases: where a business receives JobKeeper, and where a business does not receive JobKeeper. The plot shows two straight lines from the origin, where the ‘with JobKeeper’ line is above the ‘without JobKeeper’ line. The ‘with JobKeeper’ line cuts off at 70 per cent revenue. Profits ‘with JobKeeper’ at 70 per cent revenue are higher than profits ‘without JobKeeper’ until revenue reaches 113 per cent. This figure illustrates that under this framework, there are incentives for a business to reduce revenue to increase their profits with the JobKeeper subsid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1900" cy="3145790"/>
                          </a:xfrm>
                          <a:prstGeom prst="rect">
                            <a:avLst/>
                          </a:prstGeom>
                          <a:noFill/>
                        </pic:spPr>
                      </pic:pic>
                    </a:graphicData>
                  </a:graphic>
                </wp:inline>
              </w:drawing>
            </w:r>
          </w:p>
          <w:p w14:paraId="60313649" w14:textId="77777777" w:rsidR="00836D7A" w:rsidRDefault="00836D7A" w:rsidP="003A746B">
            <w:pPr>
              <w:pStyle w:val="ChartorTableNote"/>
              <w:keepNext/>
              <w:keepLines/>
            </w:pPr>
            <w:r>
              <w:t>Note: The analysis is constructed for an average Australian business using data from 2018</w:t>
            </w:r>
            <w:r>
              <w:noBreakHyphen/>
              <w:t>19 ABS Input</w:t>
            </w:r>
            <w:r>
              <w:noBreakHyphen/>
              <w:t>Output Tables. For the average business, around 50 per cent of their revenue is used to cover variable costs associated with intermediate inputs; around 25 per cent is associated with covering labour costs; and the remaining 25 per cent of revenue covers fixed costs and profits. On average, JobKeeper provided a subsidy of 60 per cent of wage costs, reducing labour costs by 15 per cent of revenue.</w:t>
            </w:r>
          </w:p>
          <w:p w14:paraId="5AFC73BF" w14:textId="77777777" w:rsidR="00836D7A" w:rsidRDefault="00836D7A" w:rsidP="003A746B">
            <w:pPr>
              <w:pStyle w:val="ChartorTableNote"/>
            </w:pPr>
            <w:r>
              <w:t>Source: Treasury calculations.</w:t>
            </w:r>
          </w:p>
        </w:tc>
      </w:tr>
    </w:tbl>
    <w:p w14:paraId="647FB7FD" w14:textId="77777777" w:rsidR="004D5AD4" w:rsidRDefault="004D5AD4" w:rsidP="004D5AD4">
      <w:pPr>
        <w:pStyle w:val="SingleParagraph"/>
        <w:rPr>
          <w:lang w:val="en-US"/>
        </w:rPr>
      </w:pPr>
    </w:p>
    <w:p w14:paraId="56BC0BCD" w14:textId="77311AC6" w:rsidR="003A2586" w:rsidRPr="001369BD" w:rsidRDefault="00797A48" w:rsidP="004D5AD4">
      <w:pPr>
        <w:rPr>
          <w:lang w:val="en-US"/>
        </w:rPr>
      </w:pPr>
      <w:r w:rsidRPr="001369BD">
        <w:rPr>
          <w:lang w:val="en-US"/>
        </w:rPr>
        <w:lastRenderedPageBreak/>
        <w:t>In other countries, governments introduced</w:t>
      </w:r>
      <w:r w:rsidRPr="001369BD" w:rsidDel="00B94DD7">
        <w:rPr>
          <w:lang w:val="en-US"/>
        </w:rPr>
        <w:t xml:space="preserve"> </w:t>
      </w:r>
      <w:r w:rsidR="00B94DD7">
        <w:rPr>
          <w:lang w:val="en-US"/>
        </w:rPr>
        <w:t>a range of</w:t>
      </w:r>
      <w:r w:rsidRPr="001369BD">
        <w:rPr>
          <w:lang w:val="en-US"/>
        </w:rPr>
        <w:t xml:space="preserve"> schemes to promote job retention. Each scheme was designed and implemented differently to suit national circumstances and requirements</w:t>
      </w:r>
      <w:r w:rsidR="0087418C" w:rsidRPr="001369BD">
        <w:rPr>
          <w:lang w:val="en-US"/>
        </w:rPr>
        <w:t>. Some schemes used</w:t>
      </w:r>
      <w:r w:rsidR="003A2586" w:rsidRPr="001369BD">
        <w:rPr>
          <w:lang w:val="en-US"/>
        </w:rPr>
        <w:t xml:space="preserve"> an actual turnover decline</w:t>
      </w:r>
      <w:r w:rsidR="0087418C" w:rsidRPr="001369BD">
        <w:rPr>
          <w:lang w:val="en-US"/>
        </w:rPr>
        <w:t xml:space="preserve"> </w:t>
      </w:r>
      <w:r w:rsidR="00E25775">
        <w:rPr>
          <w:lang w:val="en-US"/>
        </w:rPr>
        <w:t xml:space="preserve">or actual evidence on the furloughing of employees, </w:t>
      </w:r>
      <w:r w:rsidR="0087418C" w:rsidRPr="001369BD">
        <w:rPr>
          <w:lang w:val="en-US"/>
        </w:rPr>
        <w:t xml:space="preserve">and others </w:t>
      </w:r>
      <w:r w:rsidR="00F01B1D">
        <w:rPr>
          <w:lang w:val="en-US"/>
        </w:rPr>
        <w:t>determine</w:t>
      </w:r>
      <w:r w:rsidR="00E25775">
        <w:rPr>
          <w:lang w:val="en-US"/>
        </w:rPr>
        <w:t>d eligibility on</w:t>
      </w:r>
      <w:r w:rsidR="00E25775" w:rsidRPr="001369BD">
        <w:rPr>
          <w:lang w:val="en-US"/>
        </w:rPr>
        <w:t xml:space="preserve"> </w:t>
      </w:r>
      <w:r w:rsidR="0087418C" w:rsidRPr="001369BD">
        <w:rPr>
          <w:lang w:val="en-US"/>
        </w:rPr>
        <w:t xml:space="preserve">an </w:t>
      </w:r>
      <w:r w:rsidR="00FD4704" w:rsidRPr="001369BD">
        <w:rPr>
          <w:lang w:val="en-US"/>
        </w:rPr>
        <w:t xml:space="preserve">expected </w:t>
      </w:r>
      <w:r w:rsidR="0087418C" w:rsidRPr="001369BD">
        <w:rPr>
          <w:lang w:val="en-US"/>
        </w:rPr>
        <w:t>decline</w:t>
      </w:r>
      <w:r w:rsidR="00E25775">
        <w:rPr>
          <w:lang w:val="en-US"/>
        </w:rPr>
        <w:t xml:space="preserve"> in turnover</w:t>
      </w:r>
      <w:r w:rsidR="0087418C" w:rsidRPr="001369BD">
        <w:rPr>
          <w:lang w:val="en-US"/>
        </w:rPr>
        <w:t xml:space="preserve">. </w:t>
      </w:r>
      <w:r w:rsidR="0087418C" w:rsidRPr="001369BD">
        <w:rPr>
          <w:rFonts w:asciiTheme="minorHAnsi" w:hAnsiTheme="minorHAnsi" w:cstheme="minorHAnsi"/>
        </w:rPr>
        <w:t>W</w:t>
      </w:r>
      <w:r w:rsidR="00116E4E" w:rsidRPr="001369BD">
        <w:rPr>
          <w:rFonts w:asciiTheme="minorHAnsi" w:hAnsiTheme="minorHAnsi" w:cstheme="minorHAnsi"/>
        </w:rPr>
        <w:t>here expected turnover decline was a condition of eligibility, jurisdictions took different approaches, with some, such as New</w:t>
      </w:r>
      <w:r w:rsidR="00FB790F">
        <w:rPr>
          <w:rFonts w:asciiTheme="minorHAnsi" w:hAnsiTheme="minorHAnsi" w:cstheme="minorHAnsi"/>
        </w:rPr>
        <w:t> </w:t>
      </w:r>
      <w:r w:rsidR="00116E4E" w:rsidRPr="001369BD">
        <w:rPr>
          <w:rFonts w:asciiTheme="minorHAnsi" w:hAnsiTheme="minorHAnsi" w:cstheme="minorHAnsi"/>
        </w:rPr>
        <w:t xml:space="preserve">Zealand and the Netherlands, requiring </w:t>
      </w:r>
      <w:r w:rsidR="00D058F6" w:rsidRPr="001369BD">
        <w:rPr>
          <w:rFonts w:asciiTheme="minorHAnsi" w:hAnsiTheme="minorHAnsi" w:cstheme="minorHAnsi"/>
        </w:rPr>
        <w:t>businesses</w:t>
      </w:r>
      <w:r w:rsidR="00116E4E" w:rsidRPr="001369BD">
        <w:rPr>
          <w:rFonts w:asciiTheme="minorHAnsi" w:hAnsiTheme="minorHAnsi" w:cstheme="minorHAnsi"/>
        </w:rPr>
        <w:t xml:space="preserve"> to repay part or all of the subsidy if the anticipated declines did not eventuate. Others, such as Ireland, advised that the subsidy would not be recouped if </w:t>
      </w:r>
      <w:r w:rsidR="00FD4704" w:rsidRPr="001369BD">
        <w:rPr>
          <w:rFonts w:asciiTheme="minorHAnsi" w:hAnsiTheme="minorHAnsi" w:cstheme="minorHAnsi"/>
        </w:rPr>
        <w:t xml:space="preserve">the </w:t>
      </w:r>
      <w:r w:rsidR="008E0D21" w:rsidRPr="001369BD">
        <w:rPr>
          <w:rFonts w:asciiTheme="minorHAnsi" w:hAnsiTheme="minorHAnsi" w:cstheme="minorHAnsi"/>
        </w:rPr>
        <w:t xml:space="preserve">projection </w:t>
      </w:r>
      <w:r w:rsidR="00FD4704" w:rsidRPr="001369BD">
        <w:rPr>
          <w:rFonts w:asciiTheme="minorHAnsi" w:hAnsiTheme="minorHAnsi" w:cstheme="minorHAnsi"/>
        </w:rPr>
        <w:t xml:space="preserve">was </w:t>
      </w:r>
      <w:r w:rsidR="00116E4E" w:rsidRPr="001369BD">
        <w:rPr>
          <w:rFonts w:asciiTheme="minorHAnsi" w:hAnsiTheme="minorHAnsi" w:cstheme="minorHAnsi"/>
        </w:rPr>
        <w:t xml:space="preserve">found to be reasonable. </w:t>
      </w:r>
      <w:r w:rsidR="00CA730C" w:rsidRPr="001369BD">
        <w:rPr>
          <w:lang w:val="en-US"/>
        </w:rPr>
        <w:t xml:space="preserve"> </w:t>
      </w:r>
    </w:p>
    <w:p w14:paraId="40765E9E" w14:textId="09EA13A2" w:rsidR="004504A4" w:rsidRDefault="00797A48" w:rsidP="004138ED">
      <w:pPr>
        <w:rPr>
          <w:lang w:val="en-US"/>
        </w:rPr>
      </w:pPr>
      <w:r w:rsidRPr="001369BD">
        <w:rPr>
          <w:lang w:val="en-US"/>
        </w:rPr>
        <w:t>A</w:t>
      </w:r>
      <w:r w:rsidR="004F2B41" w:rsidRPr="001369BD">
        <w:rPr>
          <w:lang w:val="en-US"/>
        </w:rPr>
        <w:t>s the pandemic progressed, a</w:t>
      </w:r>
      <w:r w:rsidRPr="001369BD">
        <w:rPr>
          <w:lang w:val="en-US"/>
        </w:rPr>
        <w:t>l</w:t>
      </w:r>
      <w:r w:rsidR="00765F02" w:rsidRPr="001369BD">
        <w:rPr>
          <w:lang w:val="en-US"/>
        </w:rPr>
        <w:t>l</w:t>
      </w:r>
      <w:r w:rsidRPr="001369BD">
        <w:rPr>
          <w:lang w:val="en-US"/>
        </w:rPr>
        <w:t xml:space="preserve"> countries extended their schemes to continue support</w:t>
      </w:r>
      <w:r w:rsidR="004F2B41" w:rsidRPr="001369BD">
        <w:rPr>
          <w:lang w:val="en-US"/>
        </w:rPr>
        <w:t xml:space="preserve">, typically with tightened eligibility requirements and </w:t>
      </w:r>
      <w:r w:rsidR="00E43A04" w:rsidRPr="001369BD">
        <w:rPr>
          <w:lang w:val="en-US"/>
        </w:rPr>
        <w:t>tapered</w:t>
      </w:r>
      <w:r w:rsidR="004F2B41" w:rsidRPr="001369BD">
        <w:rPr>
          <w:lang w:val="en-US"/>
        </w:rPr>
        <w:t xml:space="preserve"> rates of payment</w:t>
      </w:r>
      <w:r w:rsidR="00535DDF" w:rsidRPr="001369BD">
        <w:rPr>
          <w:lang w:val="en-US"/>
        </w:rPr>
        <w:t>. T</w:t>
      </w:r>
      <w:r w:rsidRPr="001369BD">
        <w:rPr>
          <w:lang w:val="en-US"/>
        </w:rPr>
        <w:t>he N</w:t>
      </w:r>
      <w:r w:rsidR="001E2C1E" w:rsidRPr="001369BD">
        <w:rPr>
          <w:lang w:val="en-US"/>
        </w:rPr>
        <w:t xml:space="preserve">ew </w:t>
      </w:r>
      <w:r w:rsidRPr="001369BD">
        <w:rPr>
          <w:lang w:val="en-US"/>
        </w:rPr>
        <w:t>Z</w:t>
      </w:r>
      <w:r w:rsidR="001E2C1E" w:rsidRPr="001369BD">
        <w:rPr>
          <w:lang w:val="en-US"/>
        </w:rPr>
        <w:t>ealand</w:t>
      </w:r>
      <w:r w:rsidRPr="003241A2">
        <w:rPr>
          <w:lang w:val="en-US"/>
        </w:rPr>
        <w:t xml:space="preserve"> scheme </w:t>
      </w:r>
      <w:r w:rsidR="00535DDF" w:rsidRPr="003241A2">
        <w:rPr>
          <w:lang w:val="en-US"/>
        </w:rPr>
        <w:t>was</w:t>
      </w:r>
      <w:r w:rsidRPr="003241A2">
        <w:rPr>
          <w:lang w:val="en-US"/>
        </w:rPr>
        <w:t xml:space="preserve"> the first to end after </w:t>
      </w:r>
      <w:r w:rsidR="00535DDF" w:rsidRPr="003241A2">
        <w:rPr>
          <w:lang w:val="en-US"/>
        </w:rPr>
        <w:t xml:space="preserve">approximately </w:t>
      </w:r>
      <w:r w:rsidR="00721C33" w:rsidRPr="003241A2">
        <w:rPr>
          <w:lang w:val="en-US"/>
        </w:rPr>
        <w:t xml:space="preserve">five </w:t>
      </w:r>
      <w:r w:rsidRPr="003241A2">
        <w:rPr>
          <w:lang w:val="en-US"/>
        </w:rPr>
        <w:t>months</w:t>
      </w:r>
      <w:r w:rsidR="001644EF" w:rsidRPr="003241A2">
        <w:rPr>
          <w:lang w:val="en-US"/>
        </w:rPr>
        <w:t>.</w:t>
      </w:r>
      <w:r w:rsidRPr="003241A2" w:rsidDel="00535DDF">
        <w:rPr>
          <w:lang w:val="en-US"/>
        </w:rPr>
        <w:t xml:space="preserve"> </w:t>
      </w:r>
      <w:r w:rsidR="001644EF" w:rsidRPr="003241A2">
        <w:rPr>
          <w:lang w:val="en-US"/>
        </w:rPr>
        <w:t>H</w:t>
      </w:r>
      <w:r w:rsidR="00535DDF" w:rsidRPr="003241A2">
        <w:rPr>
          <w:lang w:val="en-US"/>
        </w:rPr>
        <w:t>owever, their wage subsidy has since been temporarily reinstated in March and August 2021 due to additional lockdowns in response to community transmission.</w:t>
      </w:r>
      <w:r w:rsidRPr="003241A2">
        <w:rPr>
          <w:lang w:val="en-US"/>
        </w:rPr>
        <w:t xml:space="preserve"> </w:t>
      </w:r>
      <w:r w:rsidR="004F2B41" w:rsidRPr="003241A2">
        <w:rPr>
          <w:lang w:val="en-US"/>
        </w:rPr>
        <w:t>In many countries</w:t>
      </w:r>
      <w:r w:rsidR="001644EF" w:rsidRPr="003241A2">
        <w:rPr>
          <w:lang w:val="en-US"/>
        </w:rPr>
        <w:t xml:space="preserve"> –</w:t>
      </w:r>
      <w:r w:rsidR="004F2B41" w:rsidRPr="003241A2">
        <w:rPr>
          <w:lang w:val="en-US"/>
        </w:rPr>
        <w:t xml:space="preserve"> such as Canada and Ireland</w:t>
      </w:r>
      <w:r w:rsidR="001644EF" w:rsidRPr="003241A2">
        <w:rPr>
          <w:lang w:val="en-US"/>
        </w:rPr>
        <w:t xml:space="preserve"> – </w:t>
      </w:r>
      <w:r w:rsidR="004F2B41" w:rsidRPr="003241A2">
        <w:rPr>
          <w:lang w:val="en-US"/>
        </w:rPr>
        <w:t xml:space="preserve">wage subsidy programs are yet to conclude. </w:t>
      </w:r>
      <w:r w:rsidR="00CA730C" w:rsidRPr="003241A2">
        <w:rPr>
          <w:lang w:val="en-US"/>
        </w:rPr>
        <w:t xml:space="preserve">At this point there have been no </w:t>
      </w:r>
      <w:r w:rsidR="00735DA3" w:rsidRPr="003241A2">
        <w:rPr>
          <w:lang w:val="en-US"/>
        </w:rPr>
        <w:t xml:space="preserve">evaluations completed of other country schemes </w:t>
      </w:r>
      <w:r w:rsidR="00121A87" w:rsidRPr="003241A2">
        <w:rPr>
          <w:lang w:val="en-US"/>
        </w:rPr>
        <w:t>to shed light on</w:t>
      </w:r>
      <w:r w:rsidR="00B474F4" w:rsidRPr="003241A2">
        <w:rPr>
          <w:lang w:val="en-US"/>
        </w:rPr>
        <w:t xml:space="preserve"> the impact of different design parameters or compliance arrangements.</w:t>
      </w:r>
      <w:r w:rsidR="00121A87" w:rsidRPr="003241A2">
        <w:rPr>
          <w:lang w:val="en-US"/>
        </w:rPr>
        <w:t xml:space="preserve"> </w:t>
      </w:r>
    </w:p>
    <w:p w14:paraId="3209B3B4" w14:textId="539C3F29" w:rsidR="00797A48" w:rsidRDefault="00100805" w:rsidP="00FD63D7">
      <w:pPr>
        <w:pStyle w:val="Heading2"/>
      </w:pPr>
      <w:bookmarkStart w:id="83" w:name="_Toc82787298"/>
      <w:bookmarkStart w:id="84" w:name="_Toc83215046"/>
      <w:bookmarkStart w:id="85" w:name="_Toc84842618"/>
      <w:bookmarkEnd w:id="20"/>
      <w:r>
        <w:t xml:space="preserve">The </w:t>
      </w:r>
      <w:r w:rsidR="00797A48">
        <w:t xml:space="preserve">JobKeeper </w:t>
      </w:r>
      <w:r>
        <w:t xml:space="preserve">Payment: </w:t>
      </w:r>
      <w:r w:rsidR="001F5E93">
        <w:t>T</w:t>
      </w:r>
      <w:r w:rsidR="00797A48">
        <w:t>hree</w:t>
      </w:r>
      <w:r w:rsidR="0038520A">
        <w:noBreakHyphen/>
      </w:r>
      <w:r w:rsidR="00797A48">
        <w:t xml:space="preserve">month </w:t>
      </w:r>
      <w:r w:rsidR="00797A48" w:rsidRPr="00257A78">
        <w:t>review</w:t>
      </w:r>
      <w:bookmarkEnd w:id="83"/>
      <w:bookmarkEnd w:id="84"/>
      <w:bookmarkEnd w:id="85"/>
      <w:r w:rsidR="00797A48">
        <w:t xml:space="preserve"> </w:t>
      </w:r>
    </w:p>
    <w:p w14:paraId="393FC57A" w14:textId="42F7C82C" w:rsidR="00797A48" w:rsidRDefault="003C7CC1" w:rsidP="00FD63D7">
      <w:pPr>
        <w:pStyle w:val="Heading3"/>
      </w:pPr>
      <w:bookmarkStart w:id="86" w:name="_Toc83215047"/>
      <w:r>
        <w:t>Policy c</w:t>
      </w:r>
      <w:r w:rsidR="00797A48">
        <w:t>onsiderations</w:t>
      </w:r>
      <w:bookmarkEnd w:id="86"/>
    </w:p>
    <w:p w14:paraId="2F3E5ADA" w14:textId="33363EDD" w:rsidR="00AF7D3A" w:rsidRDefault="00C91D7A" w:rsidP="004138ED">
      <w:r>
        <w:rPr>
          <w:lang w:val="en-US"/>
        </w:rPr>
        <w:t>T</w:t>
      </w:r>
      <w:r w:rsidR="00797A48">
        <w:rPr>
          <w:lang w:val="en-US"/>
        </w:rPr>
        <w:t xml:space="preserve">he </w:t>
      </w:r>
      <w:r w:rsidR="00797A48" w:rsidRPr="000D1422">
        <w:rPr>
          <w:i/>
          <w:lang w:val="en-US"/>
        </w:rPr>
        <w:t>JobKeeper</w:t>
      </w:r>
      <w:r w:rsidRPr="000D1422">
        <w:rPr>
          <w:i/>
          <w:lang w:val="en-US"/>
        </w:rPr>
        <w:t xml:space="preserve"> </w:t>
      </w:r>
      <w:r w:rsidR="00ED17DE">
        <w:rPr>
          <w:i/>
          <w:lang w:val="en-US"/>
        </w:rPr>
        <w:t>r</w:t>
      </w:r>
      <w:r w:rsidR="00797A48" w:rsidRPr="000D1422">
        <w:rPr>
          <w:i/>
          <w:lang w:val="en-US"/>
        </w:rPr>
        <w:t>eview</w:t>
      </w:r>
      <w:r w:rsidR="00C52B2C">
        <w:rPr>
          <w:i/>
          <w:lang w:val="en-US"/>
        </w:rPr>
        <w:t xml:space="preserve"> </w:t>
      </w:r>
      <w:r>
        <w:rPr>
          <w:lang w:val="en-US"/>
        </w:rPr>
        <w:t>was</w:t>
      </w:r>
      <w:r w:rsidR="00797A48">
        <w:rPr>
          <w:lang w:val="en-US"/>
        </w:rPr>
        <w:t xml:space="preserve"> conducted</w:t>
      </w:r>
      <w:r w:rsidR="00286E8D">
        <w:rPr>
          <w:lang w:val="en-US"/>
        </w:rPr>
        <w:t xml:space="preserve"> by Treasury</w:t>
      </w:r>
      <w:r w:rsidR="00797A48">
        <w:rPr>
          <w:lang w:val="en-US"/>
        </w:rPr>
        <w:t xml:space="preserve"> in May and June </w:t>
      </w:r>
      <w:r w:rsidR="00797A48" w:rsidRPr="004138ED">
        <w:t>2020</w:t>
      </w:r>
      <w:r w:rsidRPr="004138ED">
        <w:t xml:space="preserve">, before being published in July 2020. </w:t>
      </w:r>
      <w:r w:rsidR="00AF7D3A">
        <w:t xml:space="preserve">The review found that JobKeeper had met its objectives. </w:t>
      </w:r>
    </w:p>
    <w:p w14:paraId="6581D508" w14:textId="3ADF1ABB" w:rsidR="00AF7D3A" w:rsidRPr="00BE309A" w:rsidRDefault="00AF7D3A" w:rsidP="004138ED">
      <w:r>
        <w:t>At the time of the review, the level of business closures was well</w:t>
      </w:r>
      <w:r w:rsidR="00532AE0">
        <w:t xml:space="preserve"> </w:t>
      </w:r>
      <w:r>
        <w:t xml:space="preserve">below average, attributed to policy support including JobKeeper. JobKeeper </w:t>
      </w:r>
      <w:r w:rsidR="00F07532">
        <w:t>had</w:t>
      </w:r>
      <w:r>
        <w:t xml:space="preserve"> kept jobs in place, especially among those in ongoing full</w:t>
      </w:r>
      <w:r w:rsidR="0038520A">
        <w:noBreakHyphen/>
      </w:r>
      <w:r>
        <w:t>time and part</w:t>
      </w:r>
      <w:r w:rsidR="0038520A">
        <w:noBreakHyphen/>
      </w:r>
      <w:r>
        <w:t xml:space="preserve">time roles. From the point of introduction, the rate of decline in employment slowed, then stabilised, and towards the end of May was showing tentative signs of recovery. JobKeeper also played an important role in providing income support to individuals. </w:t>
      </w:r>
      <w:r w:rsidR="00715EF7">
        <w:t xml:space="preserve">The </w:t>
      </w:r>
      <w:r w:rsidR="00337142">
        <w:t>r</w:t>
      </w:r>
      <w:r w:rsidR="00715EF7">
        <w:t>eview</w:t>
      </w:r>
      <w:r>
        <w:t xml:space="preserve"> estimated that</w:t>
      </w:r>
      <w:r w:rsidR="0084514A">
        <w:t>,</w:t>
      </w:r>
      <w:r w:rsidR="00135330">
        <w:t xml:space="preserve"> </w:t>
      </w:r>
      <w:r w:rsidR="00286E8D">
        <w:t xml:space="preserve">at that time, </w:t>
      </w:r>
      <w:r w:rsidR="00135330">
        <w:t>one</w:t>
      </w:r>
      <w:r w:rsidR="0038520A">
        <w:noBreakHyphen/>
      </w:r>
      <w:r>
        <w:t>quarter of JobKeeper payments represented income transfers directly to individuals.</w:t>
      </w:r>
    </w:p>
    <w:p w14:paraId="5E879EED" w14:textId="35484850" w:rsidR="00797A48" w:rsidRDefault="00C91D7A" w:rsidP="004138ED">
      <w:r w:rsidRPr="004138ED">
        <w:t>At th</w:t>
      </w:r>
      <w:r w:rsidR="002501E2" w:rsidRPr="004138ED">
        <w:t xml:space="preserve">e </w:t>
      </w:r>
      <w:r w:rsidRPr="004138ED">
        <w:t>time</w:t>
      </w:r>
      <w:r w:rsidR="002501E2">
        <w:rPr>
          <w:lang w:val="en-US"/>
        </w:rPr>
        <w:t xml:space="preserve"> of the review</w:t>
      </w:r>
      <w:r>
        <w:rPr>
          <w:lang w:val="en-US"/>
        </w:rPr>
        <w:t>,</w:t>
      </w:r>
      <w:r w:rsidR="00797A48">
        <w:rPr>
          <w:lang w:val="en-US"/>
        </w:rPr>
        <w:t xml:space="preserve"> the labour market and the broader economy </w:t>
      </w:r>
      <w:r w:rsidR="00797A48">
        <w:t xml:space="preserve">remained very weak. </w:t>
      </w:r>
      <w:r w:rsidR="00797A48">
        <w:rPr>
          <w:lang w:val="en-US"/>
        </w:rPr>
        <w:t>Real GDP contracted by 7 per cent in the June quarter 2020, the largest fall on record</w:t>
      </w:r>
      <w:r w:rsidR="00A2483F">
        <w:rPr>
          <w:lang w:val="en-US"/>
        </w:rPr>
        <w:t xml:space="preserve"> (</w:t>
      </w:r>
      <w:r w:rsidR="006705EF">
        <w:rPr>
          <w:lang w:val="en-US"/>
        </w:rPr>
        <w:t>Figure</w:t>
      </w:r>
      <w:r w:rsidR="00A2483F">
        <w:rPr>
          <w:lang w:val="en-US"/>
        </w:rPr>
        <w:t xml:space="preserve"> </w:t>
      </w:r>
      <w:r w:rsidR="0051426A">
        <w:rPr>
          <w:lang w:val="en-US"/>
        </w:rPr>
        <w:t>4</w:t>
      </w:r>
      <w:r w:rsidR="00A2483F">
        <w:rPr>
          <w:lang w:val="en-US"/>
        </w:rPr>
        <w:t>)</w:t>
      </w:r>
      <w:r w:rsidR="00797A48">
        <w:rPr>
          <w:lang w:val="en-US"/>
        </w:rPr>
        <w:t xml:space="preserve">. </w:t>
      </w:r>
      <w:r w:rsidR="00797A48">
        <w:t xml:space="preserve">The overall level of labour underutilisation as reported in the May Labour Force Survey was at a record high </w:t>
      </w:r>
      <w:r w:rsidR="000268C2">
        <w:t>of</w:t>
      </w:r>
      <w:r w:rsidR="00797A48">
        <w:t xml:space="preserve"> 20.2</w:t>
      </w:r>
      <w:r w:rsidR="003645F0">
        <w:t> </w:t>
      </w:r>
      <w:r w:rsidR="00797A48">
        <w:t>per</w:t>
      </w:r>
      <w:r w:rsidR="003645F0">
        <w:t> </w:t>
      </w:r>
      <w:r w:rsidR="00797A48">
        <w:t xml:space="preserve">cent. </w:t>
      </w:r>
      <w:bookmarkStart w:id="87" w:name="_Hlk83128468"/>
      <w:r w:rsidR="00797A48">
        <w:t>Despite an expectation of a recovery in employment in the second half of 2020 overall, employment was still expected</w:t>
      </w:r>
      <w:r>
        <w:t xml:space="preserve"> to</w:t>
      </w:r>
      <w:r w:rsidR="00797A48">
        <w:t xml:space="preserve"> </w:t>
      </w:r>
      <w:r w:rsidR="00710C21" w:rsidRPr="00710C21">
        <w:t>remain 5 per cent below its pre</w:t>
      </w:r>
      <w:r w:rsidR="0038520A">
        <w:noBreakHyphen/>
      </w:r>
      <w:r w:rsidR="00710C21" w:rsidRPr="00710C21">
        <w:t>COVID</w:t>
      </w:r>
      <w:r w:rsidR="0038520A">
        <w:noBreakHyphen/>
      </w:r>
      <w:r w:rsidR="003233D3">
        <w:t xml:space="preserve">19 </w:t>
      </w:r>
      <w:r w:rsidR="00710C21" w:rsidRPr="00710C21">
        <w:t xml:space="preserve">level in </w:t>
      </w:r>
      <w:r w:rsidR="00797A48">
        <w:t xml:space="preserve">the September quarter 2020, </w:t>
      </w:r>
      <w:r w:rsidR="00710C21" w:rsidRPr="00472A2C">
        <w:t>with the total decline</w:t>
      </w:r>
      <w:r w:rsidR="00710C21">
        <w:t xml:space="preserve"> </w:t>
      </w:r>
      <w:r w:rsidR="00710C21" w:rsidRPr="00472A2C">
        <w:t>in employment</w:t>
      </w:r>
      <w:r w:rsidR="00797A48" w:rsidRPr="00472A2C">
        <w:t xml:space="preserve"> </w:t>
      </w:r>
      <w:r w:rsidR="00797A48">
        <w:t>greater than the peak</w:t>
      </w:r>
      <w:r w:rsidR="0038520A">
        <w:noBreakHyphen/>
      </w:r>
      <w:r w:rsidR="00797A48">
        <w:t>to</w:t>
      </w:r>
      <w:r w:rsidR="0038520A">
        <w:noBreakHyphen/>
      </w:r>
      <w:r w:rsidR="00797A48">
        <w:t>trough falls in the 1980s and 1990s recessions of around 4 per cent.</w:t>
      </w:r>
      <w:r w:rsidR="00797A48" w:rsidRPr="003E4249">
        <w:t xml:space="preserve"> </w:t>
      </w:r>
      <w:bookmarkEnd w:id="87"/>
      <w:r w:rsidR="00797A48">
        <w:t>While a recovery in output was expected in the September quarter, the level of economic activity was expected to remain well below levels of a year earlier.</w:t>
      </w:r>
    </w:p>
    <w:p w14:paraId="38CEC0AC" w14:textId="1F2EF954" w:rsidR="0073412B" w:rsidRDefault="0073412B" w:rsidP="006E2C94">
      <w:pPr>
        <w:pStyle w:val="ChartMainHeading"/>
      </w:pPr>
      <w:bookmarkStart w:id="88" w:name="_Toc84842563"/>
      <w:r>
        <w:lastRenderedPageBreak/>
        <w:t xml:space="preserve">Real </w:t>
      </w:r>
      <w:r w:rsidR="005618D2">
        <w:t>quarterly</w:t>
      </w:r>
      <w:r>
        <w:t xml:space="preserve"> GDP</w:t>
      </w:r>
      <w:r w:rsidR="005618D2">
        <w:t xml:space="preserve"> growth</w:t>
      </w:r>
      <w:bookmarkEnd w:id="88"/>
    </w:p>
    <w:p w14:paraId="306D7976" w14:textId="4007C492" w:rsidR="0073412B" w:rsidRDefault="00392908" w:rsidP="006E2C94">
      <w:pPr>
        <w:pStyle w:val="ChartGraphic"/>
      </w:pPr>
      <w:r>
        <w:rPr>
          <w:noProof/>
        </w:rPr>
        <w:drawing>
          <wp:inline distT="0" distB="0" distL="0" distR="0" wp14:anchorId="3ED929D8" wp14:editId="6A350846">
            <wp:extent cx="5584190" cy="2524125"/>
            <wp:effectExtent l="0" t="0" r="0" b="9525"/>
            <wp:docPr id="482" name="Picture 482" descr="This chart shows real quarterly GDP growth over the past four decades. Real GDP contracted by 7 per cent in the June quarter 2020, the largest fall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This chart shows real quarterly GDP growth over the past four decades. Real GDP contracted by 7 per cent in the June quarter 2020, the largest fall on reco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4190" cy="2524125"/>
                    </a:xfrm>
                    <a:prstGeom prst="rect">
                      <a:avLst/>
                    </a:prstGeom>
                    <a:noFill/>
                  </pic:spPr>
                </pic:pic>
              </a:graphicData>
            </a:graphic>
          </wp:inline>
        </w:drawing>
      </w:r>
    </w:p>
    <w:p w14:paraId="6C028CDC" w14:textId="3428A0E8" w:rsidR="0073412B" w:rsidRPr="005152C9" w:rsidRDefault="0073412B" w:rsidP="004138ED">
      <w:pPr>
        <w:pStyle w:val="ChartorTableNote"/>
      </w:pPr>
      <w:r w:rsidRPr="009B107A">
        <w:t xml:space="preserve">Source: </w:t>
      </w:r>
      <w:r w:rsidR="00ED07D9" w:rsidRPr="009B107A">
        <w:t xml:space="preserve">ABS </w:t>
      </w:r>
      <w:r w:rsidR="00ED07D9">
        <w:t>Australian National Accounts</w:t>
      </w:r>
      <w:r w:rsidR="00E15D2C" w:rsidRPr="00F4566A">
        <w:t>: National Income, Expenditure and Product</w:t>
      </w:r>
      <w:r w:rsidR="00ED07D9">
        <w:t xml:space="preserve"> (C</w:t>
      </w:r>
      <w:r w:rsidR="00ED07D9" w:rsidRPr="009B107A">
        <w:t xml:space="preserve">at. </w:t>
      </w:r>
      <w:r w:rsidR="00ED07D9">
        <w:t>N</w:t>
      </w:r>
      <w:r w:rsidR="00ED07D9" w:rsidRPr="009B107A">
        <w:t>o. 5206.0</w:t>
      </w:r>
      <w:r w:rsidR="00ED07D9">
        <w:t>)</w:t>
      </w:r>
      <w:r w:rsidR="00ED07D9" w:rsidRPr="009B107A">
        <w:t xml:space="preserve"> and Treasury</w:t>
      </w:r>
      <w:r w:rsidR="003244D1">
        <w:t>.</w:t>
      </w:r>
    </w:p>
    <w:p w14:paraId="3D491075" w14:textId="77777777" w:rsidR="004D5AD4" w:rsidRPr="004D5AD4" w:rsidRDefault="004D5AD4" w:rsidP="004D5AD4">
      <w:pPr>
        <w:pStyle w:val="SingleParagraph"/>
      </w:pPr>
    </w:p>
    <w:p w14:paraId="766508B2" w14:textId="543B8B91" w:rsidR="00100805" w:rsidRDefault="00797A48" w:rsidP="004138ED">
      <w:pPr>
        <w:rPr>
          <w:lang w:val="en-US"/>
        </w:rPr>
      </w:pPr>
      <w:r>
        <w:rPr>
          <w:lang w:val="en-US"/>
        </w:rPr>
        <w:t>The review recommended the scheme remain unchanged until the end of September</w:t>
      </w:r>
      <w:r w:rsidR="00C91D7A">
        <w:rPr>
          <w:lang w:val="en-US"/>
        </w:rPr>
        <w:t xml:space="preserve"> 2020</w:t>
      </w:r>
      <w:r>
        <w:rPr>
          <w:lang w:val="en-US"/>
        </w:rPr>
        <w:t xml:space="preserve">. </w:t>
      </w:r>
      <w:r w:rsidR="006578AA">
        <w:rPr>
          <w:lang w:val="en-US"/>
        </w:rPr>
        <w:t>Given the scheme was meeting its objectives, t</w:t>
      </w:r>
      <w:r>
        <w:rPr>
          <w:lang w:val="en-US"/>
        </w:rPr>
        <w:t xml:space="preserve">he key consideration for continued support was the state of the economy </w:t>
      </w:r>
      <w:r w:rsidR="006578AA">
        <w:rPr>
          <w:lang w:val="en-US"/>
        </w:rPr>
        <w:t>and the uncertainty surrounding the outlook</w:t>
      </w:r>
      <w:r>
        <w:rPr>
          <w:lang w:val="en-US"/>
        </w:rPr>
        <w:t xml:space="preserve">. </w:t>
      </w:r>
      <w:r>
        <w:rPr>
          <w:iCs/>
        </w:rPr>
        <w:t xml:space="preserve">The review noted that businesses had made </w:t>
      </w:r>
      <w:r w:rsidR="00EC313E">
        <w:rPr>
          <w:iCs/>
        </w:rPr>
        <w:t xml:space="preserve">employment, investment and activity </w:t>
      </w:r>
      <w:r>
        <w:rPr>
          <w:iCs/>
        </w:rPr>
        <w:t xml:space="preserve">decisions based on the availability of JobKeeper for </w:t>
      </w:r>
      <w:r w:rsidR="009C36E8">
        <w:rPr>
          <w:iCs/>
        </w:rPr>
        <w:t>six</w:t>
      </w:r>
      <w:r w:rsidR="00E448EC">
        <w:rPr>
          <w:iCs/>
        </w:rPr>
        <w:t> </w:t>
      </w:r>
      <w:r>
        <w:rPr>
          <w:iCs/>
        </w:rPr>
        <w:t xml:space="preserve">months. This included commitments to retain employees and keep their operations open. While many businesses had begun to recover from the initial shock, the review noted that there was a </w:t>
      </w:r>
      <w:r w:rsidRPr="00212DCF">
        <w:rPr>
          <w:iCs/>
        </w:rPr>
        <w:t>lot of ground for businesses to make up between a 30</w:t>
      </w:r>
      <w:r w:rsidR="0040622B">
        <w:rPr>
          <w:iCs/>
        </w:rPr>
        <w:t> </w:t>
      </w:r>
      <w:r w:rsidRPr="00212DCF">
        <w:rPr>
          <w:iCs/>
        </w:rPr>
        <w:t>per cent turnover decline and full recovery.</w:t>
      </w:r>
      <w:r>
        <w:rPr>
          <w:iCs/>
        </w:rPr>
        <w:t xml:space="preserve"> Additionally, for many </w:t>
      </w:r>
      <w:r w:rsidR="007B77CB">
        <w:rPr>
          <w:iCs/>
        </w:rPr>
        <w:t>businesses</w:t>
      </w:r>
      <w:r>
        <w:rPr>
          <w:iCs/>
        </w:rPr>
        <w:t>, their recovery was the result of</w:t>
      </w:r>
      <w:r w:rsidR="006975FC">
        <w:rPr>
          <w:iCs/>
        </w:rPr>
        <w:t>,</w:t>
      </w:r>
      <w:r>
        <w:rPr>
          <w:iCs/>
        </w:rPr>
        <w:t xml:space="preserve"> and contingent on</w:t>
      </w:r>
      <w:r w:rsidR="006975FC">
        <w:rPr>
          <w:iCs/>
        </w:rPr>
        <w:t>,</w:t>
      </w:r>
      <w:r>
        <w:rPr>
          <w:iCs/>
        </w:rPr>
        <w:t xml:space="preserve"> </w:t>
      </w:r>
      <w:r w:rsidR="006975FC">
        <w:rPr>
          <w:iCs/>
        </w:rPr>
        <w:t xml:space="preserve">support from </w:t>
      </w:r>
      <w:r>
        <w:rPr>
          <w:iCs/>
        </w:rPr>
        <w:t xml:space="preserve">JobKeeper. A withdrawal of support </w:t>
      </w:r>
      <w:r w:rsidR="009A0E62">
        <w:rPr>
          <w:iCs/>
        </w:rPr>
        <w:t>risked dampening</w:t>
      </w:r>
      <w:r>
        <w:rPr>
          <w:iCs/>
        </w:rPr>
        <w:t xml:space="preserve"> the</w:t>
      </w:r>
      <w:r w:rsidR="00AF3D68">
        <w:rPr>
          <w:iCs/>
        </w:rPr>
        <w:t xml:space="preserve"> economic</w:t>
      </w:r>
      <w:r>
        <w:rPr>
          <w:iCs/>
        </w:rPr>
        <w:t xml:space="preserve"> recovery.</w:t>
      </w:r>
      <w:r w:rsidR="00100805" w:rsidRPr="00100805">
        <w:rPr>
          <w:lang w:val="en-US"/>
        </w:rPr>
        <w:t xml:space="preserve"> </w:t>
      </w:r>
    </w:p>
    <w:p w14:paraId="41B77D45" w14:textId="17B5C6B1" w:rsidR="00286E8D" w:rsidRDefault="00100805" w:rsidP="004138ED">
      <w:pPr>
        <w:rPr>
          <w:lang w:val="en-US"/>
        </w:rPr>
      </w:pPr>
      <w:r>
        <w:rPr>
          <w:lang w:val="en-US"/>
        </w:rPr>
        <w:t xml:space="preserve">Changes </w:t>
      </w:r>
      <w:r w:rsidR="0040622B">
        <w:rPr>
          <w:lang w:val="en-US"/>
        </w:rPr>
        <w:t xml:space="preserve">were </w:t>
      </w:r>
      <w:r>
        <w:rPr>
          <w:lang w:val="en-US"/>
        </w:rPr>
        <w:t xml:space="preserve">made to JobKeeper </w:t>
      </w:r>
      <w:r w:rsidR="004672C4">
        <w:rPr>
          <w:lang w:val="en-US"/>
        </w:rPr>
        <w:t xml:space="preserve">beyond the first </w:t>
      </w:r>
      <w:r w:rsidR="009C36E8">
        <w:rPr>
          <w:lang w:val="en-US"/>
        </w:rPr>
        <w:t>six</w:t>
      </w:r>
      <w:r w:rsidR="004672C4">
        <w:rPr>
          <w:lang w:val="en-US"/>
        </w:rPr>
        <w:t xml:space="preserve"> months </w:t>
      </w:r>
      <w:r>
        <w:rPr>
          <w:lang w:val="en-US"/>
        </w:rPr>
        <w:t xml:space="preserve">as a result of the review. </w:t>
      </w:r>
      <w:r w:rsidR="00A2483F">
        <w:rPr>
          <w:lang w:val="en-US"/>
        </w:rPr>
        <w:t>On 21</w:t>
      </w:r>
      <w:r w:rsidR="00D67954">
        <w:rPr>
          <w:lang w:val="en-US"/>
        </w:rPr>
        <w:t> </w:t>
      </w:r>
      <w:r w:rsidR="00A2483F">
        <w:rPr>
          <w:lang w:val="en-US"/>
        </w:rPr>
        <w:t>July</w:t>
      </w:r>
      <w:r w:rsidR="00D67954">
        <w:rPr>
          <w:lang w:val="en-US"/>
        </w:rPr>
        <w:t> </w:t>
      </w:r>
      <w:r w:rsidR="00A2483F">
        <w:rPr>
          <w:lang w:val="en-US"/>
        </w:rPr>
        <w:t>2020</w:t>
      </w:r>
      <w:r w:rsidR="00AB5B35">
        <w:rPr>
          <w:rStyle w:val="FootnoteReference"/>
          <w:lang w:val="en-US"/>
        </w:rPr>
        <w:footnoteReference w:id="11"/>
      </w:r>
      <w:r w:rsidR="00A2483F">
        <w:rPr>
          <w:lang w:val="en-US"/>
        </w:rPr>
        <w:t>, t</w:t>
      </w:r>
      <w:r w:rsidRPr="00100805">
        <w:rPr>
          <w:lang w:val="en-US"/>
        </w:rPr>
        <w:t xml:space="preserve">he Government announced an extension of JobKeeper for a further </w:t>
      </w:r>
      <w:r w:rsidR="009C36E8">
        <w:rPr>
          <w:lang w:val="en-US"/>
        </w:rPr>
        <w:t>six</w:t>
      </w:r>
      <w:r w:rsidR="00565847" w:rsidRPr="00100805">
        <w:rPr>
          <w:lang w:val="en-US"/>
        </w:rPr>
        <w:t xml:space="preserve"> </w:t>
      </w:r>
      <w:r w:rsidRPr="00100805">
        <w:rPr>
          <w:lang w:val="en-US"/>
        </w:rPr>
        <w:t>months until 28</w:t>
      </w:r>
      <w:r w:rsidR="00D67954">
        <w:rPr>
          <w:lang w:val="en-US"/>
        </w:rPr>
        <w:t> </w:t>
      </w:r>
      <w:r w:rsidRPr="00100805">
        <w:rPr>
          <w:lang w:val="en-US"/>
        </w:rPr>
        <w:t xml:space="preserve">March 2021, with the payment tapered and </w:t>
      </w:r>
      <w:r w:rsidRPr="004138ED">
        <w:t>targeted</w:t>
      </w:r>
      <w:r w:rsidRPr="00100805">
        <w:rPr>
          <w:lang w:val="en-US"/>
        </w:rPr>
        <w:t xml:space="preserve"> to those businesses that continued to be most significantly affected by the economic downturn. </w:t>
      </w:r>
      <w:r w:rsidR="00286E8D" w:rsidRPr="00100805">
        <w:rPr>
          <w:lang w:val="en-US"/>
        </w:rPr>
        <w:t>A two</w:t>
      </w:r>
      <w:r w:rsidR="0038520A">
        <w:rPr>
          <w:lang w:val="en-US"/>
        </w:rPr>
        <w:noBreakHyphen/>
      </w:r>
      <w:r w:rsidR="00286E8D" w:rsidRPr="00100805">
        <w:rPr>
          <w:lang w:val="en-US"/>
        </w:rPr>
        <w:t>tiered payment was also introduced to better align the payment with the hours worked by employees and eligible business participants.</w:t>
      </w:r>
    </w:p>
    <w:p w14:paraId="68F3413E" w14:textId="7B4DB677" w:rsidR="00A87806" w:rsidRDefault="00100805" w:rsidP="006E2C94">
      <w:pPr>
        <w:rPr>
          <w:lang w:val="en-US"/>
        </w:rPr>
      </w:pPr>
      <w:r w:rsidRPr="00100805">
        <w:rPr>
          <w:lang w:val="en-US"/>
        </w:rPr>
        <w:t xml:space="preserve">To be eligible for </w:t>
      </w:r>
      <w:r w:rsidRPr="004138ED">
        <w:t>JobKeeper</w:t>
      </w:r>
      <w:r w:rsidRPr="00100805">
        <w:rPr>
          <w:lang w:val="en-US"/>
        </w:rPr>
        <w:t xml:space="preserve"> under the extension, businesses and not</w:t>
      </w:r>
      <w:r w:rsidR="0038520A">
        <w:rPr>
          <w:lang w:val="en-US"/>
        </w:rPr>
        <w:noBreakHyphen/>
      </w:r>
      <w:r w:rsidRPr="00100805">
        <w:rPr>
          <w:lang w:val="en-US"/>
        </w:rPr>
        <w:t>for</w:t>
      </w:r>
      <w:r w:rsidR="0038520A">
        <w:rPr>
          <w:lang w:val="en-US"/>
        </w:rPr>
        <w:noBreakHyphen/>
      </w:r>
      <w:r w:rsidRPr="00100805">
        <w:rPr>
          <w:lang w:val="en-US"/>
        </w:rPr>
        <w:t xml:space="preserve">profits needed to demonstrate that they had experienced an actual decline (as opposed to a prospective decline) in turnover </w:t>
      </w:r>
      <w:r w:rsidR="00D63B6E">
        <w:rPr>
          <w:lang w:val="en-US"/>
        </w:rPr>
        <w:t>in the previous quarter</w:t>
      </w:r>
      <w:r w:rsidR="00AA6123">
        <w:rPr>
          <w:lang w:val="en-US"/>
        </w:rPr>
        <w:t>.</w:t>
      </w:r>
    </w:p>
    <w:p w14:paraId="59DA8A3A" w14:textId="3973C4B3" w:rsidR="00C96684" w:rsidRPr="002C73BA" w:rsidRDefault="00C96684" w:rsidP="00B461F9">
      <w:pPr>
        <w:pStyle w:val="Heading2"/>
        <w:rPr>
          <w:rFonts w:ascii="Arial" w:hAnsi="Arial" w:cs="Times New Roman"/>
          <w:sz w:val="28"/>
          <w:szCs w:val="20"/>
          <w:lang w:val="en-US"/>
        </w:rPr>
      </w:pPr>
      <w:bookmarkStart w:id="89" w:name="_Toc84842619"/>
      <w:r w:rsidRPr="002C73BA">
        <w:rPr>
          <w:lang w:val="en-US"/>
        </w:rPr>
        <w:t>Administration of the program and compliance activity</w:t>
      </w:r>
      <w:bookmarkEnd w:id="89"/>
    </w:p>
    <w:p w14:paraId="74787A5B" w14:textId="459BD147" w:rsidR="00C96684" w:rsidRPr="002C73BA" w:rsidRDefault="00C96684" w:rsidP="00082AA9">
      <w:r>
        <w:t xml:space="preserve">JobKeeper </w:t>
      </w:r>
      <w:r w:rsidRPr="002C73BA">
        <w:t xml:space="preserve">was designed to deliver support quickly and at scale, </w:t>
      </w:r>
      <w:r w:rsidR="00171FB3">
        <w:t>but with</w:t>
      </w:r>
      <w:r w:rsidRPr="002C73BA">
        <w:t xml:space="preserve"> integrity</w:t>
      </w:r>
      <w:r w:rsidR="00171FB3">
        <w:t xml:space="preserve">. </w:t>
      </w:r>
      <w:r>
        <w:t xml:space="preserve">Integrity features of the </w:t>
      </w:r>
      <w:r w:rsidRPr="002C73BA">
        <w:t xml:space="preserve">JobKeeper policy design and legislative framework </w:t>
      </w:r>
      <w:r>
        <w:t>included</w:t>
      </w:r>
      <w:r w:rsidRPr="002C73BA">
        <w:t xml:space="preserve"> eligibility rules, payments in arrears, reporting and record keeping obligations and </w:t>
      </w:r>
      <w:r>
        <w:t xml:space="preserve">the use of </w:t>
      </w:r>
      <w:r w:rsidRPr="002C73BA">
        <w:t xml:space="preserve">existing administrative, civil and criminal penalties. </w:t>
      </w:r>
      <w:r>
        <w:t xml:space="preserve">By drawing </w:t>
      </w:r>
      <w:r w:rsidR="006745A4">
        <w:t>on</w:t>
      </w:r>
      <w:r>
        <w:t xml:space="preserve"> existing tax frameworks and concepts, the risks involved in designing the payment in a short period of time were minimised.</w:t>
      </w:r>
    </w:p>
    <w:p w14:paraId="4CFAF975" w14:textId="67798F43" w:rsidR="00C96684" w:rsidRPr="002C73BA" w:rsidRDefault="00C96684" w:rsidP="00C96684">
      <w:pPr>
        <w:keepNext/>
      </w:pPr>
      <w:r>
        <w:lastRenderedPageBreak/>
        <w:t xml:space="preserve">In December 2020, the ANAO published an audit on the </w:t>
      </w:r>
      <w:r w:rsidRPr="00065239">
        <w:rPr>
          <w:i/>
        </w:rPr>
        <w:t>Australian Taxation Office</w:t>
      </w:r>
      <w:r w:rsidR="0038520A">
        <w:rPr>
          <w:i/>
        </w:rPr>
        <w:t>’</w:t>
      </w:r>
      <w:r w:rsidRPr="00065239">
        <w:rPr>
          <w:i/>
        </w:rPr>
        <w:t xml:space="preserve">s </w:t>
      </w:r>
      <w:r w:rsidR="00FD66DC" w:rsidRPr="00065239">
        <w:rPr>
          <w:i/>
          <w:iCs/>
        </w:rPr>
        <w:t xml:space="preserve">(ATO) </w:t>
      </w:r>
      <w:r w:rsidRPr="00065239">
        <w:rPr>
          <w:i/>
        </w:rPr>
        <w:t>Management of Risks Related to the Rapid Implementation of COVID</w:t>
      </w:r>
      <w:r w:rsidR="0038520A">
        <w:rPr>
          <w:i/>
        </w:rPr>
        <w:noBreakHyphen/>
      </w:r>
      <w:r w:rsidRPr="00065239">
        <w:rPr>
          <w:i/>
        </w:rPr>
        <w:t>19 Economic Response Measures</w:t>
      </w:r>
      <w:r>
        <w:t>.</w:t>
      </w:r>
      <w:r w:rsidR="000E6EFD">
        <w:rPr>
          <w:rStyle w:val="FootnoteReference"/>
          <w:i/>
          <w:iCs/>
        </w:rPr>
        <w:footnoteReference w:id="12"/>
      </w:r>
      <w:r>
        <w:t xml:space="preserve"> The ANAO found that the ATO had been effective in managing risks related to the rapid implementation of COVID</w:t>
      </w:r>
      <w:r w:rsidR="0038520A">
        <w:noBreakHyphen/>
      </w:r>
      <w:r>
        <w:t xml:space="preserve">19 economic response measures and made no recommendations. </w:t>
      </w:r>
      <w:r w:rsidRPr="002C73BA">
        <w:t>The ATO conducted comprehensive assurance and compliance activities at both the pre</w:t>
      </w:r>
      <w:r w:rsidR="0038520A">
        <w:noBreakHyphen/>
      </w:r>
      <w:r w:rsidRPr="002C73BA">
        <w:t xml:space="preserve"> and post</w:t>
      </w:r>
      <w:r w:rsidR="0038520A">
        <w:noBreakHyphen/>
      </w:r>
      <w:r w:rsidRPr="002C73BA">
        <w:t xml:space="preserve">payment stages using sophisticated data analytics, risk models and systems to ensure they could identify and </w:t>
      </w:r>
      <w:r w:rsidR="00D14D1B">
        <w:t>manage</w:t>
      </w:r>
      <w:r w:rsidRPr="002C73BA">
        <w:t xml:space="preserve"> those who </w:t>
      </w:r>
      <w:r w:rsidR="006745A4">
        <w:t>were</w:t>
      </w:r>
      <w:r w:rsidR="006745A4" w:rsidRPr="002C73BA">
        <w:t xml:space="preserve"> </w:t>
      </w:r>
      <w:r w:rsidRPr="002C73BA">
        <w:t xml:space="preserve">not eligible for JobKeeper. </w:t>
      </w:r>
    </w:p>
    <w:p w14:paraId="77E1216C" w14:textId="77777777" w:rsidR="00DA2779" w:rsidRPr="00082AA9" w:rsidRDefault="00DA2779" w:rsidP="00DA2779">
      <w:pPr>
        <w:pStyle w:val="Heading3"/>
      </w:pPr>
      <w:r w:rsidRPr="002C73BA">
        <w:t xml:space="preserve">Projected turnover decline </w:t>
      </w:r>
    </w:p>
    <w:p w14:paraId="12CC1FED" w14:textId="77777777" w:rsidR="00DA2779" w:rsidRPr="002C73BA" w:rsidRDefault="00DA2779" w:rsidP="00DA2779">
      <w:pPr>
        <w:keepNext/>
        <w:rPr>
          <w:rFonts w:asciiTheme="minorHAnsi" w:hAnsiTheme="minorHAnsi"/>
        </w:rPr>
      </w:pPr>
      <w:r w:rsidRPr="002C73BA">
        <w:t>The ATO has established that the vast majority of JobKeeper businesses reasonably estimated their projected decline in turnover. This is true of those businesses that experienced the expected decline as well as those that did not.</w:t>
      </w:r>
    </w:p>
    <w:p w14:paraId="3BF18BF5" w14:textId="7E73A6BE" w:rsidR="00DA2779" w:rsidRPr="002C73BA" w:rsidRDefault="00DA2779" w:rsidP="00DA2779">
      <w:pPr>
        <w:keepNext/>
      </w:pPr>
      <w:r w:rsidRPr="002C73BA">
        <w:t xml:space="preserve">The ATO has undertaken </w:t>
      </w:r>
      <w:r w:rsidRPr="002C73BA" w:rsidDel="00877993">
        <w:t>1,</w:t>
      </w:r>
      <w:r>
        <w:t>600</w:t>
      </w:r>
      <w:r w:rsidRPr="002C73BA">
        <w:t xml:space="preserve"> compliance checks to assess </w:t>
      </w:r>
      <w:r w:rsidR="00FA6BA4">
        <w:t>specifically whether</w:t>
      </w:r>
      <w:r w:rsidRPr="002C73BA">
        <w:t xml:space="preserve"> business projections were reasonable, finding that in 95 per cent of cases they were, </w:t>
      </w:r>
      <w:r>
        <w:t>considering</w:t>
      </w:r>
      <w:r w:rsidRPr="002C73BA">
        <w:t xml:space="preserve"> the circumstances at the time. This includes cases where businesses ultimately did not record a decline in turnover of 30</w:t>
      </w:r>
      <w:r>
        <w:t> </w:t>
      </w:r>
      <w:r w:rsidRPr="002C73BA">
        <w:t>per</w:t>
      </w:r>
      <w:r w:rsidR="00993FE3">
        <w:t> </w:t>
      </w:r>
      <w:r w:rsidRPr="002C73BA">
        <w:t xml:space="preserve">cent. </w:t>
      </w:r>
    </w:p>
    <w:p w14:paraId="3C930D12" w14:textId="77777777" w:rsidR="00DA2779" w:rsidRPr="0070780B" w:rsidRDefault="00DA2779" w:rsidP="00DA2779">
      <w:r w:rsidRPr="002C73BA">
        <w:t xml:space="preserve">The ATO reviewed 480 </w:t>
      </w:r>
      <w:r>
        <w:t>p</w:t>
      </w:r>
      <w:r w:rsidRPr="002C73BA">
        <w:t xml:space="preserve">ublic and </w:t>
      </w:r>
      <w:r>
        <w:t>m</w:t>
      </w:r>
      <w:r w:rsidRPr="002C73BA">
        <w:t>ultinational businesses that were identified as having some inconsistencies. </w:t>
      </w:r>
      <w:r>
        <w:t>Most</w:t>
      </w:r>
      <w:r w:rsidRPr="002C73BA">
        <w:t xml:space="preserve"> </w:t>
      </w:r>
      <w:r>
        <w:t>p</w:t>
      </w:r>
      <w:r w:rsidRPr="002C73BA">
        <w:t xml:space="preserve">ublic and </w:t>
      </w:r>
      <w:r>
        <w:t>m</w:t>
      </w:r>
      <w:r w:rsidRPr="002C73BA">
        <w:t xml:space="preserve">ultinational businesses that the ATO reviewed were able to satisfy the JobKeeper eligibility criteria. The ATO reviewed 190 </w:t>
      </w:r>
      <w:r>
        <w:t>s</w:t>
      </w:r>
      <w:r w:rsidRPr="002C73BA">
        <w:t xml:space="preserve">ignificant </w:t>
      </w:r>
      <w:r>
        <w:t>g</w:t>
      </w:r>
      <w:r w:rsidRPr="002C73BA">
        <w:t xml:space="preserve">lobal </w:t>
      </w:r>
      <w:r>
        <w:t>e</w:t>
      </w:r>
      <w:r w:rsidRPr="002C73BA">
        <w:t>ntities, 20</w:t>
      </w:r>
      <w:r>
        <w:t> </w:t>
      </w:r>
      <w:r w:rsidRPr="002C73BA">
        <w:t xml:space="preserve">of which </w:t>
      </w:r>
      <w:r>
        <w:t>voluntarily</w:t>
      </w:r>
      <w:r w:rsidRPr="002C73BA">
        <w:t xml:space="preserve"> withdrew from JobKeeper as a result.</w:t>
      </w:r>
    </w:p>
    <w:p w14:paraId="274A2331" w14:textId="092F3E05" w:rsidR="00DA2779" w:rsidRPr="00430856" w:rsidDel="00DA2779" w:rsidRDefault="00DA2779" w:rsidP="00430856">
      <w:pPr>
        <w:pStyle w:val="Heading3"/>
      </w:pPr>
      <w:r w:rsidRPr="00430856">
        <w:t xml:space="preserve">Compliance activity </w:t>
      </w:r>
    </w:p>
    <w:p w14:paraId="5340D5D8" w14:textId="0F255D2E" w:rsidR="00C96684" w:rsidRPr="002C73BA" w:rsidRDefault="00C96684" w:rsidP="00C96684">
      <w:pPr>
        <w:keepNext/>
      </w:pPr>
      <w:r w:rsidRPr="002C73BA">
        <w:t xml:space="preserve">To date the ATO compliance activity for </w:t>
      </w:r>
      <w:r w:rsidR="00DA2779">
        <w:t>all phases</w:t>
      </w:r>
      <w:r w:rsidRPr="002C73BA">
        <w:t xml:space="preserve"> of JobKeeper has resulted in: </w:t>
      </w:r>
    </w:p>
    <w:p w14:paraId="79589F39" w14:textId="56A8D5F9" w:rsidR="00C96684" w:rsidRPr="002C73BA" w:rsidRDefault="0061772B" w:rsidP="00C96684">
      <w:pPr>
        <w:pStyle w:val="Bullet"/>
      </w:pPr>
      <w:r>
        <w:t>Compliance r</w:t>
      </w:r>
      <w:r w:rsidR="009F2B19">
        <w:t xml:space="preserve">eviews of </w:t>
      </w:r>
      <w:r w:rsidR="00C96684" w:rsidRPr="002C73BA">
        <w:t>114,000 entities</w:t>
      </w:r>
      <w:r w:rsidR="00ED48D3">
        <w:t xml:space="preserve"> that metrics identified as highe</w:t>
      </w:r>
      <w:r w:rsidR="006E62C9">
        <w:t>st</w:t>
      </w:r>
      <w:r w:rsidR="00ED48D3">
        <w:t xml:space="preserve"> risk</w:t>
      </w:r>
      <w:r w:rsidR="009F2B19">
        <w:t>,</w:t>
      </w:r>
      <w:r w:rsidR="00C96684" w:rsidRPr="002C73BA">
        <w:t xml:space="preserve"> </w:t>
      </w:r>
      <w:r w:rsidR="00637EB7">
        <w:t xml:space="preserve">which accounted for </w:t>
      </w:r>
      <w:r w:rsidR="00637EB7" w:rsidRPr="002C73BA">
        <w:t>$12.5</w:t>
      </w:r>
      <w:r w:rsidR="00665441">
        <w:t> </w:t>
      </w:r>
      <w:r w:rsidR="00637EB7" w:rsidRPr="002C73BA">
        <w:t xml:space="preserve">billion </w:t>
      </w:r>
      <w:r w:rsidR="00637EB7">
        <w:t>of JobKeeper payments</w:t>
      </w:r>
    </w:p>
    <w:p w14:paraId="0D1E8F37" w14:textId="407921AE" w:rsidR="00DB198C" w:rsidRDefault="00DB198C" w:rsidP="00DB198C">
      <w:pPr>
        <w:pStyle w:val="Dash"/>
      </w:pPr>
      <w:r w:rsidRPr="002C73BA">
        <w:t>$7</w:t>
      </w:r>
      <w:r>
        <w:t>44</w:t>
      </w:r>
      <w:r w:rsidRPr="002C73BA">
        <w:t xml:space="preserve"> million in </w:t>
      </w:r>
      <w:r>
        <w:t>ineligible claims</w:t>
      </w:r>
      <w:r w:rsidR="00E62447">
        <w:t xml:space="preserve"> were</w:t>
      </w:r>
      <w:r>
        <w:t xml:space="preserve"> identified</w:t>
      </w:r>
    </w:p>
    <w:p w14:paraId="47ADDAF1" w14:textId="565D991F" w:rsidR="008E58F4" w:rsidRDefault="002C2A79" w:rsidP="008E58F4">
      <w:pPr>
        <w:pStyle w:val="Dash"/>
      </w:pPr>
      <w:r>
        <w:t xml:space="preserve">Of which </w:t>
      </w:r>
      <w:r w:rsidR="008E58F4">
        <w:t xml:space="preserve">$274 million </w:t>
      </w:r>
      <w:r w:rsidR="00DB198C">
        <w:t>w</w:t>
      </w:r>
      <w:r w:rsidR="00E62447">
        <w:t>ere</w:t>
      </w:r>
      <w:r w:rsidR="00DB198C">
        <w:t xml:space="preserve"> </w:t>
      </w:r>
      <w:r w:rsidR="008E58F4">
        <w:t>stopped prior to payment</w:t>
      </w:r>
    </w:p>
    <w:p w14:paraId="7A3FEC56" w14:textId="158D8E06" w:rsidR="00C96684" w:rsidRPr="002C73BA" w:rsidRDefault="00DB198C" w:rsidP="00C96684">
      <w:pPr>
        <w:pStyle w:val="Bullet"/>
      </w:pPr>
      <w:r>
        <w:t xml:space="preserve">Of the </w:t>
      </w:r>
      <w:r w:rsidR="002C2A79">
        <w:t xml:space="preserve">remaining </w:t>
      </w:r>
      <w:r w:rsidR="00C96684" w:rsidRPr="002C73BA">
        <w:t xml:space="preserve">$470 million in </w:t>
      </w:r>
      <w:r w:rsidR="007E51CA">
        <w:t>ineligible overpayments</w:t>
      </w:r>
      <w:r w:rsidR="00C96684" w:rsidRPr="002C73BA">
        <w:t xml:space="preserve"> </w:t>
      </w:r>
      <w:r w:rsidR="00DA1D23" w:rsidRPr="002C73BA">
        <w:t>identified</w:t>
      </w:r>
    </w:p>
    <w:p w14:paraId="015A9209" w14:textId="71F97336" w:rsidR="00C96684" w:rsidRPr="002C73BA" w:rsidRDefault="00C96684" w:rsidP="00C96684">
      <w:pPr>
        <w:pStyle w:val="Dash"/>
      </w:pPr>
      <w:r w:rsidRPr="002C73BA">
        <w:t xml:space="preserve">$194 million </w:t>
      </w:r>
      <w:r w:rsidR="00DA1D23" w:rsidRPr="002C73BA">
        <w:t>ha</w:t>
      </w:r>
      <w:r w:rsidR="00DA1D23">
        <w:t>s</w:t>
      </w:r>
      <w:r w:rsidR="00DA1D23" w:rsidRPr="002C73BA">
        <w:t xml:space="preserve"> </w:t>
      </w:r>
      <w:r w:rsidRPr="002C73BA">
        <w:t>been recovered</w:t>
      </w:r>
      <w:r w:rsidR="00A9500B">
        <w:t xml:space="preserve"> </w:t>
      </w:r>
    </w:p>
    <w:p w14:paraId="0AA1213D" w14:textId="59B15989" w:rsidR="00C96684" w:rsidRPr="002C73BA" w:rsidRDefault="00C96684" w:rsidP="00C96684">
      <w:pPr>
        <w:pStyle w:val="Dash"/>
      </w:pPr>
      <w:r w:rsidRPr="002C73BA">
        <w:t xml:space="preserve">$89 million </w:t>
      </w:r>
      <w:r w:rsidR="00DB198C">
        <w:t xml:space="preserve">is </w:t>
      </w:r>
      <w:r w:rsidRPr="002C73BA">
        <w:t>being pursued, with $6 million in dispute</w:t>
      </w:r>
      <w:r w:rsidR="00A9500B">
        <w:t xml:space="preserve"> </w:t>
      </w:r>
      <w:r w:rsidRPr="002C73BA">
        <w:t xml:space="preserve"> </w:t>
      </w:r>
    </w:p>
    <w:p w14:paraId="6284DCF4" w14:textId="79CF35AF" w:rsidR="00C96684" w:rsidRDefault="00C96684" w:rsidP="00C96684">
      <w:pPr>
        <w:pStyle w:val="Bullet"/>
      </w:pPr>
      <w:r w:rsidRPr="002C73BA">
        <w:t>The ATO ha</w:t>
      </w:r>
      <w:r w:rsidR="00D14D1B">
        <w:t>s</w:t>
      </w:r>
      <w:r w:rsidRPr="002C73BA">
        <w:t xml:space="preserve"> determined not to pursue $180 million</w:t>
      </w:r>
      <w:r>
        <w:t xml:space="preserve"> in overpayments</w:t>
      </w:r>
      <w:r w:rsidRPr="002C73BA">
        <w:t xml:space="preserve">, mostly from small businesses, where there have been honest mistakes, employers claimed </w:t>
      </w:r>
      <w:r w:rsidR="00C40277">
        <w:t>the payments</w:t>
      </w:r>
      <w:r w:rsidR="00C40277" w:rsidRPr="002C73BA">
        <w:t xml:space="preserve"> </w:t>
      </w:r>
      <w:r w:rsidRPr="002C73BA">
        <w:t xml:space="preserve">in good faith and </w:t>
      </w:r>
      <w:r>
        <w:t xml:space="preserve">have already </w:t>
      </w:r>
      <w:r w:rsidRPr="002C73BA">
        <w:t xml:space="preserve">passed </w:t>
      </w:r>
      <w:r w:rsidR="00C40277">
        <w:t>them</w:t>
      </w:r>
      <w:r w:rsidR="00C40277" w:rsidRPr="002C73BA">
        <w:t xml:space="preserve"> </w:t>
      </w:r>
      <w:r w:rsidRPr="002C73BA">
        <w:t>on to their employees</w:t>
      </w:r>
      <w:r w:rsidR="0027154E">
        <w:t>.</w:t>
      </w:r>
    </w:p>
    <w:p w14:paraId="1CB36D1B" w14:textId="17BE4BB8" w:rsidR="00DB198C" w:rsidRPr="002C73BA" w:rsidRDefault="00DB198C" w:rsidP="00DB198C">
      <w:pPr>
        <w:pStyle w:val="Bullet"/>
      </w:pPr>
      <w:r>
        <w:t>As a result of the 114,000 reviews a further $767 million was prevented in future payments to the ineligible businesses</w:t>
      </w:r>
      <w:r w:rsidR="0027154E">
        <w:t>.</w:t>
      </w:r>
    </w:p>
    <w:p w14:paraId="0D767EC2" w14:textId="77777777" w:rsidR="00DA2779" w:rsidRDefault="00DA2779" w:rsidP="00430856">
      <w:pPr>
        <w:pStyle w:val="Bullet"/>
        <w:numPr>
          <w:ilvl w:val="0"/>
          <w:numId w:val="0"/>
        </w:numPr>
        <w:rPr>
          <w:lang w:val="en-US"/>
        </w:rPr>
      </w:pPr>
      <w:r w:rsidRPr="002C73BA">
        <w:t>The ATO is continuing to implement its compliance program, with ongoing reviews of applications that raise potentially fraudulent behaviour.</w:t>
      </w:r>
    </w:p>
    <w:p w14:paraId="7437D7BD" w14:textId="04527AA9" w:rsidR="000A0C97" w:rsidRDefault="000A0C97" w:rsidP="00F05683">
      <w:pPr>
        <w:spacing w:after="200"/>
        <w:rPr>
          <w:lang w:val="en-US"/>
        </w:rPr>
      </w:pPr>
      <w:r>
        <w:rPr>
          <w:lang w:val="en-US"/>
        </w:rPr>
        <w:br w:type="page"/>
      </w:r>
    </w:p>
    <w:p w14:paraId="33D412FD" w14:textId="5C1A4A9C" w:rsidR="00F012EA" w:rsidRDefault="00655FD9" w:rsidP="00FD63D7">
      <w:pPr>
        <w:pStyle w:val="Heading1"/>
      </w:pPr>
      <w:bookmarkStart w:id="90" w:name="_Toc83036919"/>
      <w:bookmarkStart w:id="91" w:name="_Toc83215051"/>
      <w:bookmarkStart w:id="92" w:name="_Toc84842620"/>
      <w:r>
        <w:lastRenderedPageBreak/>
        <w:t xml:space="preserve">2. </w:t>
      </w:r>
      <w:r w:rsidR="002C73BA">
        <w:t xml:space="preserve">JobKeeper </w:t>
      </w:r>
      <w:bookmarkEnd w:id="90"/>
      <w:bookmarkEnd w:id="91"/>
      <w:r>
        <w:t>p</w:t>
      </w:r>
      <w:r w:rsidR="002C73BA">
        <w:t xml:space="preserve">rogram </w:t>
      </w:r>
      <w:r>
        <w:t>d</w:t>
      </w:r>
      <w:r w:rsidR="002C73BA">
        <w:t>ata</w:t>
      </w:r>
      <w:bookmarkEnd w:id="92"/>
      <w:r w:rsidR="002C73BA">
        <w:t xml:space="preserve"> </w:t>
      </w: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1"/>
      </w:tblGrid>
      <w:tr w:rsidR="00F870B8" w14:paraId="47EAB759" w14:textId="77777777" w:rsidTr="00F870B8">
        <w:trPr>
          <w:trHeight w:val="4650"/>
        </w:trPr>
        <w:tc>
          <w:tcPr>
            <w:tcW w:w="5000" w:type="pct"/>
            <w:shd w:val="clear" w:color="auto" w:fill="EAEAEA" w:themeFill="background2"/>
          </w:tcPr>
          <w:p w14:paraId="69E94175" w14:textId="77777777" w:rsidR="00F870B8" w:rsidRPr="000553FE" w:rsidRDefault="00F870B8" w:rsidP="00A94382">
            <w:pPr>
              <w:pStyle w:val="BoxHeading"/>
              <w:rPr>
                <w:b w:val="0"/>
              </w:rPr>
            </w:pPr>
            <w:bookmarkStart w:id="93" w:name="_Toc83324951"/>
            <w:bookmarkStart w:id="94" w:name="_Toc83404410"/>
            <w:bookmarkStart w:id="95" w:name="_Toc83815073"/>
            <w:bookmarkStart w:id="96" w:name="_Toc84099843"/>
            <w:bookmarkStart w:id="97" w:name="_Toc84431331"/>
            <w:bookmarkStart w:id="98" w:name="_Toc84431659"/>
            <w:bookmarkStart w:id="99" w:name="_Toc84607842"/>
            <w:bookmarkStart w:id="100" w:name="_Toc84774125"/>
            <w:bookmarkStart w:id="101" w:name="_Toc84842564"/>
            <w:r>
              <w:t>Summary</w:t>
            </w:r>
            <w:bookmarkEnd w:id="93"/>
            <w:bookmarkEnd w:id="94"/>
            <w:bookmarkEnd w:id="95"/>
            <w:bookmarkEnd w:id="96"/>
            <w:bookmarkEnd w:id="97"/>
            <w:bookmarkEnd w:id="98"/>
            <w:bookmarkEnd w:id="99"/>
            <w:bookmarkEnd w:id="100"/>
            <w:bookmarkEnd w:id="101"/>
          </w:p>
          <w:p w14:paraId="348125A2" w14:textId="5569370E" w:rsidR="00F870B8" w:rsidRPr="0083592A" w:rsidRDefault="00F870B8" w:rsidP="0083592A">
            <w:pPr>
              <w:jc w:val="left"/>
              <w:rPr>
                <w:sz w:val="24"/>
                <w:szCs w:val="22"/>
                <w:lang w:val="en-US"/>
              </w:rPr>
            </w:pPr>
            <w:r w:rsidRPr="0083592A">
              <w:rPr>
                <w:sz w:val="22"/>
                <w:szCs w:val="22"/>
                <w:lang w:val="en-US"/>
              </w:rPr>
              <w:t xml:space="preserve">During </w:t>
            </w:r>
            <w:r w:rsidR="00152529" w:rsidRPr="0083592A">
              <w:rPr>
                <w:sz w:val="22"/>
                <w:szCs w:val="22"/>
                <w:lang w:val="en-US"/>
              </w:rPr>
              <w:t>its</w:t>
            </w:r>
            <w:r w:rsidRPr="0083592A">
              <w:rPr>
                <w:sz w:val="22"/>
                <w:szCs w:val="22"/>
                <w:lang w:val="en-US"/>
              </w:rPr>
              <w:t xml:space="preserve"> first phase, JobKeeper supported around one</w:t>
            </w:r>
            <w:r w:rsidR="0038520A">
              <w:rPr>
                <w:sz w:val="22"/>
                <w:szCs w:val="22"/>
                <w:lang w:val="en-US"/>
              </w:rPr>
              <w:noBreakHyphen/>
            </w:r>
            <w:r w:rsidRPr="0083592A">
              <w:rPr>
                <w:sz w:val="22"/>
                <w:szCs w:val="22"/>
                <w:lang w:val="en-US"/>
              </w:rPr>
              <w:t xml:space="preserve">third of Australian businesses and </w:t>
            </w:r>
            <w:r w:rsidR="00440407">
              <w:rPr>
                <w:sz w:val="22"/>
                <w:szCs w:val="22"/>
                <w:lang w:val="en-US"/>
              </w:rPr>
              <w:t>jobs</w:t>
            </w:r>
            <w:r w:rsidRPr="0083592A">
              <w:rPr>
                <w:sz w:val="22"/>
                <w:szCs w:val="22"/>
                <w:lang w:val="en-US"/>
              </w:rPr>
              <w:t xml:space="preserve">. </w:t>
            </w:r>
          </w:p>
          <w:p w14:paraId="598D828E" w14:textId="1DF299B5" w:rsidR="00F870B8" w:rsidRPr="0083592A" w:rsidRDefault="00BE0EA4" w:rsidP="0083592A">
            <w:pPr>
              <w:jc w:val="left"/>
              <w:rPr>
                <w:sz w:val="22"/>
                <w:szCs w:val="22"/>
                <w:lang w:val="en-US"/>
              </w:rPr>
            </w:pPr>
            <w:r w:rsidRPr="0083592A">
              <w:rPr>
                <w:sz w:val="22"/>
                <w:szCs w:val="22"/>
                <w:lang w:val="en-US"/>
              </w:rPr>
              <w:t xml:space="preserve">JobKeeper </w:t>
            </w:r>
            <w:r w:rsidR="00F870B8" w:rsidRPr="0083592A">
              <w:rPr>
                <w:sz w:val="22"/>
                <w:szCs w:val="22"/>
                <w:lang w:val="en-US"/>
              </w:rPr>
              <w:t xml:space="preserve">supported a wide range of entities and individuals across Australia: </w:t>
            </w:r>
          </w:p>
          <w:p w14:paraId="24D65F19" w14:textId="7B3DE6CB" w:rsidR="00F870B8" w:rsidRPr="0083592A" w:rsidRDefault="00F870B8" w:rsidP="0083592A">
            <w:pPr>
              <w:pStyle w:val="Bullet"/>
              <w:jc w:val="left"/>
              <w:rPr>
                <w:sz w:val="22"/>
                <w:szCs w:val="22"/>
              </w:rPr>
            </w:pPr>
            <w:r w:rsidRPr="00BD2247">
              <w:rPr>
                <w:sz w:val="22"/>
                <w:szCs w:val="22"/>
              </w:rPr>
              <w:t>Small</w:t>
            </w:r>
            <w:r w:rsidRPr="00D968B0">
              <w:rPr>
                <w:lang w:val="en-US"/>
              </w:rPr>
              <w:t xml:space="preserve"> </w:t>
            </w:r>
            <w:r w:rsidRPr="0083592A">
              <w:rPr>
                <w:sz w:val="22"/>
                <w:szCs w:val="22"/>
              </w:rPr>
              <w:t>businesses with a turnover less than $</w:t>
            </w:r>
            <w:r w:rsidR="00066ED4" w:rsidRPr="0083592A">
              <w:rPr>
                <w:sz w:val="22"/>
                <w:szCs w:val="22"/>
              </w:rPr>
              <w:t>5</w:t>
            </w:r>
            <w:r w:rsidRPr="0083592A">
              <w:rPr>
                <w:sz w:val="22"/>
                <w:szCs w:val="22"/>
              </w:rPr>
              <w:t>0 million</w:t>
            </w:r>
            <w:r w:rsidR="00FF044E">
              <w:rPr>
                <w:sz w:val="22"/>
                <w:szCs w:val="22"/>
              </w:rPr>
              <w:t xml:space="preserve"> and not-for-profits</w:t>
            </w:r>
            <w:r w:rsidRPr="0083592A">
              <w:rPr>
                <w:sz w:val="22"/>
                <w:szCs w:val="22"/>
              </w:rPr>
              <w:t xml:space="preserve"> accounted for around </w:t>
            </w:r>
            <w:r w:rsidR="00FF044E">
              <w:rPr>
                <w:sz w:val="22"/>
                <w:szCs w:val="22"/>
              </w:rPr>
              <w:t>99</w:t>
            </w:r>
            <w:r w:rsidRPr="0083592A">
              <w:rPr>
                <w:sz w:val="22"/>
                <w:szCs w:val="22"/>
              </w:rPr>
              <w:t xml:space="preserve"> per cent of all entities and </w:t>
            </w:r>
            <w:r w:rsidR="008B3030">
              <w:rPr>
                <w:sz w:val="22"/>
                <w:szCs w:val="22"/>
              </w:rPr>
              <w:t>over</w:t>
            </w:r>
            <w:r w:rsidR="008B3030" w:rsidRPr="0083592A">
              <w:rPr>
                <w:sz w:val="22"/>
                <w:szCs w:val="22"/>
              </w:rPr>
              <w:t xml:space="preserve"> </w:t>
            </w:r>
            <w:r w:rsidR="00FF044E">
              <w:rPr>
                <w:sz w:val="22"/>
                <w:szCs w:val="22"/>
              </w:rPr>
              <w:t>80</w:t>
            </w:r>
            <w:r w:rsidR="00FF044E" w:rsidRPr="0083592A">
              <w:rPr>
                <w:sz w:val="22"/>
                <w:szCs w:val="22"/>
              </w:rPr>
              <w:t xml:space="preserve"> </w:t>
            </w:r>
            <w:r w:rsidRPr="0083592A">
              <w:rPr>
                <w:sz w:val="22"/>
                <w:szCs w:val="22"/>
              </w:rPr>
              <w:t xml:space="preserve">per cent of payments. </w:t>
            </w:r>
          </w:p>
          <w:p w14:paraId="4F0B0FEF" w14:textId="6C881CDD" w:rsidR="00F870B8" w:rsidRPr="0083592A" w:rsidRDefault="00F870B8" w:rsidP="0083592A">
            <w:pPr>
              <w:pStyle w:val="Bullet"/>
              <w:jc w:val="left"/>
              <w:rPr>
                <w:sz w:val="22"/>
                <w:szCs w:val="22"/>
              </w:rPr>
            </w:pPr>
            <w:r w:rsidRPr="0083592A">
              <w:rPr>
                <w:sz w:val="22"/>
                <w:szCs w:val="22"/>
              </w:rPr>
              <w:t xml:space="preserve">The largest </w:t>
            </w:r>
            <w:r w:rsidR="00C40277" w:rsidRPr="0083592A">
              <w:rPr>
                <w:sz w:val="22"/>
                <w:szCs w:val="22"/>
              </w:rPr>
              <w:t xml:space="preserve">share </w:t>
            </w:r>
            <w:r w:rsidRPr="0083592A">
              <w:rPr>
                <w:sz w:val="22"/>
                <w:szCs w:val="22"/>
              </w:rPr>
              <w:t xml:space="preserve">of JobKeeper payments were </w:t>
            </w:r>
            <w:r w:rsidR="00C40277" w:rsidRPr="0083592A">
              <w:rPr>
                <w:sz w:val="22"/>
                <w:szCs w:val="22"/>
              </w:rPr>
              <w:t xml:space="preserve">paid </w:t>
            </w:r>
            <w:r w:rsidRPr="0083592A">
              <w:rPr>
                <w:sz w:val="22"/>
                <w:szCs w:val="22"/>
              </w:rPr>
              <w:t xml:space="preserve">to large employing industries such as </w:t>
            </w:r>
            <w:r w:rsidR="00ED07D9">
              <w:rPr>
                <w:sz w:val="22"/>
                <w:szCs w:val="22"/>
              </w:rPr>
              <w:t>c</w:t>
            </w:r>
            <w:r w:rsidR="00ED07D9" w:rsidRPr="0083592A">
              <w:rPr>
                <w:sz w:val="22"/>
                <w:szCs w:val="22"/>
              </w:rPr>
              <w:t>onstruction. However, industries hit hardest by COVID</w:t>
            </w:r>
            <w:r w:rsidR="0038520A">
              <w:rPr>
                <w:sz w:val="22"/>
                <w:szCs w:val="22"/>
              </w:rPr>
              <w:noBreakHyphen/>
            </w:r>
            <w:r w:rsidR="00ED07D9" w:rsidRPr="0083592A">
              <w:rPr>
                <w:sz w:val="22"/>
                <w:szCs w:val="22"/>
              </w:rPr>
              <w:t xml:space="preserve">19 such as </w:t>
            </w:r>
            <w:r w:rsidR="00ED07D9">
              <w:rPr>
                <w:sz w:val="22"/>
                <w:szCs w:val="22"/>
              </w:rPr>
              <w:t>a</w:t>
            </w:r>
            <w:r w:rsidR="00ED07D9" w:rsidRPr="0083592A">
              <w:rPr>
                <w:sz w:val="22"/>
                <w:szCs w:val="22"/>
              </w:rPr>
              <w:t xml:space="preserve">rts and </w:t>
            </w:r>
            <w:r w:rsidR="00ED07D9">
              <w:rPr>
                <w:sz w:val="22"/>
                <w:szCs w:val="22"/>
              </w:rPr>
              <w:t>r</w:t>
            </w:r>
            <w:r w:rsidR="00ED07D9" w:rsidRPr="0083592A">
              <w:rPr>
                <w:sz w:val="22"/>
                <w:szCs w:val="22"/>
              </w:rPr>
              <w:t xml:space="preserve">ecreation </w:t>
            </w:r>
            <w:r w:rsidR="00ED07D9">
              <w:rPr>
                <w:sz w:val="22"/>
                <w:szCs w:val="22"/>
              </w:rPr>
              <w:t>s</w:t>
            </w:r>
            <w:r w:rsidR="00ED07D9" w:rsidRPr="0083592A">
              <w:rPr>
                <w:sz w:val="22"/>
                <w:szCs w:val="22"/>
              </w:rPr>
              <w:t xml:space="preserve">ervices </w:t>
            </w:r>
            <w:r w:rsidRPr="0083592A">
              <w:rPr>
                <w:sz w:val="22"/>
                <w:szCs w:val="22"/>
              </w:rPr>
              <w:t xml:space="preserve">had a higher proportion of their workforce supported by JobKeeper. </w:t>
            </w:r>
          </w:p>
          <w:p w14:paraId="766F1318" w14:textId="3CEEB5BF" w:rsidR="00F870B8" w:rsidRPr="0083592A" w:rsidRDefault="00F870B8" w:rsidP="0083592A">
            <w:pPr>
              <w:pStyle w:val="Bullet"/>
              <w:jc w:val="left"/>
              <w:rPr>
                <w:sz w:val="22"/>
                <w:szCs w:val="22"/>
              </w:rPr>
            </w:pPr>
            <w:r w:rsidRPr="0083592A">
              <w:rPr>
                <w:sz w:val="22"/>
                <w:szCs w:val="22"/>
              </w:rPr>
              <w:t xml:space="preserve">Individuals supported by JobKeeper were </w:t>
            </w:r>
            <w:r w:rsidR="00F650A7" w:rsidRPr="0083592A">
              <w:rPr>
                <w:sz w:val="22"/>
                <w:szCs w:val="22"/>
              </w:rPr>
              <w:t xml:space="preserve">relatively </w:t>
            </w:r>
            <w:r w:rsidRPr="0083592A">
              <w:rPr>
                <w:sz w:val="22"/>
                <w:szCs w:val="22"/>
              </w:rPr>
              <w:t>evenly distributed across regions</w:t>
            </w:r>
            <w:r w:rsidR="000E3514" w:rsidRPr="0083592A">
              <w:rPr>
                <w:sz w:val="22"/>
                <w:szCs w:val="22"/>
              </w:rPr>
              <w:t xml:space="preserve">, </w:t>
            </w:r>
            <w:r w:rsidR="00F650A7" w:rsidRPr="0083592A">
              <w:rPr>
                <w:sz w:val="22"/>
                <w:szCs w:val="22"/>
              </w:rPr>
              <w:t xml:space="preserve">with a slightly higher reliance on </w:t>
            </w:r>
            <w:r w:rsidR="00BE0EA4" w:rsidRPr="0083592A">
              <w:rPr>
                <w:sz w:val="22"/>
                <w:szCs w:val="22"/>
              </w:rPr>
              <w:t xml:space="preserve">JobKeeper </w:t>
            </w:r>
            <w:r w:rsidR="00F650A7" w:rsidRPr="0083592A">
              <w:rPr>
                <w:sz w:val="22"/>
                <w:szCs w:val="22"/>
              </w:rPr>
              <w:t>in</w:t>
            </w:r>
            <w:r w:rsidRPr="0083592A">
              <w:rPr>
                <w:sz w:val="22"/>
                <w:szCs w:val="22"/>
              </w:rPr>
              <w:t xml:space="preserve"> the Sydney and Melbourne metropolitan areas. </w:t>
            </w:r>
          </w:p>
          <w:p w14:paraId="0F9E5334" w14:textId="6A2C4D5F" w:rsidR="00F870B8" w:rsidRPr="00B75F5B" w:rsidRDefault="00F870B8" w:rsidP="0083592A">
            <w:pPr>
              <w:pStyle w:val="Bullet"/>
              <w:jc w:val="left"/>
              <w:rPr>
                <w:sz w:val="22"/>
                <w:szCs w:val="22"/>
                <w:lang w:val="en-US"/>
              </w:rPr>
            </w:pPr>
            <w:r w:rsidRPr="0083592A">
              <w:rPr>
                <w:sz w:val="22"/>
                <w:szCs w:val="22"/>
              </w:rPr>
              <w:t>On average, 5</w:t>
            </w:r>
            <w:r w:rsidR="00687778" w:rsidRPr="0083592A">
              <w:rPr>
                <w:sz w:val="22"/>
                <w:szCs w:val="22"/>
              </w:rPr>
              <w:t>5</w:t>
            </w:r>
            <w:r w:rsidRPr="0083592A">
              <w:rPr>
                <w:sz w:val="22"/>
                <w:szCs w:val="22"/>
              </w:rPr>
              <w:t xml:space="preserve"> per cent of JobKeeper recipients were male and 4</w:t>
            </w:r>
            <w:r w:rsidR="00687778" w:rsidRPr="0083592A">
              <w:rPr>
                <w:sz w:val="22"/>
                <w:szCs w:val="22"/>
              </w:rPr>
              <w:t>5</w:t>
            </w:r>
            <w:r w:rsidRPr="0083592A">
              <w:rPr>
                <w:sz w:val="22"/>
                <w:szCs w:val="22"/>
              </w:rPr>
              <w:t xml:space="preserve"> per cent were female, which was </w:t>
            </w:r>
            <w:r w:rsidR="00637EB7">
              <w:rPr>
                <w:sz w:val="22"/>
                <w:szCs w:val="22"/>
              </w:rPr>
              <w:t xml:space="preserve">broadly </w:t>
            </w:r>
            <w:r w:rsidRPr="0083592A">
              <w:rPr>
                <w:sz w:val="22"/>
                <w:szCs w:val="22"/>
              </w:rPr>
              <w:t>proportion</w:t>
            </w:r>
            <w:r w:rsidR="0087645E" w:rsidRPr="0083592A">
              <w:rPr>
                <w:sz w:val="22"/>
                <w:szCs w:val="22"/>
              </w:rPr>
              <w:t>ate</w:t>
            </w:r>
            <w:r w:rsidRPr="0083592A">
              <w:rPr>
                <w:sz w:val="22"/>
                <w:szCs w:val="22"/>
              </w:rPr>
              <w:t xml:space="preserve"> to </w:t>
            </w:r>
            <w:r w:rsidR="005E662E" w:rsidRPr="00CC151E">
              <w:rPr>
                <w:sz w:val="22"/>
                <w:szCs w:val="22"/>
              </w:rPr>
              <w:t>employment</w:t>
            </w:r>
            <w:r w:rsidR="001471D8">
              <w:rPr>
                <w:sz w:val="22"/>
                <w:szCs w:val="22"/>
              </w:rPr>
              <w:t xml:space="preserve"> shares</w:t>
            </w:r>
            <w:r w:rsidRPr="00CC151E">
              <w:rPr>
                <w:sz w:val="22"/>
                <w:szCs w:val="22"/>
              </w:rPr>
              <w:t>.</w:t>
            </w:r>
          </w:p>
        </w:tc>
      </w:tr>
    </w:tbl>
    <w:p w14:paraId="743DFB78" w14:textId="6920E320" w:rsidR="002C73BA" w:rsidRDefault="002C73BA" w:rsidP="00FD63D7">
      <w:pPr>
        <w:pStyle w:val="Heading2"/>
      </w:pPr>
      <w:bookmarkStart w:id="102" w:name="_Toc83215052"/>
      <w:bookmarkStart w:id="103" w:name="_Toc82787300"/>
      <w:bookmarkStart w:id="104" w:name="_Toc84842621"/>
      <w:r>
        <w:t>JobKeeper</w:t>
      </w:r>
      <w:r w:rsidR="00437B19">
        <w:t xml:space="preserve"> </w:t>
      </w:r>
      <w:r>
        <w:t>take</w:t>
      </w:r>
      <w:r w:rsidR="0038520A">
        <w:noBreakHyphen/>
      </w:r>
      <w:r>
        <w:t>up and coverage</w:t>
      </w:r>
      <w:bookmarkEnd w:id="102"/>
      <w:bookmarkEnd w:id="103"/>
      <w:bookmarkEnd w:id="104"/>
    </w:p>
    <w:p w14:paraId="38431B55" w14:textId="440C0016" w:rsidR="005D2E81" w:rsidRDefault="00C96D69" w:rsidP="006E2C94">
      <w:pPr>
        <w:rPr>
          <w:lang w:val="en-US"/>
        </w:rPr>
      </w:pPr>
      <w:r>
        <w:rPr>
          <w:lang w:val="en-US"/>
        </w:rPr>
        <w:t>In its first phase (28 March – 2</w:t>
      </w:r>
      <w:r w:rsidR="00AA4C56">
        <w:rPr>
          <w:lang w:val="en-US"/>
        </w:rPr>
        <w:t>7</w:t>
      </w:r>
      <w:r>
        <w:rPr>
          <w:lang w:val="en-US"/>
        </w:rPr>
        <w:t xml:space="preserve"> September 2020) JobKeeper supported </w:t>
      </w:r>
      <w:r w:rsidR="00D827C3">
        <w:rPr>
          <w:lang w:val="en-US"/>
        </w:rPr>
        <w:t xml:space="preserve">on average </w:t>
      </w:r>
      <w:r>
        <w:rPr>
          <w:lang w:val="en-US"/>
        </w:rPr>
        <w:t xml:space="preserve">around </w:t>
      </w:r>
      <w:r w:rsidR="00D827C3">
        <w:rPr>
          <w:lang w:val="en-US"/>
        </w:rPr>
        <w:t>925,000</w:t>
      </w:r>
      <w:r w:rsidR="00EC3487">
        <w:rPr>
          <w:lang w:val="en-US"/>
        </w:rPr>
        <w:t> </w:t>
      </w:r>
      <w:r w:rsidR="004A7979" w:rsidRPr="00D53642">
        <w:rPr>
          <w:lang w:val="en-US"/>
        </w:rPr>
        <w:t>businesses</w:t>
      </w:r>
      <w:r w:rsidR="0087645E">
        <w:rPr>
          <w:lang w:val="en-US"/>
        </w:rPr>
        <w:t xml:space="preserve"> and 3.6 million individuals</w:t>
      </w:r>
      <w:r w:rsidR="00D827C3">
        <w:rPr>
          <w:lang w:val="en-US"/>
        </w:rPr>
        <w:t xml:space="preserve"> each month</w:t>
      </w:r>
      <w:r w:rsidR="00A76579">
        <w:rPr>
          <w:lang w:val="en-US"/>
        </w:rPr>
        <w:t>.</w:t>
      </w:r>
      <w:r w:rsidR="001471D8">
        <w:rPr>
          <w:lang w:val="en-US"/>
        </w:rPr>
        <w:t xml:space="preserve"> </w:t>
      </w:r>
      <w:r w:rsidR="00B03604">
        <w:t xml:space="preserve">Further analysis of ATO </w:t>
      </w:r>
      <w:r w:rsidR="00B253F8">
        <w:t xml:space="preserve">data </w:t>
      </w:r>
      <w:r w:rsidR="00B03604">
        <w:t>has shown that, c</w:t>
      </w:r>
      <w:r w:rsidR="00194C14">
        <w:t>umulatively</w:t>
      </w:r>
      <w:r w:rsidR="00B03604">
        <w:t>,</w:t>
      </w:r>
      <w:r w:rsidR="00194C14">
        <w:t xml:space="preserve"> around </w:t>
      </w:r>
      <w:r w:rsidR="00617DFA">
        <w:t>four</w:t>
      </w:r>
      <w:r w:rsidR="00194C14">
        <w:t xml:space="preserve"> million unique individuals and around </w:t>
      </w:r>
      <w:r w:rsidR="00E200C7">
        <w:t>one</w:t>
      </w:r>
      <w:r w:rsidR="00194C14">
        <w:t xml:space="preserve"> million unique businesses were supported by JobKeeper in one or more JobKeeper fortnights in the first phase</w:t>
      </w:r>
      <w:r w:rsidR="00A76579">
        <w:t xml:space="preserve"> </w:t>
      </w:r>
      <w:r w:rsidR="00A76579" w:rsidRPr="00D53642">
        <w:rPr>
          <w:lang w:val="en-US"/>
        </w:rPr>
        <w:t xml:space="preserve">– </w:t>
      </w:r>
      <w:r w:rsidR="00A76579" w:rsidRPr="00B6455C">
        <w:rPr>
          <w:lang w:val="en-US"/>
        </w:rPr>
        <w:t>around one</w:t>
      </w:r>
      <w:r w:rsidR="0038520A">
        <w:rPr>
          <w:lang w:val="en-US"/>
        </w:rPr>
        <w:noBreakHyphen/>
      </w:r>
      <w:r w:rsidR="00A76579" w:rsidRPr="00B6455C">
        <w:rPr>
          <w:lang w:val="en-US"/>
        </w:rPr>
        <w:t>third of Australian businesses and jobs</w:t>
      </w:r>
      <w:r w:rsidR="00194C14" w:rsidRPr="000206A7">
        <w:t>.</w:t>
      </w:r>
      <w:r w:rsidR="00025158">
        <w:t xml:space="preserve"> </w:t>
      </w:r>
      <w:r w:rsidR="00ED07D9">
        <w:t>Data set out below is for the first phase of the program, unless otherwise specified.</w:t>
      </w:r>
      <w:r w:rsidR="005D2E81">
        <w:t xml:space="preserve"> </w:t>
      </w:r>
      <w:r w:rsidR="005D2E81" w:rsidRPr="007875FF">
        <w:t xml:space="preserve">Table </w:t>
      </w:r>
      <w:r w:rsidR="007D6852">
        <w:t>4</w:t>
      </w:r>
      <w:r w:rsidR="005D2E81" w:rsidRPr="007875FF">
        <w:t xml:space="preserve"> in Appendix </w:t>
      </w:r>
      <w:r w:rsidR="007875FF" w:rsidRPr="007875FF">
        <w:t>1</w:t>
      </w:r>
      <w:r w:rsidR="005D2E81" w:rsidRPr="007875FF">
        <w:t xml:space="preserve"> sets out the take</w:t>
      </w:r>
      <w:r w:rsidR="0038520A">
        <w:noBreakHyphen/>
      </w:r>
      <w:r w:rsidR="005D2E81" w:rsidRPr="007875FF">
        <w:t>up and payments for JobKeeper by month over the whole program.</w:t>
      </w:r>
      <w:r w:rsidR="005D2E81">
        <w:t xml:space="preserve"> </w:t>
      </w:r>
    </w:p>
    <w:p w14:paraId="7AD1F22E" w14:textId="0A2C8E96" w:rsidR="00E10B4C" w:rsidRPr="002C73BA" w:rsidRDefault="00E10B4C" w:rsidP="00FD63D7">
      <w:pPr>
        <w:pStyle w:val="Heading3"/>
      </w:pPr>
      <w:bookmarkStart w:id="105" w:name="_Toc83215053"/>
      <w:r>
        <w:t>Business characteristics</w:t>
      </w:r>
      <w:bookmarkEnd w:id="105"/>
    </w:p>
    <w:p w14:paraId="71D32EA6" w14:textId="58D41389" w:rsidR="002C73BA" w:rsidRPr="00D53642" w:rsidRDefault="002C73BA" w:rsidP="004138ED">
      <w:pPr>
        <w:rPr>
          <w:lang w:val="en-US"/>
        </w:rPr>
      </w:pPr>
      <w:bookmarkStart w:id="106" w:name="_Hlk83398064"/>
      <w:r w:rsidRPr="00D53642">
        <w:rPr>
          <w:lang w:val="en-US"/>
        </w:rPr>
        <w:t xml:space="preserve">JobKeeper </w:t>
      </w:r>
      <w:r w:rsidR="002D342B">
        <w:rPr>
          <w:lang w:val="en-US"/>
        </w:rPr>
        <w:t>largely supported</w:t>
      </w:r>
      <w:r w:rsidRPr="00D53642">
        <w:rPr>
          <w:lang w:val="en-US"/>
        </w:rPr>
        <w:t xml:space="preserve"> small </w:t>
      </w:r>
      <w:r w:rsidR="00BA3A85">
        <w:rPr>
          <w:lang w:val="en-US"/>
        </w:rPr>
        <w:t>businesses</w:t>
      </w:r>
      <w:r w:rsidRPr="00D53642">
        <w:rPr>
          <w:lang w:val="en-US"/>
        </w:rPr>
        <w:t xml:space="preserve">. </w:t>
      </w:r>
      <w:r w:rsidR="001F2486">
        <w:rPr>
          <w:lang w:val="en-US"/>
        </w:rPr>
        <w:t>Small</w:t>
      </w:r>
      <w:r w:rsidRPr="00D53642">
        <w:rPr>
          <w:lang w:val="en-US"/>
        </w:rPr>
        <w:t xml:space="preserve"> </w:t>
      </w:r>
      <w:r w:rsidR="00EB7347">
        <w:rPr>
          <w:lang w:val="en-US"/>
        </w:rPr>
        <w:t>businesses</w:t>
      </w:r>
      <w:r w:rsidRPr="00D53642">
        <w:rPr>
          <w:lang w:val="en-US"/>
        </w:rPr>
        <w:t xml:space="preserve"> </w:t>
      </w:r>
      <w:r w:rsidR="001F2486">
        <w:rPr>
          <w:lang w:val="en-US"/>
        </w:rPr>
        <w:t>with a turnover less than $</w:t>
      </w:r>
      <w:r w:rsidR="00102B10">
        <w:rPr>
          <w:lang w:val="en-US"/>
        </w:rPr>
        <w:t>50</w:t>
      </w:r>
      <w:r w:rsidR="001F2486">
        <w:rPr>
          <w:lang w:val="en-US"/>
        </w:rPr>
        <w:t xml:space="preserve"> million</w:t>
      </w:r>
      <w:r w:rsidRPr="00D53642">
        <w:rPr>
          <w:lang w:val="en-US"/>
        </w:rPr>
        <w:t xml:space="preserve"> </w:t>
      </w:r>
      <w:r w:rsidR="002F28C6">
        <w:rPr>
          <w:lang w:val="en-US"/>
        </w:rPr>
        <w:t xml:space="preserve">and not-for-profits </w:t>
      </w:r>
      <w:r w:rsidRPr="00D53642">
        <w:rPr>
          <w:lang w:val="en-US"/>
        </w:rPr>
        <w:t xml:space="preserve">accounted for around </w:t>
      </w:r>
      <w:r w:rsidR="001F2486">
        <w:rPr>
          <w:lang w:val="en-US"/>
        </w:rPr>
        <w:t>9</w:t>
      </w:r>
      <w:r w:rsidR="002F28C6">
        <w:rPr>
          <w:lang w:val="en-US"/>
        </w:rPr>
        <w:t>9</w:t>
      </w:r>
      <w:r w:rsidR="001F2486" w:rsidRPr="00D53642">
        <w:rPr>
          <w:lang w:val="en-US"/>
        </w:rPr>
        <w:t> </w:t>
      </w:r>
      <w:r w:rsidRPr="00D53642">
        <w:rPr>
          <w:lang w:val="en-US"/>
        </w:rPr>
        <w:t>per cent of all entities</w:t>
      </w:r>
      <w:r w:rsidR="005E3A5C" w:rsidRPr="00D53642">
        <w:rPr>
          <w:lang w:val="en-US"/>
        </w:rPr>
        <w:t xml:space="preserve"> </w:t>
      </w:r>
      <w:r w:rsidR="005E3A5C">
        <w:rPr>
          <w:lang w:val="en-US"/>
        </w:rPr>
        <w:t>and</w:t>
      </w:r>
      <w:r w:rsidR="005E3A5C" w:rsidRPr="00D53642">
        <w:rPr>
          <w:lang w:val="en-US"/>
        </w:rPr>
        <w:t xml:space="preserve"> </w:t>
      </w:r>
      <w:r w:rsidR="00FA6BA4">
        <w:rPr>
          <w:lang w:val="en-US"/>
        </w:rPr>
        <w:t>over 80</w:t>
      </w:r>
      <w:r w:rsidR="001F2486" w:rsidRPr="00D53642">
        <w:rPr>
          <w:lang w:val="en-US"/>
        </w:rPr>
        <w:t> </w:t>
      </w:r>
      <w:r w:rsidRPr="00D53642">
        <w:rPr>
          <w:lang w:val="en-US"/>
        </w:rPr>
        <w:t xml:space="preserve">per cent of payments. </w:t>
      </w:r>
      <w:r w:rsidR="005E3A5C">
        <w:rPr>
          <w:lang w:val="en-US"/>
        </w:rPr>
        <w:t xml:space="preserve">Large businesses </w:t>
      </w:r>
      <w:r w:rsidR="00C40277" w:rsidRPr="003C0ED5">
        <w:rPr>
          <w:lang w:val="en-US"/>
        </w:rPr>
        <w:t>with a turnover above $</w:t>
      </w:r>
      <w:r w:rsidR="00600DD9" w:rsidRPr="003C0ED5">
        <w:rPr>
          <w:lang w:val="en-US"/>
        </w:rPr>
        <w:t>250</w:t>
      </w:r>
      <w:r w:rsidR="00EC171A" w:rsidRPr="003C0ED5">
        <w:rPr>
          <w:lang w:val="en-US"/>
        </w:rPr>
        <w:t xml:space="preserve"> </w:t>
      </w:r>
      <w:r w:rsidR="00600DD9" w:rsidRPr="003C0ED5">
        <w:rPr>
          <w:lang w:val="en-US"/>
        </w:rPr>
        <w:t>m</w:t>
      </w:r>
      <w:r w:rsidR="00EC171A" w:rsidRPr="003C0ED5">
        <w:rPr>
          <w:lang w:val="en-US"/>
        </w:rPr>
        <w:t>illion</w:t>
      </w:r>
      <w:r w:rsidR="005E3A5C">
        <w:rPr>
          <w:lang w:val="en-US"/>
        </w:rPr>
        <w:t xml:space="preserve"> made up </w:t>
      </w:r>
      <w:r w:rsidRPr="00D53642">
        <w:rPr>
          <w:lang w:val="en-US"/>
        </w:rPr>
        <w:t>0.2</w:t>
      </w:r>
      <w:r w:rsidR="004138ED">
        <w:rPr>
          <w:lang w:val="en-US"/>
        </w:rPr>
        <w:t> </w:t>
      </w:r>
      <w:r w:rsidRPr="00D53642">
        <w:rPr>
          <w:lang w:val="en-US"/>
        </w:rPr>
        <w:t xml:space="preserve">per cent of </w:t>
      </w:r>
      <w:r w:rsidRPr="002C73BA">
        <w:rPr>
          <w:lang w:val="en-US"/>
        </w:rPr>
        <w:t>J</w:t>
      </w:r>
      <w:r w:rsidR="00453EBB">
        <w:rPr>
          <w:lang w:val="en-US"/>
        </w:rPr>
        <w:t>ob</w:t>
      </w:r>
      <w:r w:rsidRPr="002C73BA">
        <w:rPr>
          <w:lang w:val="en-US"/>
        </w:rPr>
        <w:t>K</w:t>
      </w:r>
      <w:r w:rsidR="00453EBB">
        <w:rPr>
          <w:lang w:val="en-US"/>
        </w:rPr>
        <w:t>eeper</w:t>
      </w:r>
      <w:r w:rsidRPr="00D53642">
        <w:rPr>
          <w:lang w:val="en-US"/>
        </w:rPr>
        <w:t xml:space="preserve"> </w:t>
      </w:r>
      <w:r w:rsidR="009518B1">
        <w:t>entities</w:t>
      </w:r>
      <w:r w:rsidR="009518B1" w:rsidRPr="00D53642">
        <w:rPr>
          <w:lang w:val="en-US"/>
        </w:rPr>
        <w:t xml:space="preserve"> </w:t>
      </w:r>
      <w:r w:rsidR="005E3A5C">
        <w:rPr>
          <w:lang w:val="en-US"/>
        </w:rPr>
        <w:t>and</w:t>
      </w:r>
      <w:r w:rsidR="005E3A5C" w:rsidRPr="00D53642">
        <w:rPr>
          <w:lang w:val="en-US"/>
        </w:rPr>
        <w:t xml:space="preserve"> </w:t>
      </w:r>
      <w:r w:rsidR="00C40277">
        <w:rPr>
          <w:lang w:val="en-US"/>
        </w:rPr>
        <w:t>received</w:t>
      </w:r>
      <w:r w:rsidRPr="00D53642">
        <w:rPr>
          <w:lang w:val="en-US"/>
        </w:rPr>
        <w:t xml:space="preserve"> </w:t>
      </w:r>
      <w:r w:rsidR="0013675C">
        <w:rPr>
          <w:lang w:val="en-US"/>
        </w:rPr>
        <w:t>around</w:t>
      </w:r>
      <w:r w:rsidR="0013675C" w:rsidRPr="00D53642">
        <w:rPr>
          <w:lang w:val="en-US"/>
        </w:rPr>
        <w:t xml:space="preserve"> </w:t>
      </w:r>
      <w:r w:rsidRPr="00D53642">
        <w:rPr>
          <w:lang w:val="en-US"/>
        </w:rPr>
        <w:t>11 per cent of payments (</w:t>
      </w:r>
      <w:r w:rsidR="006705EF">
        <w:rPr>
          <w:lang w:val="en-US"/>
        </w:rPr>
        <w:t>Figure</w:t>
      </w:r>
      <w:r w:rsidR="00210EC7">
        <w:rPr>
          <w:lang w:val="en-US"/>
        </w:rPr>
        <w:t>s</w:t>
      </w:r>
      <w:r w:rsidRPr="00D53642">
        <w:rPr>
          <w:lang w:val="en-US"/>
        </w:rPr>
        <w:t xml:space="preserve"> </w:t>
      </w:r>
      <w:r w:rsidR="0051426A">
        <w:rPr>
          <w:lang w:val="en-US"/>
        </w:rPr>
        <w:t>5</w:t>
      </w:r>
      <w:r w:rsidR="00C6094D">
        <w:rPr>
          <w:lang w:val="en-US"/>
        </w:rPr>
        <w:t>a</w:t>
      </w:r>
      <w:r w:rsidR="0038520A">
        <w:rPr>
          <w:lang w:val="en-US"/>
        </w:rPr>
        <w:noBreakHyphen/>
      </w:r>
      <w:r w:rsidR="00210EC7">
        <w:rPr>
          <w:lang w:val="en-US"/>
        </w:rPr>
        <w:t>b</w:t>
      </w:r>
      <w:r w:rsidRPr="00D53642">
        <w:rPr>
          <w:lang w:val="en-US"/>
        </w:rPr>
        <w:t>).</w:t>
      </w:r>
      <w:r w:rsidR="005C5A67">
        <w:rPr>
          <w:lang w:val="en-US"/>
        </w:rPr>
        <w:t xml:space="preserve"> </w:t>
      </w:r>
      <w:bookmarkEnd w:id="106"/>
      <w:r w:rsidR="00B0215B">
        <w:rPr>
          <w:lang w:val="en-US"/>
        </w:rPr>
        <w:t>The representation of large business</w:t>
      </w:r>
      <w:r w:rsidR="00B6234C">
        <w:rPr>
          <w:lang w:val="en-US"/>
        </w:rPr>
        <w:t>es</w:t>
      </w:r>
      <w:r w:rsidR="00B0215B">
        <w:rPr>
          <w:lang w:val="en-US"/>
        </w:rPr>
        <w:t xml:space="preserve"> </w:t>
      </w:r>
      <w:r w:rsidR="00375E4C">
        <w:rPr>
          <w:lang w:val="en-US"/>
        </w:rPr>
        <w:t xml:space="preserve">is broadly consistent with </w:t>
      </w:r>
      <w:r w:rsidR="002557A0">
        <w:rPr>
          <w:lang w:val="en-US"/>
        </w:rPr>
        <w:t>their shares of businesses and employment in the broader economy</w:t>
      </w:r>
      <w:r w:rsidR="005C5A67">
        <w:rPr>
          <w:lang w:val="en-US"/>
        </w:rPr>
        <w:t>.</w:t>
      </w:r>
    </w:p>
    <w:p w14:paraId="4DB17A7C" w14:textId="09A778BE" w:rsidR="002C73BA" w:rsidRPr="00D53642" w:rsidRDefault="002C73BA" w:rsidP="004138ED">
      <w:pPr>
        <w:rPr>
          <w:lang w:val="en-US"/>
        </w:rPr>
      </w:pPr>
      <w:r w:rsidRPr="00D53642">
        <w:rPr>
          <w:lang w:val="en-US"/>
        </w:rPr>
        <w:t>At around 41 per cent</w:t>
      </w:r>
      <w:r w:rsidR="00ED07D9" w:rsidRPr="00D53642">
        <w:rPr>
          <w:lang w:val="en-US"/>
        </w:rPr>
        <w:t xml:space="preserve"> </w:t>
      </w:r>
      <w:r w:rsidRPr="00D53642">
        <w:rPr>
          <w:lang w:val="en-US"/>
        </w:rPr>
        <w:t xml:space="preserve">of the JobKeeper business population, sole traders were the most common </w:t>
      </w:r>
      <w:r w:rsidR="00FB790F">
        <w:rPr>
          <w:lang w:val="en-US"/>
        </w:rPr>
        <w:t> </w:t>
      </w:r>
      <w:r w:rsidRPr="00D53642">
        <w:rPr>
          <w:lang w:val="en-US"/>
        </w:rPr>
        <w:t>entity type</w:t>
      </w:r>
      <w:r w:rsidR="002B53E6">
        <w:rPr>
          <w:lang w:val="en-US"/>
        </w:rPr>
        <w:t xml:space="preserve"> (Figure </w:t>
      </w:r>
      <w:r w:rsidR="0051426A">
        <w:rPr>
          <w:lang w:val="en-US"/>
        </w:rPr>
        <w:t>5</w:t>
      </w:r>
      <w:r w:rsidR="00690FCF">
        <w:rPr>
          <w:lang w:val="en-US"/>
        </w:rPr>
        <w:t>c</w:t>
      </w:r>
      <w:r w:rsidR="002B53E6">
        <w:rPr>
          <w:lang w:val="en-US"/>
        </w:rPr>
        <w:t>)</w:t>
      </w:r>
      <w:r w:rsidRPr="00D53642">
        <w:rPr>
          <w:lang w:val="en-US"/>
        </w:rPr>
        <w:t>. The majority (90 per cent) were non</w:t>
      </w:r>
      <w:r w:rsidR="0038520A">
        <w:rPr>
          <w:lang w:val="en-US"/>
        </w:rPr>
        <w:noBreakHyphen/>
      </w:r>
      <w:r w:rsidRPr="00D53642">
        <w:rPr>
          <w:lang w:val="en-US"/>
        </w:rPr>
        <w:t>employing and they</w:t>
      </w:r>
      <w:r w:rsidR="00D347C0" w:rsidRPr="00D53642">
        <w:rPr>
          <w:lang w:val="en-US"/>
        </w:rPr>
        <w:t xml:space="preserve"> </w:t>
      </w:r>
      <w:r w:rsidR="0013675C">
        <w:rPr>
          <w:lang w:val="en-US"/>
        </w:rPr>
        <w:t>received</w:t>
      </w:r>
      <w:r w:rsidR="0013675C" w:rsidRPr="00D53642">
        <w:rPr>
          <w:lang w:val="en-US"/>
        </w:rPr>
        <w:t xml:space="preserve"> </w:t>
      </w:r>
      <w:r w:rsidR="00C40277">
        <w:t>around</w:t>
      </w:r>
      <w:r w:rsidR="00C40277" w:rsidRPr="00D53642">
        <w:rPr>
          <w:lang w:val="en-US"/>
        </w:rPr>
        <w:t xml:space="preserve"> </w:t>
      </w:r>
      <w:r w:rsidRPr="00D53642">
        <w:rPr>
          <w:lang w:val="en-US"/>
        </w:rPr>
        <w:t>12 per cent of payments.</w:t>
      </w:r>
      <w:r w:rsidR="00453EBB" w:rsidRPr="00453EBB">
        <w:rPr>
          <w:lang w:val="en-US"/>
        </w:rPr>
        <w:t xml:space="preserve"> </w:t>
      </w:r>
      <w:r w:rsidR="00655F58">
        <w:rPr>
          <w:lang w:val="en-US"/>
        </w:rPr>
        <w:t>New South Wales</w:t>
      </w:r>
      <w:r w:rsidR="00453EBB" w:rsidRPr="00D53642">
        <w:rPr>
          <w:lang w:val="en-US"/>
        </w:rPr>
        <w:t xml:space="preserve"> and Victoria together accounted for around two</w:t>
      </w:r>
      <w:r w:rsidR="0038520A">
        <w:rPr>
          <w:lang w:val="en-US"/>
        </w:rPr>
        <w:noBreakHyphen/>
      </w:r>
      <w:r w:rsidR="00453EBB" w:rsidRPr="00D53642">
        <w:rPr>
          <w:lang w:val="en-US"/>
        </w:rPr>
        <w:t>thirds of all entities and payments (</w:t>
      </w:r>
      <w:r w:rsidR="006705EF">
        <w:rPr>
          <w:lang w:val="en-US"/>
        </w:rPr>
        <w:t>Figure</w:t>
      </w:r>
      <w:r w:rsidR="00453EBB" w:rsidRPr="00D53642">
        <w:rPr>
          <w:lang w:val="en-US"/>
        </w:rPr>
        <w:t xml:space="preserve"> </w:t>
      </w:r>
      <w:r w:rsidR="0051426A">
        <w:rPr>
          <w:lang w:val="en-US"/>
        </w:rPr>
        <w:t>5</w:t>
      </w:r>
      <w:r w:rsidR="00690FCF">
        <w:rPr>
          <w:lang w:val="en-US"/>
        </w:rPr>
        <w:t>d</w:t>
      </w:r>
      <w:r w:rsidR="00453EBB" w:rsidRPr="00D53642">
        <w:rPr>
          <w:lang w:val="en-US"/>
        </w:rPr>
        <w:t>).</w:t>
      </w:r>
      <w:r w:rsidR="0001361F">
        <w:rPr>
          <w:lang w:val="en-US"/>
        </w:rPr>
        <w:t xml:space="preserve"> </w:t>
      </w:r>
      <w:r w:rsidR="0001361F" w:rsidRPr="00B6455C">
        <w:rPr>
          <w:lang w:val="en-US"/>
        </w:rPr>
        <w:t>This is slightly more than these states</w:t>
      </w:r>
      <w:r w:rsidR="0038520A">
        <w:rPr>
          <w:lang w:val="en-US"/>
        </w:rPr>
        <w:t>’</w:t>
      </w:r>
      <w:r w:rsidR="0001361F" w:rsidRPr="00B6455C">
        <w:rPr>
          <w:lang w:val="en-US"/>
        </w:rPr>
        <w:t xml:space="preserve"> share of state final demand, reflecting </w:t>
      </w:r>
      <w:r w:rsidR="0001361F" w:rsidRPr="005A6244">
        <w:rPr>
          <w:lang w:val="en-US"/>
        </w:rPr>
        <w:t>th</w:t>
      </w:r>
      <w:r w:rsidR="0001361F" w:rsidRPr="00BE54D7">
        <w:rPr>
          <w:lang w:val="en-US"/>
        </w:rPr>
        <w:t>e impact of the second wave of COVID</w:t>
      </w:r>
      <w:r w:rsidR="0038520A">
        <w:rPr>
          <w:lang w:val="en-US"/>
        </w:rPr>
        <w:noBreakHyphen/>
      </w:r>
      <w:r w:rsidR="0001361F" w:rsidRPr="00BE54D7">
        <w:rPr>
          <w:lang w:val="en-US"/>
        </w:rPr>
        <w:t>19 in Victoria in the September quarter</w:t>
      </w:r>
      <w:r w:rsidR="00ED07D9" w:rsidRPr="00BE54D7">
        <w:rPr>
          <w:lang w:val="en-US"/>
        </w:rPr>
        <w:t xml:space="preserve"> 2020 </w:t>
      </w:r>
      <w:r w:rsidR="0001361F" w:rsidRPr="00091645">
        <w:rPr>
          <w:lang w:val="en-US"/>
        </w:rPr>
        <w:t>on payments to that state</w:t>
      </w:r>
      <w:r w:rsidR="00931286" w:rsidRPr="00B6455C">
        <w:rPr>
          <w:lang w:val="en-US"/>
        </w:rPr>
        <w:t xml:space="preserve"> and the prevalence of business headquarters in these </w:t>
      </w:r>
      <w:r w:rsidR="00D24F98">
        <w:rPr>
          <w:lang w:val="en-US"/>
        </w:rPr>
        <w:t>s</w:t>
      </w:r>
      <w:r w:rsidR="00931286" w:rsidRPr="00B6455C">
        <w:rPr>
          <w:lang w:val="en-US"/>
        </w:rPr>
        <w:t>tates</w:t>
      </w:r>
      <w:r w:rsidR="0001361F" w:rsidRPr="00B6455C">
        <w:rPr>
          <w:lang w:val="en-US"/>
        </w:rPr>
        <w:t>.</w:t>
      </w:r>
    </w:p>
    <w:p w14:paraId="78DA4644" w14:textId="28AA900F" w:rsidR="00AF13DF" w:rsidRDefault="002C73BA" w:rsidP="00A15D55">
      <w:pPr>
        <w:pStyle w:val="ChartMainHeading"/>
      </w:pPr>
      <w:bookmarkStart w:id="107" w:name="_Toc84842565"/>
      <w:r w:rsidRPr="004138ED">
        <w:lastRenderedPageBreak/>
        <w:t xml:space="preserve">Distribution of </w:t>
      </w:r>
      <w:r w:rsidR="00761DF8">
        <w:t xml:space="preserve">JobKeeper </w:t>
      </w:r>
      <w:r w:rsidRPr="004138ED">
        <w:t>entities and payments</w:t>
      </w:r>
      <w:bookmarkEnd w:id="107"/>
      <w:r w:rsidRPr="004138ED">
        <w:t xml:space="preserve"> </w:t>
      </w:r>
    </w:p>
    <w:p w14:paraId="32656B16" w14:textId="77777777" w:rsidR="007821CD" w:rsidRPr="007821CD" w:rsidRDefault="007821CD" w:rsidP="007821CD">
      <w:pPr>
        <w:pStyle w:val="ChartGraphic"/>
      </w:pPr>
    </w:p>
    <w:tbl>
      <w:tblPr>
        <w:tblW w:w="5000" w:type="pct"/>
        <w:tblLook w:val="01E0" w:firstRow="1" w:lastRow="1" w:firstColumn="1" w:lastColumn="1" w:noHBand="0" w:noVBand="0"/>
      </w:tblPr>
      <w:tblGrid>
        <w:gridCol w:w="4534"/>
        <w:gridCol w:w="4537"/>
      </w:tblGrid>
      <w:tr w:rsidR="00C6094D" w14:paraId="21283D62" w14:textId="77777777" w:rsidTr="00B94B2C">
        <w:trPr>
          <w:cantSplit/>
          <w:trHeight w:val="4536"/>
        </w:trPr>
        <w:tc>
          <w:tcPr>
            <w:tcW w:w="2499" w:type="pct"/>
          </w:tcPr>
          <w:p w14:paraId="34A4D1B7" w14:textId="6ABC96C4" w:rsidR="00C6094D" w:rsidRDefault="00C6094D" w:rsidP="00C6094D">
            <w:pPr>
              <w:pStyle w:val="ChartSecondHeading"/>
            </w:pPr>
            <w:r>
              <w:t>a. Turnover size</w:t>
            </w:r>
          </w:p>
          <w:p w14:paraId="2117D767" w14:textId="320E2994" w:rsidR="00C6094D" w:rsidRDefault="00C6094D" w:rsidP="00C6094D">
            <w:pPr>
              <w:pStyle w:val="ChartSecondHeading"/>
            </w:pPr>
            <w:r>
              <w:rPr>
                <w:noProof/>
              </w:rPr>
              <w:drawing>
                <wp:inline distT="0" distB="0" distL="0" distR="0" wp14:anchorId="645DF345" wp14:editId="49F360BA">
                  <wp:extent cx="2810510" cy="2883535"/>
                  <wp:effectExtent l="0" t="0" r="8890" b="0"/>
                  <wp:docPr id="25" name="Picture 25" descr="Panel A plots the share of payments and entities over the first JobKeeper phase, by entity turnover size. Entities with an annual turnover less than $50 million accounted for around 97 per cent of all entities and around 70 per cent of payments. Large entities with an annual turnover above $250 million made up 0.2 per cent of all entities and received around 11 per cent of payments. Data underlying figure 5a can be found at Table 5a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nel A plots the share of payments and entities over the first JobKeeper phase, by entity turnover size. Entities with an annual turnover less than $50 million accounted for around 97 per cent of all entities and around 70 per cent of payments. Large entities with an annual turnover above $250 million made up 0.2 per cent of all entities and received around 11 per cent of payments. Data underlying figure 5a can be found at Table 5a in Appendix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0510" cy="2883535"/>
                          </a:xfrm>
                          <a:prstGeom prst="rect">
                            <a:avLst/>
                          </a:prstGeom>
                          <a:noFill/>
                        </pic:spPr>
                      </pic:pic>
                    </a:graphicData>
                  </a:graphic>
                </wp:inline>
              </w:drawing>
            </w:r>
          </w:p>
        </w:tc>
        <w:tc>
          <w:tcPr>
            <w:tcW w:w="2501" w:type="pct"/>
          </w:tcPr>
          <w:p w14:paraId="606191D7" w14:textId="0126D709" w:rsidR="00C6094D" w:rsidRPr="00A959B4" w:rsidRDefault="00690FCF" w:rsidP="00C6094D">
            <w:pPr>
              <w:pStyle w:val="ChartGraphic"/>
              <w:rPr>
                <w:rFonts w:eastAsiaTheme="minorHAnsi" w:cs="Arial"/>
                <w:b/>
                <w:color w:val="3A6FAF" w:themeColor="accent2"/>
                <w:kern w:val="32"/>
                <w:sz w:val="22"/>
                <w:szCs w:val="22"/>
              </w:rPr>
            </w:pPr>
            <w:r>
              <w:rPr>
                <w:rFonts w:cs="Arial"/>
                <w:b/>
                <w:color w:val="3A6FAF" w:themeColor="accent2"/>
                <w:kern w:val="32"/>
                <w:sz w:val="22"/>
                <w:szCs w:val="22"/>
              </w:rPr>
              <w:t xml:space="preserve">b. Entities and payments by turnover </w:t>
            </w:r>
          </w:p>
          <w:tbl>
            <w:tblPr>
              <w:tblW w:w="5000" w:type="pct"/>
              <w:tblCellMar>
                <w:left w:w="0" w:type="dxa"/>
                <w:right w:w="28" w:type="dxa"/>
              </w:tblCellMar>
              <w:tblLook w:val="04A0" w:firstRow="1" w:lastRow="0" w:firstColumn="1" w:lastColumn="0" w:noHBand="0" w:noVBand="1"/>
            </w:tblPr>
            <w:tblGrid>
              <w:gridCol w:w="1200"/>
              <w:gridCol w:w="948"/>
              <w:gridCol w:w="741"/>
              <w:gridCol w:w="716"/>
              <w:gridCol w:w="716"/>
            </w:tblGrid>
            <w:tr w:rsidR="00C6094D" w:rsidRPr="00986F63" w14:paraId="426BDD90" w14:textId="77777777" w:rsidTr="00A959B4">
              <w:trPr>
                <w:trHeight w:hRule="exact" w:val="397"/>
              </w:trPr>
              <w:tc>
                <w:tcPr>
                  <w:tcW w:w="1389" w:type="pct"/>
                  <w:tcBorders>
                    <w:top w:val="single" w:sz="4" w:space="0" w:color="3A6FAF" w:themeColor="accent2"/>
                    <w:left w:val="nil"/>
                    <w:bottom w:val="nil"/>
                    <w:right w:val="nil"/>
                  </w:tcBorders>
                  <w:shd w:val="clear" w:color="000000" w:fill="FFFFFF"/>
                  <w:noWrap/>
                  <w:vAlign w:val="bottom"/>
                  <w:hideMark/>
                </w:tcPr>
                <w:p w14:paraId="1A24D4AE" w14:textId="77777777" w:rsidR="00C6094D" w:rsidRPr="00986F63" w:rsidRDefault="00C6094D" w:rsidP="00C6094D">
                  <w:pPr>
                    <w:spacing w:before="0" w:after="0"/>
                    <w:rPr>
                      <w:rFonts w:ascii="Arial" w:hAnsi="Arial" w:cs="Arial"/>
                      <w:color w:val="000000"/>
                      <w:sz w:val="16"/>
                      <w:szCs w:val="16"/>
                    </w:rPr>
                  </w:pPr>
                  <w:r w:rsidRPr="00986F63">
                    <w:rPr>
                      <w:rFonts w:ascii="Arial" w:hAnsi="Arial" w:cs="Arial"/>
                      <w:color w:val="000000"/>
                      <w:sz w:val="16"/>
                      <w:szCs w:val="16"/>
                    </w:rPr>
                    <w:t> </w:t>
                  </w:r>
                </w:p>
              </w:tc>
              <w:tc>
                <w:tcPr>
                  <w:tcW w:w="1954" w:type="pct"/>
                  <w:gridSpan w:val="2"/>
                  <w:tcBorders>
                    <w:top w:val="single" w:sz="4" w:space="0" w:color="3A6FAF" w:themeColor="accent2"/>
                    <w:left w:val="nil"/>
                    <w:bottom w:val="nil"/>
                    <w:right w:val="nil"/>
                  </w:tcBorders>
                  <w:shd w:val="clear" w:color="000000" w:fill="F2F9FC"/>
                  <w:vAlign w:val="bottom"/>
                  <w:hideMark/>
                </w:tcPr>
                <w:p w14:paraId="11FFCD16" w14:textId="77777777" w:rsidR="00C6094D" w:rsidRPr="00986F63" w:rsidRDefault="00C6094D" w:rsidP="00C6094D">
                  <w:pPr>
                    <w:spacing w:before="0" w:after="0"/>
                    <w:jc w:val="center"/>
                    <w:rPr>
                      <w:rFonts w:ascii="Arial" w:hAnsi="Arial" w:cs="Arial"/>
                      <w:b/>
                      <w:bCs/>
                      <w:color w:val="000000"/>
                      <w:sz w:val="16"/>
                      <w:szCs w:val="16"/>
                    </w:rPr>
                  </w:pPr>
                  <w:r w:rsidRPr="00986F63">
                    <w:rPr>
                      <w:rFonts w:ascii="Arial" w:hAnsi="Arial" w:cs="Arial"/>
                      <w:b/>
                      <w:bCs/>
                      <w:color w:val="000000"/>
                      <w:sz w:val="16"/>
                      <w:szCs w:val="16"/>
                    </w:rPr>
                    <w:t>Entities</w:t>
                  </w:r>
                </w:p>
              </w:tc>
              <w:tc>
                <w:tcPr>
                  <w:tcW w:w="1657" w:type="pct"/>
                  <w:gridSpan w:val="2"/>
                  <w:tcBorders>
                    <w:top w:val="single" w:sz="4" w:space="0" w:color="3A6FAF" w:themeColor="accent2"/>
                    <w:left w:val="nil"/>
                    <w:bottom w:val="nil"/>
                    <w:right w:val="nil"/>
                  </w:tcBorders>
                  <w:shd w:val="clear" w:color="000000" w:fill="FFFFFF"/>
                  <w:vAlign w:val="bottom"/>
                  <w:hideMark/>
                </w:tcPr>
                <w:p w14:paraId="1D6B8F79" w14:textId="487BB7B4" w:rsidR="00C6094D" w:rsidRPr="00986F63" w:rsidRDefault="00C6094D" w:rsidP="00C6094D">
                  <w:pPr>
                    <w:spacing w:before="0" w:after="0"/>
                    <w:jc w:val="center"/>
                    <w:rPr>
                      <w:rFonts w:ascii="Arial" w:hAnsi="Arial" w:cs="Arial"/>
                      <w:b/>
                      <w:bCs/>
                      <w:color w:val="000000"/>
                      <w:sz w:val="16"/>
                      <w:szCs w:val="16"/>
                    </w:rPr>
                  </w:pPr>
                  <w:r w:rsidRPr="00986F63" w:rsidDel="00A84E11">
                    <w:rPr>
                      <w:rFonts w:ascii="Arial" w:hAnsi="Arial" w:cs="Arial"/>
                      <w:b/>
                      <w:bCs/>
                      <w:color w:val="000000"/>
                      <w:sz w:val="16"/>
                      <w:szCs w:val="16"/>
                    </w:rPr>
                    <w:t xml:space="preserve">Net </w:t>
                  </w:r>
                  <w:r w:rsidRPr="00986F63">
                    <w:rPr>
                      <w:rFonts w:ascii="Arial" w:hAnsi="Arial" w:cs="Arial"/>
                      <w:b/>
                      <w:bCs/>
                      <w:color w:val="000000"/>
                      <w:sz w:val="16"/>
                      <w:szCs w:val="16"/>
                    </w:rPr>
                    <w:t xml:space="preserve">Payments </w:t>
                  </w:r>
                </w:p>
              </w:tc>
            </w:tr>
            <w:tr w:rsidR="00C6094D" w:rsidRPr="00986F63" w14:paraId="65BA76A4" w14:textId="77777777" w:rsidTr="00A959B4">
              <w:trPr>
                <w:trHeight w:hRule="exact" w:val="397"/>
              </w:trPr>
              <w:tc>
                <w:tcPr>
                  <w:tcW w:w="1389" w:type="pct"/>
                  <w:tcBorders>
                    <w:top w:val="nil"/>
                    <w:left w:val="nil"/>
                    <w:bottom w:val="single" w:sz="4" w:space="0" w:color="3A6FAF" w:themeColor="accent2"/>
                    <w:right w:val="nil"/>
                  </w:tcBorders>
                  <w:shd w:val="clear" w:color="000000" w:fill="FFFFFF"/>
                  <w:vAlign w:val="bottom"/>
                  <w:hideMark/>
                </w:tcPr>
                <w:p w14:paraId="3F1FB787" w14:textId="77777777" w:rsidR="00C6094D" w:rsidRPr="00986F63" w:rsidRDefault="00C6094D" w:rsidP="00C6094D">
                  <w:pPr>
                    <w:spacing w:before="0" w:after="0"/>
                    <w:rPr>
                      <w:rFonts w:ascii="Arial" w:hAnsi="Arial" w:cs="Arial"/>
                      <w:b/>
                      <w:bCs/>
                      <w:color w:val="000000"/>
                      <w:sz w:val="16"/>
                      <w:szCs w:val="16"/>
                    </w:rPr>
                  </w:pPr>
                  <w:r w:rsidRPr="00986F63">
                    <w:rPr>
                      <w:rFonts w:ascii="Arial" w:hAnsi="Arial" w:cs="Arial"/>
                      <w:b/>
                      <w:bCs/>
                      <w:color w:val="000000"/>
                      <w:sz w:val="16"/>
                      <w:szCs w:val="16"/>
                    </w:rPr>
                    <w:t>Annual turnover</w:t>
                  </w:r>
                </w:p>
              </w:tc>
              <w:tc>
                <w:tcPr>
                  <w:tcW w:w="1097" w:type="pct"/>
                  <w:tcBorders>
                    <w:top w:val="nil"/>
                    <w:left w:val="nil"/>
                    <w:bottom w:val="single" w:sz="4" w:space="0" w:color="3A6FAF" w:themeColor="accent2"/>
                    <w:right w:val="nil"/>
                  </w:tcBorders>
                  <w:shd w:val="clear" w:color="000000" w:fill="F2F9FC"/>
                  <w:vAlign w:val="bottom"/>
                  <w:hideMark/>
                </w:tcPr>
                <w:p w14:paraId="3ED08432" w14:textId="2672C2D8" w:rsidR="00C6094D" w:rsidRPr="00986F63" w:rsidRDefault="009F47DC" w:rsidP="00C6094D">
                  <w:pPr>
                    <w:spacing w:before="0" w:after="0"/>
                    <w:jc w:val="center"/>
                    <w:rPr>
                      <w:rFonts w:ascii="Arial" w:hAnsi="Arial" w:cs="Arial"/>
                      <w:b/>
                      <w:bCs/>
                      <w:color w:val="000000"/>
                      <w:sz w:val="16"/>
                      <w:szCs w:val="16"/>
                    </w:rPr>
                  </w:pPr>
                  <w:r>
                    <w:rPr>
                      <w:rFonts w:ascii="Arial" w:hAnsi="Arial" w:cs="Arial"/>
                      <w:b/>
                      <w:bCs/>
                      <w:color w:val="000000"/>
                      <w:sz w:val="16"/>
                      <w:szCs w:val="16"/>
                    </w:rPr>
                    <w:t>No.</w:t>
                  </w:r>
                </w:p>
              </w:tc>
              <w:tc>
                <w:tcPr>
                  <w:tcW w:w="857" w:type="pct"/>
                  <w:tcBorders>
                    <w:top w:val="nil"/>
                    <w:left w:val="nil"/>
                    <w:bottom w:val="single" w:sz="4" w:space="0" w:color="3A6FAF" w:themeColor="accent2"/>
                    <w:right w:val="nil"/>
                  </w:tcBorders>
                  <w:shd w:val="clear" w:color="000000" w:fill="F2F9FC"/>
                  <w:vAlign w:val="bottom"/>
                  <w:hideMark/>
                </w:tcPr>
                <w:p w14:paraId="606C36F2" w14:textId="77777777" w:rsidR="00C6094D" w:rsidRPr="00986F63" w:rsidRDefault="00C6094D" w:rsidP="00C6094D">
                  <w:pPr>
                    <w:spacing w:before="0" w:after="0"/>
                    <w:jc w:val="center"/>
                    <w:rPr>
                      <w:rFonts w:ascii="Arial" w:hAnsi="Arial" w:cs="Arial"/>
                      <w:b/>
                      <w:bCs/>
                      <w:color w:val="000000"/>
                      <w:sz w:val="16"/>
                      <w:szCs w:val="16"/>
                    </w:rPr>
                  </w:pPr>
                  <w:r w:rsidRPr="00986F63">
                    <w:rPr>
                      <w:rFonts w:ascii="Arial" w:hAnsi="Arial" w:cs="Arial"/>
                      <w:b/>
                      <w:bCs/>
                      <w:color w:val="000000"/>
                      <w:sz w:val="16"/>
                      <w:szCs w:val="16"/>
                    </w:rPr>
                    <w:t>Share (%)</w:t>
                  </w:r>
                </w:p>
              </w:tc>
              <w:tc>
                <w:tcPr>
                  <w:tcW w:w="829" w:type="pct"/>
                  <w:tcBorders>
                    <w:top w:val="nil"/>
                    <w:left w:val="nil"/>
                    <w:bottom w:val="single" w:sz="4" w:space="0" w:color="3A6FAF" w:themeColor="accent2"/>
                    <w:right w:val="nil"/>
                  </w:tcBorders>
                  <w:shd w:val="clear" w:color="000000" w:fill="FFFFFF"/>
                  <w:vAlign w:val="bottom"/>
                  <w:hideMark/>
                </w:tcPr>
                <w:p w14:paraId="3284D860" w14:textId="77777777" w:rsidR="00C6094D" w:rsidRPr="00986F63" w:rsidRDefault="00C6094D" w:rsidP="00C6094D">
                  <w:pPr>
                    <w:spacing w:before="0" w:after="0"/>
                    <w:jc w:val="center"/>
                    <w:rPr>
                      <w:rFonts w:ascii="Arial" w:hAnsi="Arial" w:cs="Arial"/>
                      <w:b/>
                      <w:bCs/>
                      <w:color w:val="000000"/>
                      <w:sz w:val="16"/>
                      <w:szCs w:val="16"/>
                    </w:rPr>
                  </w:pPr>
                  <w:r w:rsidRPr="00986F63">
                    <w:rPr>
                      <w:rFonts w:ascii="Arial" w:hAnsi="Arial" w:cs="Arial"/>
                      <w:b/>
                      <w:bCs/>
                      <w:color w:val="000000"/>
                      <w:sz w:val="16"/>
                      <w:szCs w:val="16"/>
                    </w:rPr>
                    <w:t>($b)</w:t>
                  </w:r>
                </w:p>
              </w:tc>
              <w:tc>
                <w:tcPr>
                  <w:tcW w:w="828" w:type="pct"/>
                  <w:tcBorders>
                    <w:top w:val="nil"/>
                    <w:left w:val="nil"/>
                    <w:bottom w:val="single" w:sz="4" w:space="0" w:color="3A6FAF" w:themeColor="accent2"/>
                    <w:right w:val="nil"/>
                  </w:tcBorders>
                  <w:shd w:val="clear" w:color="000000" w:fill="FFFFFF"/>
                  <w:vAlign w:val="bottom"/>
                  <w:hideMark/>
                </w:tcPr>
                <w:p w14:paraId="2D6DBB62" w14:textId="77777777" w:rsidR="00C6094D" w:rsidRPr="00986F63" w:rsidRDefault="00C6094D" w:rsidP="00C6094D">
                  <w:pPr>
                    <w:spacing w:before="0" w:after="0"/>
                    <w:jc w:val="center"/>
                    <w:rPr>
                      <w:rFonts w:ascii="Arial" w:hAnsi="Arial" w:cs="Arial"/>
                      <w:b/>
                      <w:bCs/>
                      <w:color w:val="000000"/>
                      <w:sz w:val="16"/>
                      <w:szCs w:val="16"/>
                    </w:rPr>
                  </w:pPr>
                  <w:r w:rsidRPr="00986F63">
                    <w:rPr>
                      <w:rFonts w:ascii="Arial" w:hAnsi="Arial" w:cs="Arial"/>
                      <w:b/>
                      <w:bCs/>
                      <w:color w:val="000000"/>
                      <w:sz w:val="16"/>
                      <w:szCs w:val="16"/>
                    </w:rPr>
                    <w:t>Share (%)</w:t>
                  </w:r>
                </w:p>
              </w:tc>
            </w:tr>
            <w:tr w:rsidR="00C6094D" w:rsidRPr="00986F63" w14:paraId="31A797BA" w14:textId="77777777" w:rsidTr="00A959B4">
              <w:trPr>
                <w:trHeight w:hRule="exact" w:val="300"/>
              </w:trPr>
              <w:tc>
                <w:tcPr>
                  <w:tcW w:w="1389" w:type="pct"/>
                  <w:tcBorders>
                    <w:top w:val="single" w:sz="4" w:space="0" w:color="3A6FAF" w:themeColor="accent2"/>
                    <w:left w:val="nil"/>
                    <w:bottom w:val="nil"/>
                    <w:right w:val="nil"/>
                  </w:tcBorders>
                  <w:shd w:val="clear" w:color="000000" w:fill="FFFFFF"/>
                  <w:noWrap/>
                  <w:vAlign w:val="bottom"/>
                  <w:hideMark/>
                </w:tcPr>
                <w:p w14:paraId="3D665BD4" w14:textId="77777777" w:rsidR="00C6094D" w:rsidRPr="00986F63" w:rsidRDefault="00C6094D" w:rsidP="00C6094D">
                  <w:pPr>
                    <w:spacing w:before="0" w:after="0"/>
                    <w:rPr>
                      <w:rFonts w:ascii="Arial" w:hAnsi="Arial" w:cs="Arial"/>
                      <w:color w:val="000000"/>
                      <w:sz w:val="16"/>
                      <w:szCs w:val="16"/>
                    </w:rPr>
                  </w:pPr>
                  <w:r w:rsidRPr="00986F63">
                    <w:rPr>
                      <w:rFonts w:ascii="Arial" w:hAnsi="Arial" w:cs="Arial"/>
                      <w:color w:val="000000"/>
                      <w:sz w:val="16"/>
                      <w:szCs w:val="16"/>
                    </w:rPr>
                    <w:t>Below $2m</w:t>
                  </w:r>
                </w:p>
              </w:tc>
              <w:tc>
                <w:tcPr>
                  <w:tcW w:w="1097" w:type="pct"/>
                  <w:tcBorders>
                    <w:top w:val="single" w:sz="4" w:space="0" w:color="3A6FAF" w:themeColor="accent2"/>
                    <w:left w:val="nil"/>
                    <w:bottom w:val="nil"/>
                    <w:right w:val="nil"/>
                  </w:tcBorders>
                  <w:shd w:val="clear" w:color="000000" w:fill="F2F9FC"/>
                  <w:noWrap/>
                  <w:vAlign w:val="bottom"/>
                  <w:hideMark/>
                </w:tcPr>
                <w:p w14:paraId="1ADD9D39"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935,921</w:t>
                  </w:r>
                </w:p>
              </w:tc>
              <w:tc>
                <w:tcPr>
                  <w:tcW w:w="857" w:type="pct"/>
                  <w:tcBorders>
                    <w:top w:val="single" w:sz="4" w:space="0" w:color="3A6FAF" w:themeColor="accent2"/>
                    <w:left w:val="nil"/>
                    <w:bottom w:val="nil"/>
                    <w:right w:val="nil"/>
                  </w:tcBorders>
                  <w:shd w:val="clear" w:color="000000" w:fill="F2F9FC"/>
                  <w:noWrap/>
                  <w:vAlign w:val="bottom"/>
                  <w:hideMark/>
                </w:tcPr>
                <w:p w14:paraId="42E558F1"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89.4</w:t>
                  </w:r>
                </w:p>
              </w:tc>
              <w:tc>
                <w:tcPr>
                  <w:tcW w:w="829" w:type="pct"/>
                  <w:tcBorders>
                    <w:top w:val="single" w:sz="4" w:space="0" w:color="3A6FAF" w:themeColor="accent2"/>
                    <w:left w:val="nil"/>
                    <w:bottom w:val="nil"/>
                    <w:right w:val="nil"/>
                  </w:tcBorders>
                  <w:shd w:val="clear" w:color="000000" w:fill="FFFFFF"/>
                  <w:noWrap/>
                  <w:vAlign w:val="bottom"/>
                  <w:hideMark/>
                </w:tcPr>
                <w:p w14:paraId="7391E918"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29.9</w:t>
                  </w:r>
                </w:p>
              </w:tc>
              <w:tc>
                <w:tcPr>
                  <w:tcW w:w="828" w:type="pct"/>
                  <w:tcBorders>
                    <w:top w:val="single" w:sz="4" w:space="0" w:color="3A6FAF" w:themeColor="accent2"/>
                    <w:left w:val="nil"/>
                    <w:bottom w:val="nil"/>
                    <w:right w:val="nil"/>
                  </w:tcBorders>
                  <w:shd w:val="clear" w:color="000000" w:fill="FFFFFF"/>
                  <w:noWrap/>
                  <w:vAlign w:val="bottom"/>
                  <w:hideMark/>
                </w:tcPr>
                <w:p w14:paraId="3FA82BDD"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42.7</w:t>
                  </w:r>
                </w:p>
              </w:tc>
            </w:tr>
            <w:tr w:rsidR="00C6094D" w:rsidRPr="00986F63" w14:paraId="0C40CB9C" w14:textId="77777777" w:rsidTr="00A959B4">
              <w:trPr>
                <w:trHeight w:hRule="exact" w:val="300"/>
              </w:trPr>
              <w:tc>
                <w:tcPr>
                  <w:tcW w:w="1389" w:type="pct"/>
                  <w:tcBorders>
                    <w:top w:val="nil"/>
                    <w:left w:val="nil"/>
                    <w:bottom w:val="nil"/>
                    <w:right w:val="nil"/>
                  </w:tcBorders>
                  <w:shd w:val="clear" w:color="000000" w:fill="FFFFFF"/>
                  <w:noWrap/>
                  <w:vAlign w:val="bottom"/>
                  <w:hideMark/>
                </w:tcPr>
                <w:p w14:paraId="05747744" w14:textId="09C8CC5F" w:rsidR="00C6094D" w:rsidRPr="00986F63" w:rsidRDefault="00C6094D" w:rsidP="00C6094D">
                  <w:pPr>
                    <w:spacing w:before="0" w:after="0"/>
                    <w:rPr>
                      <w:rFonts w:ascii="Arial" w:hAnsi="Arial" w:cs="Arial"/>
                      <w:color w:val="000000"/>
                      <w:sz w:val="16"/>
                      <w:szCs w:val="16"/>
                    </w:rPr>
                  </w:pPr>
                  <w:r w:rsidRPr="00986F63">
                    <w:rPr>
                      <w:rFonts w:ascii="Arial" w:hAnsi="Arial" w:cs="Arial"/>
                      <w:color w:val="000000"/>
                      <w:sz w:val="16"/>
                      <w:szCs w:val="16"/>
                    </w:rPr>
                    <w:t>$2m</w:t>
                  </w:r>
                  <w:r w:rsidR="0038520A">
                    <w:rPr>
                      <w:rFonts w:ascii="Arial" w:hAnsi="Arial" w:cs="Arial"/>
                      <w:color w:val="000000"/>
                      <w:sz w:val="16"/>
                      <w:szCs w:val="16"/>
                    </w:rPr>
                    <w:t xml:space="preserve"> – </w:t>
                  </w:r>
                  <w:r w:rsidRPr="00986F63">
                    <w:rPr>
                      <w:rFonts w:ascii="Arial" w:hAnsi="Arial" w:cs="Arial"/>
                      <w:color w:val="000000"/>
                      <w:sz w:val="16"/>
                      <w:szCs w:val="16"/>
                    </w:rPr>
                    <w:t>$10m</w:t>
                  </w:r>
                </w:p>
              </w:tc>
              <w:tc>
                <w:tcPr>
                  <w:tcW w:w="1097" w:type="pct"/>
                  <w:tcBorders>
                    <w:top w:val="nil"/>
                    <w:left w:val="nil"/>
                    <w:bottom w:val="nil"/>
                    <w:right w:val="nil"/>
                  </w:tcBorders>
                  <w:shd w:val="clear" w:color="000000" w:fill="F2F9FC"/>
                  <w:noWrap/>
                  <w:vAlign w:val="bottom"/>
                  <w:hideMark/>
                </w:tcPr>
                <w:p w14:paraId="6010241F"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65,188</w:t>
                  </w:r>
                </w:p>
              </w:tc>
              <w:tc>
                <w:tcPr>
                  <w:tcW w:w="857" w:type="pct"/>
                  <w:tcBorders>
                    <w:top w:val="nil"/>
                    <w:left w:val="nil"/>
                    <w:bottom w:val="nil"/>
                    <w:right w:val="nil"/>
                  </w:tcBorders>
                  <w:shd w:val="clear" w:color="000000" w:fill="F2F9FC"/>
                  <w:noWrap/>
                  <w:vAlign w:val="bottom"/>
                  <w:hideMark/>
                </w:tcPr>
                <w:p w14:paraId="6646B0D8"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6.2</w:t>
                  </w:r>
                </w:p>
              </w:tc>
              <w:tc>
                <w:tcPr>
                  <w:tcW w:w="829" w:type="pct"/>
                  <w:tcBorders>
                    <w:top w:val="nil"/>
                    <w:left w:val="nil"/>
                    <w:bottom w:val="nil"/>
                    <w:right w:val="nil"/>
                  </w:tcBorders>
                  <w:shd w:val="clear" w:color="000000" w:fill="FFFFFF"/>
                  <w:noWrap/>
                  <w:vAlign w:val="bottom"/>
                  <w:hideMark/>
                </w:tcPr>
                <w:p w14:paraId="40FB4AC6"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12.2</w:t>
                  </w:r>
                </w:p>
              </w:tc>
              <w:tc>
                <w:tcPr>
                  <w:tcW w:w="828" w:type="pct"/>
                  <w:tcBorders>
                    <w:top w:val="nil"/>
                    <w:left w:val="nil"/>
                    <w:bottom w:val="nil"/>
                    <w:right w:val="nil"/>
                  </w:tcBorders>
                  <w:shd w:val="clear" w:color="000000" w:fill="FFFFFF"/>
                  <w:noWrap/>
                  <w:vAlign w:val="bottom"/>
                  <w:hideMark/>
                </w:tcPr>
                <w:p w14:paraId="037074E3"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17.4</w:t>
                  </w:r>
                </w:p>
              </w:tc>
            </w:tr>
            <w:tr w:rsidR="00C6094D" w:rsidRPr="00986F63" w14:paraId="1165B11D" w14:textId="77777777" w:rsidTr="00A959B4">
              <w:trPr>
                <w:trHeight w:hRule="exact" w:val="300"/>
              </w:trPr>
              <w:tc>
                <w:tcPr>
                  <w:tcW w:w="1389" w:type="pct"/>
                  <w:tcBorders>
                    <w:top w:val="nil"/>
                    <w:left w:val="nil"/>
                    <w:bottom w:val="nil"/>
                    <w:right w:val="nil"/>
                  </w:tcBorders>
                  <w:shd w:val="clear" w:color="000000" w:fill="FFFFFF"/>
                  <w:noWrap/>
                  <w:vAlign w:val="bottom"/>
                  <w:hideMark/>
                </w:tcPr>
                <w:p w14:paraId="2CCFDA6B" w14:textId="14917C65" w:rsidR="00C6094D" w:rsidRPr="00986F63" w:rsidRDefault="00C6094D" w:rsidP="00C6094D">
                  <w:pPr>
                    <w:spacing w:before="0" w:after="0"/>
                    <w:rPr>
                      <w:rFonts w:ascii="Arial" w:hAnsi="Arial" w:cs="Arial"/>
                      <w:color w:val="000000"/>
                      <w:sz w:val="16"/>
                      <w:szCs w:val="16"/>
                    </w:rPr>
                  </w:pPr>
                  <w:r w:rsidRPr="00986F63">
                    <w:rPr>
                      <w:rFonts w:ascii="Arial" w:hAnsi="Arial" w:cs="Arial"/>
                      <w:color w:val="000000"/>
                      <w:sz w:val="16"/>
                      <w:szCs w:val="16"/>
                    </w:rPr>
                    <w:t>$10m</w:t>
                  </w:r>
                  <w:r w:rsidR="0038520A">
                    <w:rPr>
                      <w:rFonts w:ascii="Arial" w:hAnsi="Arial" w:cs="Arial"/>
                      <w:color w:val="000000"/>
                      <w:sz w:val="16"/>
                      <w:szCs w:val="16"/>
                    </w:rPr>
                    <w:t xml:space="preserve"> – </w:t>
                  </w:r>
                  <w:r w:rsidRPr="00986F63">
                    <w:rPr>
                      <w:rFonts w:ascii="Arial" w:hAnsi="Arial" w:cs="Arial"/>
                      <w:color w:val="000000"/>
                      <w:sz w:val="16"/>
                      <w:szCs w:val="16"/>
                    </w:rPr>
                    <w:t>$50m</w:t>
                  </w:r>
                </w:p>
              </w:tc>
              <w:tc>
                <w:tcPr>
                  <w:tcW w:w="1097" w:type="pct"/>
                  <w:tcBorders>
                    <w:top w:val="nil"/>
                    <w:left w:val="nil"/>
                    <w:bottom w:val="nil"/>
                    <w:right w:val="nil"/>
                  </w:tcBorders>
                  <w:shd w:val="clear" w:color="000000" w:fill="F2F9FC"/>
                  <w:noWrap/>
                  <w:vAlign w:val="bottom"/>
                  <w:hideMark/>
                </w:tcPr>
                <w:p w14:paraId="3CFAFDEF"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14,389</w:t>
                  </w:r>
                </w:p>
              </w:tc>
              <w:tc>
                <w:tcPr>
                  <w:tcW w:w="857" w:type="pct"/>
                  <w:tcBorders>
                    <w:top w:val="nil"/>
                    <w:left w:val="nil"/>
                    <w:bottom w:val="nil"/>
                    <w:right w:val="nil"/>
                  </w:tcBorders>
                  <w:shd w:val="clear" w:color="000000" w:fill="F2F9FC"/>
                  <w:noWrap/>
                  <w:vAlign w:val="bottom"/>
                  <w:hideMark/>
                </w:tcPr>
                <w:p w14:paraId="03EC831C"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1.4</w:t>
                  </w:r>
                </w:p>
              </w:tc>
              <w:tc>
                <w:tcPr>
                  <w:tcW w:w="829" w:type="pct"/>
                  <w:tcBorders>
                    <w:top w:val="nil"/>
                    <w:left w:val="nil"/>
                    <w:bottom w:val="nil"/>
                    <w:right w:val="nil"/>
                  </w:tcBorders>
                  <w:shd w:val="clear" w:color="000000" w:fill="FFFFFF"/>
                  <w:noWrap/>
                  <w:vAlign w:val="bottom"/>
                  <w:hideMark/>
                </w:tcPr>
                <w:p w14:paraId="236E6F03"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7.4</w:t>
                  </w:r>
                </w:p>
              </w:tc>
              <w:tc>
                <w:tcPr>
                  <w:tcW w:w="828" w:type="pct"/>
                  <w:tcBorders>
                    <w:top w:val="nil"/>
                    <w:left w:val="nil"/>
                    <w:bottom w:val="nil"/>
                    <w:right w:val="nil"/>
                  </w:tcBorders>
                  <w:shd w:val="clear" w:color="000000" w:fill="FFFFFF"/>
                  <w:noWrap/>
                  <w:vAlign w:val="bottom"/>
                  <w:hideMark/>
                </w:tcPr>
                <w:p w14:paraId="5EA59583"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10.6</w:t>
                  </w:r>
                </w:p>
              </w:tc>
            </w:tr>
            <w:tr w:rsidR="00C6094D" w:rsidRPr="00986F63" w14:paraId="0D5DD9C5" w14:textId="77777777" w:rsidTr="00A959B4">
              <w:trPr>
                <w:trHeight w:hRule="exact" w:val="300"/>
              </w:trPr>
              <w:tc>
                <w:tcPr>
                  <w:tcW w:w="1389" w:type="pct"/>
                  <w:tcBorders>
                    <w:top w:val="nil"/>
                    <w:left w:val="nil"/>
                    <w:bottom w:val="nil"/>
                    <w:right w:val="nil"/>
                  </w:tcBorders>
                  <w:shd w:val="clear" w:color="000000" w:fill="FFFFFF"/>
                  <w:noWrap/>
                  <w:vAlign w:val="bottom"/>
                  <w:hideMark/>
                </w:tcPr>
                <w:p w14:paraId="054855F1" w14:textId="2B8EBCB4" w:rsidR="00C6094D" w:rsidRPr="00986F63" w:rsidRDefault="00C6094D" w:rsidP="00C6094D">
                  <w:pPr>
                    <w:spacing w:before="0" w:after="0"/>
                    <w:rPr>
                      <w:rFonts w:ascii="Arial" w:hAnsi="Arial" w:cs="Arial"/>
                      <w:color w:val="000000"/>
                      <w:sz w:val="16"/>
                      <w:szCs w:val="16"/>
                    </w:rPr>
                  </w:pPr>
                  <w:r w:rsidRPr="00986F63">
                    <w:rPr>
                      <w:rFonts w:ascii="Arial" w:hAnsi="Arial" w:cs="Arial"/>
                      <w:color w:val="000000"/>
                      <w:sz w:val="16"/>
                      <w:szCs w:val="16"/>
                    </w:rPr>
                    <w:t>$50m</w:t>
                  </w:r>
                  <w:r w:rsidR="0038520A">
                    <w:rPr>
                      <w:rFonts w:ascii="Arial" w:hAnsi="Arial" w:cs="Arial"/>
                      <w:color w:val="000000"/>
                      <w:sz w:val="16"/>
                      <w:szCs w:val="16"/>
                    </w:rPr>
                    <w:t xml:space="preserve"> – </w:t>
                  </w:r>
                  <w:r w:rsidRPr="00986F63">
                    <w:rPr>
                      <w:rFonts w:ascii="Arial" w:hAnsi="Arial" w:cs="Arial"/>
                      <w:color w:val="000000"/>
                      <w:sz w:val="16"/>
                      <w:szCs w:val="16"/>
                    </w:rPr>
                    <w:t>$250m</w:t>
                  </w:r>
                </w:p>
              </w:tc>
              <w:tc>
                <w:tcPr>
                  <w:tcW w:w="1097" w:type="pct"/>
                  <w:tcBorders>
                    <w:top w:val="nil"/>
                    <w:left w:val="nil"/>
                    <w:bottom w:val="nil"/>
                    <w:right w:val="nil"/>
                  </w:tcBorders>
                  <w:shd w:val="clear" w:color="000000" w:fill="F2F9FC"/>
                  <w:noWrap/>
                  <w:vAlign w:val="bottom"/>
                  <w:hideMark/>
                </w:tcPr>
                <w:p w14:paraId="4315BF10"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3,790</w:t>
                  </w:r>
                </w:p>
              </w:tc>
              <w:tc>
                <w:tcPr>
                  <w:tcW w:w="857" w:type="pct"/>
                  <w:tcBorders>
                    <w:top w:val="nil"/>
                    <w:left w:val="nil"/>
                    <w:bottom w:val="nil"/>
                    <w:right w:val="nil"/>
                  </w:tcBorders>
                  <w:shd w:val="clear" w:color="000000" w:fill="F2F9FC"/>
                  <w:noWrap/>
                  <w:vAlign w:val="bottom"/>
                  <w:hideMark/>
                </w:tcPr>
                <w:p w14:paraId="344FB1B7"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0.4</w:t>
                  </w:r>
                </w:p>
              </w:tc>
              <w:tc>
                <w:tcPr>
                  <w:tcW w:w="829" w:type="pct"/>
                  <w:tcBorders>
                    <w:top w:val="nil"/>
                    <w:left w:val="nil"/>
                    <w:bottom w:val="nil"/>
                    <w:right w:val="nil"/>
                  </w:tcBorders>
                  <w:shd w:val="clear" w:color="000000" w:fill="FFFFFF"/>
                  <w:noWrap/>
                  <w:vAlign w:val="bottom"/>
                  <w:hideMark/>
                </w:tcPr>
                <w:p w14:paraId="70617858"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5.2</w:t>
                  </w:r>
                </w:p>
              </w:tc>
              <w:tc>
                <w:tcPr>
                  <w:tcW w:w="828" w:type="pct"/>
                  <w:tcBorders>
                    <w:top w:val="nil"/>
                    <w:left w:val="nil"/>
                    <w:bottom w:val="nil"/>
                    <w:right w:val="nil"/>
                  </w:tcBorders>
                  <w:shd w:val="clear" w:color="000000" w:fill="FFFFFF"/>
                  <w:noWrap/>
                  <w:vAlign w:val="bottom"/>
                  <w:hideMark/>
                </w:tcPr>
                <w:p w14:paraId="6652B104"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7.4</w:t>
                  </w:r>
                </w:p>
              </w:tc>
            </w:tr>
            <w:tr w:rsidR="00C6094D" w:rsidRPr="00986F63" w14:paraId="48BDF416" w14:textId="77777777" w:rsidTr="00A959B4">
              <w:trPr>
                <w:trHeight w:hRule="exact" w:val="300"/>
              </w:trPr>
              <w:tc>
                <w:tcPr>
                  <w:tcW w:w="1389" w:type="pct"/>
                  <w:tcBorders>
                    <w:top w:val="nil"/>
                    <w:left w:val="nil"/>
                    <w:bottom w:val="nil"/>
                    <w:right w:val="nil"/>
                  </w:tcBorders>
                  <w:shd w:val="clear" w:color="000000" w:fill="FFFFFF"/>
                  <w:noWrap/>
                  <w:vAlign w:val="bottom"/>
                  <w:hideMark/>
                </w:tcPr>
                <w:p w14:paraId="647822F2" w14:textId="321EA39E" w:rsidR="00C6094D" w:rsidRPr="00986F63" w:rsidRDefault="00C6094D" w:rsidP="00C6094D">
                  <w:pPr>
                    <w:spacing w:before="0" w:after="0"/>
                    <w:rPr>
                      <w:rFonts w:ascii="Arial" w:hAnsi="Arial" w:cs="Arial"/>
                      <w:color w:val="000000"/>
                      <w:sz w:val="16"/>
                      <w:szCs w:val="16"/>
                    </w:rPr>
                  </w:pPr>
                  <w:r w:rsidRPr="00986F63">
                    <w:rPr>
                      <w:rFonts w:ascii="Arial" w:hAnsi="Arial" w:cs="Arial"/>
                      <w:color w:val="000000"/>
                      <w:sz w:val="16"/>
                      <w:szCs w:val="16"/>
                    </w:rPr>
                    <w:t>$250m</w:t>
                  </w:r>
                  <w:r w:rsidR="0038520A">
                    <w:rPr>
                      <w:rFonts w:ascii="Arial" w:hAnsi="Arial" w:cs="Arial"/>
                      <w:color w:val="000000"/>
                      <w:sz w:val="16"/>
                      <w:szCs w:val="16"/>
                    </w:rPr>
                    <w:noBreakHyphen/>
                  </w:r>
                  <w:r w:rsidRPr="00986F63">
                    <w:rPr>
                      <w:rFonts w:ascii="Arial" w:hAnsi="Arial" w:cs="Arial"/>
                      <w:color w:val="000000"/>
                      <w:sz w:val="16"/>
                      <w:szCs w:val="16"/>
                    </w:rPr>
                    <w:t>$1b</w:t>
                  </w:r>
                </w:p>
              </w:tc>
              <w:tc>
                <w:tcPr>
                  <w:tcW w:w="1097" w:type="pct"/>
                  <w:tcBorders>
                    <w:top w:val="nil"/>
                    <w:left w:val="nil"/>
                    <w:bottom w:val="nil"/>
                    <w:right w:val="nil"/>
                  </w:tcBorders>
                  <w:shd w:val="clear" w:color="000000" w:fill="F2F9FC"/>
                  <w:noWrap/>
                  <w:vAlign w:val="bottom"/>
                  <w:hideMark/>
                </w:tcPr>
                <w:p w14:paraId="6FE18995"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1,386</w:t>
                  </w:r>
                </w:p>
              </w:tc>
              <w:tc>
                <w:tcPr>
                  <w:tcW w:w="857" w:type="pct"/>
                  <w:tcBorders>
                    <w:top w:val="nil"/>
                    <w:left w:val="nil"/>
                    <w:bottom w:val="nil"/>
                    <w:right w:val="nil"/>
                  </w:tcBorders>
                  <w:shd w:val="clear" w:color="000000" w:fill="F2F9FC"/>
                  <w:noWrap/>
                  <w:vAlign w:val="bottom"/>
                  <w:hideMark/>
                </w:tcPr>
                <w:p w14:paraId="3A681A02"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0.1</w:t>
                  </w:r>
                </w:p>
              </w:tc>
              <w:tc>
                <w:tcPr>
                  <w:tcW w:w="829" w:type="pct"/>
                  <w:tcBorders>
                    <w:top w:val="nil"/>
                    <w:left w:val="nil"/>
                    <w:bottom w:val="nil"/>
                    <w:right w:val="nil"/>
                  </w:tcBorders>
                  <w:shd w:val="clear" w:color="000000" w:fill="FFFFFF"/>
                  <w:noWrap/>
                  <w:vAlign w:val="bottom"/>
                  <w:hideMark/>
                </w:tcPr>
                <w:p w14:paraId="46BA8263"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4</w:t>
                  </w:r>
                </w:p>
              </w:tc>
              <w:tc>
                <w:tcPr>
                  <w:tcW w:w="828" w:type="pct"/>
                  <w:tcBorders>
                    <w:top w:val="nil"/>
                    <w:left w:val="nil"/>
                    <w:bottom w:val="nil"/>
                    <w:right w:val="nil"/>
                  </w:tcBorders>
                  <w:shd w:val="clear" w:color="000000" w:fill="FFFFFF"/>
                  <w:noWrap/>
                  <w:vAlign w:val="bottom"/>
                  <w:hideMark/>
                </w:tcPr>
                <w:p w14:paraId="7C28EAA0"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5.7</w:t>
                  </w:r>
                </w:p>
              </w:tc>
            </w:tr>
            <w:tr w:rsidR="00C6094D" w:rsidRPr="00986F63" w14:paraId="10849E5E" w14:textId="77777777" w:rsidTr="00A959B4">
              <w:trPr>
                <w:trHeight w:hRule="exact" w:val="300"/>
              </w:trPr>
              <w:tc>
                <w:tcPr>
                  <w:tcW w:w="1389" w:type="pct"/>
                  <w:tcBorders>
                    <w:top w:val="nil"/>
                    <w:left w:val="nil"/>
                    <w:bottom w:val="nil"/>
                    <w:right w:val="nil"/>
                  </w:tcBorders>
                  <w:shd w:val="clear" w:color="000000" w:fill="FFFFFF"/>
                  <w:noWrap/>
                  <w:vAlign w:val="bottom"/>
                  <w:hideMark/>
                </w:tcPr>
                <w:p w14:paraId="3A49C27D" w14:textId="77777777" w:rsidR="00C6094D" w:rsidRPr="00986F63" w:rsidRDefault="00C6094D" w:rsidP="00C6094D">
                  <w:pPr>
                    <w:spacing w:before="0" w:after="0"/>
                    <w:rPr>
                      <w:rFonts w:ascii="Arial" w:hAnsi="Arial" w:cs="Arial"/>
                      <w:color w:val="000000"/>
                      <w:sz w:val="16"/>
                      <w:szCs w:val="16"/>
                    </w:rPr>
                  </w:pPr>
                  <w:r w:rsidRPr="00986F63">
                    <w:rPr>
                      <w:rFonts w:ascii="Arial" w:hAnsi="Arial" w:cs="Arial"/>
                      <w:color w:val="000000"/>
                      <w:sz w:val="16"/>
                      <w:szCs w:val="16"/>
                    </w:rPr>
                    <w:t>Above $1b</w:t>
                  </w:r>
                </w:p>
              </w:tc>
              <w:tc>
                <w:tcPr>
                  <w:tcW w:w="1097" w:type="pct"/>
                  <w:tcBorders>
                    <w:top w:val="nil"/>
                    <w:left w:val="nil"/>
                    <w:bottom w:val="nil"/>
                    <w:right w:val="nil"/>
                  </w:tcBorders>
                  <w:shd w:val="clear" w:color="000000" w:fill="F2F9FC"/>
                  <w:noWrap/>
                  <w:vAlign w:val="bottom"/>
                  <w:hideMark/>
                </w:tcPr>
                <w:p w14:paraId="3AB70EBA"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965</w:t>
                  </w:r>
                </w:p>
              </w:tc>
              <w:tc>
                <w:tcPr>
                  <w:tcW w:w="857" w:type="pct"/>
                  <w:tcBorders>
                    <w:top w:val="nil"/>
                    <w:left w:val="nil"/>
                    <w:bottom w:val="nil"/>
                    <w:right w:val="nil"/>
                  </w:tcBorders>
                  <w:shd w:val="clear" w:color="000000" w:fill="F2F9FC"/>
                  <w:noWrap/>
                  <w:vAlign w:val="bottom"/>
                  <w:hideMark/>
                </w:tcPr>
                <w:p w14:paraId="1BBCBCD4"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0.1</w:t>
                  </w:r>
                </w:p>
              </w:tc>
              <w:tc>
                <w:tcPr>
                  <w:tcW w:w="829" w:type="pct"/>
                  <w:tcBorders>
                    <w:top w:val="nil"/>
                    <w:left w:val="nil"/>
                    <w:bottom w:val="nil"/>
                    <w:right w:val="nil"/>
                  </w:tcBorders>
                  <w:shd w:val="clear" w:color="000000" w:fill="FFFFFF"/>
                  <w:noWrap/>
                  <w:vAlign w:val="bottom"/>
                  <w:hideMark/>
                </w:tcPr>
                <w:p w14:paraId="32A4E0E4"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3.5</w:t>
                  </w:r>
                </w:p>
              </w:tc>
              <w:tc>
                <w:tcPr>
                  <w:tcW w:w="828" w:type="pct"/>
                  <w:tcBorders>
                    <w:top w:val="nil"/>
                    <w:left w:val="nil"/>
                    <w:bottom w:val="nil"/>
                    <w:right w:val="nil"/>
                  </w:tcBorders>
                  <w:shd w:val="clear" w:color="000000" w:fill="FFFFFF"/>
                  <w:noWrap/>
                  <w:vAlign w:val="bottom"/>
                  <w:hideMark/>
                </w:tcPr>
                <w:p w14:paraId="7A54566D"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5.0</w:t>
                  </w:r>
                </w:p>
              </w:tc>
            </w:tr>
            <w:tr w:rsidR="00C6094D" w:rsidRPr="00986F63" w14:paraId="70CADD0A" w14:textId="77777777" w:rsidTr="00A959B4">
              <w:trPr>
                <w:trHeight w:hRule="exact" w:val="300"/>
              </w:trPr>
              <w:tc>
                <w:tcPr>
                  <w:tcW w:w="1389" w:type="pct"/>
                  <w:tcBorders>
                    <w:top w:val="nil"/>
                    <w:left w:val="nil"/>
                    <w:bottom w:val="nil"/>
                    <w:right w:val="nil"/>
                  </w:tcBorders>
                  <w:shd w:val="clear" w:color="000000" w:fill="FFFFFF"/>
                  <w:noWrap/>
                  <w:vAlign w:val="bottom"/>
                  <w:hideMark/>
                </w:tcPr>
                <w:p w14:paraId="4ABC3EE9" w14:textId="3AE8E3E2" w:rsidR="00C6094D" w:rsidRPr="00986F63" w:rsidRDefault="00C6094D" w:rsidP="00C6094D">
                  <w:pPr>
                    <w:spacing w:before="0" w:after="0"/>
                    <w:rPr>
                      <w:rFonts w:ascii="Arial" w:hAnsi="Arial" w:cs="Arial"/>
                      <w:color w:val="000000"/>
                      <w:sz w:val="16"/>
                      <w:szCs w:val="16"/>
                    </w:rPr>
                  </w:pPr>
                  <w:r w:rsidRPr="00986F63">
                    <w:rPr>
                      <w:rFonts w:ascii="Arial" w:hAnsi="Arial" w:cs="Arial"/>
                      <w:color w:val="000000"/>
                      <w:sz w:val="16"/>
                      <w:szCs w:val="16"/>
                    </w:rPr>
                    <w:t xml:space="preserve">Not </w:t>
                  </w:r>
                  <w:r w:rsidR="00676075" w:rsidRPr="00986F63">
                    <w:rPr>
                      <w:rFonts w:ascii="Arial" w:hAnsi="Arial" w:cs="Arial"/>
                      <w:color w:val="000000"/>
                      <w:sz w:val="16"/>
                      <w:szCs w:val="16"/>
                    </w:rPr>
                    <w:t>for</w:t>
                  </w:r>
                  <w:r w:rsidRPr="00986F63">
                    <w:rPr>
                      <w:rFonts w:ascii="Arial" w:hAnsi="Arial" w:cs="Arial"/>
                      <w:color w:val="000000"/>
                      <w:sz w:val="16"/>
                      <w:szCs w:val="16"/>
                    </w:rPr>
                    <w:t xml:space="preserve"> Profit</w:t>
                  </w:r>
                </w:p>
              </w:tc>
              <w:tc>
                <w:tcPr>
                  <w:tcW w:w="1097" w:type="pct"/>
                  <w:tcBorders>
                    <w:top w:val="nil"/>
                    <w:left w:val="nil"/>
                    <w:bottom w:val="nil"/>
                    <w:right w:val="nil"/>
                  </w:tcBorders>
                  <w:shd w:val="clear" w:color="000000" w:fill="F2F9FC"/>
                  <w:noWrap/>
                  <w:vAlign w:val="bottom"/>
                  <w:hideMark/>
                </w:tcPr>
                <w:p w14:paraId="32C6446A"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18,779</w:t>
                  </w:r>
                </w:p>
              </w:tc>
              <w:tc>
                <w:tcPr>
                  <w:tcW w:w="857" w:type="pct"/>
                  <w:tcBorders>
                    <w:top w:val="nil"/>
                    <w:left w:val="nil"/>
                    <w:bottom w:val="nil"/>
                    <w:right w:val="nil"/>
                  </w:tcBorders>
                  <w:shd w:val="clear" w:color="000000" w:fill="F2F9FC"/>
                  <w:noWrap/>
                  <w:vAlign w:val="bottom"/>
                  <w:hideMark/>
                </w:tcPr>
                <w:p w14:paraId="7B3B7331"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1.8</w:t>
                  </w:r>
                </w:p>
              </w:tc>
              <w:tc>
                <w:tcPr>
                  <w:tcW w:w="829" w:type="pct"/>
                  <w:tcBorders>
                    <w:top w:val="nil"/>
                    <w:left w:val="nil"/>
                    <w:bottom w:val="nil"/>
                    <w:right w:val="nil"/>
                  </w:tcBorders>
                  <w:shd w:val="clear" w:color="000000" w:fill="FFFFFF"/>
                  <w:noWrap/>
                  <w:vAlign w:val="bottom"/>
                  <w:hideMark/>
                </w:tcPr>
                <w:p w14:paraId="32BF1317"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7.8</w:t>
                  </w:r>
                </w:p>
              </w:tc>
              <w:tc>
                <w:tcPr>
                  <w:tcW w:w="828" w:type="pct"/>
                  <w:tcBorders>
                    <w:top w:val="nil"/>
                    <w:left w:val="nil"/>
                    <w:bottom w:val="nil"/>
                    <w:right w:val="nil"/>
                  </w:tcBorders>
                  <w:shd w:val="clear" w:color="000000" w:fill="FFFFFF"/>
                  <w:noWrap/>
                  <w:vAlign w:val="bottom"/>
                  <w:hideMark/>
                </w:tcPr>
                <w:p w14:paraId="674C2F99"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11.1</w:t>
                  </w:r>
                </w:p>
              </w:tc>
            </w:tr>
            <w:tr w:rsidR="00C6094D" w:rsidRPr="00986F63" w14:paraId="65AD3991" w14:textId="77777777" w:rsidTr="00A959B4">
              <w:trPr>
                <w:trHeight w:hRule="exact" w:val="300"/>
              </w:trPr>
              <w:tc>
                <w:tcPr>
                  <w:tcW w:w="1389" w:type="pct"/>
                  <w:tcBorders>
                    <w:top w:val="nil"/>
                    <w:left w:val="nil"/>
                    <w:bottom w:val="single" w:sz="4" w:space="0" w:color="3A6FAF" w:themeColor="accent2"/>
                    <w:right w:val="nil"/>
                  </w:tcBorders>
                  <w:shd w:val="clear" w:color="000000" w:fill="FFFFFF"/>
                  <w:noWrap/>
                  <w:vAlign w:val="bottom"/>
                  <w:hideMark/>
                </w:tcPr>
                <w:p w14:paraId="318ECE62" w14:textId="77777777" w:rsidR="00C6094D" w:rsidRPr="00986F63" w:rsidRDefault="00C6094D" w:rsidP="00C6094D">
                  <w:pPr>
                    <w:spacing w:before="0" w:after="0"/>
                    <w:rPr>
                      <w:rFonts w:ascii="Arial" w:hAnsi="Arial" w:cs="Arial"/>
                      <w:color w:val="000000"/>
                      <w:sz w:val="16"/>
                      <w:szCs w:val="16"/>
                    </w:rPr>
                  </w:pPr>
                  <w:r w:rsidRPr="00986F63">
                    <w:rPr>
                      <w:rFonts w:ascii="Arial" w:hAnsi="Arial" w:cs="Arial"/>
                      <w:color w:val="000000"/>
                      <w:sz w:val="16"/>
                      <w:szCs w:val="16"/>
                    </w:rPr>
                    <w:t>Not assigned</w:t>
                  </w:r>
                </w:p>
              </w:tc>
              <w:tc>
                <w:tcPr>
                  <w:tcW w:w="1097" w:type="pct"/>
                  <w:tcBorders>
                    <w:top w:val="nil"/>
                    <w:left w:val="nil"/>
                    <w:bottom w:val="single" w:sz="4" w:space="0" w:color="3A6FAF" w:themeColor="accent2"/>
                    <w:right w:val="nil"/>
                  </w:tcBorders>
                  <w:shd w:val="clear" w:color="000000" w:fill="F2F9FC"/>
                  <w:noWrap/>
                  <w:vAlign w:val="bottom"/>
                  <w:hideMark/>
                </w:tcPr>
                <w:p w14:paraId="4E9041EB"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6,126</w:t>
                  </w:r>
                </w:p>
              </w:tc>
              <w:tc>
                <w:tcPr>
                  <w:tcW w:w="857" w:type="pct"/>
                  <w:tcBorders>
                    <w:top w:val="nil"/>
                    <w:left w:val="nil"/>
                    <w:bottom w:val="single" w:sz="4" w:space="0" w:color="3A6FAF" w:themeColor="accent2"/>
                    <w:right w:val="nil"/>
                  </w:tcBorders>
                  <w:shd w:val="clear" w:color="000000" w:fill="F2F9FC"/>
                  <w:noWrap/>
                  <w:vAlign w:val="bottom"/>
                  <w:hideMark/>
                </w:tcPr>
                <w:p w14:paraId="0F3DB6AE"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0.6</w:t>
                  </w:r>
                </w:p>
              </w:tc>
              <w:tc>
                <w:tcPr>
                  <w:tcW w:w="829" w:type="pct"/>
                  <w:tcBorders>
                    <w:top w:val="nil"/>
                    <w:left w:val="nil"/>
                    <w:bottom w:val="single" w:sz="4" w:space="0" w:color="3A6FAF" w:themeColor="accent2"/>
                    <w:right w:val="nil"/>
                  </w:tcBorders>
                  <w:shd w:val="clear" w:color="000000" w:fill="FFFFFF"/>
                  <w:noWrap/>
                  <w:vAlign w:val="bottom"/>
                  <w:hideMark/>
                </w:tcPr>
                <w:p w14:paraId="4D95F0AD"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0.1</w:t>
                  </w:r>
                </w:p>
              </w:tc>
              <w:tc>
                <w:tcPr>
                  <w:tcW w:w="828" w:type="pct"/>
                  <w:tcBorders>
                    <w:top w:val="nil"/>
                    <w:left w:val="nil"/>
                    <w:bottom w:val="single" w:sz="4" w:space="0" w:color="3A6FAF" w:themeColor="accent2"/>
                    <w:right w:val="nil"/>
                  </w:tcBorders>
                  <w:shd w:val="clear" w:color="000000" w:fill="FFFFFF"/>
                  <w:noWrap/>
                  <w:vAlign w:val="bottom"/>
                  <w:hideMark/>
                </w:tcPr>
                <w:p w14:paraId="0C3EF0EC"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0.1</w:t>
                  </w:r>
                </w:p>
              </w:tc>
            </w:tr>
            <w:tr w:rsidR="00C6094D" w:rsidRPr="00986F63" w14:paraId="3D83B6C4" w14:textId="77777777" w:rsidTr="00A959B4">
              <w:trPr>
                <w:trHeight w:hRule="exact" w:val="300"/>
              </w:trPr>
              <w:tc>
                <w:tcPr>
                  <w:tcW w:w="1389" w:type="pct"/>
                  <w:tcBorders>
                    <w:top w:val="single" w:sz="4" w:space="0" w:color="3A6FAF" w:themeColor="accent2"/>
                    <w:left w:val="nil"/>
                    <w:bottom w:val="single" w:sz="4" w:space="0" w:color="3A6FAF" w:themeColor="accent2"/>
                    <w:right w:val="nil"/>
                  </w:tcBorders>
                  <w:shd w:val="clear" w:color="000000" w:fill="FFFFFF"/>
                  <w:noWrap/>
                  <w:vAlign w:val="bottom"/>
                  <w:hideMark/>
                </w:tcPr>
                <w:p w14:paraId="4186537B" w14:textId="77777777" w:rsidR="00C6094D" w:rsidRPr="00986F63" w:rsidRDefault="00C6094D" w:rsidP="00C6094D">
                  <w:pPr>
                    <w:spacing w:before="0" w:after="0"/>
                    <w:rPr>
                      <w:rFonts w:ascii="Arial" w:hAnsi="Arial" w:cs="Arial"/>
                      <w:b/>
                      <w:bCs/>
                      <w:color w:val="000000"/>
                      <w:sz w:val="16"/>
                      <w:szCs w:val="16"/>
                    </w:rPr>
                  </w:pPr>
                  <w:r w:rsidRPr="00986F63">
                    <w:rPr>
                      <w:rFonts w:ascii="Arial" w:hAnsi="Arial" w:cs="Arial"/>
                      <w:b/>
                      <w:bCs/>
                      <w:color w:val="000000"/>
                      <w:sz w:val="16"/>
                      <w:szCs w:val="16"/>
                    </w:rPr>
                    <w:t>Total</w:t>
                  </w:r>
                </w:p>
              </w:tc>
              <w:tc>
                <w:tcPr>
                  <w:tcW w:w="1097" w:type="pct"/>
                  <w:tcBorders>
                    <w:top w:val="single" w:sz="4" w:space="0" w:color="3A6FAF" w:themeColor="accent2"/>
                    <w:left w:val="nil"/>
                    <w:bottom w:val="single" w:sz="4" w:space="0" w:color="3A6FAF" w:themeColor="accent2"/>
                    <w:right w:val="nil"/>
                  </w:tcBorders>
                  <w:shd w:val="clear" w:color="000000" w:fill="F2F9FC"/>
                  <w:noWrap/>
                  <w:vAlign w:val="bottom"/>
                  <w:hideMark/>
                </w:tcPr>
                <w:p w14:paraId="593D6D6C" w14:textId="77777777" w:rsidR="00C6094D" w:rsidRPr="00986F63" w:rsidRDefault="00C6094D" w:rsidP="00C6094D">
                  <w:pPr>
                    <w:spacing w:before="0" w:after="0"/>
                    <w:ind w:firstLineChars="100" w:firstLine="161"/>
                    <w:jc w:val="right"/>
                    <w:rPr>
                      <w:rFonts w:ascii="Arial" w:hAnsi="Arial" w:cs="Arial"/>
                      <w:b/>
                      <w:bCs/>
                      <w:color w:val="000000"/>
                      <w:sz w:val="16"/>
                      <w:szCs w:val="16"/>
                    </w:rPr>
                  </w:pPr>
                  <w:r w:rsidRPr="00986F63">
                    <w:rPr>
                      <w:rFonts w:ascii="Arial" w:hAnsi="Arial" w:cs="Arial"/>
                      <w:b/>
                      <w:bCs/>
                      <w:color w:val="000000"/>
                      <w:sz w:val="16"/>
                      <w:szCs w:val="16"/>
                    </w:rPr>
                    <w:t>1,046,544</w:t>
                  </w:r>
                </w:p>
              </w:tc>
              <w:tc>
                <w:tcPr>
                  <w:tcW w:w="857" w:type="pct"/>
                  <w:tcBorders>
                    <w:top w:val="single" w:sz="4" w:space="0" w:color="3A6FAF" w:themeColor="accent2"/>
                    <w:left w:val="nil"/>
                    <w:bottom w:val="single" w:sz="4" w:space="0" w:color="3A6FAF" w:themeColor="accent2"/>
                    <w:right w:val="nil"/>
                  </w:tcBorders>
                  <w:shd w:val="clear" w:color="000000" w:fill="F2F9FC"/>
                  <w:noWrap/>
                  <w:vAlign w:val="bottom"/>
                  <w:hideMark/>
                </w:tcPr>
                <w:p w14:paraId="249BBCFA" w14:textId="77777777" w:rsidR="00C6094D" w:rsidRPr="00986F63" w:rsidRDefault="00C6094D" w:rsidP="00C6094D">
                  <w:pPr>
                    <w:spacing w:before="0" w:after="0"/>
                    <w:ind w:firstLineChars="100" w:firstLine="161"/>
                    <w:jc w:val="right"/>
                    <w:rPr>
                      <w:rFonts w:ascii="Arial" w:hAnsi="Arial" w:cs="Arial"/>
                      <w:b/>
                      <w:bCs/>
                      <w:color w:val="000000"/>
                      <w:sz w:val="16"/>
                      <w:szCs w:val="16"/>
                    </w:rPr>
                  </w:pPr>
                  <w:r w:rsidRPr="00986F63">
                    <w:rPr>
                      <w:rFonts w:ascii="Arial" w:hAnsi="Arial" w:cs="Arial"/>
                      <w:b/>
                      <w:bCs/>
                      <w:color w:val="000000"/>
                      <w:sz w:val="16"/>
                      <w:szCs w:val="16"/>
                    </w:rPr>
                    <w:t> </w:t>
                  </w:r>
                </w:p>
              </w:tc>
              <w:tc>
                <w:tcPr>
                  <w:tcW w:w="829" w:type="pct"/>
                  <w:tcBorders>
                    <w:top w:val="single" w:sz="4" w:space="0" w:color="3A6FAF" w:themeColor="accent2"/>
                    <w:left w:val="nil"/>
                    <w:bottom w:val="single" w:sz="4" w:space="0" w:color="3A6FAF" w:themeColor="accent2"/>
                    <w:right w:val="nil"/>
                  </w:tcBorders>
                  <w:shd w:val="clear" w:color="000000" w:fill="FFFFFF"/>
                  <w:noWrap/>
                  <w:vAlign w:val="bottom"/>
                  <w:hideMark/>
                </w:tcPr>
                <w:p w14:paraId="05AD7626" w14:textId="77777777" w:rsidR="00C6094D" w:rsidRPr="00986F63" w:rsidRDefault="00C6094D" w:rsidP="00C6094D">
                  <w:pPr>
                    <w:spacing w:before="0" w:after="0"/>
                    <w:ind w:firstLineChars="100" w:firstLine="161"/>
                    <w:jc w:val="right"/>
                    <w:rPr>
                      <w:rFonts w:ascii="Arial" w:hAnsi="Arial" w:cs="Arial"/>
                      <w:b/>
                      <w:bCs/>
                      <w:color w:val="000000"/>
                      <w:sz w:val="16"/>
                      <w:szCs w:val="16"/>
                    </w:rPr>
                  </w:pPr>
                  <w:r w:rsidRPr="00986F63">
                    <w:rPr>
                      <w:rFonts w:ascii="Arial" w:hAnsi="Arial" w:cs="Arial"/>
                      <w:b/>
                      <w:bCs/>
                      <w:color w:val="000000"/>
                      <w:sz w:val="16"/>
                      <w:szCs w:val="16"/>
                    </w:rPr>
                    <w:t>70.0</w:t>
                  </w:r>
                </w:p>
              </w:tc>
              <w:tc>
                <w:tcPr>
                  <w:tcW w:w="828" w:type="pct"/>
                  <w:tcBorders>
                    <w:top w:val="single" w:sz="4" w:space="0" w:color="3A6FAF" w:themeColor="accent2"/>
                    <w:left w:val="nil"/>
                    <w:bottom w:val="single" w:sz="4" w:space="0" w:color="3A6FAF" w:themeColor="accent2"/>
                    <w:right w:val="nil"/>
                  </w:tcBorders>
                  <w:shd w:val="clear" w:color="000000" w:fill="FFFFFF"/>
                  <w:noWrap/>
                  <w:vAlign w:val="bottom"/>
                  <w:hideMark/>
                </w:tcPr>
                <w:p w14:paraId="6A9A538A" w14:textId="77777777" w:rsidR="00C6094D" w:rsidRPr="00986F63" w:rsidRDefault="00C6094D" w:rsidP="00C6094D">
                  <w:pPr>
                    <w:spacing w:before="0" w:after="0"/>
                    <w:ind w:firstLineChars="100" w:firstLine="160"/>
                    <w:jc w:val="right"/>
                    <w:rPr>
                      <w:rFonts w:ascii="Arial" w:hAnsi="Arial" w:cs="Arial"/>
                      <w:color w:val="000000"/>
                      <w:sz w:val="16"/>
                      <w:szCs w:val="16"/>
                    </w:rPr>
                  </w:pPr>
                  <w:r w:rsidRPr="00986F63">
                    <w:rPr>
                      <w:rFonts w:ascii="Arial" w:hAnsi="Arial" w:cs="Arial"/>
                      <w:color w:val="000000"/>
                      <w:sz w:val="16"/>
                      <w:szCs w:val="16"/>
                    </w:rPr>
                    <w:t> </w:t>
                  </w:r>
                </w:p>
              </w:tc>
            </w:tr>
          </w:tbl>
          <w:p w14:paraId="2AAF464A" w14:textId="77777777" w:rsidR="00C6094D" w:rsidRDefault="00C6094D" w:rsidP="00C6094D">
            <w:pPr>
              <w:pStyle w:val="ChartSecondHeading"/>
            </w:pPr>
          </w:p>
        </w:tc>
      </w:tr>
      <w:tr w:rsidR="00AF13DF" w14:paraId="7167A367" w14:textId="77777777" w:rsidTr="00B94B2C">
        <w:trPr>
          <w:cantSplit/>
          <w:trHeight w:val="4536"/>
        </w:trPr>
        <w:tc>
          <w:tcPr>
            <w:tcW w:w="2499" w:type="pct"/>
          </w:tcPr>
          <w:p w14:paraId="0BFEE168" w14:textId="1CED2B54" w:rsidR="005F5887" w:rsidRDefault="00AF13DF" w:rsidP="0034367C">
            <w:pPr>
              <w:pStyle w:val="ChartSecondHeading"/>
              <w:rPr>
                <w:noProof/>
              </w:rPr>
            </w:pPr>
            <w:r>
              <w:br w:type="page"/>
            </w:r>
            <w:r w:rsidR="00690FCF">
              <w:t>c</w:t>
            </w:r>
            <w:r w:rsidR="002B53E6" w:rsidRPr="002B53E6">
              <w:t>.</w:t>
            </w:r>
            <w:r w:rsidR="002B53E6">
              <w:t xml:space="preserve"> Entity type</w:t>
            </w:r>
          </w:p>
          <w:p w14:paraId="067DE1D2" w14:textId="171E99CC" w:rsidR="00AF13DF" w:rsidRDefault="00986F63" w:rsidP="004B36C2">
            <w:pPr>
              <w:pStyle w:val="ChartGraphic"/>
            </w:pPr>
            <w:r>
              <w:rPr>
                <w:noProof/>
              </w:rPr>
              <w:drawing>
                <wp:inline distT="0" distB="0" distL="0" distR="0" wp14:anchorId="4CB42D9D" wp14:editId="12063695">
                  <wp:extent cx="2810510" cy="2883535"/>
                  <wp:effectExtent l="0" t="0" r="8890" b="0"/>
                  <wp:docPr id="29" name="Picture 29" descr="Panel C plots the share of payments and entities over the first JobKeeper phase, by type of entity. Sole traders were the most common entity type, accounting for 41 per cent of all entities supported by JobKeeper. However, sole traders only accounted for 12 per cent of payments as most of them were non-employing. Companies accounted for around 38 per cent of entities and 68 per cent of payments. Data underlying figure 5c can be found at Table 5b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nel C plots the share of payments and entities over the first JobKeeper phase, by type of entity. Sole traders were the most common entity type, accounting for 41 per cent of all entities supported by JobKeeper. However, sole traders only accounted for 12 per cent of payments as most of them were non-employing. Companies accounted for around 38 per cent of entities and 68 per cent of payments. Data underlying figure 5c can be found at Table 5b in Appendix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0510" cy="2883535"/>
                          </a:xfrm>
                          <a:prstGeom prst="rect">
                            <a:avLst/>
                          </a:prstGeom>
                          <a:noFill/>
                        </pic:spPr>
                      </pic:pic>
                    </a:graphicData>
                  </a:graphic>
                </wp:inline>
              </w:drawing>
            </w:r>
          </w:p>
        </w:tc>
        <w:tc>
          <w:tcPr>
            <w:tcW w:w="2501" w:type="pct"/>
          </w:tcPr>
          <w:p w14:paraId="272AB76E" w14:textId="5E0F392D" w:rsidR="005F5887" w:rsidRDefault="00690FCF" w:rsidP="003E7BD1">
            <w:pPr>
              <w:pStyle w:val="ChartSecondHeading"/>
            </w:pPr>
            <w:r>
              <w:t>d</w:t>
            </w:r>
            <w:r w:rsidR="002B53E6">
              <w:t>. State</w:t>
            </w:r>
          </w:p>
          <w:p w14:paraId="264CF534" w14:textId="293E7538" w:rsidR="00AF13DF" w:rsidRDefault="00986F63" w:rsidP="004B36C2">
            <w:pPr>
              <w:pStyle w:val="ChartGraphic"/>
            </w:pPr>
            <w:r>
              <w:rPr>
                <w:noProof/>
              </w:rPr>
              <w:drawing>
                <wp:inline distT="0" distB="0" distL="0" distR="0" wp14:anchorId="64AEE9D8" wp14:editId="0CDF46CB">
                  <wp:extent cx="2810510" cy="2883535"/>
                  <wp:effectExtent l="0" t="0" r="8890" b="0"/>
                  <wp:docPr id="30" name="Picture 30" descr="Panel D plots the share of payments and entities over the first JobKeeper phase, by state and territory. New South Wales and Victoria together accounted for around two-thirds of all entities and payments. The share of payments is roughly in line with the share of entities for each state and territory. New South Wales had the largest share of JobKeeper entities and payments (34 per cent), followed by Victoria (30 per cent). Data underlying figure 5d can be found at Table 5c in Appendix 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nel D plots the share of payments and entities over the first JobKeeper phase, by state and territory. New South Wales and Victoria together accounted for around two-thirds of all entities and payments. The share of payments is roughly in line with the share of entities for each state and territory. New South Wales had the largest share of JobKeeper entities and payments (34 per cent), followed by Victoria (30 per cent). Data underlying figure 5d can be found at Table 5c in Appendix 1.&#10;&#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0510" cy="2883535"/>
                          </a:xfrm>
                          <a:prstGeom prst="rect">
                            <a:avLst/>
                          </a:prstGeom>
                          <a:noFill/>
                        </pic:spPr>
                      </pic:pic>
                    </a:graphicData>
                  </a:graphic>
                </wp:inline>
              </w:drawing>
            </w:r>
          </w:p>
        </w:tc>
      </w:tr>
    </w:tbl>
    <w:p w14:paraId="3BCD5E20" w14:textId="77777777" w:rsidR="00406F09" w:rsidRDefault="00406F09" w:rsidP="004C06B0">
      <w:pPr>
        <w:pStyle w:val="ChartorTableNote"/>
      </w:pPr>
      <w:r w:rsidRPr="004B21FE">
        <w:t>Note: Net payments is the payment disbursements after repayments from entities, excluding</w:t>
      </w:r>
      <w:r w:rsidRPr="00C72357">
        <w:t xml:space="preserve"> </w:t>
      </w:r>
      <w:r w:rsidRPr="004B21FE">
        <w:t>voluntary repayments</w:t>
      </w:r>
      <w:r w:rsidRPr="00C72357">
        <w:t>.</w:t>
      </w:r>
    </w:p>
    <w:p w14:paraId="612B91BB" w14:textId="1CE07BAD" w:rsidR="00AF13DF" w:rsidRDefault="00A15D55" w:rsidP="004C06B0">
      <w:pPr>
        <w:pStyle w:val="ChartorTableNote"/>
      </w:pPr>
      <w:r w:rsidRPr="00F65C5B">
        <w:t>Source: ATO administrative data.</w:t>
      </w:r>
    </w:p>
    <w:p w14:paraId="6AF56041" w14:textId="63F90586" w:rsidR="004B21FE" w:rsidRDefault="004B21FE" w:rsidP="00C65C88">
      <w:pPr>
        <w:pStyle w:val="ChartorTableNote"/>
      </w:pPr>
    </w:p>
    <w:p w14:paraId="44E2DBB7" w14:textId="68C69E3B" w:rsidR="002C73BA" w:rsidRPr="00F65C5B" w:rsidRDefault="002C73BA" w:rsidP="002C73BA">
      <w:pPr>
        <w:spacing w:after="200" w:line="276" w:lineRule="auto"/>
        <w:rPr>
          <w:sz w:val="18"/>
          <w:szCs w:val="16"/>
        </w:rPr>
      </w:pPr>
      <w:r w:rsidRPr="002C73BA">
        <w:br w:type="page"/>
      </w:r>
    </w:p>
    <w:p w14:paraId="4E13E414" w14:textId="77777777" w:rsidR="002C73BA" w:rsidRPr="002C73BA" w:rsidRDefault="002C73BA" w:rsidP="008843AE">
      <w:pPr>
        <w:pStyle w:val="Heading4"/>
      </w:pPr>
      <w:r w:rsidRPr="002C73BA">
        <w:lastRenderedPageBreak/>
        <w:t>Workforce coverage</w:t>
      </w:r>
    </w:p>
    <w:p w14:paraId="664210B7" w14:textId="7A3F01F6" w:rsidR="002C73BA" w:rsidRPr="00D53642" w:rsidRDefault="002C73BA" w:rsidP="009179BF">
      <w:pPr>
        <w:rPr>
          <w:lang w:val="en-US"/>
        </w:rPr>
      </w:pPr>
      <w:r w:rsidRPr="00D53642">
        <w:rPr>
          <w:lang w:val="en-US"/>
        </w:rPr>
        <w:t xml:space="preserve">As a </w:t>
      </w:r>
      <w:r w:rsidRPr="004138ED">
        <w:t>share</w:t>
      </w:r>
      <w:r w:rsidRPr="00D53642">
        <w:rPr>
          <w:lang w:val="en-US"/>
        </w:rPr>
        <w:t xml:space="preserve"> of employment, Victoria and </w:t>
      </w:r>
      <w:r w:rsidR="00A9500B">
        <w:rPr>
          <w:lang w:val="en-US"/>
        </w:rPr>
        <w:t>New South Wales</w:t>
      </w:r>
      <w:r w:rsidRPr="00D53642">
        <w:rPr>
          <w:lang w:val="en-US"/>
        </w:rPr>
        <w:t xml:space="preserve"> had the highest JobKeeper coverage and the </w:t>
      </w:r>
      <w:r w:rsidR="00A9500B">
        <w:rPr>
          <w:lang w:val="en-US"/>
        </w:rPr>
        <w:t>Northern Territory</w:t>
      </w:r>
      <w:r w:rsidR="00A9500B" w:rsidRPr="00D53642">
        <w:rPr>
          <w:lang w:val="en-US"/>
        </w:rPr>
        <w:t xml:space="preserve"> </w:t>
      </w:r>
      <w:r w:rsidRPr="00D53642">
        <w:rPr>
          <w:lang w:val="en-US"/>
        </w:rPr>
        <w:t>the lowest</w:t>
      </w:r>
      <w:r w:rsidR="00F843C0">
        <w:rPr>
          <w:lang w:val="en-US"/>
        </w:rPr>
        <w:t xml:space="preserve"> (Figure </w:t>
      </w:r>
      <w:r w:rsidR="0051426A">
        <w:rPr>
          <w:lang w:val="en-US"/>
        </w:rPr>
        <w:t>6</w:t>
      </w:r>
      <w:r w:rsidR="005F411B">
        <w:rPr>
          <w:lang w:val="en-US"/>
        </w:rPr>
        <w:t>a</w:t>
      </w:r>
      <w:r w:rsidR="00F843C0">
        <w:rPr>
          <w:lang w:val="en-US"/>
        </w:rPr>
        <w:t>)</w:t>
      </w:r>
      <w:r w:rsidRPr="00D53642">
        <w:rPr>
          <w:lang w:val="en-US"/>
        </w:rPr>
        <w:t>. While the number of JobKeeper</w:t>
      </w:r>
      <w:r w:rsidR="0038520A">
        <w:rPr>
          <w:lang w:val="en-US"/>
        </w:rPr>
        <w:noBreakHyphen/>
      </w:r>
      <w:r w:rsidRPr="00D53642">
        <w:rPr>
          <w:lang w:val="en-US"/>
        </w:rPr>
        <w:t>supported individuals peaked nationally in July (3.7</w:t>
      </w:r>
      <w:r w:rsidR="00D00C29">
        <w:rPr>
          <w:lang w:val="en-US"/>
        </w:rPr>
        <w:t xml:space="preserve"> </w:t>
      </w:r>
      <w:r w:rsidRPr="00D53642">
        <w:rPr>
          <w:lang w:val="en-US"/>
        </w:rPr>
        <w:t>m</w:t>
      </w:r>
      <w:r w:rsidR="00D00C29">
        <w:rPr>
          <w:lang w:val="en-US"/>
        </w:rPr>
        <w:t>illion</w:t>
      </w:r>
      <w:r w:rsidRPr="00D53642">
        <w:rPr>
          <w:lang w:val="en-US"/>
        </w:rPr>
        <w:t>), Victoria</w:t>
      </w:r>
      <w:r w:rsidR="0038520A">
        <w:rPr>
          <w:lang w:val="en-US"/>
        </w:rPr>
        <w:t>’</w:t>
      </w:r>
      <w:r w:rsidRPr="00D53642">
        <w:rPr>
          <w:lang w:val="en-US"/>
        </w:rPr>
        <w:t xml:space="preserve">s second </w:t>
      </w:r>
      <w:r w:rsidR="006D230D">
        <w:rPr>
          <w:lang w:val="en-US"/>
        </w:rPr>
        <w:t>COVID</w:t>
      </w:r>
      <w:r w:rsidR="0038520A">
        <w:rPr>
          <w:lang w:val="en-US"/>
        </w:rPr>
        <w:noBreakHyphen/>
      </w:r>
      <w:r w:rsidR="006D230D">
        <w:rPr>
          <w:lang w:val="en-US"/>
        </w:rPr>
        <w:t>19</w:t>
      </w:r>
      <w:r w:rsidRPr="00D53642">
        <w:rPr>
          <w:lang w:val="en-US"/>
        </w:rPr>
        <w:t xml:space="preserve"> wave saw </w:t>
      </w:r>
      <w:r w:rsidR="00F11203">
        <w:rPr>
          <w:lang w:val="en-US"/>
        </w:rPr>
        <w:t xml:space="preserve">JobKeeper </w:t>
      </w:r>
      <w:r w:rsidR="001104DB">
        <w:rPr>
          <w:lang w:val="en-US"/>
        </w:rPr>
        <w:t>recipients</w:t>
      </w:r>
      <w:r w:rsidR="00F11203" w:rsidRPr="00D53642">
        <w:rPr>
          <w:lang w:val="en-US"/>
        </w:rPr>
        <w:t xml:space="preserve"> </w:t>
      </w:r>
      <w:r w:rsidR="00067BE9">
        <w:rPr>
          <w:lang w:val="en-US"/>
        </w:rPr>
        <w:t xml:space="preserve">in that state </w:t>
      </w:r>
      <w:r w:rsidRPr="00D53642">
        <w:rPr>
          <w:lang w:val="en-US"/>
        </w:rPr>
        <w:t>grow through to September (</w:t>
      </w:r>
      <w:r w:rsidR="006705EF">
        <w:rPr>
          <w:lang w:val="en-US"/>
        </w:rPr>
        <w:t>Figure</w:t>
      </w:r>
      <w:r w:rsidRPr="00D53642">
        <w:rPr>
          <w:lang w:val="en-US"/>
        </w:rPr>
        <w:t xml:space="preserve"> </w:t>
      </w:r>
      <w:r w:rsidR="0051426A">
        <w:rPr>
          <w:lang w:val="en-US"/>
        </w:rPr>
        <w:t>6</w:t>
      </w:r>
      <w:r w:rsidR="005F411B">
        <w:rPr>
          <w:lang w:val="en-US"/>
        </w:rPr>
        <w:t>b</w:t>
      </w:r>
      <w:r w:rsidRPr="00D53642">
        <w:rPr>
          <w:lang w:val="en-US"/>
        </w:rPr>
        <w:t>).</w:t>
      </w:r>
      <w:r w:rsidR="00605226">
        <w:rPr>
          <w:lang w:val="en-US"/>
        </w:rPr>
        <w:t xml:space="preserve"> </w:t>
      </w:r>
    </w:p>
    <w:p w14:paraId="0F882E4D" w14:textId="1D6D842F" w:rsidR="002C73BA" w:rsidRDefault="009117A6" w:rsidP="006E2C94">
      <w:pPr>
        <w:pStyle w:val="ChartMainHeading"/>
      </w:pPr>
      <w:bookmarkStart w:id="108" w:name="_Toc84842566"/>
      <w:r>
        <w:t>JobKeeper c</w:t>
      </w:r>
      <w:r w:rsidR="002C73BA" w:rsidRPr="002C73BA">
        <w:t xml:space="preserve">overage of </w:t>
      </w:r>
      <w:r w:rsidR="00DF4811" w:rsidRPr="002C73BA">
        <w:t>employment</w:t>
      </w:r>
      <w:bookmarkEnd w:id="108"/>
    </w:p>
    <w:tbl>
      <w:tblPr>
        <w:tblW w:w="5189" w:type="pct"/>
        <w:tblLook w:val="01E0" w:firstRow="1" w:lastRow="1" w:firstColumn="1" w:lastColumn="1" w:noHBand="0" w:noVBand="0"/>
      </w:tblPr>
      <w:tblGrid>
        <w:gridCol w:w="4662"/>
        <w:gridCol w:w="4752"/>
      </w:tblGrid>
      <w:tr w:rsidR="00166D51" w14:paraId="0697DD7E" w14:textId="77777777" w:rsidTr="00CE2201">
        <w:trPr>
          <w:cantSplit/>
          <w:trHeight w:val="4850"/>
        </w:trPr>
        <w:tc>
          <w:tcPr>
            <w:tcW w:w="2476" w:type="pct"/>
          </w:tcPr>
          <w:p w14:paraId="2461F1A2" w14:textId="3F256CB6" w:rsidR="00166D51" w:rsidRDefault="00166D51" w:rsidP="00166D51">
            <w:pPr>
              <w:pStyle w:val="ChartSecondHeading"/>
            </w:pPr>
            <w:r>
              <w:t>a</w:t>
            </w:r>
            <w:r w:rsidRPr="002C73BA">
              <w:t>. Share of total vs private</w:t>
            </w:r>
            <w:r w:rsidR="0038520A">
              <w:noBreakHyphen/>
            </w:r>
            <w:r w:rsidRPr="002C73BA">
              <w:t>sector employment</w:t>
            </w:r>
          </w:p>
          <w:p w14:paraId="3DB018D8" w14:textId="5C7F91BE" w:rsidR="00166D51" w:rsidRDefault="00166D51" w:rsidP="00AF13DF">
            <w:pPr>
              <w:pStyle w:val="ChartGraphic"/>
            </w:pPr>
            <w:r>
              <w:rPr>
                <w:noProof/>
              </w:rPr>
              <w:drawing>
                <wp:inline distT="0" distB="0" distL="0" distR="0" wp14:anchorId="25070137" wp14:editId="5E6A39E9">
                  <wp:extent cx="2816860" cy="2883535"/>
                  <wp:effectExtent l="0" t="0" r="2540" b="0"/>
                  <wp:docPr id="3" name="Picture 3" descr="Panel A plots the number of individuals supported by JobKeeper in the first phase as a share of total employment and private-sector employment for each state and territory. The figure shows that the number of individuals supported by JobKeeper across Australia represented 33 per cent of pre-COVID private sector employment on average. This figure also shows Victoria had the highest coverage of pre-COVID private-sector employment at 36 per cent, followed by: New South Wales, Queensland, Australian Capital Territory, South Australia, Tasmania, Western Australia and the Northern Territory. Data underlying figure 6a can be found at Table 6a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nel A plots the number of individuals supported by JobKeeper in the first phase as a share of total employment and private-sector employment for each state and territory. The figure shows that the number of individuals supported by JobKeeper across Australia represented 33 per cent of pre-COVID private sector employment on average. This figure also shows Victoria had the highest coverage of pre-COVID private-sector employment at 36 per cent, followed by: New South Wales, Queensland, Australian Capital Territory, South Australia, Tasmania, Western Australia and the Northern Territory. Data underlying figure 6a can be found at Table 6a in Appendix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860" cy="2883535"/>
                          </a:xfrm>
                          <a:prstGeom prst="rect">
                            <a:avLst/>
                          </a:prstGeom>
                          <a:noFill/>
                        </pic:spPr>
                      </pic:pic>
                    </a:graphicData>
                  </a:graphic>
                </wp:inline>
              </w:drawing>
            </w:r>
          </w:p>
        </w:tc>
        <w:tc>
          <w:tcPr>
            <w:tcW w:w="2524" w:type="pct"/>
          </w:tcPr>
          <w:p w14:paraId="7F730482" w14:textId="77777777" w:rsidR="00166D51" w:rsidRDefault="00166D51" w:rsidP="00166D51">
            <w:pPr>
              <w:pStyle w:val="ChartSecondHeading"/>
            </w:pPr>
            <w:r>
              <w:t>b</w:t>
            </w:r>
            <w:r w:rsidRPr="002C73BA">
              <w:t>. Share of total employment</w:t>
            </w:r>
          </w:p>
          <w:p w14:paraId="27B5DACE" w14:textId="7A80EB61" w:rsidR="00166D51" w:rsidRDefault="00166D51" w:rsidP="005F411B">
            <w:pPr>
              <w:pStyle w:val="ChartSecondHeading"/>
            </w:pPr>
            <w:r>
              <w:rPr>
                <w:noProof/>
              </w:rPr>
              <w:drawing>
                <wp:inline distT="0" distB="0" distL="0" distR="0" wp14:anchorId="3ED2E7B1" wp14:editId="28D5BB2A">
                  <wp:extent cx="2877820" cy="2883535"/>
                  <wp:effectExtent l="0" t="0" r="0" b="0"/>
                  <wp:docPr id="4" name="Picture 4" descr="Panel B plots the number of individuals supported by JobKeeper in the first phase as a share of total employment, for each state and territory and each month. The figure shows that the number of individuals supported by JobKeeper across Australia represented on average 28 per cent of total employment. The figure shows that New South Wales and Victoria had the highest share of total employment. Victoria’s second COVID-19 wave saw an increase in their share of total employment from 28 per cent in April to 33 per cent in September 2020. Data underlying figure 6b can be found at Table 6b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nel B plots the number of individuals supported by JobKeeper in the first phase as a share of total employment, for each state and territory and each month. The figure shows that the number of individuals supported by JobKeeper across Australia represented on average 28 per cent of total employment. The figure shows that New South Wales and Victoria had the highest share of total employment. Victoria’s second COVID-19 wave saw an increase in their share of total employment from 28 per cent in April to 33 per cent in September 2020. Data underlying figure 6b can be found at Table 6b in Appendix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7820" cy="2883535"/>
                          </a:xfrm>
                          <a:prstGeom prst="rect">
                            <a:avLst/>
                          </a:prstGeom>
                          <a:noFill/>
                        </pic:spPr>
                      </pic:pic>
                    </a:graphicData>
                  </a:graphic>
                </wp:inline>
              </w:drawing>
            </w:r>
          </w:p>
        </w:tc>
      </w:tr>
    </w:tbl>
    <w:p w14:paraId="7069166F" w14:textId="32E055E2" w:rsidR="002C73BA" w:rsidRPr="002C73BA" w:rsidRDefault="00324247" w:rsidP="004138ED">
      <w:pPr>
        <w:pStyle w:val="ChartorTableNote"/>
        <w:rPr>
          <w:szCs w:val="18"/>
        </w:rPr>
      </w:pPr>
      <w:r>
        <w:t>Note: Pre</w:t>
      </w:r>
      <w:r w:rsidR="0038520A">
        <w:noBreakHyphen/>
      </w:r>
      <w:r>
        <w:t>COVID</w:t>
      </w:r>
      <w:r w:rsidR="00624186">
        <w:t>-19</w:t>
      </w:r>
      <w:r>
        <w:t xml:space="preserve"> employment given by average employment in the year to February 2020.</w:t>
      </w:r>
      <w:r w:rsidR="00623527">
        <w:t xml:space="preserve"> </w:t>
      </w:r>
      <w:r w:rsidR="00623527">
        <w:rPr>
          <w:szCs w:val="16"/>
        </w:rPr>
        <w:t>Count of individuals supported by JobKeeper is the monthly average from April to September 2020.</w:t>
      </w:r>
    </w:p>
    <w:p w14:paraId="0A8EA600" w14:textId="1D24AAC4" w:rsidR="002C73BA" w:rsidRPr="002C73BA" w:rsidRDefault="002C73BA" w:rsidP="004138ED">
      <w:pPr>
        <w:pStyle w:val="ChartorTableNote"/>
        <w:rPr>
          <w:szCs w:val="18"/>
        </w:rPr>
      </w:pPr>
      <w:r w:rsidRPr="002C73BA">
        <w:t>Source: ATO administrative data</w:t>
      </w:r>
      <w:r w:rsidR="008A52FF">
        <w:t xml:space="preserve"> and</w:t>
      </w:r>
      <w:r w:rsidRPr="002C73BA">
        <w:t xml:space="preserve"> ABS Labour </w:t>
      </w:r>
      <w:r w:rsidRPr="002C73BA">
        <w:rPr>
          <w:szCs w:val="18"/>
        </w:rPr>
        <w:t xml:space="preserve">Force, Australia, Detailed, </w:t>
      </w:r>
      <w:r w:rsidR="00324247">
        <w:rPr>
          <w:szCs w:val="18"/>
        </w:rPr>
        <w:t>Quarterly</w:t>
      </w:r>
      <w:r w:rsidRPr="002C73BA">
        <w:rPr>
          <w:szCs w:val="18"/>
        </w:rPr>
        <w:t xml:space="preserve">, </w:t>
      </w:r>
      <w:r w:rsidR="001B0112">
        <w:rPr>
          <w:szCs w:val="18"/>
        </w:rPr>
        <w:t>August</w:t>
      </w:r>
      <w:r w:rsidR="00456F6F">
        <w:rPr>
          <w:szCs w:val="18"/>
        </w:rPr>
        <w:t xml:space="preserve"> 2021</w:t>
      </w:r>
      <w:r w:rsidRPr="002C73BA">
        <w:rPr>
          <w:szCs w:val="18"/>
        </w:rPr>
        <w:t xml:space="preserve"> (Cat. No. 6291.0.55.</w:t>
      </w:r>
      <w:r w:rsidR="001B0112" w:rsidRPr="001B0112">
        <w:rPr>
          <w:szCs w:val="18"/>
        </w:rPr>
        <w:t>001</w:t>
      </w:r>
      <w:r w:rsidRPr="002C73BA">
        <w:rPr>
          <w:szCs w:val="18"/>
        </w:rPr>
        <w:t>).</w:t>
      </w:r>
    </w:p>
    <w:p w14:paraId="1D830347" w14:textId="77777777" w:rsidR="002C73BA" w:rsidRPr="002C73BA" w:rsidRDefault="002C73BA" w:rsidP="004138ED">
      <w:pPr>
        <w:pStyle w:val="SingleParagraph"/>
      </w:pPr>
    </w:p>
    <w:p w14:paraId="30D66CEF" w14:textId="7AFEE0F2" w:rsidR="00966492" w:rsidRDefault="00CB7E67" w:rsidP="008843AE">
      <w:pPr>
        <w:pStyle w:val="Heading4"/>
      </w:pPr>
      <w:r>
        <w:t xml:space="preserve">Individual </w:t>
      </w:r>
      <w:r w:rsidR="00777F03">
        <w:t>demographics</w:t>
      </w:r>
    </w:p>
    <w:p w14:paraId="61787B5B" w14:textId="6F2E58ED" w:rsidR="003034AB" w:rsidRDefault="003034AB" w:rsidP="009179BF">
      <w:bookmarkStart w:id="109" w:name="_Hlk83757528"/>
      <w:bookmarkStart w:id="110" w:name="_Hlk83740764"/>
      <w:r>
        <w:t>F</w:t>
      </w:r>
      <w:r w:rsidDel="001B28BA">
        <w:t>emales</w:t>
      </w:r>
      <w:r w:rsidRPr="002C73BA" w:rsidDel="001B28BA">
        <w:t xml:space="preserve"> </w:t>
      </w:r>
      <w:r w:rsidRPr="002C73BA">
        <w:t xml:space="preserve">were disproportionally affected by the </w:t>
      </w:r>
      <w:r>
        <w:t xml:space="preserve">initial </w:t>
      </w:r>
      <w:r w:rsidRPr="002C73BA">
        <w:t xml:space="preserve">downturn in </w:t>
      </w:r>
      <w:r>
        <w:t>the labour market</w:t>
      </w:r>
      <w:r w:rsidR="00BB7612">
        <w:t>,</w:t>
      </w:r>
      <w:r>
        <w:t xml:space="preserve"> </w:t>
      </w:r>
      <w:r w:rsidR="00E353AB">
        <w:t xml:space="preserve">reflecting the </w:t>
      </w:r>
      <w:r w:rsidR="00C27B4D" w:rsidRPr="00C27B4D">
        <w:t>greater impact of health restrictions on industries in which</w:t>
      </w:r>
      <w:r w:rsidR="002E34C5">
        <w:t xml:space="preserve"> women</w:t>
      </w:r>
      <w:r w:rsidR="00C27B4D" w:rsidRPr="00C27B4D">
        <w:t xml:space="preserve"> were more highly represented</w:t>
      </w:r>
      <w:r w:rsidR="006C463A">
        <w:t>,</w:t>
      </w:r>
      <w:r w:rsidR="002E34C5">
        <w:t xml:space="preserve"> and </w:t>
      </w:r>
      <w:r w:rsidR="00C27B4D" w:rsidRPr="00C27B4D">
        <w:t xml:space="preserve">their </w:t>
      </w:r>
      <w:r w:rsidR="007A2ACF">
        <w:t xml:space="preserve">higher </w:t>
      </w:r>
      <w:r w:rsidR="00E353AB">
        <w:t>rate</w:t>
      </w:r>
      <w:r w:rsidR="002E34C5">
        <w:t>s</w:t>
      </w:r>
      <w:r w:rsidR="00E353AB">
        <w:t xml:space="preserve"> of casual work</w:t>
      </w:r>
      <w:r w:rsidR="00DF4811" w:rsidRPr="00C27B4D">
        <w:t>.</w:t>
      </w:r>
      <w:r w:rsidR="00BB7612">
        <w:t xml:space="preserve"> However,</w:t>
      </w:r>
      <w:r>
        <w:t xml:space="preserve"> </w:t>
      </w:r>
      <w:r w:rsidR="006A0669">
        <w:t>female</w:t>
      </w:r>
      <w:r w:rsidR="009438F2">
        <w:t xml:space="preserve"> employment </w:t>
      </w:r>
      <w:r>
        <w:t>recover</w:t>
      </w:r>
      <w:r w:rsidR="009438F2">
        <w:t>ed more strongly than male employment</w:t>
      </w:r>
      <w:r>
        <w:t xml:space="preserve"> through the June and September quarters</w:t>
      </w:r>
      <w:r w:rsidR="00DF4811">
        <w:t xml:space="preserve"> 2020. </w:t>
      </w:r>
      <w:r w:rsidR="0086512A">
        <w:t>On average, o</w:t>
      </w:r>
      <w:r>
        <w:t>ver the two</w:t>
      </w:r>
      <w:r w:rsidR="00FB790F">
        <w:t> </w:t>
      </w:r>
      <w:r>
        <w:t xml:space="preserve">quarters, </w:t>
      </w:r>
      <w:r w:rsidR="00880624">
        <w:t>JobKeeper coverage</w:t>
      </w:r>
      <w:r>
        <w:t xml:space="preserve"> for men and women was broadly consistent with their contraction in hours</w:t>
      </w:r>
      <w:r w:rsidR="002900DB">
        <w:t xml:space="preserve"> worked</w:t>
      </w:r>
      <w:r>
        <w:t xml:space="preserve"> </w:t>
      </w:r>
      <w:r w:rsidR="00880624">
        <w:t xml:space="preserve">and </w:t>
      </w:r>
      <w:r>
        <w:t xml:space="preserve">their share of employment </w:t>
      </w:r>
      <w:r w:rsidR="00D94D72">
        <w:t>(Figure 7a)</w:t>
      </w:r>
      <w:r>
        <w:t>.</w:t>
      </w:r>
    </w:p>
    <w:bookmarkEnd w:id="109"/>
    <w:p w14:paraId="0BEC2918" w14:textId="68218EBB" w:rsidR="002900DB" w:rsidRPr="002C73BA" w:rsidRDefault="002900DB" w:rsidP="004138ED">
      <w:r w:rsidRPr="002900DB">
        <w:t>The</w:t>
      </w:r>
      <w:r w:rsidR="003034AB" w:rsidRPr="002C73BA">
        <w:t xml:space="preserve"> two youngest age groups (under the age of 25, and 25</w:t>
      </w:r>
      <w:r w:rsidR="00951D32">
        <w:t>-</w:t>
      </w:r>
      <w:r w:rsidR="003034AB" w:rsidRPr="002C73BA">
        <w:t xml:space="preserve">34 years) were </w:t>
      </w:r>
      <w:r w:rsidRPr="002900DB">
        <w:t xml:space="preserve">disproportionately affected by the downturn and </w:t>
      </w:r>
      <w:r w:rsidR="003034AB" w:rsidRPr="002C73BA">
        <w:t>under</w:t>
      </w:r>
      <w:r w:rsidR="0038520A">
        <w:noBreakHyphen/>
      </w:r>
      <w:r w:rsidR="003034AB" w:rsidRPr="002C73BA">
        <w:t xml:space="preserve">represented in </w:t>
      </w:r>
      <w:r w:rsidR="003034AB">
        <w:t>JobKeeper</w:t>
      </w:r>
      <w:r w:rsidR="003034AB" w:rsidRPr="002C73BA">
        <w:t xml:space="preserve"> (</w:t>
      </w:r>
      <w:r w:rsidR="003034AB">
        <w:t>Figure</w:t>
      </w:r>
      <w:r w:rsidR="003034AB" w:rsidRPr="002C73BA">
        <w:t xml:space="preserve"> </w:t>
      </w:r>
      <w:r w:rsidR="00A94143">
        <w:t>7</w:t>
      </w:r>
      <w:r w:rsidR="003034AB" w:rsidRPr="002C73BA">
        <w:t>b).</w:t>
      </w:r>
      <w:r w:rsidR="003034AB">
        <w:t xml:space="preserve"> </w:t>
      </w:r>
      <w:r w:rsidRPr="002900DB">
        <w:t>Younger workers accounted for around 30 per cent of the JobKeeper population, despite representing just under 40</w:t>
      </w:r>
      <w:r w:rsidR="00B76AA0">
        <w:t> </w:t>
      </w:r>
      <w:r w:rsidRPr="002900DB">
        <w:t>per</w:t>
      </w:r>
      <w:r w:rsidR="00B76AA0">
        <w:t> </w:t>
      </w:r>
      <w:r w:rsidRPr="002900DB">
        <w:t>cent of pre</w:t>
      </w:r>
      <w:r w:rsidR="0038520A">
        <w:noBreakHyphen/>
      </w:r>
      <w:r w:rsidRPr="002900DB">
        <w:t>COVID workforce and over 50</w:t>
      </w:r>
      <w:r w:rsidR="00B76AA0">
        <w:t> </w:t>
      </w:r>
      <w:r w:rsidRPr="002900DB">
        <w:t>per</w:t>
      </w:r>
      <w:r w:rsidR="00B76AA0">
        <w:t> </w:t>
      </w:r>
      <w:r w:rsidRPr="002900DB">
        <w:t xml:space="preserve">cent </w:t>
      </w:r>
      <w:r w:rsidR="003D36D6">
        <w:t>of</w:t>
      </w:r>
      <w:r w:rsidR="003D36D6" w:rsidRPr="002900DB">
        <w:t xml:space="preserve"> </w:t>
      </w:r>
      <w:r w:rsidRPr="002900DB">
        <w:t>lost work hours during the June and September 2020 quarters. This under representation likely reflects the higher share of short</w:t>
      </w:r>
      <w:r w:rsidR="0038520A">
        <w:noBreakHyphen/>
      </w:r>
      <w:r w:rsidRPr="002900DB">
        <w:t>term casual work and ineligible visa holders amongst these cohorts.</w:t>
      </w:r>
      <w:r w:rsidRPr="002900DB" w:rsidDel="002900DB">
        <w:t xml:space="preserve"> </w:t>
      </w:r>
      <w:bookmarkEnd w:id="110"/>
    </w:p>
    <w:p w14:paraId="762AF94D" w14:textId="31B49E47" w:rsidR="00F07532" w:rsidRPr="002C73BA" w:rsidRDefault="00C70D5F" w:rsidP="004138ED">
      <w:r>
        <w:t>Many</w:t>
      </w:r>
      <w:r w:rsidR="00F07532">
        <w:t xml:space="preserve"> of those who did not qualify for JobKeeper were able to receive similar levels of income support through the JobSeeker program</w:t>
      </w:r>
      <w:r w:rsidR="00C86DF2">
        <w:t xml:space="preserve"> and the C</w:t>
      </w:r>
      <w:r w:rsidR="00796173">
        <w:t>oronavirus</w:t>
      </w:r>
      <w:r w:rsidR="00C86DF2">
        <w:t xml:space="preserve"> supplement</w:t>
      </w:r>
      <w:r w:rsidR="00F07532">
        <w:t>, illustrating how the two</w:t>
      </w:r>
      <w:r w:rsidR="008307E8">
        <w:t> </w:t>
      </w:r>
      <w:r w:rsidR="00F07532">
        <w:t xml:space="preserve">programs were designed to work together. </w:t>
      </w:r>
      <w:r w:rsidR="00777F03">
        <w:t xml:space="preserve">The impact of these programs on income is discussed </w:t>
      </w:r>
      <w:r w:rsidR="00A84E11">
        <w:t>in Section 3</w:t>
      </w:r>
      <w:r w:rsidR="00777F03">
        <w:t>.</w:t>
      </w:r>
    </w:p>
    <w:p w14:paraId="0C67B50B" w14:textId="70A8E893" w:rsidR="002C73BA" w:rsidRDefault="00654BA2" w:rsidP="00AF13DF">
      <w:pPr>
        <w:pStyle w:val="ChartMainHeading"/>
      </w:pPr>
      <w:bookmarkStart w:id="111" w:name="_Toc84842567"/>
      <w:r>
        <w:lastRenderedPageBreak/>
        <w:t>Shares of e</w:t>
      </w:r>
      <w:r w:rsidR="002C73BA" w:rsidRPr="002C73BA">
        <w:t>mployment</w:t>
      </w:r>
      <w:r w:rsidR="00610B8B">
        <w:t xml:space="preserve"> and </w:t>
      </w:r>
      <w:r w:rsidR="002C73BA" w:rsidRPr="002C73BA">
        <w:t xml:space="preserve">JobKeeper </w:t>
      </w:r>
      <w:r w:rsidR="00527094" w:rsidRPr="002C73BA">
        <w:t>participa</w:t>
      </w:r>
      <w:r w:rsidR="00527094">
        <w:t>nts</w:t>
      </w:r>
      <w:bookmarkEnd w:id="111"/>
    </w:p>
    <w:tbl>
      <w:tblPr>
        <w:tblW w:w="5000" w:type="pct"/>
        <w:tblLayout w:type="fixed"/>
        <w:tblLook w:val="01E0" w:firstRow="1" w:lastRow="1" w:firstColumn="1" w:lastColumn="1" w:noHBand="0" w:noVBand="0"/>
      </w:tblPr>
      <w:tblGrid>
        <w:gridCol w:w="4535"/>
        <w:gridCol w:w="4536"/>
      </w:tblGrid>
      <w:tr w:rsidR="001511FD" w14:paraId="2A218EE0" w14:textId="77777777" w:rsidTr="00A15D55">
        <w:trPr>
          <w:cantSplit/>
          <w:trHeight w:val="4536"/>
        </w:trPr>
        <w:tc>
          <w:tcPr>
            <w:tcW w:w="2500" w:type="pct"/>
          </w:tcPr>
          <w:p w14:paraId="1E573F88" w14:textId="6CBD637D" w:rsidR="001511FD" w:rsidRDefault="001511FD" w:rsidP="001511FD">
            <w:pPr>
              <w:pStyle w:val="ChartSecondHeading"/>
            </w:pPr>
            <w:r>
              <w:br w:type="page"/>
              <w:t xml:space="preserve">a. </w:t>
            </w:r>
            <w:r w:rsidRPr="002C73BA">
              <w:t xml:space="preserve">By </w:t>
            </w:r>
            <w:r w:rsidR="00655F58">
              <w:t>sex</w:t>
            </w:r>
          </w:p>
          <w:p w14:paraId="08E91C69" w14:textId="389E9FBB" w:rsidR="001511FD" w:rsidRPr="001511FD" w:rsidRDefault="0015060B" w:rsidP="00AF13DF">
            <w:pPr>
              <w:pStyle w:val="ChartGraphic"/>
            </w:pPr>
            <w:r>
              <w:rPr>
                <w:noProof/>
              </w:rPr>
              <w:drawing>
                <wp:inline distT="0" distB="0" distL="0" distR="0" wp14:anchorId="4BB7B545" wp14:editId="3A345360">
                  <wp:extent cx="2810510" cy="3176270"/>
                  <wp:effectExtent l="0" t="0" r="8890" b="5080"/>
                  <wp:docPr id="11" name="Picture 11" descr="Panel A plots the share of decline in hours worked, the share of pre-COVID employment and the share of JobKeeper participants, by sex. The figure shows during the first phase of JobKeeper, males represented 54.6 per cent of JobKeeper participants and females represented 45.4 per cent. It shows that on average, between April and September 2020, JobKeeper coverage for men and women was broadly consistent with their contraction in hours worked and their share of pre-COVID employment. Data underlying figure 7a can be found at Table 7a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nel A plots the share of decline in hours worked, the share of pre-COVID employment and the share of JobKeeper participants, by sex. The figure shows during the first phase of JobKeeper, males represented 54.6 per cent of JobKeeper participants and females represented 45.4 per cent. It shows that on average, between April and September 2020, JobKeeper coverage for men and women was broadly consistent with their contraction in hours worked and their share of pre-COVID employment. Data underlying figure 7a can be found at Table 7a in Appendix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0510" cy="3176270"/>
                          </a:xfrm>
                          <a:prstGeom prst="rect">
                            <a:avLst/>
                          </a:prstGeom>
                          <a:noFill/>
                        </pic:spPr>
                      </pic:pic>
                    </a:graphicData>
                  </a:graphic>
                </wp:inline>
              </w:drawing>
            </w:r>
          </w:p>
        </w:tc>
        <w:tc>
          <w:tcPr>
            <w:tcW w:w="2500" w:type="pct"/>
          </w:tcPr>
          <w:p w14:paraId="6F8E297D" w14:textId="64DE2E7D" w:rsidR="001511FD" w:rsidRDefault="001511FD" w:rsidP="001511FD">
            <w:pPr>
              <w:pStyle w:val="ChartSecondHeading"/>
            </w:pPr>
            <w:r>
              <w:t xml:space="preserve">b. </w:t>
            </w:r>
            <w:r w:rsidRPr="002C73BA">
              <w:t xml:space="preserve">By </w:t>
            </w:r>
            <w:r w:rsidR="00F57E24">
              <w:t>age</w:t>
            </w:r>
          </w:p>
          <w:p w14:paraId="71F39ED7" w14:textId="5BC00908" w:rsidR="001511FD" w:rsidRPr="001511FD" w:rsidRDefault="001640BF" w:rsidP="00AF13DF">
            <w:pPr>
              <w:pStyle w:val="ChartGraphic"/>
            </w:pPr>
            <w:r>
              <w:rPr>
                <w:noProof/>
              </w:rPr>
              <w:drawing>
                <wp:inline distT="0" distB="0" distL="0" distR="0" wp14:anchorId="325D502B" wp14:editId="45F02E69">
                  <wp:extent cx="2810510" cy="3169920"/>
                  <wp:effectExtent l="0" t="0" r="8890" b="0"/>
                  <wp:docPr id="24" name="Picture 24" descr="Panel B plots the share of JobKeeper participants (April-September 2020); the share of decline in hours worked (April-September 2020), and the the share of pre-COVID employment, by age. It shows that the two youngest age groups (under the age of 15 to 24 years and 25 to 34 years) were disproportionately affected by the downturn and under-represented in JobKeeper. Younger workers accounted for around 30 per cent of the JobKeeper population, despite representing over 50 per cent of pre-COVID workforce and just under 40 per cent in lost work hours during the June and September 2020 quarters. Data underlying figure 7b can be found at Table 7b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nel B plots the share of JobKeeper participants (April-September 2020); the share of decline in hours worked (April-September 2020), and the the share of pre-COVID employment, by age. It shows that the two youngest age groups (under the age of 15 to 24 years and 25 to 34 years) were disproportionately affected by the downturn and under-represented in JobKeeper. Younger workers accounted for around 30 per cent of the JobKeeper population, despite representing over 50 per cent of pre-COVID workforce and just under 40 per cent in lost work hours during the June and September 2020 quarters. Data underlying figure 7b can be found at Table 7b in Appendix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0510" cy="3169920"/>
                          </a:xfrm>
                          <a:prstGeom prst="rect">
                            <a:avLst/>
                          </a:prstGeom>
                          <a:noFill/>
                        </pic:spPr>
                      </pic:pic>
                    </a:graphicData>
                  </a:graphic>
                </wp:inline>
              </w:drawing>
            </w:r>
          </w:p>
        </w:tc>
      </w:tr>
    </w:tbl>
    <w:p w14:paraId="2ABC62D9" w14:textId="5256B749" w:rsidR="00324247" w:rsidRDefault="00324247" w:rsidP="004379EC">
      <w:pPr>
        <w:pStyle w:val="ChartorTableNote"/>
      </w:pPr>
      <w:r>
        <w:t xml:space="preserve">Note: The sum of each </w:t>
      </w:r>
      <w:r w:rsidR="00F54E04">
        <w:t xml:space="preserve">cluster </w:t>
      </w:r>
      <w:r>
        <w:t>of coloured bars is 100 per cent.</w:t>
      </w:r>
    </w:p>
    <w:p w14:paraId="0A25BA61" w14:textId="27C96CBD" w:rsidR="004379EC" w:rsidRDefault="00022002" w:rsidP="004379EC">
      <w:pPr>
        <w:pStyle w:val="ChartorTableNote"/>
      </w:pPr>
      <w:r w:rsidRPr="002C73BA">
        <w:t>Source: ATO administrative data</w:t>
      </w:r>
      <w:r w:rsidR="008A52FF">
        <w:t>,</w:t>
      </w:r>
      <w:r w:rsidRPr="002C73BA">
        <w:t xml:space="preserve"> ABS Labour Force, Australia, </w:t>
      </w:r>
      <w:r w:rsidR="00F57E24">
        <w:t>Monthly</w:t>
      </w:r>
      <w:r w:rsidRPr="002C73BA">
        <w:t xml:space="preserve">, </w:t>
      </w:r>
      <w:r w:rsidR="00F57E24">
        <w:t xml:space="preserve">August </w:t>
      </w:r>
      <w:r>
        <w:t xml:space="preserve">2021 </w:t>
      </w:r>
      <w:r w:rsidRPr="002C73BA">
        <w:t xml:space="preserve">(Cat. No. </w:t>
      </w:r>
      <w:r w:rsidR="00F57E24" w:rsidRPr="00F57E24">
        <w:t>6202.0.</w:t>
      </w:r>
      <w:r w:rsidRPr="002C73BA">
        <w:t>)</w:t>
      </w:r>
      <w:r w:rsidR="007B00F3">
        <w:t xml:space="preserve"> and</w:t>
      </w:r>
      <w:r w:rsidR="00F57E24">
        <w:t xml:space="preserve"> ABS Labour Force, Australia,</w:t>
      </w:r>
      <w:r w:rsidR="004E4FBA">
        <w:t xml:space="preserve"> Detailed,</w:t>
      </w:r>
      <w:r w:rsidR="00F57E24">
        <w:t xml:space="preserve"> Monthly, August 2021 </w:t>
      </w:r>
      <w:r w:rsidR="00F57E24" w:rsidRPr="002C73BA">
        <w:t>(Cat. No. 6291.0.55.003)</w:t>
      </w:r>
      <w:r w:rsidR="003244D1">
        <w:t>.</w:t>
      </w:r>
    </w:p>
    <w:p w14:paraId="3CF9DC26" w14:textId="77777777" w:rsidR="001511FD" w:rsidRPr="001511FD" w:rsidRDefault="001511FD" w:rsidP="001511FD">
      <w:pPr>
        <w:pStyle w:val="SingleParagraph"/>
      </w:pPr>
    </w:p>
    <w:p w14:paraId="3A8DDD5D" w14:textId="59DF0F4F" w:rsidR="00322B0E" w:rsidRPr="002C73BA" w:rsidRDefault="00322B0E" w:rsidP="008843AE">
      <w:pPr>
        <w:pStyle w:val="Heading4"/>
      </w:pPr>
      <w:r w:rsidRPr="002C73BA">
        <w:t>Industry distribution</w:t>
      </w:r>
    </w:p>
    <w:p w14:paraId="76D1F253" w14:textId="1DB0F8A3" w:rsidR="00322B0E" w:rsidRPr="002C73BA" w:rsidRDefault="00322B0E" w:rsidP="00E53ADE">
      <w:r w:rsidRPr="002C73BA">
        <w:t xml:space="preserve">While the design of JobKeeper was industry neutral, the differential impacts of the pandemic meant that, in practice, </w:t>
      </w:r>
      <w:r w:rsidR="00BF2A96">
        <w:t>entities</w:t>
      </w:r>
      <w:r w:rsidR="00BF2A96" w:rsidRPr="002C73BA">
        <w:t xml:space="preserve"> </w:t>
      </w:r>
      <w:r w:rsidRPr="002C73BA">
        <w:t xml:space="preserve">in some industries were more reliant </w:t>
      </w:r>
      <w:r w:rsidR="00B214AE">
        <w:t xml:space="preserve">on JobKeeper </w:t>
      </w:r>
      <w:r w:rsidRPr="002C73BA">
        <w:t>than others.</w:t>
      </w:r>
    </w:p>
    <w:p w14:paraId="2C9E74C3" w14:textId="3E5F6C8C" w:rsidR="00322B0E" w:rsidRPr="002C73BA" w:rsidRDefault="00322B0E" w:rsidP="00E53ADE">
      <w:r w:rsidRPr="002C73BA">
        <w:t xml:space="preserve">The largest portion of JobKeeper payments were distributed to large employing industries such as </w:t>
      </w:r>
      <w:r w:rsidR="000F7947">
        <w:t>c</w:t>
      </w:r>
      <w:r w:rsidRPr="002C73BA">
        <w:t>onstruction</w:t>
      </w:r>
      <w:r w:rsidR="000F7947">
        <w:t>;</w:t>
      </w:r>
      <w:r w:rsidRPr="002C73BA">
        <w:t xml:space="preserve"> </w:t>
      </w:r>
      <w:r w:rsidR="000F7947">
        <w:t>p</w:t>
      </w:r>
      <w:r w:rsidRPr="002C73BA">
        <w:t xml:space="preserve">rofessional, </w:t>
      </w:r>
      <w:r w:rsidR="000F7947">
        <w:t>s</w:t>
      </w:r>
      <w:r w:rsidRPr="002C73BA">
        <w:t xml:space="preserve">cientific and </w:t>
      </w:r>
      <w:r w:rsidR="000F7947">
        <w:t>t</w:t>
      </w:r>
      <w:r w:rsidRPr="002C73BA">
        <w:t xml:space="preserve">echnical </w:t>
      </w:r>
      <w:r w:rsidR="00CE6C2E">
        <w:t>s</w:t>
      </w:r>
      <w:r w:rsidRPr="002C73BA">
        <w:t>ervices</w:t>
      </w:r>
      <w:r w:rsidR="000F7947">
        <w:t>;</w:t>
      </w:r>
      <w:r w:rsidRPr="002C73BA">
        <w:t xml:space="preserve"> </w:t>
      </w:r>
      <w:r w:rsidR="000F7947">
        <w:t>h</w:t>
      </w:r>
      <w:r w:rsidRPr="002C73BA">
        <w:t xml:space="preserve">ealth </w:t>
      </w:r>
      <w:r w:rsidR="000F7947">
        <w:t>c</w:t>
      </w:r>
      <w:r w:rsidRPr="002C73BA">
        <w:t xml:space="preserve">are and </w:t>
      </w:r>
      <w:r w:rsidR="000F7947">
        <w:t>s</w:t>
      </w:r>
      <w:r w:rsidRPr="002C73BA">
        <w:t xml:space="preserve">ocial </w:t>
      </w:r>
      <w:r w:rsidR="000F7947">
        <w:t>a</w:t>
      </w:r>
      <w:r w:rsidRPr="002C73BA">
        <w:t>ssistance</w:t>
      </w:r>
      <w:r w:rsidR="000F7947">
        <w:t>;</w:t>
      </w:r>
      <w:r w:rsidRPr="002C73BA">
        <w:t xml:space="preserve"> and </w:t>
      </w:r>
      <w:r w:rsidR="000F7947">
        <w:t>r</w:t>
      </w:r>
      <w:r w:rsidRPr="002C73BA">
        <w:t xml:space="preserve">etail </w:t>
      </w:r>
      <w:r w:rsidR="000F7947">
        <w:t>t</w:t>
      </w:r>
      <w:r w:rsidRPr="002C73BA">
        <w:t>rade (</w:t>
      </w:r>
      <w:r w:rsidR="00300A33">
        <w:t xml:space="preserve">Figure </w:t>
      </w:r>
      <w:r w:rsidR="00A94143">
        <w:t>8</w:t>
      </w:r>
      <w:r w:rsidRPr="002C73BA">
        <w:t xml:space="preserve">). However, payments relative to compensation of employees were highest in </w:t>
      </w:r>
      <w:r w:rsidR="00CE6C2E">
        <w:t xml:space="preserve">industries most </w:t>
      </w:r>
      <w:r w:rsidR="001D426C">
        <w:t>a</w:t>
      </w:r>
      <w:r w:rsidR="00CE6C2E">
        <w:t xml:space="preserve">ffected by the restrictions: </w:t>
      </w:r>
      <w:r w:rsidR="000F7947">
        <w:t>a</w:t>
      </w:r>
      <w:r w:rsidRPr="002C73BA">
        <w:t xml:space="preserve">rts and </w:t>
      </w:r>
      <w:r w:rsidR="000F7947">
        <w:t>r</w:t>
      </w:r>
      <w:r w:rsidRPr="002C73BA">
        <w:t xml:space="preserve">ecreation </w:t>
      </w:r>
      <w:r w:rsidR="000F7947">
        <w:t>s</w:t>
      </w:r>
      <w:r w:rsidRPr="002C73BA">
        <w:t>ervices (</w:t>
      </w:r>
      <w:r w:rsidR="00083361">
        <w:t>61</w:t>
      </w:r>
      <w:r w:rsidR="00B76AA0">
        <w:t> </w:t>
      </w:r>
      <w:r w:rsidRPr="002C73BA">
        <w:t>per</w:t>
      </w:r>
      <w:r w:rsidR="00B76AA0">
        <w:t> </w:t>
      </w:r>
      <w:r w:rsidRPr="002C73BA">
        <w:t xml:space="preserve">cent), </w:t>
      </w:r>
      <w:r w:rsidR="000F7947">
        <w:t>a</w:t>
      </w:r>
      <w:r w:rsidRPr="002C73BA">
        <w:t xml:space="preserve">ccommodation and </w:t>
      </w:r>
      <w:r w:rsidR="000F7947">
        <w:t>f</w:t>
      </w:r>
      <w:r w:rsidRPr="002C73BA">
        <w:t xml:space="preserve">ood </w:t>
      </w:r>
      <w:r w:rsidR="000F7947">
        <w:t>s</w:t>
      </w:r>
      <w:r w:rsidRPr="002C73BA">
        <w:t>ervices (</w:t>
      </w:r>
      <w:r w:rsidR="002109A1">
        <w:t>46</w:t>
      </w:r>
      <w:r w:rsidR="002109A1" w:rsidRPr="002C73BA">
        <w:t xml:space="preserve"> </w:t>
      </w:r>
      <w:r w:rsidRPr="002C73BA">
        <w:t xml:space="preserve">per cent) and </w:t>
      </w:r>
      <w:r w:rsidR="000F7947">
        <w:t>o</w:t>
      </w:r>
      <w:r w:rsidRPr="002C73BA">
        <w:t xml:space="preserve">ther </w:t>
      </w:r>
      <w:r w:rsidR="000F7947">
        <w:t>s</w:t>
      </w:r>
      <w:r w:rsidRPr="002C73BA">
        <w:t>ervices (41 per cent).</w:t>
      </w:r>
      <w:r w:rsidRPr="002C73BA">
        <w:rPr>
          <w:vertAlign w:val="superscript"/>
        </w:rPr>
        <w:footnoteReference w:id="13"/>
      </w:r>
    </w:p>
    <w:p w14:paraId="747B7A04" w14:textId="4DD21796" w:rsidR="00322B0E" w:rsidRPr="002C73BA" w:rsidRDefault="00322B0E" w:rsidP="00D30D57">
      <w:pPr>
        <w:spacing w:after="0"/>
      </w:pPr>
      <w:r w:rsidRPr="002C73BA">
        <w:rPr>
          <w:bCs/>
        </w:rPr>
        <w:t xml:space="preserve">Around half of the </w:t>
      </w:r>
      <w:r w:rsidR="00E6659D">
        <w:rPr>
          <w:bCs/>
        </w:rPr>
        <w:t>pre</w:t>
      </w:r>
      <w:r w:rsidR="0038520A">
        <w:rPr>
          <w:bCs/>
        </w:rPr>
        <w:noBreakHyphen/>
      </w:r>
      <w:r w:rsidR="003233D3">
        <w:rPr>
          <w:bCs/>
        </w:rPr>
        <w:t>COVID</w:t>
      </w:r>
      <w:r w:rsidR="0038520A">
        <w:rPr>
          <w:bCs/>
        </w:rPr>
        <w:noBreakHyphen/>
      </w:r>
      <w:r w:rsidR="003233D3">
        <w:rPr>
          <w:bCs/>
        </w:rPr>
        <w:t xml:space="preserve">19 </w:t>
      </w:r>
      <w:r w:rsidR="00E6659D" w:rsidRPr="002C73BA">
        <w:rPr>
          <w:bCs/>
        </w:rPr>
        <w:t xml:space="preserve">workforce </w:t>
      </w:r>
      <w:r w:rsidR="00E6659D">
        <w:rPr>
          <w:bCs/>
        </w:rPr>
        <w:t xml:space="preserve">in </w:t>
      </w:r>
      <w:r w:rsidR="000F7947">
        <w:rPr>
          <w:bCs/>
        </w:rPr>
        <w:t>a</w:t>
      </w:r>
      <w:r w:rsidRPr="002C73BA">
        <w:rPr>
          <w:bCs/>
        </w:rPr>
        <w:t xml:space="preserve">rts and </w:t>
      </w:r>
      <w:r w:rsidR="000F7947">
        <w:rPr>
          <w:bCs/>
        </w:rPr>
        <w:t>r</w:t>
      </w:r>
      <w:r w:rsidRPr="002C73BA">
        <w:rPr>
          <w:bCs/>
        </w:rPr>
        <w:t xml:space="preserve">ecreation </w:t>
      </w:r>
      <w:r w:rsidR="000F7947">
        <w:rPr>
          <w:bCs/>
        </w:rPr>
        <w:t>s</w:t>
      </w:r>
      <w:r w:rsidRPr="002C73BA">
        <w:rPr>
          <w:bCs/>
        </w:rPr>
        <w:t xml:space="preserve">ervices was supported, with </w:t>
      </w:r>
      <w:r w:rsidR="00E76B7F">
        <w:rPr>
          <w:bCs/>
        </w:rPr>
        <w:t xml:space="preserve">the </w:t>
      </w:r>
      <w:r w:rsidRPr="002C73BA">
        <w:rPr>
          <w:bCs/>
        </w:rPr>
        <w:t xml:space="preserve">largest </w:t>
      </w:r>
      <w:r w:rsidRPr="002C73BA" w:rsidDel="00E76B7F">
        <w:rPr>
          <w:bCs/>
        </w:rPr>
        <w:t>number</w:t>
      </w:r>
      <w:r w:rsidR="002202A2">
        <w:rPr>
          <w:bCs/>
        </w:rPr>
        <w:t xml:space="preserve"> </w:t>
      </w:r>
      <w:r w:rsidR="00CF0E0C">
        <w:rPr>
          <w:bCs/>
        </w:rPr>
        <w:t xml:space="preserve">of </w:t>
      </w:r>
      <w:r w:rsidR="00DC3943">
        <w:rPr>
          <w:bCs/>
        </w:rPr>
        <w:t xml:space="preserve">JobKeeper </w:t>
      </w:r>
      <w:r w:rsidR="00CF0E0C">
        <w:rPr>
          <w:bCs/>
        </w:rPr>
        <w:t xml:space="preserve">individuals </w:t>
      </w:r>
      <w:r w:rsidR="00DC3943" w:rsidRPr="00DC3943">
        <w:rPr>
          <w:bCs/>
        </w:rPr>
        <w:t>in the creative and performing arts and sports and physical recreation sectors.</w:t>
      </w:r>
      <w:r w:rsidRPr="002C73BA">
        <w:rPr>
          <w:bCs/>
        </w:rPr>
        <w:t xml:space="preserve"> Other </w:t>
      </w:r>
      <w:r w:rsidR="000F7947">
        <w:rPr>
          <w:bCs/>
        </w:rPr>
        <w:t>s</w:t>
      </w:r>
      <w:r w:rsidR="002109A1" w:rsidRPr="002C73BA">
        <w:rPr>
          <w:bCs/>
        </w:rPr>
        <w:t>ervices</w:t>
      </w:r>
      <w:r w:rsidRPr="002C73BA">
        <w:rPr>
          <w:bCs/>
        </w:rPr>
        <w:t>, capturing a diverse range of personal, maintenance and repair, civic and other businesses, also saw around half of its pre</w:t>
      </w:r>
      <w:r w:rsidR="0038520A">
        <w:rPr>
          <w:bCs/>
        </w:rPr>
        <w:noBreakHyphen/>
      </w:r>
      <w:r w:rsidR="003233D3">
        <w:rPr>
          <w:bCs/>
        </w:rPr>
        <w:t>COVID</w:t>
      </w:r>
      <w:r w:rsidR="0038520A">
        <w:rPr>
          <w:bCs/>
        </w:rPr>
        <w:noBreakHyphen/>
      </w:r>
      <w:r w:rsidR="003233D3">
        <w:rPr>
          <w:bCs/>
        </w:rPr>
        <w:t xml:space="preserve">19 </w:t>
      </w:r>
      <w:r w:rsidRPr="002C73BA">
        <w:rPr>
          <w:bCs/>
        </w:rPr>
        <w:t xml:space="preserve">workforce </w:t>
      </w:r>
      <w:r w:rsidR="00245D51">
        <w:rPr>
          <w:bCs/>
        </w:rPr>
        <w:t>and entities supported by</w:t>
      </w:r>
      <w:r w:rsidRPr="002C73BA">
        <w:rPr>
          <w:bCs/>
        </w:rPr>
        <w:t xml:space="preserve"> JobKeeper (</w:t>
      </w:r>
      <w:r w:rsidR="006705EF">
        <w:rPr>
          <w:bCs/>
        </w:rPr>
        <w:t>Figure</w:t>
      </w:r>
      <w:r w:rsidR="00D937A2">
        <w:rPr>
          <w:bCs/>
        </w:rPr>
        <w:t>s</w:t>
      </w:r>
      <w:r w:rsidR="00DF4811">
        <w:rPr>
          <w:bCs/>
        </w:rPr>
        <w:t> </w:t>
      </w:r>
      <w:r w:rsidR="002A4E1A">
        <w:rPr>
          <w:bCs/>
        </w:rPr>
        <w:t>9</w:t>
      </w:r>
      <w:r w:rsidR="00245D51">
        <w:rPr>
          <w:bCs/>
        </w:rPr>
        <w:t xml:space="preserve"> and 10</w:t>
      </w:r>
      <w:r w:rsidRPr="002C73BA">
        <w:rPr>
          <w:bCs/>
        </w:rPr>
        <w:t>).</w:t>
      </w:r>
    </w:p>
    <w:p w14:paraId="1F73298F" w14:textId="0ECED570" w:rsidR="00322B0E" w:rsidRPr="002C73BA" w:rsidRDefault="002D1BE2" w:rsidP="006E2C94">
      <w:pPr>
        <w:pStyle w:val="ChartMainHeading"/>
      </w:pPr>
      <w:bookmarkStart w:id="112" w:name="_Toc84842568"/>
      <w:r w:rsidRPr="006E2C94">
        <w:lastRenderedPageBreak/>
        <w:t>JobKeeper</w:t>
      </w:r>
      <w:r w:rsidRPr="00D14124">
        <w:t xml:space="preserve"> payments</w:t>
      </w:r>
      <w:r w:rsidR="008105F0">
        <w:t xml:space="preserve"> </w:t>
      </w:r>
      <w:r w:rsidRPr="00D14124" w:rsidDel="00BA6B1D">
        <w:t xml:space="preserve">and </w:t>
      </w:r>
      <w:r w:rsidR="006E7150" w:rsidDel="00BA6B1D">
        <w:t>coverage</w:t>
      </w:r>
      <w:r w:rsidR="00FF3A47" w:rsidRPr="00D14124">
        <w:t xml:space="preserve"> by industry</w:t>
      </w:r>
      <w:bookmarkEnd w:id="112"/>
    </w:p>
    <w:p w14:paraId="200E1E41" w14:textId="3DD2ADDE" w:rsidR="00322B0E" w:rsidRPr="00B55C21" w:rsidRDefault="008D18AB" w:rsidP="00B55C21">
      <w:pPr>
        <w:pStyle w:val="ChartGraphic"/>
      </w:pPr>
      <w:r>
        <w:rPr>
          <w:noProof/>
        </w:rPr>
        <w:drawing>
          <wp:inline distT="0" distB="0" distL="0" distR="0" wp14:anchorId="5B2E7598" wp14:editId="1E5B7DBA">
            <wp:extent cx="5760000" cy="3049806"/>
            <wp:effectExtent l="0" t="0" r="0" b="0"/>
            <wp:docPr id="466" name="Picture 466" descr="Figure 8 plots JobKeeper net payments for the first phase alongside net payments as a share of compensation of employees, by industry. The largest portion of JobKeeper payments were distributed to large employing industries such as construction ($8.3 billion); professional, scientific and technical services ($8.8 billion); health care and social assistance ($7.2 billion); and retail trade ($6.3 billion). However, payments relative to compensation of employees were highest in industries most affected by the COVID-19 restrictions, such as arts and recreation services (61 per cent), accommodation and food services (46 per cent) and other services (41 per cent). Data underlying figure 8 can be found at Table 8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Figure 8 plots JobKeeper net payments for the first phase alongside net payments as a share of compensation of employees, by industry. The largest portion of JobKeeper payments were distributed to large employing industries such as construction ($8.3 billion); professional, scientific and technical services ($8.8 billion); health care and social assistance ($7.2 billion); and retail trade ($6.3 billion). However, payments relative to compensation of employees were highest in industries most affected by the COVID-19 restrictions, such as arts and recreation services (61 per cent), accommodation and food services (46 per cent) and other services (41 per cent). Data underlying figure 8 can be found at Table 8 in Appendix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3049806"/>
                    </a:xfrm>
                    <a:prstGeom prst="rect">
                      <a:avLst/>
                    </a:prstGeom>
                    <a:noFill/>
                  </pic:spPr>
                </pic:pic>
              </a:graphicData>
            </a:graphic>
          </wp:inline>
        </w:drawing>
      </w:r>
    </w:p>
    <w:p w14:paraId="50A486E6" w14:textId="1BE378D1" w:rsidR="008A52FF" w:rsidRPr="008A52FF" w:rsidRDefault="003B3859" w:rsidP="008A52FF">
      <w:pPr>
        <w:pStyle w:val="ChartorTableNote"/>
        <w:rPr>
          <w:szCs w:val="16"/>
          <w:lang w:val="en-US"/>
        </w:rPr>
      </w:pPr>
      <w:r w:rsidRPr="003E7BD1">
        <w:rPr>
          <w:szCs w:val="16"/>
          <w:lang w:val="en-US"/>
        </w:rPr>
        <w:t>Note: Compensation of employees (COE)</w:t>
      </w:r>
      <w:r>
        <w:rPr>
          <w:szCs w:val="16"/>
          <w:lang w:val="en-US"/>
        </w:rPr>
        <w:t xml:space="preserve"> </w:t>
      </w:r>
      <w:r w:rsidRPr="003E7BD1">
        <w:rPr>
          <w:szCs w:val="16"/>
          <w:lang w:val="en-US"/>
        </w:rPr>
        <w:t>is measured for the June and September quarters</w:t>
      </w:r>
      <w:r>
        <w:rPr>
          <w:szCs w:val="16"/>
          <w:lang w:val="en-US"/>
        </w:rPr>
        <w:t xml:space="preserve"> 2020</w:t>
      </w:r>
      <w:r w:rsidRPr="003E7BD1">
        <w:rPr>
          <w:szCs w:val="16"/>
          <w:lang w:val="en-US"/>
        </w:rPr>
        <w:t>.</w:t>
      </w:r>
      <w:r w:rsidR="004B21FE">
        <w:rPr>
          <w:szCs w:val="16"/>
          <w:lang w:val="en-US"/>
        </w:rPr>
        <w:t xml:space="preserve"> </w:t>
      </w:r>
      <w:r w:rsidR="004B21FE" w:rsidRPr="00C72357">
        <w:t xml:space="preserve">Net payments </w:t>
      </w:r>
      <w:r w:rsidR="00462210" w:rsidRPr="00C72357">
        <w:t>are</w:t>
      </w:r>
      <w:r w:rsidR="004B21FE" w:rsidRPr="00C72357">
        <w:t xml:space="preserve"> the payment disbursements after repayments from entities, excluding voluntary repayments.</w:t>
      </w:r>
    </w:p>
    <w:p w14:paraId="7DB06E55" w14:textId="2A5469F5" w:rsidR="00DF4811" w:rsidRPr="004C06B0" w:rsidRDefault="00A77B63" w:rsidP="00DF4811">
      <w:pPr>
        <w:pStyle w:val="ChartorTableNote"/>
        <w:rPr>
          <w:szCs w:val="16"/>
          <w:lang w:val="en-US"/>
        </w:rPr>
      </w:pPr>
      <w:r w:rsidRPr="004C06B0">
        <w:rPr>
          <w:szCs w:val="16"/>
          <w:lang w:val="en-US"/>
        </w:rPr>
        <w:t>Source: ATO administrative data</w:t>
      </w:r>
      <w:r w:rsidR="008A52FF">
        <w:rPr>
          <w:szCs w:val="16"/>
          <w:lang w:val="en-US"/>
        </w:rPr>
        <w:t xml:space="preserve"> and</w:t>
      </w:r>
      <w:r w:rsidRPr="004C06B0">
        <w:rPr>
          <w:szCs w:val="16"/>
          <w:lang w:val="en-US"/>
        </w:rPr>
        <w:t xml:space="preserve"> </w:t>
      </w:r>
      <w:r w:rsidR="00DF4811" w:rsidRPr="004C06B0">
        <w:rPr>
          <w:szCs w:val="16"/>
          <w:lang w:val="en-US"/>
        </w:rPr>
        <w:t>ABS Australian National Accounts, June 2021 (Cat. No. 5206.0).</w:t>
      </w:r>
    </w:p>
    <w:p w14:paraId="77E8594A" w14:textId="77777777" w:rsidR="004D5AD4" w:rsidRPr="004D5AD4" w:rsidRDefault="004D5AD4" w:rsidP="004D5AD4">
      <w:pPr>
        <w:pStyle w:val="SingleParagraph"/>
        <w:rPr>
          <w:lang w:val="en-US"/>
        </w:rPr>
      </w:pPr>
    </w:p>
    <w:p w14:paraId="52868828" w14:textId="3426B1D5" w:rsidR="002D1BE2" w:rsidRDefault="00D30D57" w:rsidP="00AF13DF">
      <w:pPr>
        <w:pStyle w:val="ChartMainHeading"/>
      </w:pPr>
      <w:bookmarkStart w:id="113" w:name="_Toc84842569"/>
      <w:r w:rsidRPr="004138ED">
        <w:t>JobKeeper</w:t>
      </w:r>
      <w:r w:rsidRPr="002C73BA">
        <w:t xml:space="preserve"> </w:t>
      </w:r>
      <w:r>
        <w:t>individuals</w:t>
      </w:r>
      <w:r w:rsidR="002D1BE2">
        <w:t xml:space="preserve"> and </w:t>
      </w:r>
      <w:r w:rsidR="00DF4811">
        <w:t>coverage</w:t>
      </w:r>
      <w:r w:rsidR="004E15C1">
        <w:t xml:space="preserve"> by industry</w:t>
      </w:r>
      <w:bookmarkEnd w:id="113"/>
    </w:p>
    <w:p w14:paraId="1A1E925A" w14:textId="74FD5624" w:rsidR="004138ED" w:rsidRDefault="00054ABD" w:rsidP="001511FD">
      <w:pPr>
        <w:pStyle w:val="ChartGraphic"/>
      </w:pPr>
      <w:r>
        <w:rPr>
          <w:noProof/>
        </w:rPr>
        <w:drawing>
          <wp:inline distT="0" distB="0" distL="0" distR="0" wp14:anchorId="53D0016C" wp14:editId="1865FD96">
            <wp:extent cx="5760000" cy="3147688"/>
            <wp:effectExtent l="0" t="0" r="0" b="0"/>
            <wp:docPr id="10" name="Picture 10" descr="Figure 9 plots the average number of individuals supported by JobKeeper in the first phase and as a share of pre-COVID employment, by industry. Figure 9 shows that the top three industries with the largest number of individuals on JobKeeper were: Professional, Scientific and Technical Services (452,300), Construction (424,000) along with Healthcare and Social Assistance (371,600). The top three industries with the highest coverage of pre-COVID employment were: Art and Recreation Services (53 per cent), Rental, Hiring and Real Estate Services (51.9 per cent) and Other Services (49.4 per cent). Data underlying figure 9 can be found at Table 9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9 plots the average number of individuals supported by JobKeeper in the first phase and as a share of pre-COVID employment, by industry. Figure 9 shows that the top three industries with the largest number of individuals on JobKeeper were: Professional, Scientific and Technical Services (452,300), Construction (424,000) along with Healthcare and Social Assistance (371,600). The top three industries with the highest coverage of pre-COVID employment were: Art and Recreation Services (53 per cent), Rental, Hiring and Real Estate Services (51.9 per cent) and Other Services (49.4 per cent). Data underlying figure 9 can be found at Table 9 in Appendix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147688"/>
                    </a:xfrm>
                    <a:prstGeom prst="rect">
                      <a:avLst/>
                    </a:prstGeom>
                    <a:noFill/>
                  </pic:spPr>
                </pic:pic>
              </a:graphicData>
            </a:graphic>
          </wp:inline>
        </w:drawing>
      </w:r>
    </w:p>
    <w:p w14:paraId="5178ADC3" w14:textId="1D70AC63" w:rsidR="003B3859" w:rsidRDefault="003B3859" w:rsidP="003B3859">
      <w:pPr>
        <w:pStyle w:val="ChartorTableNote"/>
      </w:pPr>
      <w:r>
        <w:t xml:space="preserve">Note: </w:t>
      </w:r>
      <w:r w:rsidR="008A52FF">
        <w:t>P</w:t>
      </w:r>
      <w:r>
        <w:t>re</w:t>
      </w:r>
      <w:r w:rsidR="0038520A">
        <w:noBreakHyphen/>
      </w:r>
      <w:r>
        <w:t>COVID employment given by average employment in the year to February 2020.</w:t>
      </w:r>
      <w:r w:rsidR="00BA6B1D">
        <w:t xml:space="preserve"> </w:t>
      </w:r>
      <w:r w:rsidR="00BA6B1D" w:rsidRPr="003E7BD1">
        <w:rPr>
          <w:szCs w:val="16"/>
          <w:lang w:val="en-US"/>
        </w:rPr>
        <w:t>Individuals includes employees and eligible business participants (EBPs).</w:t>
      </w:r>
    </w:p>
    <w:p w14:paraId="549BEB4D" w14:textId="652D9DDB" w:rsidR="00A77B63" w:rsidRDefault="00A77B63" w:rsidP="00A77B63">
      <w:pPr>
        <w:pStyle w:val="ChartorTableNote"/>
      </w:pPr>
      <w:r w:rsidRPr="002C73BA">
        <w:t>Source: ATO administrative data</w:t>
      </w:r>
      <w:r w:rsidR="008A52FF">
        <w:t xml:space="preserve"> and</w:t>
      </w:r>
      <w:r w:rsidRPr="002C73BA">
        <w:t xml:space="preserve"> ABS Labour Force, Australia, Detailed, Quarterly, </w:t>
      </w:r>
      <w:r w:rsidR="00F162F6">
        <w:t>May</w:t>
      </w:r>
      <w:r w:rsidR="00F162F6" w:rsidRPr="002C73BA">
        <w:t xml:space="preserve"> </w:t>
      </w:r>
      <w:r>
        <w:t xml:space="preserve">2021 </w:t>
      </w:r>
      <w:r w:rsidR="00497193">
        <w:t>(C</w:t>
      </w:r>
      <w:r>
        <w:t>at. no. 6291.0.55.003</w:t>
      </w:r>
      <w:r w:rsidR="00497193">
        <w:t>)</w:t>
      </w:r>
      <w:r>
        <w:t>.</w:t>
      </w:r>
    </w:p>
    <w:p w14:paraId="448BBDB4" w14:textId="6530609B" w:rsidR="000E4584" w:rsidRDefault="000E4584" w:rsidP="004138ED">
      <w:pPr>
        <w:pStyle w:val="SingleParagraph"/>
      </w:pPr>
    </w:p>
    <w:p w14:paraId="30DD7D20" w14:textId="49F65FAE" w:rsidR="00D30D57" w:rsidRDefault="00D30D57" w:rsidP="00AF13DF">
      <w:pPr>
        <w:pStyle w:val="ChartMainHeading"/>
      </w:pPr>
      <w:bookmarkStart w:id="114" w:name="_Toc84842570"/>
      <w:r w:rsidRPr="002C73BA">
        <w:lastRenderedPageBreak/>
        <w:t xml:space="preserve">JobKeeper </w:t>
      </w:r>
      <w:r w:rsidR="002D1BE2">
        <w:t>entities and coverage</w:t>
      </w:r>
      <w:r w:rsidR="004E15C1">
        <w:t xml:space="preserve"> by industry</w:t>
      </w:r>
      <w:bookmarkEnd w:id="114"/>
    </w:p>
    <w:p w14:paraId="0AE52F0F" w14:textId="4DB2159C" w:rsidR="003E3DE6" w:rsidRPr="003E3DE6" w:rsidRDefault="001C7586" w:rsidP="003E3DE6">
      <w:pPr>
        <w:pStyle w:val="ChartGraphic"/>
      </w:pPr>
      <w:r>
        <w:rPr>
          <w:noProof/>
        </w:rPr>
        <w:drawing>
          <wp:inline distT="0" distB="0" distL="0" distR="0" wp14:anchorId="1AE407B3" wp14:editId="02F78356">
            <wp:extent cx="5886818" cy="3045600"/>
            <wp:effectExtent l="0" t="0" r="0" b="2540"/>
            <wp:docPr id="13" name="Picture 13" descr="Figure 10 plots the average number of entities supported by JobKeeper in the first phase and as a share of the pre-COVID business population, by industry. The figure shows that the industries with the largest numbers of entities were Construction (185, 700) and Professional, Scientific and Technical Services (149,900). The industries with the highest coverage of entities were: Accommodation and Food Services (60.6 per cent), and Other Services (50.8 per cent). Most industries had 25-340 per cent of all entities supported by JobKeeper. Data underlying figure 10 can be found at Table 10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0 plots the average number of entities supported by JobKeeper in the first phase and as a share of the pre-COVID business population, by industry. The figure shows that the industries with the largest numbers of entities were Construction (185, 700) and Professional, Scientific and Technical Services (149,900). The industries with the highest coverage of entities were: Accommodation and Food Services (60.6 per cent), and Other Services (50.8 per cent). Most industries had 25-340 per cent of all entities supported by JobKeeper. Data underlying figure 10 can be found at Table 10 in Appendix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6818" cy="3045600"/>
                    </a:xfrm>
                    <a:prstGeom prst="rect">
                      <a:avLst/>
                    </a:prstGeom>
                    <a:noFill/>
                  </pic:spPr>
                </pic:pic>
              </a:graphicData>
            </a:graphic>
          </wp:inline>
        </w:drawing>
      </w:r>
    </w:p>
    <w:p w14:paraId="12ABE2FC" w14:textId="0B5CD61F" w:rsidR="004E4564" w:rsidRDefault="004E4564" w:rsidP="00BD0267">
      <w:pPr>
        <w:pStyle w:val="ChartorTableNote"/>
      </w:pPr>
      <w:r>
        <w:t>Note: Entities that received JobKeeper included companies, not</w:t>
      </w:r>
      <w:r w:rsidR="0038520A">
        <w:noBreakHyphen/>
      </w:r>
      <w:r>
        <w:t>for</w:t>
      </w:r>
      <w:r w:rsidR="0038520A">
        <w:noBreakHyphen/>
      </w:r>
      <w:r>
        <w:t>profits, sole traders, trusts, and partnerships. Some of those entity types may not be represented in the ATO data on income tax returns and payment summary lodgements.</w:t>
      </w:r>
    </w:p>
    <w:p w14:paraId="1A66618D" w14:textId="2200D280" w:rsidR="00BD0267" w:rsidRDefault="00BD0267" w:rsidP="00BD0267">
      <w:pPr>
        <w:pStyle w:val="ChartorTableNote"/>
      </w:pPr>
      <w:r w:rsidRPr="002C73BA">
        <w:t xml:space="preserve">Source: </w:t>
      </w:r>
      <w:r w:rsidR="004F27A3" w:rsidRPr="002C73BA">
        <w:t>ATO administrative data</w:t>
      </w:r>
      <w:r w:rsidR="008A52FF">
        <w:t xml:space="preserve"> and</w:t>
      </w:r>
      <w:r w:rsidR="004F27A3" w:rsidRPr="002C73BA">
        <w:t xml:space="preserve"> </w:t>
      </w:r>
      <w:r w:rsidR="004F27A3">
        <w:t>201</w:t>
      </w:r>
      <w:r w:rsidR="006B6103">
        <w:t>8</w:t>
      </w:r>
      <w:r w:rsidR="0038520A">
        <w:noBreakHyphen/>
      </w:r>
      <w:r w:rsidR="004F27A3">
        <w:t>1</w:t>
      </w:r>
      <w:r w:rsidR="006B6103">
        <w:t>9</w:t>
      </w:r>
      <w:r w:rsidR="004F27A3">
        <w:t xml:space="preserve"> income tax return and payment summary lodgements</w:t>
      </w:r>
      <w:r w:rsidR="003244D1">
        <w:t>.</w:t>
      </w:r>
    </w:p>
    <w:p w14:paraId="16880954" w14:textId="13CCA6E6" w:rsidR="001D6841" w:rsidRDefault="001D6841" w:rsidP="00AF13DF">
      <w:pPr>
        <w:pStyle w:val="SingleParagraph"/>
      </w:pPr>
    </w:p>
    <w:p w14:paraId="69261FC8" w14:textId="7B73D416" w:rsidR="002C73BA" w:rsidRPr="002C73BA" w:rsidRDefault="002C73BA" w:rsidP="008843AE">
      <w:pPr>
        <w:pStyle w:val="Heading4"/>
      </w:pPr>
      <w:r w:rsidRPr="002C73BA">
        <w:t>Regional distributio</w:t>
      </w:r>
      <w:r w:rsidR="00E51B6F">
        <w:t>n</w:t>
      </w:r>
      <w:r w:rsidR="00F83063">
        <w:t xml:space="preserve"> of individuals on JobKeeper</w:t>
      </w:r>
    </w:p>
    <w:p w14:paraId="0A520FCE" w14:textId="0F0C808D" w:rsidR="005C532E" w:rsidRDefault="001D6841" w:rsidP="00AF13DF">
      <w:r>
        <w:t xml:space="preserve">Coverage of </w:t>
      </w:r>
      <w:r w:rsidR="00227324">
        <w:t>i</w:t>
      </w:r>
      <w:r>
        <w:t xml:space="preserve">ndividuals </w:t>
      </w:r>
      <w:r w:rsidR="00227324">
        <w:t>supported by</w:t>
      </w:r>
      <w:r>
        <w:t xml:space="preserve"> JobKeeper</w:t>
      </w:r>
      <w:r w:rsidRPr="002C73BA">
        <w:t xml:space="preserve"> was </w:t>
      </w:r>
      <w:r>
        <w:t>more</w:t>
      </w:r>
      <w:r w:rsidRPr="002C73BA">
        <w:t xml:space="preserve"> evenly distributed across regions</w:t>
      </w:r>
      <w:r>
        <w:t xml:space="preserve"> than it was across industries</w:t>
      </w:r>
      <w:r w:rsidRPr="002C73BA">
        <w:t xml:space="preserve">, </w:t>
      </w:r>
      <w:r>
        <w:t xml:space="preserve">reflecting the diversified nature of most regions and the widespread impact of health restrictions. The </w:t>
      </w:r>
      <w:r w:rsidR="00264985">
        <w:t>regions most reliant on JobKeeper</w:t>
      </w:r>
      <w:r>
        <w:t xml:space="preserve"> were in </w:t>
      </w:r>
      <w:r w:rsidRPr="002C73BA">
        <w:t xml:space="preserve">Sydney and Melbourne metropolitan areas, </w:t>
      </w:r>
      <w:r>
        <w:t>the</w:t>
      </w:r>
      <w:r w:rsidRPr="002C73BA">
        <w:t xml:space="preserve"> Gold Coast</w:t>
      </w:r>
      <w:r>
        <w:t xml:space="preserve"> and the Mornington Peninsula</w:t>
      </w:r>
      <w:r w:rsidR="004B5AC3">
        <w:t xml:space="preserve"> (Figure </w:t>
      </w:r>
      <w:r w:rsidR="002C1856">
        <w:t>11</w:t>
      </w:r>
      <w:r w:rsidR="002C1856">
        <w:rPr>
          <w:rStyle w:val="FootnoteReference"/>
        </w:rPr>
        <w:footnoteReference w:id="14"/>
      </w:r>
      <w:r w:rsidR="005832DE">
        <w:rPr>
          <w:vertAlign w:val="superscript"/>
        </w:rPr>
        <w:t>,</w:t>
      </w:r>
      <w:r w:rsidR="002C1856">
        <w:rPr>
          <w:rStyle w:val="FootnoteReference"/>
        </w:rPr>
        <w:footnoteReference w:id="15"/>
      </w:r>
      <w:r w:rsidR="002C1856">
        <w:t>).</w:t>
      </w:r>
    </w:p>
    <w:p w14:paraId="19C993BB" w14:textId="7C133EAD" w:rsidR="009B5B46" w:rsidRDefault="009B5B46" w:rsidP="00166D51">
      <w:pPr>
        <w:pStyle w:val="ChartMainHeading"/>
      </w:pPr>
      <w:bookmarkStart w:id="115" w:name="_Toc84842571"/>
      <w:r w:rsidRPr="004138ED">
        <w:lastRenderedPageBreak/>
        <w:t>JobKeeper</w:t>
      </w:r>
      <w:r w:rsidRPr="002C73BA">
        <w:t xml:space="preserve"> </w:t>
      </w:r>
      <w:r>
        <w:t xml:space="preserve">individuals – coverage by </w:t>
      </w:r>
      <w:r w:rsidR="002C1856">
        <w:t>region</w:t>
      </w:r>
      <w:bookmarkEnd w:id="115"/>
    </w:p>
    <w:p w14:paraId="44423B97" w14:textId="24B2955F" w:rsidR="00FB5BC9" w:rsidRDefault="00CF651B" w:rsidP="00166D51">
      <w:pPr>
        <w:pStyle w:val="ChartGraphic"/>
      </w:pPr>
      <w:r>
        <w:rPr>
          <w:noProof/>
        </w:rPr>
        <w:drawing>
          <wp:inline distT="0" distB="0" distL="0" distR="0" wp14:anchorId="1DC72C21" wp14:editId="525EA0A4">
            <wp:extent cx="5832000" cy="8111001"/>
            <wp:effectExtent l="0" t="0" r="0" b="4445"/>
            <wp:docPr id="9" name="Picture 9" descr="Figure 11 plots the SA4 regional distribution of JobKeeper coverage: unique individuals in the first JobKeeper phase as a share of pre-COVID employment. The chart shows that the national average share of pre-COVID employment for individuals was 31.3 per cent.  &#10;The coverage of individuals supported by JobKeeper was evenly distributed across regions, reflecting the diversified nature of most regions and the widespread impact of health restrictions. The two most reliant regions were Melbourne – outer east (39.8 per cent) and Sydney – northern beaches (39.7 per cent). Data underlying figure 11 can be found at Table 11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1 plots the SA4 regional distribution of JobKeeper coverage: unique individuals in the first JobKeeper phase as a share of pre-COVID employment. The chart shows that the national average share of pre-COVID employment for individuals was 31.3 per cent.  &#10;The coverage of individuals supported by JobKeeper was evenly distributed across regions, reflecting the diversified nature of most regions and the widespread impact of health restrictions. The two most reliant regions were Melbourne – outer east (39.8 per cent) and Sydney – northern beaches (39.7 per cent). Data underlying figure 11 can be found at Table 11 in Appendix 1."/>
                    <pic:cNvPicPr>
                      <a:picLocks noChangeAspect="1" noChangeArrowheads="1"/>
                    </pic:cNvPicPr>
                  </pic:nvPicPr>
                  <pic:blipFill rotWithShape="1">
                    <a:blip r:embed="rId46">
                      <a:extLst>
                        <a:ext uri="{28A0092B-C50C-407E-A947-70E740481C1C}">
                          <a14:useLocalDpi xmlns:a14="http://schemas.microsoft.com/office/drawing/2010/main" val="0"/>
                        </a:ext>
                      </a:extLst>
                    </a:blip>
                    <a:srcRect l="7402"/>
                    <a:stretch/>
                  </pic:blipFill>
                  <pic:spPr bwMode="auto">
                    <a:xfrm>
                      <a:off x="0" y="0"/>
                      <a:ext cx="5832000" cy="8111001"/>
                    </a:xfrm>
                    <a:prstGeom prst="rect">
                      <a:avLst/>
                    </a:prstGeom>
                    <a:noFill/>
                    <a:ln>
                      <a:noFill/>
                    </a:ln>
                    <a:extLst>
                      <a:ext uri="{53640926-AAD7-44D8-BBD7-CCE9431645EC}">
                        <a14:shadowObscured xmlns:a14="http://schemas.microsoft.com/office/drawing/2010/main"/>
                      </a:ext>
                    </a:extLst>
                  </pic:spPr>
                </pic:pic>
              </a:graphicData>
            </a:graphic>
          </wp:inline>
        </w:drawing>
      </w:r>
    </w:p>
    <w:p w14:paraId="28E529E1" w14:textId="77777777" w:rsidR="004D5AD4" w:rsidRPr="004D5AD4" w:rsidRDefault="004D5AD4" w:rsidP="004D5AD4"/>
    <w:p w14:paraId="4266F6A8" w14:textId="1089975B" w:rsidR="008A77EC" w:rsidRDefault="00FD2551" w:rsidP="00BD20C1">
      <w:pPr>
        <w:pStyle w:val="Heading1"/>
      </w:pPr>
      <w:bookmarkStart w:id="116" w:name="_Toc84842622"/>
      <w:r>
        <w:lastRenderedPageBreak/>
        <w:t xml:space="preserve">3. </w:t>
      </w:r>
      <w:bookmarkStart w:id="117" w:name="_Toc82787302"/>
      <w:bookmarkStart w:id="118" w:name="_Toc83215054"/>
      <w:r w:rsidR="003C7CC1">
        <w:t>Ec</w:t>
      </w:r>
      <w:r w:rsidR="008A77EC">
        <w:t>o</w:t>
      </w:r>
      <w:r w:rsidR="003C7CC1">
        <w:t xml:space="preserve">nomic </w:t>
      </w:r>
      <w:r w:rsidR="00655FD9">
        <w:t>e</w:t>
      </w:r>
      <w:r w:rsidR="003C7CC1">
        <w:t>ffect o</w:t>
      </w:r>
      <w:r w:rsidR="008A77EC">
        <w:t>f</w:t>
      </w:r>
      <w:r w:rsidR="003C7CC1">
        <w:t xml:space="preserve"> </w:t>
      </w:r>
      <w:r w:rsidR="00E677E1">
        <w:rPr>
          <w:lang w:val="en-US"/>
        </w:rPr>
        <w:t>JobKeeper</w:t>
      </w:r>
      <w:bookmarkEnd w:id="117"/>
      <w:bookmarkEnd w:id="118"/>
      <w:bookmarkEnd w:id="116"/>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1"/>
      </w:tblGrid>
      <w:tr w:rsidR="00535906" w14:paraId="27CD0D49" w14:textId="77777777" w:rsidTr="00535906">
        <w:tc>
          <w:tcPr>
            <w:tcW w:w="5000" w:type="pct"/>
            <w:shd w:val="clear" w:color="auto" w:fill="EAEAEA" w:themeFill="background2"/>
          </w:tcPr>
          <w:p w14:paraId="1A0DAD07" w14:textId="77777777" w:rsidR="00535906" w:rsidRPr="000553FE" w:rsidRDefault="00535906" w:rsidP="00535906">
            <w:pPr>
              <w:pStyle w:val="BoxHeading"/>
              <w:rPr>
                <w:b w:val="0"/>
              </w:rPr>
            </w:pPr>
            <w:bookmarkStart w:id="119" w:name="_Toc83324959"/>
            <w:bookmarkStart w:id="120" w:name="_Toc83404418"/>
            <w:bookmarkStart w:id="121" w:name="_Toc83815081"/>
            <w:bookmarkStart w:id="122" w:name="_Toc84099851"/>
            <w:bookmarkStart w:id="123" w:name="_Toc84431339"/>
            <w:bookmarkStart w:id="124" w:name="_Toc84431667"/>
            <w:bookmarkStart w:id="125" w:name="_Toc84607850"/>
            <w:bookmarkStart w:id="126" w:name="_Toc84774133"/>
            <w:bookmarkStart w:id="127" w:name="_Toc84842572"/>
            <w:r>
              <w:t>Summary</w:t>
            </w:r>
            <w:bookmarkEnd w:id="119"/>
            <w:bookmarkEnd w:id="120"/>
            <w:bookmarkEnd w:id="121"/>
            <w:bookmarkEnd w:id="122"/>
            <w:bookmarkEnd w:id="123"/>
            <w:bookmarkEnd w:id="124"/>
            <w:bookmarkEnd w:id="125"/>
            <w:bookmarkEnd w:id="126"/>
            <w:bookmarkEnd w:id="127"/>
          </w:p>
          <w:p w14:paraId="33CC93D1" w14:textId="550E22AC" w:rsidR="00277DD5" w:rsidRPr="0083592A" w:rsidRDefault="00535906" w:rsidP="0083592A">
            <w:pPr>
              <w:spacing w:before="0"/>
              <w:jc w:val="left"/>
              <w:rPr>
                <w:sz w:val="22"/>
                <w:szCs w:val="22"/>
              </w:rPr>
            </w:pPr>
            <w:r w:rsidRPr="0083592A">
              <w:rPr>
                <w:sz w:val="22"/>
                <w:szCs w:val="22"/>
              </w:rPr>
              <w:t>JobKeeper was expected to have a large and lasting effect on economic outcomes</w:t>
            </w:r>
            <w:r w:rsidR="009D40AE" w:rsidRPr="0083592A">
              <w:rPr>
                <w:sz w:val="22"/>
                <w:szCs w:val="22"/>
              </w:rPr>
              <w:t xml:space="preserve">, though it is difficult to </w:t>
            </w:r>
            <w:r w:rsidR="00F91997" w:rsidRPr="0083592A">
              <w:rPr>
                <w:sz w:val="22"/>
                <w:szCs w:val="22"/>
              </w:rPr>
              <w:t>separate</w:t>
            </w:r>
            <w:r w:rsidR="009D40AE" w:rsidRPr="0083592A">
              <w:rPr>
                <w:sz w:val="22"/>
                <w:szCs w:val="22"/>
              </w:rPr>
              <w:t xml:space="preserve"> this from the effects of other fiscal support measures and the better</w:t>
            </w:r>
            <w:r w:rsidR="0038520A">
              <w:rPr>
                <w:sz w:val="22"/>
                <w:szCs w:val="22"/>
              </w:rPr>
              <w:noBreakHyphen/>
            </w:r>
            <w:r w:rsidR="009D40AE" w:rsidRPr="0083592A">
              <w:rPr>
                <w:sz w:val="22"/>
                <w:szCs w:val="22"/>
              </w:rPr>
              <w:t>than</w:t>
            </w:r>
            <w:r w:rsidR="0038520A">
              <w:rPr>
                <w:sz w:val="22"/>
                <w:szCs w:val="22"/>
              </w:rPr>
              <w:noBreakHyphen/>
            </w:r>
            <w:r w:rsidR="009D40AE" w:rsidRPr="0083592A">
              <w:rPr>
                <w:sz w:val="22"/>
                <w:szCs w:val="22"/>
              </w:rPr>
              <w:t>expected health outcomes.</w:t>
            </w:r>
          </w:p>
          <w:p w14:paraId="0A9A6C0A" w14:textId="4989EE86" w:rsidR="006938A2" w:rsidRPr="0083592A" w:rsidRDefault="009D40AE" w:rsidP="0083592A">
            <w:pPr>
              <w:spacing w:before="0"/>
              <w:jc w:val="left"/>
              <w:rPr>
                <w:sz w:val="22"/>
                <w:szCs w:val="22"/>
              </w:rPr>
            </w:pPr>
            <w:r w:rsidRPr="0083592A">
              <w:rPr>
                <w:sz w:val="22"/>
                <w:szCs w:val="22"/>
              </w:rPr>
              <w:t>Some k</w:t>
            </w:r>
            <w:r w:rsidR="00535906" w:rsidRPr="0083592A">
              <w:rPr>
                <w:sz w:val="22"/>
                <w:szCs w:val="22"/>
              </w:rPr>
              <w:t xml:space="preserve">ey </w:t>
            </w:r>
            <w:r w:rsidR="00B32063">
              <w:rPr>
                <w:sz w:val="22"/>
                <w:szCs w:val="22"/>
              </w:rPr>
              <w:t>short</w:t>
            </w:r>
            <w:r w:rsidR="0038520A">
              <w:rPr>
                <w:sz w:val="22"/>
                <w:szCs w:val="22"/>
              </w:rPr>
              <w:noBreakHyphen/>
            </w:r>
            <w:r w:rsidR="00B32063">
              <w:rPr>
                <w:sz w:val="22"/>
                <w:szCs w:val="22"/>
              </w:rPr>
              <w:t>run</w:t>
            </w:r>
            <w:r w:rsidR="00535906" w:rsidRPr="0083592A">
              <w:rPr>
                <w:sz w:val="22"/>
                <w:szCs w:val="22"/>
              </w:rPr>
              <w:t xml:space="preserve"> </w:t>
            </w:r>
            <w:r w:rsidRPr="0083592A">
              <w:rPr>
                <w:sz w:val="22"/>
                <w:szCs w:val="22"/>
              </w:rPr>
              <w:t xml:space="preserve">economic </w:t>
            </w:r>
            <w:r w:rsidR="005019AD" w:rsidRPr="0083592A">
              <w:rPr>
                <w:sz w:val="22"/>
                <w:szCs w:val="22"/>
              </w:rPr>
              <w:t>effects of JobKeeper and other fiscal support measures include:</w:t>
            </w:r>
          </w:p>
          <w:p w14:paraId="31DBC416" w14:textId="48465464" w:rsidR="00420A8B" w:rsidRPr="0083592A" w:rsidRDefault="00535906" w:rsidP="0083592A">
            <w:pPr>
              <w:pStyle w:val="Bullet"/>
              <w:jc w:val="left"/>
              <w:rPr>
                <w:sz w:val="22"/>
                <w:szCs w:val="22"/>
              </w:rPr>
            </w:pPr>
            <w:r w:rsidRPr="0083592A">
              <w:rPr>
                <w:sz w:val="22"/>
                <w:szCs w:val="22"/>
              </w:rPr>
              <w:t>Actual GDP outcomes over 2020</w:t>
            </w:r>
            <w:r w:rsidR="0038520A">
              <w:rPr>
                <w:sz w:val="22"/>
                <w:szCs w:val="22"/>
              </w:rPr>
              <w:noBreakHyphen/>
            </w:r>
            <w:r w:rsidRPr="0083592A">
              <w:rPr>
                <w:sz w:val="22"/>
                <w:szCs w:val="22"/>
              </w:rPr>
              <w:t>21 were much stronger than forecast in July</w:t>
            </w:r>
            <w:r w:rsidR="0083592A">
              <w:rPr>
                <w:sz w:val="22"/>
                <w:szCs w:val="22"/>
              </w:rPr>
              <w:t> </w:t>
            </w:r>
            <w:r w:rsidRPr="0083592A">
              <w:rPr>
                <w:sz w:val="22"/>
                <w:szCs w:val="22"/>
              </w:rPr>
              <w:t>2020</w:t>
            </w:r>
            <w:r w:rsidR="00FA6D74">
              <w:rPr>
                <w:sz w:val="22"/>
                <w:szCs w:val="22"/>
              </w:rPr>
              <w:t xml:space="preserve"> and the unemployment rate was much lower</w:t>
            </w:r>
            <w:r w:rsidR="008A09E6" w:rsidRPr="0083592A">
              <w:rPr>
                <w:sz w:val="22"/>
                <w:szCs w:val="22"/>
              </w:rPr>
              <w:t>. This reflected</w:t>
            </w:r>
            <w:r w:rsidRPr="0083592A">
              <w:rPr>
                <w:sz w:val="22"/>
                <w:szCs w:val="22"/>
              </w:rPr>
              <w:t xml:space="preserve"> better</w:t>
            </w:r>
            <w:r w:rsidR="0038520A">
              <w:rPr>
                <w:sz w:val="22"/>
                <w:szCs w:val="22"/>
              </w:rPr>
              <w:noBreakHyphen/>
            </w:r>
            <w:r w:rsidRPr="0083592A">
              <w:rPr>
                <w:sz w:val="22"/>
                <w:szCs w:val="22"/>
              </w:rPr>
              <w:t>than</w:t>
            </w:r>
            <w:r w:rsidR="0038520A">
              <w:rPr>
                <w:sz w:val="22"/>
                <w:szCs w:val="22"/>
              </w:rPr>
              <w:noBreakHyphen/>
            </w:r>
            <w:r w:rsidRPr="0083592A">
              <w:rPr>
                <w:sz w:val="22"/>
                <w:szCs w:val="22"/>
              </w:rPr>
              <w:t>expected health outcomes</w:t>
            </w:r>
            <w:r w:rsidR="008A09E6" w:rsidRPr="0083592A" w:rsidDel="00A21B61">
              <w:rPr>
                <w:sz w:val="22"/>
                <w:szCs w:val="22"/>
              </w:rPr>
              <w:t>,</w:t>
            </w:r>
            <w:r w:rsidR="008A09E6" w:rsidRPr="0083592A">
              <w:rPr>
                <w:sz w:val="22"/>
                <w:szCs w:val="22"/>
              </w:rPr>
              <w:t xml:space="preserve"> </w:t>
            </w:r>
            <w:r w:rsidRPr="0083592A">
              <w:rPr>
                <w:sz w:val="22"/>
                <w:szCs w:val="22"/>
              </w:rPr>
              <w:t xml:space="preserve">the effectiveness of policy measures at mitigating the negative economic effects of </w:t>
            </w:r>
            <w:r w:rsidR="009F7B8B" w:rsidRPr="0083592A">
              <w:rPr>
                <w:sz w:val="22"/>
                <w:szCs w:val="22"/>
              </w:rPr>
              <w:t xml:space="preserve">the </w:t>
            </w:r>
            <w:r w:rsidRPr="0083592A">
              <w:rPr>
                <w:sz w:val="22"/>
                <w:szCs w:val="22"/>
              </w:rPr>
              <w:t xml:space="preserve">pandemic and </w:t>
            </w:r>
            <w:r w:rsidR="00294BEC">
              <w:rPr>
                <w:sz w:val="22"/>
                <w:szCs w:val="22"/>
              </w:rPr>
              <w:t>the adaptation of</w:t>
            </w:r>
            <w:r w:rsidR="00294BEC" w:rsidRPr="0083592A">
              <w:rPr>
                <w:sz w:val="22"/>
                <w:szCs w:val="22"/>
              </w:rPr>
              <w:t xml:space="preserve"> </w:t>
            </w:r>
            <w:r w:rsidR="007B77CB" w:rsidRPr="0083592A">
              <w:rPr>
                <w:sz w:val="22"/>
                <w:szCs w:val="22"/>
              </w:rPr>
              <w:t>businesses</w:t>
            </w:r>
            <w:r w:rsidRPr="0083592A">
              <w:rPr>
                <w:sz w:val="22"/>
                <w:szCs w:val="22"/>
              </w:rPr>
              <w:t xml:space="preserve"> to changed circumstances. </w:t>
            </w:r>
          </w:p>
          <w:p w14:paraId="503AE537" w14:textId="125D8C62" w:rsidR="00F9582C" w:rsidRPr="0083592A" w:rsidRDefault="00535906" w:rsidP="0083592A">
            <w:pPr>
              <w:pStyle w:val="Bullet"/>
              <w:jc w:val="left"/>
              <w:rPr>
                <w:sz w:val="22"/>
                <w:szCs w:val="22"/>
              </w:rPr>
            </w:pPr>
            <w:r w:rsidRPr="0083592A">
              <w:rPr>
                <w:sz w:val="22"/>
                <w:szCs w:val="22"/>
              </w:rPr>
              <w:t xml:space="preserve">Analysis of individual incomes using integrated welfare and employment data suggests Government </w:t>
            </w:r>
            <w:r w:rsidR="00311B1F" w:rsidRPr="0083592A">
              <w:rPr>
                <w:sz w:val="22"/>
                <w:szCs w:val="22"/>
              </w:rPr>
              <w:t xml:space="preserve">assistance </w:t>
            </w:r>
            <w:r w:rsidRPr="0083592A">
              <w:rPr>
                <w:sz w:val="22"/>
                <w:szCs w:val="22"/>
              </w:rPr>
              <w:t xml:space="preserve">was well </w:t>
            </w:r>
            <w:r w:rsidR="009D421E" w:rsidRPr="0083592A">
              <w:rPr>
                <w:sz w:val="22"/>
                <w:szCs w:val="22"/>
              </w:rPr>
              <w:t xml:space="preserve">targeted </w:t>
            </w:r>
            <w:r w:rsidR="00311B1F" w:rsidRPr="0083592A">
              <w:rPr>
                <w:sz w:val="22"/>
                <w:szCs w:val="22"/>
              </w:rPr>
              <w:t xml:space="preserve">throughout 2020. It </w:t>
            </w:r>
            <w:r w:rsidR="001A5CDC">
              <w:rPr>
                <w:sz w:val="22"/>
                <w:szCs w:val="22"/>
              </w:rPr>
              <w:t>provided significant</w:t>
            </w:r>
            <w:r w:rsidRPr="0083592A">
              <w:rPr>
                <w:sz w:val="22"/>
                <w:szCs w:val="22"/>
              </w:rPr>
              <w:t xml:space="preserve"> </w:t>
            </w:r>
            <w:r w:rsidR="00F91997" w:rsidRPr="0083592A">
              <w:rPr>
                <w:sz w:val="22"/>
                <w:szCs w:val="22"/>
              </w:rPr>
              <w:t>income support</w:t>
            </w:r>
            <w:r w:rsidRPr="0083592A">
              <w:rPr>
                <w:sz w:val="22"/>
                <w:szCs w:val="22"/>
              </w:rPr>
              <w:t xml:space="preserve"> </w:t>
            </w:r>
            <w:r w:rsidR="001A5CDC">
              <w:rPr>
                <w:sz w:val="22"/>
                <w:szCs w:val="22"/>
              </w:rPr>
              <w:t>to</w:t>
            </w:r>
            <w:r w:rsidR="00F91997" w:rsidRPr="0083592A">
              <w:rPr>
                <w:sz w:val="22"/>
                <w:szCs w:val="22"/>
              </w:rPr>
              <w:t xml:space="preserve"> those on lower incomes</w:t>
            </w:r>
            <w:r w:rsidR="00F9582C" w:rsidRPr="0083592A">
              <w:rPr>
                <w:sz w:val="22"/>
                <w:szCs w:val="22"/>
              </w:rPr>
              <w:t>.</w:t>
            </w:r>
          </w:p>
          <w:p w14:paraId="096EE8C7" w14:textId="370D9C33" w:rsidR="009D40AE" w:rsidRPr="0083592A" w:rsidRDefault="009D40AE" w:rsidP="0083592A">
            <w:pPr>
              <w:pStyle w:val="Bullet"/>
              <w:jc w:val="left"/>
              <w:rPr>
                <w:sz w:val="22"/>
                <w:szCs w:val="22"/>
              </w:rPr>
            </w:pPr>
            <w:r w:rsidRPr="0083592A">
              <w:rPr>
                <w:sz w:val="22"/>
                <w:szCs w:val="22"/>
              </w:rPr>
              <w:t>Household and business sector balance sheet positions remained strong despite the impact of the pandemic. Balance sheet support is a key channel through which fiscal policies support the economy.</w:t>
            </w:r>
          </w:p>
          <w:p w14:paraId="6C24D2A2" w14:textId="7379EA4D" w:rsidR="00535906" w:rsidRPr="0083592A" w:rsidRDefault="007B77CB" w:rsidP="0083592A">
            <w:pPr>
              <w:pStyle w:val="Bullet"/>
              <w:jc w:val="left"/>
              <w:rPr>
                <w:sz w:val="22"/>
                <w:szCs w:val="22"/>
              </w:rPr>
            </w:pPr>
            <w:r w:rsidRPr="0083592A">
              <w:rPr>
                <w:sz w:val="22"/>
                <w:szCs w:val="22"/>
              </w:rPr>
              <w:t>Businesses</w:t>
            </w:r>
            <w:r w:rsidR="00F9582C" w:rsidRPr="0083592A">
              <w:rPr>
                <w:sz w:val="22"/>
                <w:szCs w:val="22"/>
              </w:rPr>
              <w:t xml:space="preserve"> that went on to receive JobKeeper had sharp increase</w:t>
            </w:r>
            <w:r w:rsidR="00EB2CCA" w:rsidRPr="0083592A">
              <w:rPr>
                <w:sz w:val="22"/>
                <w:szCs w:val="22"/>
              </w:rPr>
              <w:t>s</w:t>
            </w:r>
            <w:r w:rsidR="00F9582C" w:rsidRPr="0083592A">
              <w:rPr>
                <w:sz w:val="22"/>
                <w:szCs w:val="22"/>
              </w:rPr>
              <w:t xml:space="preserve"> in job losses</w:t>
            </w:r>
            <w:r w:rsidR="00182719">
              <w:rPr>
                <w:sz w:val="22"/>
                <w:szCs w:val="22"/>
              </w:rPr>
              <w:t xml:space="preserve"> prior to </w:t>
            </w:r>
            <w:r w:rsidR="00417DB4">
              <w:rPr>
                <w:sz w:val="22"/>
                <w:szCs w:val="22"/>
              </w:rPr>
              <w:t>the program commencing</w:t>
            </w:r>
            <w:r w:rsidR="00F9582C" w:rsidRPr="0083592A">
              <w:rPr>
                <w:sz w:val="22"/>
                <w:szCs w:val="22"/>
              </w:rPr>
              <w:t>. JobKeeper arrested and partly reversed these losses.</w:t>
            </w:r>
          </w:p>
          <w:p w14:paraId="3B6188E2" w14:textId="13CF6A7B" w:rsidR="00535906" w:rsidRDefault="00432A0C" w:rsidP="0083592A">
            <w:pPr>
              <w:pStyle w:val="Bullet"/>
              <w:jc w:val="left"/>
            </w:pPr>
            <w:r w:rsidRPr="0083592A">
              <w:rPr>
                <w:sz w:val="22"/>
                <w:szCs w:val="22"/>
              </w:rPr>
              <w:t>As economic conditions improved, JobKeeper</w:t>
            </w:r>
            <w:r w:rsidR="0038520A">
              <w:rPr>
                <w:sz w:val="22"/>
                <w:szCs w:val="22"/>
              </w:rPr>
              <w:noBreakHyphen/>
            </w:r>
            <w:r w:rsidRPr="0083592A">
              <w:rPr>
                <w:sz w:val="22"/>
                <w:szCs w:val="22"/>
              </w:rPr>
              <w:t xml:space="preserve">recipient </w:t>
            </w:r>
            <w:bookmarkStart w:id="128" w:name="_Hlk83981864"/>
            <w:r w:rsidR="00E83BA5">
              <w:rPr>
                <w:sz w:val="22"/>
                <w:szCs w:val="22"/>
              </w:rPr>
              <w:t>businesses</w:t>
            </w:r>
            <w:r w:rsidR="00E83BA5" w:rsidRPr="0083592A">
              <w:rPr>
                <w:sz w:val="22"/>
                <w:szCs w:val="22"/>
              </w:rPr>
              <w:t xml:space="preserve"> </w:t>
            </w:r>
            <w:bookmarkEnd w:id="128"/>
            <w:r w:rsidRPr="0083592A">
              <w:rPr>
                <w:sz w:val="22"/>
                <w:szCs w:val="22"/>
              </w:rPr>
              <w:t>responded by increasing hours for their workers on JobKeeper.</w:t>
            </w:r>
          </w:p>
        </w:tc>
      </w:tr>
    </w:tbl>
    <w:p w14:paraId="2652B350" w14:textId="77777777" w:rsidR="001A5CDC" w:rsidRDefault="001A5CDC" w:rsidP="00166D51">
      <w:pPr>
        <w:pStyle w:val="SingleParagraph"/>
      </w:pPr>
    </w:p>
    <w:p w14:paraId="6115268C" w14:textId="5925EF17" w:rsidR="00CE78D8" w:rsidRDefault="00CE78D8" w:rsidP="00886AD2">
      <w:r>
        <w:t>Significant direct economic</w:t>
      </w:r>
      <w:r w:rsidR="00886AD2">
        <w:t xml:space="preserve"> support payments </w:t>
      </w:r>
      <w:r>
        <w:t>were key elements of the economic response to the COVID</w:t>
      </w:r>
      <w:r w:rsidR="0038520A">
        <w:noBreakHyphen/>
      </w:r>
      <w:r>
        <w:t xml:space="preserve">19 health restrictions. </w:t>
      </w:r>
      <w:r w:rsidR="00874551">
        <w:t xml:space="preserve">These support payments </w:t>
      </w:r>
      <w:r w:rsidR="00886AD2">
        <w:t>contribute</w:t>
      </w:r>
      <w:r>
        <w:t>d</w:t>
      </w:r>
      <w:r w:rsidR="00886AD2">
        <w:t xml:space="preserve"> to stabilising the economy through several channels.</w:t>
      </w:r>
      <w:r w:rsidR="001A5CDC" w:rsidRPr="001A5CDC">
        <w:t xml:space="preserve"> </w:t>
      </w:r>
    </w:p>
    <w:p w14:paraId="16C03771" w14:textId="693EDC24" w:rsidR="00886AD2" w:rsidRDefault="00886AD2" w:rsidP="00886AD2">
      <w:r>
        <w:t xml:space="preserve">One </w:t>
      </w:r>
      <w:r w:rsidR="00991A87">
        <w:t xml:space="preserve">key </w:t>
      </w:r>
      <w:r>
        <w:t>channel</w:t>
      </w:r>
      <w:r w:rsidR="00A95A3A">
        <w:t xml:space="preserve"> </w:t>
      </w:r>
      <w:r w:rsidR="00A63FDA">
        <w:t>wa</w:t>
      </w:r>
      <w:r>
        <w:t xml:space="preserve">s the expenditure channel, where payments made to </w:t>
      </w:r>
      <w:r w:rsidR="007B77CB">
        <w:t>businesses</w:t>
      </w:r>
      <w:r>
        <w:t xml:space="preserve"> and households allow</w:t>
      </w:r>
      <w:r w:rsidR="00A63FDA">
        <w:t>ed</w:t>
      </w:r>
      <w:r>
        <w:t xml:space="preserve"> them to continue </w:t>
      </w:r>
      <w:r w:rsidR="00CE78D8">
        <w:t>to</w:t>
      </w:r>
      <w:r>
        <w:t xml:space="preserve"> produc</w:t>
      </w:r>
      <w:r w:rsidR="00CE78D8">
        <w:t>e, employ</w:t>
      </w:r>
      <w:r w:rsidDel="00A21B61">
        <w:t>,</w:t>
      </w:r>
      <w:r>
        <w:t xml:space="preserve"> </w:t>
      </w:r>
      <w:r w:rsidR="00CE78D8">
        <w:t>and consume,</w:t>
      </w:r>
      <w:r>
        <w:t xml:space="preserve"> thus directly supporting economic activity. This channel is</w:t>
      </w:r>
      <w:r w:rsidR="004D2880">
        <w:t xml:space="preserve"> </w:t>
      </w:r>
      <w:r w:rsidR="004D2880" w:rsidRPr="004D2880">
        <w:t>most effective when</w:t>
      </w:r>
      <w:r>
        <w:t xml:space="preserve"> payments </w:t>
      </w:r>
      <w:r w:rsidR="004D2880">
        <w:t xml:space="preserve">are made </w:t>
      </w:r>
      <w:r>
        <w:t xml:space="preserve">to </w:t>
      </w:r>
      <w:r w:rsidR="007B77CB">
        <w:t>businesses</w:t>
      </w:r>
      <w:r>
        <w:t xml:space="preserve"> </w:t>
      </w:r>
      <w:r w:rsidR="00CE78D8">
        <w:t>or households</w:t>
      </w:r>
      <w:r>
        <w:t xml:space="preserve"> that are most likely to spend </w:t>
      </w:r>
      <w:r w:rsidR="004D2880">
        <w:t xml:space="preserve">the </w:t>
      </w:r>
      <w:r>
        <w:t>additional income</w:t>
      </w:r>
      <w:r w:rsidR="0038520A">
        <w:t xml:space="preserve"> – </w:t>
      </w:r>
      <w:r>
        <w:t xml:space="preserve">for example, to </w:t>
      </w:r>
      <w:r w:rsidR="00CE78D8">
        <w:t xml:space="preserve">cash flow constrained businesses </w:t>
      </w:r>
      <w:r w:rsidR="00F47F15">
        <w:t xml:space="preserve">(typically smaller businesses) </w:t>
      </w:r>
      <w:r w:rsidR="00CE78D8">
        <w:t xml:space="preserve">or </w:t>
      </w:r>
      <w:r>
        <w:t>low</w:t>
      </w:r>
      <w:r w:rsidR="0038520A">
        <w:noBreakHyphen/>
      </w:r>
      <w:r>
        <w:t xml:space="preserve">income households. </w:t>
      </w:r>
    </w:p>
    <w:p w14:paraId="43A1CE6E" w14:textId="63853203" w:rsidR="007B5E5A" w:rsidRDefault="00886AD2" w:rsidP="00886AD2">
      <w:r>
        <w:t xml:space="preserve">Another important channel </w:t>
      </w:r>
      <w:r w:rsidR="00A63FDA">
        <w:t xml:space="preserve">was </w:t>
      </w:r>
      <w:r>
        <w:t xml:space="preserve">via </w:t>
      </w:r>
      <w:r w:rsidR="004C4F8B">
        <w:t>business</w:t>
      </w:r>
      <w:r>
        <w:t xml:space="preserve"> and household balance sheets. Both </w:t>
      </w:r>
      <w:r w:rsidR="007B77CB">
        <w:t>businesses</w:t>
      </w:r>
      <w:r>
        <w:t xml:space="preserve"> and households benefit from having strong balance sheet positions that provide a financial buffer to absorb economic risk and economic shocks and allow spending to increase as conditions improve.</w:t>
      </w:r>
    </w:p>
    <w:p w14:paraId="66994F33" w14:textId="135093AF" w:rsidR="007B5E5A" w:rsidRDefault="007B5E5A" w:rsidP="00886AD2">
      <w:r>
        <w:t>Second</w:t>
      </w:r>
      <w:r w:rsidR="0038520A">
        <w:noBreakHyphen/>
      </w:r>
      <w:r>
        <w:t xml:space="preserve">round effects of these channels </w:t>
      </w:r>
      <w:r w:rsidR="00A63FDA">
        <w:t xml:space="preserve">were </w:t>
      </w:r>
      <w:r>
        <w:t xml:space="preserve">also important. For example, the spending undertaken by one business or household, as a result of extra income, benefits other businesses and their workers, which </w:t>
      </w:r>
      <w:r w:rsidR="00812C76">
        <w:t>flows on to broader</w:t>
      </w:r>
      <w:r>
        <w:t xml:space="preserve"> spending elsewhere in the economy.</w:t>
      </w:r>
    </w:p>
    <w:p w14:paraId="671BB2A7" w14:textId="38AA1FB1" w:rsidR="00886AD2" w:rsidRDefault="007B5E5A" w:rsidP="00886AD2">
      <w:r>
        <w:t>All</w:t>
      </w:r>
      <w:r w:rsidR="00886AD2">
        <w:t xml:space="preserve"> of these channels contribute</w:t>
      </w:r>
      <w:r w:rsidR="00A63FDA">
        <w:t>d</w:t>
      </w:r>
      <w:r w:rsidR="00886AD2">
        <w:t xml:space="preserve"> to supporting confidence </w:t>
      </w:r>
      <w:r>
        <w:t>about the outlook, reduc</w:t>
      </w:r>
      <w:r w:rsidR="00A21B61">
        <w:t>ing</w:t>
      </w:r>
      <w:r>
        <w:t xml:space="preserve"> precautionary savings behaviour and encourag</w:t>
      </w:r>
      <w:r w:rsidR="00A21B61">
        <w:t>ing</w:t>
      </w:r>
      <w:r>
        <w:t xml:space="preserve"> investment in new activities. Together, these economic support payments were aimed at avoiding </w:t>
      </w:r>
      <w:r w:rsidR="00886AD2">
        <w:t>widespread job losses and subsequent economic scarring, which was a significant risk in the early stages of the COVID</w:t>
      </w:r>
      <w:r w:rsidR="0038520A">
        <w:noBreakHyphen/>
      </w:r>
      <w:r w:rsidR="00886AD2">
        <w:t xml:space="preserve">19 pandemic. </w:t>
      </w:r>
    </w:p>
    <w:p w14:paraId="2CA1B13F" w14:textId="5FC56C51" w:rsidR="00886AD2" w:rsidRDefault="004B0BAC" w:rsidP="00886AD2">
      <w:r>
        <w:lastRenderedPageBreak/>
        <w:t>I</w:t>
      </w:r>
      <w:r w:rsidR="00886AD2">
        <w:t>t is</w:t>
      </w:r>
      <w:r w:rsidR="00886AD2" w:rsidDel="00AA034B">
        <w:t xml:space="preserve"> </w:t>
      </w:r>
      <w:r w:rsidR="00886AD2">
        <w:t>difficult to separate the effect of JobKeeper from other policies, since in many cases policies were designed to complement each other</w:t>
      </w:r>
      <w:r w:rsidR="00D02A55">
        <w:t xml:space="preserve"> and their impacts interacted</w:t>
      </w:r>
      <w:r w:rsidR="00886AD2">
        <w:t xml:space="preserve">. There is also significant uncertainty around what the economy would have looked like had </w:t>
      </w:r>
      <w:r w:rsidR="00886AD2">
        <w:rPr>
          <w:lang w:val="en-US"/>
        </w:rPr>
        <w:t>the full suite of macroeconomic supports</w:t>
      </w:r>
      <w:r w:rsidR="00886AD2">
        <w:t xml:space="preserve"> not been implemented at the time. Given these </w:t>
      </w:r>
      <w:r w:rsidR="00640533">
        <w:t>interactions and uncertaint</w:t>
      </w:r>
      <w:r w:rsidR="00160171">
        <w:t>ies</w:t>
      </w:r>
      <w:r w:rsidR="00886AD2" w:rsidRPr="00247796">
        <w:t>, this section</w:t>
      </w:r>
      <w:r w:rsidR="00886AD2">
        <w:t xml:space="preserve"> provides analysis on some of the </w:t>
      </w:r>
      <w:r w:rsidR="00B32063">
        <w:t>initial</w:t>
      </w:r>
      <w:r w:rsidR="00886AD2">
        <w:t xml:space="preserve"> effects of </w:t>
      </w:r>
      <w:r w:rsidR="005D5459">
        <w:t>Job</w:t>
      </w:r>
      <w:r w:rsidR="000433C5">
        <w:t>K</w:t>
      </w:r>
      <w:r w:rsidR="005D5459">
        <w:t>eeper</w:t>
      </w:r>
      <w:r w:rsidR="00886AD2">
        <w:t xml:space="preserve"> on the economy.</w:t>
      </w:r>
    </w:p>
    <w:p w14:paraId="12105CD1" w14:textId="2541EF29" w:rsidR="009169FA" w:rsidRDefault="009169FA" w:rsidP="006E2C94">
      <w:pPr>
        <w:pStyle w:val="Heading2"/>
      </w:pPr>
      <w:bookmarkStart w:id="129" w:name="_Toc83215055"/>
      <w:bookmarkStart w:id="130" w:name="_Toc84842623"/>
      <w:r>
        <w:t xml:space="preserve">Impact </w:t>
      </w:r>
      <w:r w:rsidRPr="006E2C94">
        <w:t>of</w:t>
      </w:r>
      <w:r>
        <w:t xml:space="preserve"> JobKeeper on confidence</w:t>
      </w:r>
      <w:bookmarkEnd w:id="129"/>
      <w:bookmarkEnd w:id="130"/>
    </w:p>
    <w:p w14:paraId="2B51E19B" w14:textId="1EF34A65" w:rsidR="009169FA" w:rsidRDefault="009169FA" w:rsidP="009169FA">
      <w:r>
        <w:t xml:space="preserve">A key channel through which JobKeeper supported the economy was through reducing uncertainty and improving confidence. </w:t>
      </w:r>
      <w:r w:rsidR="00946F02">
        <w:t xml:space="preserve">Although it is difficult to </w:t>
      </w:r>
      <w:r w:rsidR="00C55546">
        <w:t>isolate JobKeeper</w:t>
      </w:r>
      <w:r w:rsidR="0038520A">
        <w:t>’</w:t>
      </w:r>
      <w:r w:rsidR="00C55546">
        <w:t>s direct</w:t>
      </w:r>
      <w:r w:rsidR="00946F02">
        <w:t xml:space="preserve"> effect on confidence</w:t>
      </w:r>
      <w:r>
        <w:t xml:space="preserve">, the sharp falls in both business and household confidence measures in March </w:t>
      </w:r>
      <w:r w:rsidR="00C569BD">
        <w:t>2020</w:t>
      </w:r>
      <w:r>
        <w:t xml:space="preserve"> began to reverse almost immediately</w:t>
      </w:r>
      <w:r w:rsidR="001F47DC">
        <w:t xml:space="preserve"> following the announcement of JobKeeper</w:t>
      </w:r>
      <w:r>
        <w:t xml:space="preserve">. </w:t>
      </w:r>
      <w:r w:rsidR="00561E57">
        <w:t>The ANZ measure of c</w:t>
      </w:r>
      <w:r>
        <w:t>onsumer confidence increased by 10 per cent to be above 70</w:t>
      </w:r>
      <w:r w:rsidRPr="007B6A71">
        <w:t xml:space="preserve"> </w:t>
      </w:r>
      <w:r>
        <w:t>in the week following the announcement. Business confidence also improved in the following months (</w:t>
      </w:r>
      <w:r w:rsidR="006705EF">
        <w:t>Figure</w:t>
      </w:r>
      <w:r>
        <w:t xml:space="preserve"> </w:t>
      </w:r>
      <w:r w:rsidR="00300A33">
        <w:t>1</w:t>
      </w:r>
      <w:r w:rsidR="00A94143">
        <w:t>2</w:t>
      </w:r>
      <w:r>
        <w:t xml:space="preserve">). </w:t>
      </w:r>
      <w:r w:rsidR="009F6401">
        <w:t>JobKeeper</w:t>
      </w:r>
      <w:r w:rsidR="000122B1" w:rsidRPr="000122B1">
        <w:t xml:space="preserve"> also helped support confidence in financial markets, with equity markets rising steadily in the weeks following the announcement</w:t>
      </w:r>
      <w:r w:rsidR="0038520A">
        <w:t xml:space="preserve">. </w:t>
      </w:r>
    </w:p>
    <w:p w14:paraId="231FE36F" w14:textId="728699FE" w:rsidR="009169FA" w:rsidRPr="00AC336E" w:rsidRDefault="001316CA" w:rsidP="004B36C2">
      <w:pPr>
        <w:pStyle w:val="ChartMainHeading"/>
      </w:pPr>
      <w:bookmarkStart w:id="131" w:name="_Toc84842573"/>
      <w:r>
        <w:t>Consumer and business confidence</w:t>
      </w:r>
      <w:bookmarkEnd w:id="131"/>
      <w:r w:rsidR="000A3E21">
        <w:t xml:space="preserve"> </w:t>
      </w:r>
    </w:p>
    <w:tbl>
      <w:tblPr>
        <w:tblStyle w:val="TableGrid"/>
        <w:tblW w:w="5000" w:type="pct"/>
        <w:tblLook w:val="04A0" w:firstRow="1" w:lastRow="0" w:firstColumn="1" w:lastColumn="0" w:noHBand="0" w:noVBand="1"/>
      </w:tblPr>
      <w:tblGrid>
        <w:gridCol w:w="4565"/>
        <w:gridCol w:w="4506"/>
      </w:tblGrid>
      <w:tr w:rsidR="00166D51" w:rsidRPr="002D4EB4" w14:paraId="34AE1825" w14:textId="77777777" w:rsidTr="00CE2201">
        <w:trPr>
          <w:trHeight w:val="4805"/>
        </w:trPr>
        <w:tc>
          <w:tcPr>
            <w:tcW w:w="4565" w:type="dxa"/>
            <w:shd w:val="clear" w:color="auto" w:fill="auto"/>
          </w:tcPr>
          <w:p w14:paraId="13FF4EB4" w14:textId="77777777" w:rsidR="00166D51" w:rsidRPr="004D5AD4" w:rsidRDefault="00166D51" w:rsidP="002D4EB4">
            <w:pPr>
              <w:pStyle w:val="ChartSecondHeading"/>
            </w:pPr>
            <w:r w:rsidRPr="00E62D19">
              <w:rPr>
                <w:szCs w:val="22"/>
              </w:rPr>
              <w:t>a</w:t>
            </w:r>
            <w:r w:rsidRPr="00B234D7">
              <w:rPr>
                <w:szCs w:val="22"/>
              </w:rPr>
              <w:t>: ANZ Consumer Confidence</w:t>
            </w:r>
          </w:p>
          <w:p w14:paraId="4D8DDBC2" w14:textId="447AF887" w:rsidR="00166D51" w:rsidRPr="00F23F03" w:rsidRDefault="00166D51" w:rsidP="00DE462A">
            <w:pPr>
              <w:pStyle w:val="ChartGraphic"/>
              <w:rPr>
                <w:rFonts w:ascii="Arial" w:hAnsi="Arial" w:cs="Arial"/>
                <w:b/>
                <w:i/>
                <w:color w:val="auto"/>
                <w:sz w:val="22"/>
                <w:szCs w:val="22"/>
              </w:rPr>
            </w:pPr>
            <w:r>
              <w:rPr>
                <w:noProof/>
              </w:rPr>
              <w:drawing>
                <wp:inline distT="0" distB="0" distL="0" distR="0" wp14:anchorId="3C9D222B" wp14:editId="66EDBC85">
                  <wp:extent cx="2810510" cy="2883535"/>
                  <wp:effectExtent l="0" t="0" r="8890" b="0"/>
                  <wp:docPr id="21" name="Picture 21" descr="This chart shows consumer confidence from January 2020 to September 2020, as measured by ANZ-Roy Morgan. Consumer confidence fell sharply from 100.4 to 65.3 over March 2020, a record low for the series. The series recovered over the subsequent weeks, reaching 98.3 by the end of May 2020. Following this, the series declined again, reaching 86.5 in 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hart shows consumer confidence from January 2020 to September 2020, as measured by ANZ-Roy Morgan. Consumer confidence fell sharply from 100.4 to 65.3 over March 2020, a record low for the series. The series recovered over the subsequent weeks, reaching 98.3 by the end of May 2020. Following this, the series declined again, reaching 86.5 in August 20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0510" cy="2883535"/>
                          </a:xfrm>
                          <a:prstGeom prst="rect">
                            <a:avLst/>
                          </a:prstGeom>
                          <a:noFill/>
                        </pic:spPr>
                      </pic:pic>
                    </a:graphicData>
                  </a:graphic>
                </wp:inline>
              </w:drawing>
            </w:r>
          </w:p>
        </w:tc>
        <w:tc>
          <w:tcPr>
            <w:tcW w:w="4506" w:type="dxa"/>
            <w:shd w:val="clear" w:color="auto" w:fill="auto"/>
          </w:tcPr>
          <w:p w14:paraId="3F34D0CB" w14:textId="77777777" w:rsidR="00166D51" w:rsidRPr="004D5AD4" w:rsidRDefault="00166D51" w:rsidP="002D4EB4">
            <w:pPr>
              <w:pStyle w:val="ChartSecondHeading"/>
            </w:pPr>
            <w:r w:rsidRPr="00F23F03">
              <w:rPr>
                <w:szCs w:val="22"/>
              </w:rPr>
              <w:t>b: NAB Business Confidence</w:t>
            </w:r>
          </w:p>
          <w:p w14:paraId="56346FB3" w14:textId="683AE3AB" w:rsidR="00166D51" w:rsidRPr="00F23F03" w:rsidRDefault="00166D51" w:rsidP="00DE462A">
            <w:pPr>
              <w:pStyle w:val="ChartGraphic"/>
              <w:jc w:val="left"/>
              <w:rPr>
                <w:rFonts w:ascii="Arial" w:hAnsi="Arial" w:cs="Arial"/>
                <w:b/>
                <w:i/>
                <w:color w:val="auto"/>
                <w:sz w:val="22"/>
                <w:szCs w:val="22"/>
              </w:rPr>
            </w:pPr>
            <w:r>
              <w:rPr>
                <w:noProof/>
              </w:rPr>
              <w:drawing>
                <wp:inline distT="0" distB="0" distL="0" distR="0" wp14:anchorId="363D14DA" wp14:editId="630DD445">
                  <wp:extent cx="2771775" cy="2838450"/>
                  <wp:effectExtent l="0" t="0" r="9525" b="0"/>
                  <wp:docPr id="14" name="Picture 14" descr="This chart shows the business confidence between January 2020 and September 2020 from the National Australia Bank (NAB) monthly business survey. Business confidence fell sharply from -4 points in February 2020 to -66 points in March 2020, a record low level. The series recovered over the subsequent months, following the announcement of JobKeeper, and reached +1 point in June 2020. Following this, the series fell again in July 2020 but recovered to be at -1 point in Sept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shows the business confidence between January 2020 and September 2020 from the National Australia Bank (NAB) monthly business survey. Business confidence fell sharply from -4 points in February 2020 to -66 points in March 2020, a record low level. The series recovered over the subsequent months, following the announcement of JobKeeper, and reached +1 point in June 2020. Following this, the series fell again in July 2020 but recovered to be at -1 point in September 20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1775" cy="2838450"/>
                          </a:xfrm>
                          <a:prstGeom prst="rect">
                            <a:avLst/>
                          </a:prstGeom>
                          <a:noFill/>
                        </pic:spPr>
                      </pic:pic>
                    </a:graphicData>
                  </a:graphic>
                </wp:inline>
              </w:drawing>
            </w:r>
          </w:p>
        </w:tc>
      </w:tr>
      <w:tr w:rsidR="00A8773E" w14:paraId="59A516A5" w14:textId="77777777" w:rsidTr="002D4EB4">
        <w:trPr>
          <w:trHeight w:val="828"/>
        </w:trPr>
        <w:tc>
          <w:tcPr>
            <w:tcW w:w="9071" w:type="dxa"/>
            <w:gridSpan w:val="2"/>
            <w:shd w:val="clear" w:color="auto" w:fill="auto"/>
          </w:tcPr>
          <w:p w14:paraId="33F66D47" w14:textId="77777777" w:rsidR="00A8773E" w:rsidRPr="00315164" w:rsidRDefault="00A8773E" w:rsidP="00315164">
            <w:pPr>
              <w:pStyle w:val="ChartorTableNote"/>
              <w:rPr>
                <w:lang w:val="en-US"/>
              </w:rPr>
            </w:pPr>
            <w:r w:rsidRPr="00315164">
              <w:rPr>
                <w:lang w:val="en-US"/>
              </w:rPr>
              <w:t>Note: Dotted lines show when the announcement of JobKeeper occurred. Consumer confidence is a weekly series and therefore the announcement of JobKeeper was captured in the last week of March</w:t>
            </w:r>
            <w:r w:rsidR="006429D2" w:rsidRPr="00315164">
              <w:rPr>
                <w:lang w:val="en-US"/>
              </w:rPr>
              <w:t xml:space="preserve"> 2020</w:t>
            </w:r>
            <w:r w:rsidRPr="00315164">
              <w:rPr>
                <w:lang w:val="en-US"/>
              </w:rPr>
              <w:t>. Business confidence is a monthly series</w:t>
            </w:r>
            <w:r w:rsidR="00676075" w:rsidRPr="00315164">
              <w:rPr>
                <w:lang w:val="en-US"/>
              </w:rPr>
              <w:t>,</w:t>
            </w:r>
            <w:r w:rsidRPr="00315164">
              <w:rPr>
                <w:lang w:val="en-US"/>
              </w:rPr>
              <w:t xml:space="preserve"> so the impact of the announcement was captured in observations following March.</w:t>
            </w:r>
          </w:p>
          <w:p w14:paraId="29D1332D" w14:textId="2AC0E00F" w:rsidR="00A8773E" w:rsidRDefault="00FB5D67" w:rsidP="00315164">
            <w:pPr>
              <w:pStyle w:val="ChartorTableNote"/>
              <w:rPr>
                <w:noProof/>
              </w:rPr>
            </w:pPr>
            <w:r w:rsidRPr="00315164">
              <w:rPr>
                <w:lang w:val="en-US"/>
              </w:rPr>
              <w:t>Source: ANZ</w:t>
            </w:r>
            <w:r w:rsidR="0038520A">
              <w:rPr>
                <w:lang w:val="en-US"/>
              </w:rPr>
              <w:noBreakHyphen/>
            </w:r>
            <w:r w:rsidRPr="00315164">
              <w:rPr>
                <w:lang w:val="en-US"/>
              </w:rPr>
              <w:t>Roy Morgan and NAB</w:t>
            </w:r>
            <w:r w:rsidR="006335B1">
              <w:rPr>
                <w:lang w:val="en-US"/>
              </w:rPr>
              <w:t>.</w:t>
            </w:r>
          </w:p>
        </w:tc>
      </w:tr>
    </w:tbl>
    <w:p w14:paraId="2304DA41" w14:textId="32294978" w:rsidR="00DF45AA" w:rsidRDefault="00886AD2" w:rsidP="004B36C2">
      <w:pPr>
        <w:pStyle w:val="Heading2"/>
      </w:pPr>
      <w:bookmarkStart w:id="132" w:name="_Toc83215056"/>
      <w:bookmarkStart w:id="133" w:name="_Toc84842624"/>
      <w:r>
        <w:t>Impact of JobKeeper on employment</w:t>
      </w:r>
      <w:bookmarkStart w:id="134" w:name="_Toc82787303"/>
      <w:bookmarkEnd w:id="132"/>
      <w:bookmarkEnd w:id="133"/>
    </w:p>
    <w:p w14:paraId="424F541C" w14:textId="06886710" w:rsidR="00886AD2" w:rsidRPr="007409BC" w:rsidRDefault="00886AD2" w:rsidP="00886AD2">
      <w:pPr>
        <w:pStyle w:val="Heading3"/>
        <w:rPr>
          <w:lang w:val="en-US"/>
        </w:rPr>
      </w:pPr>
      <w:bookmarkStart w:id="135" w:name="_Toc83215057"/>
      <w:r>
        <w:rPr>
          <w:lang w:val="en-US"/>
        </w:rPr>
        <w:t>JobKeeper reversed employment losses for supported workers</w:t>
      </w:r>
      <w:bookmarkEnd w:id="135"/>
      <w:r w:rsidR="00C55546">
        <w:rPr>
          <w:lang w:val="en-US"/>
        </w:rPr>
        <w:t xml:space="preserve"> and </w:t>
      </w:r>
      <w:r w:rsidR="001110B6">
        <w:rPr>
          <w:lang w:val="en-US"/>
        </w:rPr>
        <w:t>maintain</w:t>
      </w:r>
      <w:r w:rsidR="00C55546">
        <w:rPr>
          <w:lang w:val="en-US"/>
        </w:rPr>
        <w:t>ed</w:t>
      </w:r>
      <w:r w:rsidR="001110B6">
        <w:rPr>
          <w:lang w:val="en-US"/>
        </w:rPr>
        <w:t xml:space="preserve"> employment relationships</w:t>
      </w:r>
    </w:p>
    <w:p w14:paraId="45595481" w14:textId="57AB6C66" w:rsidR="00886AD2" w:rsidRDefault="00886AD2" w:rsidP="00B1263E">
      <w:pPr>
        <w:rPr>
          <w:lang w:val="en-US"/>
        </w:rPr>
      </w:pPr>
      <w:r>
        <w:rPr>
          <w:lang w:val="en-US"/>
        </w:rPr>
        <w:t xml:space="preserve">Business microdata indicate that </w:t>
      </w:r>
      <w:r w:rsidR="007B77CB">
        <w:rPr>
          <w:lang w:val="en-US"/>
        </w:rPr>
        <w:t>businesses</w:t>
      </w:r>
      <w:r>
        <w:rPr>
          <w:lang w:val="en-US"/>
        </w:rPr>
        <w:t xml:space="preserve"> that took up JobKeeper were </w:t>
      </w:r>
      <w:r w:rsidR="00A94681">
        <w:rPr>
          <w:lang w:val="en-US"/>
        </w:rPr>
        <w:t xml:space="preserve">most </w:t>
      </w:r>
      <w:r>
        <w:rPr>
          <w:lang w:val="en-US"/>
        </w:rPr>
        <w:t>adversely affected by the initial shock to the economy. Consistent with businesses</w:t>
      </w:r>
      <w:r w:rsidR="0038520A">
        <w:rPr>
          <w:lang w:val="en-US"/>
        </w:rPr>
        <w:t>’</w:t>
      </w:r>
      <w:r>
        <w:rPr>
          <w:lang w:val="en-US"/>
        </w:rPr>
        <w:t xml:space="preserve"> announcements and other evidence at the time, </w:t>
      </w:r>
      <w:r w:rsidR="003E6F2F">
        <w:rPr>
          <w:lang w:val="en-US"/>
        </w:rPr>
        <w:t>Single Touch Payroll (</w:t>
      </w:r>
      <w:r>
        <w:rPr>
          <w:lang w:val="en-US"/>
        </w:rPr>
        <w:t>STP</w:t>
      </w:r>
      <w:r w:rsidR="003E6F2F">
        <w:rPr>
          <w:lang w:val="en-US"/>
        </w:rPr>
        <w:t>)</w:t>
      </w:r>
      <w:r>
        <w:rPr>
          <w:lang w:val="en-US"/>
        </w:rPr>
        <w:t xml:space="preserve"> data showed a sharp increase in the number of formal job </w:t>
      </w:r>
      <w:r>
        <w:rPr>
          <w:lang w:val="en-US"/>
        </w:rPr>
        <w:lastRenderedPageBreak/>
        <w:t>separations in late March 2020 as businesses affected by the increasing health restrictions began to lay off staff.</w:t>
      </w:r>
      <w:r w:rsidR="001A5169">
        <w:rPr>
          <w:rStyle w:val="FootnoteReference"/>
          <w:lang w:val="en-US"/>
        </w:rPr>
        <w:footnoteReference w:id="16"/>
      </w:r>
      <w:r>
        <w:rPr>
          <w:lang w:val="en-US"/>
        </w:rPr>
        <w:t xml:space="preserve"> The overall rate of separations increased by around 45 per cent, compared </w:t>
      </w:r>
      <w:r w:rsidR="00160434">
        <w:rPr>
          <w:lang w:val="en-US"/>
        </w:rPr>
        <w:t xml:space="preserve">with </w:t>
      </w:r>
      <w:r>
        <w:rPr>
          <w:lang w:val="en-US"/>
        </w:rPr>
        <w:t xml:space="preserve">levels earlier in the year. The increase was almost entirely driven by </w:t>
      </w:r>
      <w:r w:rsidR="007B77CB">
        <w:rPr>
          <w:lang w:val="en-US"/>
        </w:rPr>
        <w:t>businesses</w:t>
      </w:r>
      <w:r>
        <w:rPr>
          <w:lang w:val="en-US"/>
        </w:rPr>
        <w:t xml:space="preserve"> that went on to enter </w:t>
      </w:r>
      <w:r>
        <w:t>JobKeeper</w:t>
      </w:r>
      <w:r>
        <w:rPr>
          <w:lang w:val="en-US"/>
        </w:rPr>
        <w:t xml:space="preserve">, with the number of </w:t>
      </w:r>
      <w:r w:rsidR="00E3221A">
        <w:rPr>
          <w:lang w:val="en-US"/>
        </w:rPr>
        <w:t xml:space="preserve">employees formally separating from their employer </w:t>
      </w:r>
      <w:r>
        <w:rPr>
          <w:lang w:val="en-US"/>
        </w:rPr>
        <w:t xml:space="preserve">almost doubling amongst this group within the </w:t>
      </w:r>
      <w:r w:rsidRPr="00350D40">
        <w:rPr>
          <w:lang w:val="en-US"/>
        </w:rPr>
        <w:t xml:space="preserve">space of </w:t>
      </w:r>
      <w:r w:rsidR="00721C33">
        <w:rPr>
          <w:lang w:val="en-US"/>
        </w:rPr>
        <w:t xml:space="preserve">two </w:t>
      </w:r>
      <w:r>
        <w:rPr>
          <w:lang w:val="en-US"/>
        </w:rPr>
        <w:t>weeks</w:t>
      </w:r>
      <w:r w:rsidR="007341E0">
        <w:rPr>
          <w:lang w:val="en-US"/>
        </w:rPr>
        <w:t xml:space="preserve"> (Figure 1</w:t>
      </w:r>
      <w:r w:rsidR="00A94143">
        <w:rPr>
          <w:lang w:val="en-US"/>
        </w:rPr>
        <w:t>3</w:t>
      </w:r>
      <w:r w:rsidR="007341E0">
        <w:rPr>
          <w:lang w:val="en-US"/>
        </w:rPr>
        <w:t>)</w:t>
      </w:r>
      <w:r w:rsidR="00D8612C">
        <w:rPr>
          <w:lang w:val="en-US"/>
        </w:rPr>
        <w:t xml:space="preserve">. </w:t>
      </w:r>
      <w:r>
        <w:rPr>
          <w:lang w:val="en-US"/>
        </w:rPr>
        <w:t>In contrast, separations among non</w:t>
      </w:r>
      <w:r w:rsidR="0038520A">
        <w:rPr>
          <w:lang w:val="en-US"/>
        </w:rPr>
        <w:noBreakHyphen/>
      </w:r>
      <w:r w:rsidR="00D24CA7">
        <w:rPr>
          <w:lang w:val="en-US"/>
        </w:rPr>
        <w:t>JobKeeper</w:t>
      </w:r>
      <w:r>
        <w:rPr>
          <w:lang w:val="en-US"/>
        </w:rPr>
        <w:t xml:space="preserve"> businesses remained broadly unchanged across this period. </w:t>
      </w:r>
    </w:p>
    <w:p w14:paraId="0F0BAA04" w14:textId="2522C2C0" w:rsidR="00886AD2" w:rsidRPr="00F47CF1" w:rsidRDefault="00886AD2" w:rsidP="004B36C2">
      <w:pPr>
        <w:pStyle w:val="ChartMainHeading"/>
        <w:rPr>
          <w:i/>
          <w:lang w:val="en-US"/>
        </w:rPr>
      </w:pPr>
      <w:bookmarkStart w:id="136" w:name="_Toc84842574"/>
      <w:r w:rsidRPr="00F47CF1">
        <w:rPr>
          <w:lang w:val="en-US"/>
        </w:rPr>
        <w:t>Job separations by JobKeeper status</w:t>
      </w:r>
      <w:bookmarkEnd w:id="136"/>
    </w:p>
    <w:p w14:paraId="4D860410" w14:textId="04CEA576" w:rsidR="00886AD2" w:rsidRDefault="0041780B" w:rsidP="00886AD2">
      <w:pPr>
        <w:pStyle w:val="ChartGraphic"/>
        <w:rPr>
          <w:sz w:val="18"/>
          <w:szCs w:val="18"/>
          <w:lang w:val="en-US"/>
        </w:rPr>
      </w:pPr>
      <w:r w:rsidRPr="0041780B">
        <w:rPr>
          <w:noProof/>
        </w:rPr>
        <w:drawing>
          <wp:inline distT="0" distB="0" distL="0" distR="0" wp14:anchorId="1B0E2ECF" wp14:editId="546A1FD6">
            <wp:extent cx="5760085" cy="2426970"/>
            <wp:effectExtent l="0" t="0" r="0" b="0"/>
            <wp:docPr id="8" name="Picture 8" descr="This chart shows job separations (indexed to the fortnight ending 1 March 2020). It shows two series, one for job separations at JobKeeper recipient firms, another for job separations at non-JobKeeper recipient firms. It shows that the peak in job separations was much higher at recipient firms, reaching around 185 in the fortnight ending 29 March 2020, while non-recipient firms only had a small increase in separations. The rate of job separations decreased significantly after JobKeeper was announced which suggests that the program helped disrupt job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chart shows job separations (indexed to the fortnight ending 1 March 2020). It shows two series, one for job separations at JobKeeper recipient firms, another for job separations at non-JobKeeper recipient firms. It shows that the peak in job separations was much higher at recipient firms, reaching around 185 in the fortnight ending 29 March 2020, while non-recipient firms only had a small increase in separations. The rate of job separations decreased significantly after JobKeeper was announced which suggests that the program helped disrupt job loss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2426970"/>
                    </a:xfrm>
                    <a:prstGeom prst="rect">
                      <a:avLst/>
                    </a:prstGeom>
                    <a:noFill/>
                    <a:ln>
                      <a:noFill/>
                    </a:ln>
                  </pic:spPr>
                </pic:pic>
              </a:graphicData>
            </a:graphic>
          </wp:inline>
        </w:drawing>
      </w:r>
    </w:p>
    <w:p w14:paraId="2956C4E3" w14:textId="29F99810" w:rsidR="00886AD2" w:rsidRDefault="00886AD2" w:rsidP="00886AD2">
      <w:pPr>
        <w:pStyle w:val="ChartorTableNote"/>
        <w:rPr>
          <w:lang w:val="en-US"/>
        </w:rPr>
      </w:pPr>
      <w:r w:rsidRPr="00350D40">
        <w:rPr>
          <w:lang w:val="en-US"/>
        </w:rPr>
        <w:t>Note: Figure</w:t>
      </w:r>
      <w:r w:rsidR="00A94143">
        <w:rPr>
          <w:lang w:val="en-US"/>
        </w:rPr>
        <w:t xml:space="preserve"> 13</w:t>
      </w:r>
      <w:r w:rsidRPr="00350D40">
        <w:rPr>
          <w:lang w:val="en-US"/>
        </w:rPr>
        <w:t xml:space="preserve"> presents fortnightly time series of job separations, indexed to equal 100 in the fortnight ending 1 March 2020. </w:t>
      </w:r>
      <w:r w:rsidRPr="00F47CF1">
        <w:rPr>
          <w:lang w:val="en-US"/>
        </w:rPr>
        <w:t>Separations are based on cease dates for a worker</w:t>
      </w:r>
      <w:r w:rsidR="0038520A">
        <w:rPr>
          <w:lang w:val="en-US"/>
        </w:rPr>
        <w:t>’</w:t>
      </w:r>
      <w:r w:rsidRPr="00F47CF1">
        <w:rPr>
          <w:lang w:val="en-US"/>
        </w:rPr>
        <w:t>s employment relationship with a business (it can include workers who were on zero pay). Dashed line</w:t>
      </w:r>
      <w:r>
        <w:rPr>
          <w:lang w:val="en-US"/>
        </w:rPr>
        <w:t xml:space="preserve"> indicates</w:t>
      </w:r>
      <w:r w:rsidRPr="00F47CF1">
        <w:rPr>
          <w:lang w:val="en-US"/>
        </w:rPr>
        <w:t xml:space="preserve"> start of JobKeeper. </w:t>
      </w:r>
      <w:r>
        <w:rPr>
          <w:lang w:val="en-US"/>
        </w:rPr>
        <w:t>S</w:t>
      </w:r>
      <w:r w:rsidRPr="00F47CF1">
        <w:rPr>
          <w:lang w:val="en-US"/>
        </w:rPr>
        <w:t xml:space="preserve">eries exhibits volatility around end of financial year, which has been corrected. </w:t>
      </w:r>
      <w:r w:rsidRPr="00B75538">
        <w:rPr>
          <w:lang w:val="en-US"/>
        </w:rPr>
        <w:t>Based on employees in STP data on weekly or fortnightly pay cycles.</w:t>
      </w:r>
    </w:p>
    <w:p w14:paraId="00CC0199" w14:textId="08F75418" w:rsidR="00886AD2" w:rsidRPr="00350D40" w:rsidRDefault="00886AD2" w:rsidP="00886AD2">
      <w:pPr>
        <w:pStyle w:val="ChartorTableNote"/>
        <w:rPr>
          <w:lang w:val="en-US"/>
        </w:rPr>
      </w:pPr>
      <w:r w:rsidRPr="00350D40">
        <w:rPr>
          <w:lang w:val="en-US"/>
        </w:rPr>
        <w:t>Source: Treasury analysis of de</w:t>
      </w:r>
      <w:r w:rsidR="0038520A">
        <w:rPr>
          <w:lang w:val="en-US"/>
        </w:rPr>
        <w:noBreakHyphen/>
      </w:r>
      <w:r w:rsidRPr="00350D40">
        <w:rPr>
          <w:lang w:val="en-US"/>
        </w:rPr>
        <w:t xml:space="preserve">identified administrative data (STP data linked to JobKeeper status). </w:t>
      </w:r>
    </w:p>
    <w:p w14:paraId="2D6608D9" w14:textId="77777777" w:rsidR="00886AD2" w:rsidRPr="001511FD" w:rsidRDefault="00886AD2" w:rsidP="00886AD2">
      <w:pPr>
        <w:pStyle w:val="SingleParagraph"/>
        <w:rPr>
          <w:lang w:val="en-US"/>
        </w:rPr>
      </w:pPr>
    </w:p>
    <w:p w14:paraId="3E6E4480" w14:textId="3BFE1137" w:rsidR="00886AD2" w:rsidRDefault="00886AD2" w:rsidP="00E04353">
      <w:r w:rsidRPr="00350D40">
        <w:t xml:space="preserve">A similar pattern is observed in terms of employment. </w:t>
      </w:r>
      <w:r w:rsidR="00A970C0">
        <w:t>T</w:t>
      </w:r>
      <w:r>
        <w:t>he total decline in jobs from the start of March to mid</w:t>
      </w:r>
      <w:r w:rsidR="0038520A">
        <w:noBreakHyphen/>
      </w:r>
      <w:r>
        <w:t xml:space="preserve">April </w:t>
      </w:r>
      <w:r w:rsidR="00F86B04">
        <w:t xml:space="preserve">2020 </w:t>
      </w:r>
      <w:r>
        <w:t>was almost 10 per cent.</w:t>
      </w:r>
      <w:r>
        <w:rPr>
          <w:rStyle w:val="FootnoteReference"/>
        </w:rPr>
        <w:footnoteReference w:id="17"/>
      </w:r>
      <w:r>
        <w:t xml:space="preserve"> Businesses that were not JobKeeper recipients shed around </w:t>
      </w:r>
      <w:r w:rsidRPr="00350D40">
        <w:t>2</w:t>
      </w:r>
      <w:r>
        <w:t> per cent of their jobs</w:t>
      </w:r>
      <w:r w:rsidR="006B6123">
        <w:t xml:space="preserve"> </w:t>
      </w:r>
      <w:r w:rsidR="00436F59">
        <w:t>to mid</w:t>
      </w:r>
      <w:r w:rsidR="0038520A">
        <w:noBreakHyphen/>
      </w:r>
      <w:r w:rsidR="00436F59">
        <w:t>April</w:t>
      </w:r>
      <w:r w:rsidR="00A87980">
        <w:t>.</w:t>
      </w:r>
      <w:r>
        <w:t xml:space="preserve"> For businesses that were JobKeeper recipients, there was an initial 20 per cent drop in total jobs held</w:t>
      </w:r>
      <w:r w:rsidDel="006236D0">
        <w:t>.</w:t>
      </w:r>
    </w:p>
    <w:p w14:paraId="75D44389" w14:textId="4D4E0D52" w:rsidR="00E11DBD" w:rsidRDefault="00886AD2" w:rsidP="00886AD2">
      <w:pPr>
        <w:rPr>
          <w:lang w:val="en-US"/>
        </w:rPr>
      </w:pPr>
      <w:r>
        <w:rPr>
          <w:lang w:val="en-US"/>
        </w:rPr>
        <w:t xml:space="preserve">The introduction of JobKeeper </w:t>
      </w:r>
      <w:r w:rsidR="00401657">
        <w:rPr>
          <w:lang w:val="en-US"/>
        </w:rPr>
        <w:t xml:space="preserve">appears to have </w:t>
      </w:r>
      <w:r>
        <w:rPr>
          <w:lang w:val="en-US"/>
        </w:rPr>
        <w:t xml:space="preserve">arrested </w:t>
      </w:r>
      <w:r w:rsidR="00401657">
        <w:rPr>
          <w:lang w:val="en-US"/>
        </w:rPr>
        <w:t>the rate of</w:t>
      </w:r>
      <w:r>
        <w:rPr>
          <w:lang w:val="en-US"/>
        </w:rPr>
        <w:t xml:space="preserve"> job shedding. Following the introduction of JobKeeper, the number of separations declined sharply and the initial job losses among </w:t>
      </w:r>
      <w:r w:rsidRPr="004F524C">
        <w:rPr>
          <w:lang w:val="en-US"/>
        </w:rPr>
        <w:t>eligible</w:t>
      </w:r>
      <w:r>
        <w:rPr>
          <w:lang w:val="en-US"/>
        </w:rPr>
        <w:t xml:space="preserve"> </w:t>
      </w:r>
      <w:r w:rsidRPr="004F524C">
        <w:rPr>
          <w:lang w:val="en-US"/>
        </w:rPr>
        <w:t>workers</w:t>
      </w:r>
      <w:r w:rsidR="00436F59">
        <w:rPr>
          <w:i/>
          <w:lang w:val="en-US"/>
        </w:rPr>
        <w:t xml:space="preserve">, </w:t>
      </w:r>
      <w:r w:rsidR="00436F59" w:rsidRPr="00887FBE">
        <w:rPr>
          <w:lang w:val="en-US"/>
        </w:rPr>
        <w:t>a little under 1</w:t>
      </w:r>
      <w:r w:rsidR="00E11DBD">
        <w:rPr>
          <w:iCs/>
          <w:lang w:val="en-US"/>
        </w:rPr>
        <w:t>0</w:t>
      </w:r>
      <w:r w:rsidR="00436F59" w:rsidRPr="00887FBE">
        <w:rPr>
          <w:lang w:val="en-US"/>
        </w:rPr>
        <w:t xml:space="preserve"> per cent in </w:t>
      </w:r>
      <w:r w:rsidR="00E11DBD">
        <w:rPr>
          <w:iCs/>
          <w:lang w:val="en-US"/>
        </w:rPr>
        <w:t>April</w:t>
      </w:r>
      <w:r w:rsidR="00436F59">
        <w:rPr>
          <w:i/>
          <w:lang w:val="en-US"/>
        </w:rPr>
        <w:t>,</w:t>
      </w:r>
      <w:r w:rsidR="00436F59">
        <w:rPr>
          <w:lang w:val="en-US"/>
        </w:rPr>
        <w:t xml:space="preserve"> </w:t>
      </w:r>
      <w:r>
        <w:rPr>
          <w:lang w:val="en-US"/>
        </w:rPr>
        <w:t xml:space="preserve">were </w:t>
      </w:r>
      <w:r w:rsidR="00E11DBD">
        <w:rPr>
          <w:lang w:val="en-US"/>
        </w:rPr>
        <w:t>quickly</w:t>
      </w:r>
      <w:r>
        <w:rPr>
          <w:lang w:val="en-US"/>
        </w:rPr>
        <w:t xml:space="preserve"> reversed. </w:t>
      </w:r>
    </w:p>
    <w:p w14:paraId="5AD5BAA4" w14:textId="41859A0C" w:rsidR="00212760" w:rsidRDefault="00F95B18" w:rsidP="00C33706">
      <w:r>
        <w:t>D</w:t>
      </w:r>
      <w:r w:rsidR="00500FE6">
        <w:t>uring mid</w:t>
      </w:r>
      <w:r w:rsidR="0038520A">
        <w:noBreakHyphen/>
      </w:r>
      <w:r w:rsidR="00500FE6">
        <w:t xml:space="preserve">2020 </w:t>
      </w:r>
      <w:r w:rsidR="00C33706">
        <w:t xml:space="preserve">a record number of </w:t>
      </w:r>
      <w:r w:rsidR="00B2532F">
        <w:t xml:space="preserve">JobKeeper and other </w:t>
      </w:r>
      <w:r w:rsidR="00845761">
        <w:t>workers returned to their</w:t>
      </w:r>
      <w:r w:rsidR="00C33706">
        <w:t xml:space="preserve"> </w:t>
      </w:r>
      <w:r w:rsidR="00845761">
        <w:t>previous</w:t>
      </w:r>
      <w:r w:rsidR="00C33706">
        <w:t xml:space="preserve"> </w:t>
      </w:r>
      <w:r w:rsidR="0038520A">
        <w:t>‘</w:t>
      </w:r>
      <w:r w:rsidR="00B2532F">
        <w:t>existing</w:t>
      </w:r>
      <w:r w:rsidR="0038520A">
        <w:t>’</w:t>
      </w:r>
      <w:r w:rsidR="00C33706">
        <w:t xml:space="preserve"> jobs, as measured both from the employer perspective (using </w:t>
      </w:r>
      <w:r w:rsidR="00AC3CD7">
        <w:t>STP</w:t>
      </w:r>
      <w:r w:rsidR="00C33706">
        <w:t xml:space="preserve"> data) and the employee perspective (using Labour Force Survey microdata</w:t>
      </w:r>
      <w:r w:rsidR="00B2532F">
        <w:t>; Figure</w:t>
      </w:r>
      <w:r w:rsidR="00B2532F" w:rsidRPr="005E5B1E">
        <w:t xml:space="preserve"> </w:t>
      </w:r>
      <w:r w:rsidR="00B2532F">
        <w:t>1</w:t>
      </w:r>
      <w:r w:rsidR="001E57B2">
        <w:t>4</w:t>
      </w:r>
      <w:r w:rsidR="00157539">
        <w:t>a</w:t>
      </w:r>
      <w:r w:rsidR="00C33706">
        <w:t xml:space="preserve">). </w:t>
      </w:r>
      <w:r w:rsidR="00EF649F">
        <w:t xml:space="preserve">Of those people who </w:t>
      </w:r>
      <w:r w:rsidR="00825EFB">
        <w:t>entered the labour market</w:t>
      </w:r>
      <w:r w:rsidR="00EF649F">
        <w:t xml:space="preserve"> in May, </w:t>
      </w:r>
      <w:r w:rsidR="00C33706">
        <w:t xml:space="preserve">86 per cent </w:t>
      </w:r>
      <w:r w:rsidR="00EF649F">
        <w:t>returned to a previous job, while the equivalent for August was 74</w:t>
      </w:r>
      <w:r w:rsidR="00F06073">
        <w:t> </w:t>
      </w:r>
      <w:r w:rsidR="00EF649F">
        <w:t>per cent. T</w:t>
      </w:r>
      <w:r w:rsidR="00C33706">
        <w:t xml:space="preserve">he number of </w:t>
      </w:r>
      <w:r w:rsidR="00EF649F">
        <w:t xml:space="preserve">people taking up completely new </w:t>
      </w:r>
      <w:r w:rsidR="00C33706">
        <w:t>jobs dropped in May 2020 but recovered quickly</w:t>
      </w:r>
      <w:r w:rsidR="00C33706" w:rsidRPr="005E5B1E">
        <w:t xml:space="preserve">. </w:t>
      </w:r>
    </w:p>
    <w:p w14:paraId="0D90FBF5" w14:textId="5AF97CC1" w:rsidR="00212760" w:rsidRDefault="00500FE6" w:rsidP="00C33706">
      <w:r>
        <w:t>E</w:t>
      </w:r>
      <w:r w:rsidR="00C33706" w:rsidRPr="005E5B1E">
        <w:t>ven in the more restrictive group of those who experienced a job separation (as reported in the Labour Force Survey</w:t>
      </w:r>
      <w:r>
        <w:t xml:space="preserve">, </w:t>
      </w:r>
      <w:r w:rsidR="00BA52B7">
        <w:t>which includes at least some</w:t>
      </w:r>
      <w:r>
        <w:t xml:space="preserve"> JobKeeper workers</w:t>
      </w:r>
      <w:r w:rsidR="00C33706" w:rsidRPr="005E5B1E">
        <w:t xml:space="preserve">) in the </w:t>
      </w:r>
      <w:r w:rsidR="00721C33">
        <w:t xml:space="preserve">three </w:t>
      </w:r>
      <w:r w:rsidR="00E03D6F">
        <w:t>months to May</w:t>
      </w:r>
      <w:r w:rsidR="00C33706" w:rsidRPr="005E5B1E">
        <w:t xml:space="preserve">, </w:t>
      </w:r>
      <w:r w:rsidR="00C33706" w:rsidRPr="005E5B1E">
        <w:lastRenderedPageBreak/>
        <w:t>43</w:t>
      </w:r>
      <w:r w:rsidR="009601F1">
        <w:t> </w:t>
      </w:r>
      <w:r w:rsidR="00C33706" w:rsidRPr="005E5B1E">
        <w:t>per cent were re</w:t>
      </w:r>
      <w:r w:rsidR="0038520A">
        <w:noBreakHyphen/>
      </w:r>
      <w:r w:rsidR="00C33706" w:rsidRPr="005E5B1E">
        <w:t>employed by August 2020, and more than two</w:t>
      </w:r>
      <w:r w:rsidR="0038520A">
        <w:noBreakHyphen/>
      </w:r>
      <w:r w:rsidR="00C33706" w:rsidRPr="005E5B1E">
        <w:t>thirds had returned to a job they had held before (</w:t>
      </w:r>
      <w:r w:rsidR="006705EF">
        <w:t>Figure</w:t>
      </w:r>
      <w:r w:rsidR="00C33706" w:rsidRPr="005E5B1E">
        <w:t xml:space="preserve"> </w:t>
      </w:r>
      <w:r w:rsidR="006B6123">
        <w:t>1</w:t>
      </w:r>
      <w:r w:rsidR="001E57B2">
        <w:t>4</w:t>
      </w:r>
      <w:r w:rsidR="00157539">
        <w:t>b</w:t>
      </w:r>
      <w:r w:rsidR="00C33706" w:rsidRPr="005E5B1E">
        <w:t xml:space="preserve">). </w:t>
      </w:r>
    </w:p>
    <w:p w14:paraId="31D3793D" w14:textId="180645B9" w:rsidR="00212760" w:rsidRDefault="00C33706" w:rsidP="00C33706">
      <w:r w:rsidRPr="005E5B1E">
        <w:t>Returning</w:t>
      </w:r>
      <w:r>
        <w:t xml:space="preserve"> to previously held jobs has been particularly important to employment recovery in the hardest</w:t>
      </w:r>
      <w:r w:rsidR="0038520A">
        <w:noBreakHyphen/>
      </w:r>
      <w:r>
        <w:t xml:space="preserve">hit sectors – </w:t>
      </w:r>
      <w:r w:rsidR="001C2259">
        <w:t>f</w:t>
      </w:r>
      <w:r>
        <w:t xml:space="preserve">ood </w:t>
      </w:r>
      <w:r w:rsidR="00042735">
        <w:t>and</w:t>
      </w:r>
      <w:r>
        <w:t xml:space="preserve"> </w:t>
      </w:r>
      <w:r w:rsidR="001C2259">
        <w:t>a</w:t>
      </w:r>
      <w:r>
        <w:t xml:space="preserve">ccommodation, and </w:t>
      </w:r>
      <w:r w:rsidR="001C2259">
        <w:t>a</w:t>
      </w:r>
      <w:r>
        <w:t xml:space="preserve">rts </w:t>
      </w:r>
      <w:r w:rsidR="00042735">
        <w:t>and</w:t>
      </w:r>
      <w:r>
        <w:t xml:space="preserve"> </w:t>
      </w:r>
      <w:r w:rsidR="001C2259">
        <w:t>r</w:t>
      </w:r>
      <w:r>
        <w:t>ecreation.</w:t>
      </w:r>
      <w:r w:rsidR="001110B6">
        <w:t xml:space="preserve"> </w:t>
      </w:r>
      <w:r w:rsidR="00EF18E8">
        <w:t>These dynamics were also more evident for JobKeeper workers than other workers</w:t>
      </w:r>
      <w:r w:rsidR="00B23C33">
        <w:t>.</w:t>
      </w:r>
    </w:p>
    <w:p w14:paraId="7AE5680B" w14:textId="24FD68BF" w:rsidR="00C33706" w:rsidRPr="000327AB" w:rsidRDefault="00157539" w:rsidP="006E2C94">
      <w:pPr>
        <w:pStyle w:val="ChartMainHeading"/>
      </w:pPr>
      <w:bookmarkStart w:id="137" w:name="_Toc84842575"/>
      <w:r>
        <w:t xml:space="preserve">Entries into </w:t>
      </w:r>
      <w:r w:rsidR="00AD5566">
        <w:t>e</w:t>
      </w:r>
      <w:r>
        <w:t>mployment</w:t>
      </w:r>
      <w:bookmarkEnd w:id="137"/>
      <w:r>
        <w:t xml:space="preserve"> </w:t>
      </w:r>
    </w:p>
    <w:tbl>
      <w:tblPr>
        <w:tblW w:w="5000" w:type="pct"/>
        <w:tblLook w:val="01E0" w:firstRow="1" w:lastRow="1" w:firstColumn="1" w:lastColumn="1" w:noHBand="0" w:noVBand="0"/>
      </w:tblPr>
      <w:tblGrid>
        <w:gridCol w:w="4535"/>
        <w:gridCol w:w="4536"/>
      </w:tblGrid>
      <w:tr w:rsidR="00166D51" w14:paraId="0B531339" w14:textId="77777777" w:rsidTr="00166D51">
        <w:trPr>
          <w:cantSplit/>
          <w:trHeight w:val="4535"/>
        </w:trPr>
        <w:tc>
          <w:tcPr>
            <w:tcW w:w="2500" w:type="pct"/>
          </w:tcPr>
          <w:p w14:paraId="1BE6413A" w14:textId="5D352413" w:rsidR="00166D51" w:rsidRDefault="00166D51" w:rsidP="00166D51">
            <w:pPr>
              <w:pStyle w:val="ChartSecondHeading"/>
            </w:pPr>
            <w:r w:rsidRPr="002A4D7E">
              <w:t>a: Monthly entries into new and existing jobs</w:t>
            </w:r>
            <w:r w:rsidR="00DB6881">
              <w:br/>
            </w:r>
          </w:p>
          <w:p w14:paraId="456AF32A" w14:textId="6B61085D" w:rsidR="00166D51" w:rsidRDefault="00166D51" w:rsidP="006B7E67">
            <w:pPr>
              <w:pStyle w:val="ChartGraphic"/>
            </w:pPr>
            <w:r>
              <w:br w:type="page"/>
            </w:r>
            <w:r>
              <w:rPr>
                <w:noProof/>
              </w:rPr>
              <w:drawing>
                <wp:inline distT="0" distB="0" distL="0" distR="0" wp14:anchorId="048ABDC4" wp14:editId="112307B6">
                  <wp:extent cx="2810510" cy="2883535"/>
                  <wp:effectExtent l="0" t="0" r="8890" b="0"/>
                  <wp:docPr id="37" name="Picture 37" descr="This chart shows the number of people entering the labour market by taking up new jobs or returning to existing jobs. The number of people returning to an existing job that they previously held has been increasing over time, but spiked to a record level in May 2020, and then returned to more normal levels by the start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chart shows the number of people entering the labour market by taking up new jobs or returning to existing jobs. The number of people returning to an existing job that they previously held has been increasing over time, but spiked to a record level in May 2020, and then returned to more normal levels by the start of 20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0510" cy="2883535"/>
                          </a:xfrm>
                          <a:prstGeom prst="rect">
                            <a:avLst/>
                          </a:prstGeom>
                          <a:noFill/>
                        </pic:spPr>
                      </pic:pic>
                    </a:graphicData>
                  </a:graphic>
                </wp:inline>
              </w:drawing>
            </w:r>
          </w:p>
        </w:tc>
        <w:tc>
          <w:tcPr>
            <w:tcW w:w="2500" w:type="pct"/>
          </w:tcPr>
          <w:p w14:paraId="5F143C0C" w14:textId="21A4238B" w:rsidR="00166D51" w:rsidRDefault="00166D51" w:rsidP="00166D51">
            <w:pPr>
              <w:pStyle w:val="ChartSecondHeading"/>
              <w:rPr>
                <w:noProof/>
              </w:rPr>
            </w:pPr>
            <w:r w:rsidRPr="002A4D7E">
              <w:t>b: Re</w:t>
            </w:r>
            <w:r w:rsidR="0038520A">
              <w:noBreakHyphen/>
            </w:r>
            <w:r w:rsidRPr="002A4D7E">
              <w:t xml:space="preserve">employment rate </w:t>
            </w:r>
            <w:r w:rsidRPr="00721C33">
              <w:t>three</w:t>
            </w:r>
            <w:r w:rsidRPr="00721C33" w:rsidDel="00721C33">
              <w:t xml:space="preserve"> </w:t>
            </w:r>
            <w:r w:rsidRPr="002A4D7E">
              <w:t>months after separation</w:t>
            </w:r>
          </w:p>
          <w:p w14:paraId="32FF685A" w14:textId="26507DE4" w:rsidR="00166D51" w:rsidRDefault="00166D51" w:rsidP="004A1369">
            <w:pPr>
              <w:pStyle w:val="ChartGraphic"/>
              <w:spacing w:after="40"/>
              <w:rPr>
                <w:noProof/>
              </w:rPr>
            </w:pPr>
            <w:r>
              <w:rPr>
                <w:noProof/>
              </w:rPr>
              <w:drawing>
                <wp:inline distT="0" distB="0" distL="0" distR="0" wp14:anchorId="78FA4C05" wp14:editId="1171B206">
                  <wp:extent cx="2810510" cy="2883535"/>
                  <wp:effectExtent l="0" t="0" r="8890" b="0"/>
                  <wp:docPr id="38" name="Picture 38" descr="This chart shows that the proportion of people who were re-employed 3 months after having left or lost a job remained high during 2020, and is still above average. Furthermore, a particularly high number of these people returned to a job that they previously 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chart shows that the proportion of people who were re-employed 3 months after having left or lost a job remained high during 2020, and is still above average. Furthermore, a particularly high number of these people returned to a job that they previously hel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0510" cy="2883535"/>
                          </a:xfrm>
                          <a:prstGeom prst="rect">
                            <a:avLst/>
                          </a:prstGeom>
                          <a:noFill/>
                        </pic:spPr>
                      </pic:pic>
                    </a:graphicData>
                  </a:graphic>
                </wp:inline>
              </w:drawing>
            </w:r>
          </w:p>
        </w:tc>
      </w:tr>
    </w:tbl>
    <w:p w14:paraId="3E576C9E" w14:textId="551E703F" w:rsidR="009179BF" w:rsidRDefault="00612C30" w:rsidP="009179BF">
      <w:pPr>
        <w:pStyle w:val="ChartorTableNote"/>
      </w:pPr>
      <w:r>
        <w:t>Note</w:t>
      </w:r>
      <w:r w:rsidR="00C33706" w:rsidRPr="008843AE">
        <w:t xml:space="preserve">: </w:t>
      </w:r>
      <w:r>
        <w:t>Figure 14a.</w:t>
      </w:r>
      <w:r w:rsidR="00C33706" w:rsidRPr="008843AE">
        <w:t xml:space="preserve"> Data are monthly transitions into employment (from unemployment or </w:t>
      </w:r>
      <w:r w:rsidR="00C976CC">
        <w:t>not in the labour force</w:t>
      </w:r>
      <w:r w:rsidR="00C33706" w:rsidRPr="008843AE">
        <w:t xml:space="preserve">), seasonally adjusted. Due to the use of longitudinal weights, totals will not match ABS Labour Force numbers exactly. </w:t>
      </w:r>
      <w:r>
        <w:t>Figure 14b.</w:t>
      </w:r>
      <w:r w:rsidR="00C33706" w:rsidRPr="008843AE">
        <w:t xml:space="preserve"> Data are workers who had become unemployed, having left or lost a job (including </w:t>
      </w:r>
      <w:r w:rsidR="0051056F">
        <w:t xml:space="preserve">being </w:t>
      </w:r>
      <w:r w:rsidR="00C33706" w:rsidRPr="008843AE">
        <w:t xml:space="preserve">retrenched) in the previous quarter, who had regained employment in </w:t>
      </w:r>
      <w:r w:rsidR="00526A30">
        <w:t xml:space="preserve">the </w:t>
      </w:r>
      <w:r w:rsidR="00C33706" w:rsidRPr="008843AE">
        <w:t>subsequent quarter. Dashed lines are the average of each series.</w:t>
      </w:r>
      <w:r w:rsidR="009179BF" w:rsidRPr="009179BF">
        <w:t xml:space="preserve"> </w:t>
      </w:r>
    </w:p>
    <w:p w14:paraId="4C982999" w14:textId="06D54226" w:rsidR="009179BF" w:rsidRPr="00D849D8" w:rsidRDefault="009179BF" w:rsidP="009179BF">
      <w:pPr>
        <w:pStyle w:val="ChartorTableNote"/>
      </w:pPr>
      <w:r w:rsidRPr="008843AE">
        <w:t>Source: Treasury analysis using ABS Longitudinal Labour Force Survey (</w:t>
      </w:r>
      <w:r>
        <w:t>C</w:t>
      </w:r>
      <w:r w:rsidRPr="008843AE">
        <w:t>at. No. 6602.0).</w:t>
      </w:r>
    </w:p>
    <w:p w14:paraId="3250985B" w14:textId="2C9D08B1" w:rsidR="00886AD2" w:rsidRDefault="00C33706" w:rsidP="00886AD2">
      <w:pPr>
        <w:pStyle w:val="Heading3"/>
      </w:pPr>
      <w:bookmarkStart w:id="138" w:name="_Toc83215059"/>
      <w:r>
        <w:t xml:space="preserve">As the economy recovered, </w:t>
      </w:r>
      <w:bookmarkEnd w:id="138"/>
      <w:r w:rsidR="00E83BA5" w:rsidRPr="00E83BA5">
        <w:t>businesses</w:t>
      </w:r>
      <w:r w:rsidR="001110B6">
        <w:t xml:space="preserve"> were able to expand activity by increasing hours for JobKeeper workers</w:t>
      </w:r>
    </w:p>
    <w:p w14:paraId="7B907928" w14:textId="5C595C25" w:rsidR="004F7BD6" w:rsidRDefault="001110B6" w:rsidP="00886AD2">
      <w:r>
        <w:t xml:space="preserve">By maintaining employment relationships, JobKeeper appears to have allowed </w:t>
      </w:r>
      <w:r w:rsidR="00E83BA5" w:rsidRPr="00E83BA5">
        <w:t>businesses</w:t>
      </w:r>
      <w:r>
        <w:t xml:space="preserve"> </w:t>
      </w:r>
      <w:r w:rsidR="004F7BD6">
        <w:t xml:space="preserve">to more quickly adapt and </w:t>
      </w:r>
      <w:r w:rsidR="004237C8">
        <w:t>recover</w:t>
      </w:r>
      <w:r w:rsidR="004F7BD6">
        <w:t xml:space="preserve"> production as the </w:t>
      </w:r>
      <w:r w:rsidR="004237C8" w:rsidRPr="00192C28">
        <w:t>restrictions eased,</w:t>
      </w:r>
      <w:r w:rsidR="004F7BD6" w:rsidRPr="00192C28">
        <w:t xml:space="preserve"> expanding hours worked by their JobKeeper workers</w:t>
      </w:r>
      <w:r w:rsidR="00AA184A" w:rsidRPr="00192C28">
        <w:t xml:space="preserve"> and minimising scarring</w:t>
      </w:r>
      <w:r w:rsidR="004F7BD6" w:rsidRPr="00192C28">
        <w:t xml:space="preserve">. </w:t>
      </w:r>
      <w:r w:rsidR="00DE62B2" w:rsidRPr="00192C28">
        <w:t xml:space="preserve">Unlike a furlough scheme, the </w:t>
      </w:r>
      <w:r w:rsidR="004F7BD6" w:rsidRPr="00192C28">
        <w:t xml:space="preserve">structure of JobKeeper strongly incentivised such an expansion, given the business </w:t>
      </w:r>
      <w:r w:rsidR="000F3604" w:rsidRPr="00192C28">
        <w:t xml:space="preserve">only </w:t>
      </w:r>
      <w:r w:rsidR="004F7BD6" w:rsidRPr="00192C28">
        <w:t>directly benefited from payments where staff were working and generating revenue</w:t>
      </w:r>
      <w:r w:rsidR="005B4440">
        <w:t>.</w:t>
      </w:r>
      <w:r w:rsidR="000F3604" w:rsidRPr="00192C28">
        <w:t xml:space="preserve"> </w:t>
      </w:r>
      <w:r w:rsidR="005B4440">
        <w:t xml:space="preserve">Where staff were not working, </w:t>
      </w:r>
      <w:r w:rsidR="000F3604" w:rsidRPr="00192C28">
        <w:t xml:space="preserve">JobKeeper </w:t>
      </w:r>
      <w:r w:rsidR="005B4440">
        <w:t>operated</w:t>
      </w:r>
      <w:r w:rsidR="005B4440" w:rsidRPr="00192C28">
        <w:t xml:space="preserve"> </w:t>
      </w:r>
      <w:r w:rsidR="005B4440">
        <w:t xml:space="preserve">only as </w:t>
      </w:r>
      <w:r w:rsidR="007E0822" w:rsidRPr="00192C28">
        <w:t>an</w:t>
      </w:r>
      <w:r w:rsidR="000F3604" w:rsidRPr="00192C28">
        <w:t xml:space="preserve"> income</w:t>
      </w:r>
      <w:r w:rsidR="000F3604">
        <w:t xml:space="preserve"> transfer to households</w:t>
      </w:r>
      <w:r w:rsidR="004F7BD6">
        <w:t>.</w:t>
      </w:r>
      <w:r w:rsidR="003A615B">
        <w:t xml:space="preserve"> </w:t>
      </w:r>
    </w:p>
    <w:p w14:paraId="58F1BA71" w14:textId="536B6FF4" w:rsidR="00886AD2" w:rsidRDefault="004F7BD6" w:rsidP="00886AD2">
      <w:r>
        <w:t xml:space="preserve">STP data </w:t>
      </w:r>
      <w:r w:rsidR="00CA1143">
        <w:t xml:space="preserve">can be used to estimate </w:t>
      </w:r>
      <w:r w:rsidR="000F3604">
        <w:t xml:space="preserve">the share of JobKeeper that </w:t>
      </w:r>
      <w:r w:rsidR="00A35ECC">
        <w:t>was paid to compensate workers for actual hours worked, and the share paid on top of this to worke</w:t>
      </w:r>
      <w:r w:rsidR="00F72D31">
        <w:t>rs</w:t>
      </w:r>
      <w:r w:rsidR="00A35ECC">
        <w:t xml:space="preserve"> </w:t>
      </w:r>
      <w:r w:rsidR="001B318A">
        <w:t>to reach the</w:t>
      </w:r>
      <w:r w:rsidR="00A35ECC">
        <w:t xml:space="preserve"> flat payment rate.</w:t>
      </w:r>
      <w:r w:rsidR="00886AD2">
        <w:t xml:space="preserve"> </w:t>
      </w:r>
      <w:r w:rsidR="00A35ECC">
        <w:t xml:space="preserve">The former is a wage subsidy to the </w:t>
      </w:r>
      <w:r w:rsidR="00D632E7">
        <w:t>business</w:t>
      </w:r>
      <w:r w:rsidR="00A35ECC">
        <w:t xml:space="preserve">, while the </w:t>
      </w:r>
      <w:r w:rsidR="00F72D31">
        <w:t xml:space="preserve">latter </w:t>
      </w:r>
      <w:r w:rsidR="00A35ECC">
        <w:t>is a</w:t>
      </w:r>
      <w:r w:rsidR="007E0822">
        <w:t>n</w:t>
      </w:r>
      <w:r w:rsidR="00A35ECC">
        <w:t xml:space="preserve"> income transfer to households</w:t>
      </w:r>
      <w:r w:rsidR="00886AD2">
        <w:t xml:space="preserve">. </w:t>
      </w:r>
      <w:r w:rsidR="00955E6E">
        <w:t>As</w:t>
      </w:r>
      <w:r w:rsidR="00886AD2">
        <w:t xml:space="preserve"> workers</w:t>
      </w:r>
      <w:r w:rsidR="0038520A">
        <w:t>’</w:t>
      </w:r>
      <w:r w:rsidR="00886AD2">
        <w:t xml:space="preserve"> hours </w:t>
      </w:r>
      <w:r w:rsidR="00955E6E">
        <w:t>of work increase,</w:t>
      </w:r>
      <w:r w:rsidR="00886AD2">
        <w:t xml:space="preserve"> the share of JobKeeper that </w:t>
      </w:r>
      <w:r w:rsidR="00CA1143">
        <w:t xml:space="preserve">was </w:t>
      </w:r>
      <w:r w:rsidR="00886AD2">
        <w:t>a</w:t>
      </w:r>
      <w:r w:rsidR="00EA3078">
        <w:t>n</w:t>
      </w:r>
      <w:r w:rsidR="00886AD2">
        <w:t xml:space="preserve"> </w:t>
      </w:r>
      <w:r w:rsidR="00EA3078">
        <w:t>income transfer</w:t>
      </w:r>
      <w:r w:rsidR="00886AD2">
        <w:t xml:space="preserve"> decline</w:t>
      </w:r>
      <w:r w:rsidR="00CA1143">
        <w:t>d</w:t>
      </w:r>
      <w:r w:rsidR="00886AD2">
        <w:t>.</w:t>
      </w:r>
    </w:p>
    <w:p w14:paraId="2E4EE43A" w14:textId="51064E0F" w:rsidR="00486250" w:rsidRPr="00726A8A" w:rsidRDefault="00CA1143" w:rsidP="00886AD2">
      <w:r>
        <w:t>The analysis of STP data, presented in F</w:t>
      </w:r>
      <w:r w:rsidR="00294DD0">
        <w:t>i</w:t>
      </w:r>
      <w:r>
        <w:t xml:space="preserve">gure 15, shows that the average amount of JobKeeper payments that were an income transfer peaked at around $350 in May. After this time, </w:t>
      </w:r>
      <w:r w:rsidR="00DE4ABC">
        <w:t>the data show that the share of JobKeeper payments that were income transfers declined, consistent with an increase in hours worked by JobKeeper workers.</w:t>
      </w:r>
      <w:r>
        <w:t xml:space="preserve"> </w:t>
      </w:r>
      <w:r w:rsidR="00E76B7D">
        <w:t>Similarly, o</w:t>
      </w:r>
      <w:r w:rsidR="00294DD0" w:rsidRPr="001F4A11">
        <w:t xml:space="preserve">ver the first six months of the program, </w:t>
      </w:r>
      <w:r w:rsidR="00294DD0" w:rsidRPr="001F4A11">
        <w:lastRenderedPageBreak/>
        <w:t xml:space="preserve">the share of workers stood down on zero hours declined from 12 per cent in May (around 375,000 employees) to around 8 per cent in September (around 235,000 workers). </w:t>
      </w:r>
      <w:r w:rsidR="00886AD2" w:rsidRPr="00AD59CA" w:rsidDel="00294DD0">
        <w:t xml:space="preserve">There was a slight increase in </w:t>
      </w:r>
      <w:r w:rsidR="00EA3078" w:rsidDel="00294DD0">
        <w:t>the share of JobKeeper paid as transfers</w:t>
      </w:r>
      <w:r w:rsidR="00886AD2" w:rsidRPr="00AD59CA" w:rsidDel="00294DD0">
        <w:t xml:space="preserve"> in August and September, as Melbourne re</w:t>
      </w:r>
      <w:r w:rsidR="0038520A" w:rsidDel="00294DD0">
        <w:noBreakHyphen/>
      </w:r>
      <w:r w:rsidR="00886AD2" w:rsidRPr="00AD59CA" w:rsidDel="00294DD0">
        <w:t>entered lockdown.</w:t>
      </w:r>
    </w:p>
    <w:p w14:paraId="7FCFA730" w14:textId="19F9AD9D" w:rsidR="000327AB" w:rsidRPr="00782E2B" w:rsidRDefault="004336AB" w:rsidP="0038699A">
      <w:pPr>
        <w:pStyle w:val="ChartMainHeading"/>
        <w:rPr>
          <w:lang w:val="en-US"/>
        </w:rPr>
      </w:pPr>
      <w:bookmarkStart w:id="139" w:name="_Toc84842576"/>
      <w:r>
        <w:rPr>
          <w:lang w:val="en-US"/>
        </w:rPr>
        <w:t xml:space="preserve">JobKeeper </w:t>
      </w:r>
      <w:r w:rsidR="00A8072F">
        <w:rPr>
          <w:lang w:val="en-US"/>
        </w:rPr>
        <w:t>income transfer</w:t>
      </w:r>
      <w:r w:rsidR="0053720F">
        <w:rPr>
          <w:lang w:val="en-US"/>
        </w:rPr>
        <w:t xml:space="preserve"> payment</w:t>
      </w:r>
      <w:r w:rsidR="00826DC2">
        <w:rPr>
          <w:lang w:val="en-US"/>
        </w:rPr>
        <w:t>s</w:t>
      </w:r>
      <w:r w:rsidR="00580864">
        <w:rPr>
          <w:lang w:val="en-US"/>
        </w:rPr>
        <w:t xml:space="preserve"> to </w:t>
      </w:r>
      <w:r w:rsidR="00D403EA">
        <w:rPr>
          <w:lang w:val="en-US"/>
        </w:rPr>
        <w:t>workers</w:t>
      </w:r>
      <w:bookmarkEnd w:id="139"/>
    </w:p>
    <w:tbl>
      <w:tblPr>
        <w:tblW w:w="5000" w:type="pct"/>
        <w:tblLook w:val="01E0" w:firstRow="1" w:lastRow="1" w:firstColumn="1" w:lastColumn="1" w:noHBand="0" w:noVBand="0"/>
      </w:tblPr>
      <w:tblGrid>
        <w:gridCol w:w="4556"/>
        <w:gridCol w:w="4515"/>
      </w:tblGrid>
      <w:tr w:rsidR="00386005" w14:paraId="17F10D32" w14:textId="77777777" w:rsidTr="00386005">
        <w:trPr>
          <w:cantSplit/>
          <w:trHeight w:val="4536"/>
        </w:trPr>
        <w:tc>
          <w:tcPr>
            <w:tcW w:w="2494" w:type="pct"/>
          </w:tcPr>
          <w:p w14:paraId="634E2484" w14:textId="6005E895" w:rsidR="00386005" w:rsidRPr="00953F8A" w:rsidRDefault="00386005" w:rsidP="00386005">
            <w:pPr>
              <w:pStyle w:val="ChartGraphic"/>
              <w:rPr>
                <w:b/>
                <w:color w:val="3A6FAF" w:themeColor="accent2"/>
                <w:sz w:val="22"/>
              </w:rPr>
            </w:pPr>
            <w:r w:rsidRPr="00953F8A">
              <w:rPr>
                <w:b/>
                <w:color w:val="3A6FAF" w:themeColor="accent2"/>
                <w:sz w:val="22"/>
              </w:rPr>
              <w:t xml:space="preserve">a. Average </w:t>
            </w:r>
            <w:r w:rsidR="00A8072F">
              <w:rPr>
                <w:b/>
                <w:color w:val="3A6FAF" w:themeColor="accent2"/>
                <w:sz w:val="22"/>
              </w:rPr>
              <w:t>income transfer</w:t>
            </w:r>
          </w:p>
          <w:p w14:paraId="47DBCC32" w14:textId="6B74C98D" w:rsidR="00386005" w:rsidRPr="00953F8A" w:rsidRDefault="00DD2097" w:rsidP="00561533">
            <w:pPr>
              <w:pStyle w:val="ChartGraphic"/>
              <w:rPr>
                <w:b/>
                <w:color w:val="3A6FAF" w:themeColor="accent2"/>
                <w:sz w:val="22"/>
              </w:rPr>
            </w:pPr>
            <w:r w:rsidRPr="00DD2097">
              <w:rPr>
                <w:b/>
                <w:noProof/>
                <w:color w:val="3A6FAF" w:themeColor="accent2"/>
                <w:sz w:val="22"/>
              </w:rPr>
              <w:drawing>
                <wp:inline distT="0" distB="0" distL="0" distR="0" wp14:anchorId="087C6198" wp14:editId="05575D0C">
                  <wp:extent cx="2808000" cy="2788701"/>
                  <wp:effectExtent l="0" t="0" r="0" b="0"/>
                  <wp:docPr id="20" name="Picture 20" descr="Panel A of this chart shows average income transfers in dollar values. Income transfer payments are defined as the difference between earnings exclusive of JobKeeper and $1,500. Income transfer payments are a proxy for hours worked in STP – as hours worked increases, transfers decrease. The chart shows average income transfers increasing and hitting their peak in May, reflecting lower working hours, before declining as hours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nel A of this chart shows average income transfers in dollar values. Income transfer payments are defined as the difference between earnings exclusive of JobKeeper and $1,500. Income transfer payments are a proxy for hours worked in STP – as hours worked increases, transfers decrease. The chart shows average income transfers increasing and hitting their peak in May, reflecting lower working hours, before declining as hours increased.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8000" cy="2788701"/>
                          </a:xfrm>
                          <a:prstGeom prst="rect">
                            <a:avLst/>
                          </a:prstGeom>
                          <a:noFill/>
                          <a:ln>
                            <a:noFill/>
                          </a:ln>
                        </pic:spPr>
                      </pic:pic>
                    </a:graphicData>
                  </a:graphic>
                </wp:inline>
              </w:drawing>
            </w:r>
          </w:p>
        </w:tc>
        <w:tc>
          <w:tcPr>
            <w:tcW w:w="2506" w:type="pct"/>
          </w:tcPr>
          <w:p w14:paraId="563577C0" w14:textId="1511288F" w:rsidR="00386005" w:rsidRPr="00953F8A" w:rsidRDefault="00386005" w:rsidP="00386005">
            <w:pPr>
              <w:pStyle w:val="ChartGraphic"/>
              <w:rPr>
                <w:b/>
                <w:color w:val="3A6FAF" w:themeColor="accent2"/>
                <w:sz w:val="22"/>
              </w:rPr>
            </w:pPr>
            <w:r w:rsidRPr="00953F8A">
              <w:rPr>
                <w:b/>
                <w:color w:val="3A6FAF" w:themeColor="accent2"/>
                <w:sz w:val="22"/>
              </w:rPr>
              <w:t xml:space="preserve">b. Distribution of </w:t>
            </w:r>
            <w:r w:rsidR="00A8072F">
              <w:rPr>
                <w:b/>
                <w:color w:val="3A6FAF" w:themeColor="accent2"/>
                <w:sz w:val="22"/>
              </w:rPr>
              <w:t>income transfers</w:t>
            </w:r>
          </w:p>
          <w:p w14:paraId="5C3FD591" w14:textId="2119862F" w:rsidR="00386005" w:rsidRPr="00953F8A" w:rsidRDefault="00456BDB" w:rsidP="00386005">
            <w:pPr>
              <w:pStyle w:val="ChartGraphic"/>
              <w:rPr>
                <w:b/>
                <w:color w:val="3A6FAF" w:themeColor="accent2"/>
                <w:sz w:val="22"/>
              </w:rPr>
            </w:pPr>
            <w:r w:rsidRPr="00456BDB">
              <w:rPr>
                <w:b/>
                <w:noProof/>
                <w:color w:val="3A6FAF" w:themeColor="accent2"/>
                <w:sz w:val="22"/>
              </w:rPr>
              <w:drawing>
                <wp:inline distT="0" distB="0" distL="0" distR="0" wp14:anchorId="4B2B689A" wp14:editId="7A27C3A6">
                  <wp:extent cx="2781300" cy="2762250"/>
                  <wp:effectExtent l="0" t="0" r="0" b="0"/>
                  <wp:docPr id="450" name="Picture 450" descr="Panel B of this chart shows the share of people on full, partial or no income transfer. It shows that the number of people on a full transfer, therefore working zero hours, peaked at around 10 per cent in May, before declining as hours increased and economic conditions impr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Panel B of this chart shows the share of people on full, partial or no income transfer. It shows that the number of people on a full transfer, therefore working zero hours, peaked at around 10 per cent in May, before declining as hours increased and economic conditions improved.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1300" cy="2762250"/>
                          </a:xfrm>
                          <a:prstGeom prst="rect">
                            <a:avLst/>
                          </a:prstGeom>
                          <a:noFill/>
                          <a:ln>
                            <a:noFill/>
                          </a:ln>
                        </pic:spPr>
                      </pic:pic>
                    </a:graphicData>
                  </a:graphic>
                </wp:inline>
              </w:drawing>
            </w:r>
          </w:p>
        </w:tc>
      </w:tr>
    </w:tbl>
    <w:p w14:paraId="406287D5" w14:textId="10895296" w:rsidR="00E00ADC" w:rsidRDefault="00886AD2" w:rsidP="00EF5492">
      <w:pPr>
        <w:pStyle w:val="ChartorTableNote"/>
      </w:pPr>
      <w:r w:rsidRPr="003F5268">
        <w:t xml:space="preserve">Note: </w:t>
      </w:r>
      <w:r w:rsidRPr="001D3583">
        <w:t>Based on J</w:t>
      </w:r>
      <w:r w:rsidR="00E52450">
        <w:t>ob</w:t>
      </w:r>
      <w:r w:rsidRPr="001D3583">
        <w:t>K</w:t>
      </w:r>
      <w:r w:rsidR="00E52450">
        <w:t>eeper</w:t>
      </w:r>
      <w:r w:rsidR="0038520A">
        <w:noBreakHyphen/>
      </w:r>
      <w:r w:rsidRPr="001D3583">
        <w:t xml:space="preserve">nominated employees in STP data on weekly or fortnightly pay cycles. </w:t>
      </w:r>
      <w:r w:rsidR="00CE68B0">
        <w:t>The i</w:t>
      </w:r>
      <w:r w:rsidRPr="001D3583">
        <w:t xml:space="preserve">mplied JobKeeper </w:t>
      </w:r>
      <w:r w:rsidR="0033280A">
        <w:t>income transfer</w:t>
      </w:r>
      <w:r w:rsidRPr="001D3583">
        <w:t xml:space="preserve"> is the difference between earnings exclusive of JobKeeper and </w:t>
      </w:r>
      <w:r w:rsidR="00676075" w:rsidRPr="001D3583">
        <w:t>$1,500 and</w:t>
      </w:r>
      <w:r w:rsidRPr="001D3583">
        <w:t xml:space="preserve"> is calculated including zero </w:t>
      </w:r>
      <w:r w:rsidR="0033280A">
        <w:t>income transfers</w:t>
      </w:r>
      <w:r w:rsidRPr="001D3583">
        <w:t xml:space="preserve">. Data expressed as average </w:t>
      </w:r>
      <w:r w:rsidR="0033280A">
        <w:t>income transfer</w:t>
      </w:r>
      <w:r w:rsidRPr="001D3583">
        <w:t xml:space="preserve"> per fortnight. </w:t>
      </w:r>
      <w:r w:rsidR="00CC3B53">
        <w:t>Figure 15a</w:t>
      </w:r>
      <w:r w:rsidRPr="001D3583">
        <w:t xml:space="preserve"> </w:t>
      </w:r>
      <w:r w:rsidR="002E359A">
        <w:t>shows</w:t>
      </w:r>
      <w:r w:rsidR="002E359A" w:rsidRPr="001D3583">
        <w:t xml:space="preserve"> the average </w:t>
      </w:r>
      <w:r w:rsidR="0033280A">
        <w:t>income transfer</w:t>
      </w:r>
      <w:r w:rsidR="002E359A" w:rsidRPr="001D3583">
        <w:t xml:space="preserve"> across the sample in dollar values.</w:t>
      </w:r>
      <w:r w:rsidR="002E359A">
        <w:t xml:space="preserve"> </w:t>
      </w:r>
      <w:r w:rsidR="00CC3B53">
        <w:t>Figure 15b</w:t>
      </w:r>
      <w:r w:rsidRPr="001D3583">
        <w:t xml:space="preserve"> </w:t>
      </w:r>
      <w:r w:rsidR="002E359A">
        <w:t>show</w:t>
      </w:r>
      <w:r w:rsidR="002E359A" w:rsidRPr="001D3583">
        <w:t xml:space="preserve">s the share of employees on full, partial and no </w:t>
      </w:r>
      <w:r w:rsidR="0033280A">
        <w:t>income transfers</w:t>
      </w:r>
      <w:r w:rsidR="002E359A" w:rsidRPr="001D3583">
        <w:t xml:space="preserve"> each fortnight.</w:t>
      </w:r>
      <w:r w:rsidR="002E359A">
        <w:t xml:space="preserve"> </w:t>
      </w:r>
    </w:p>
    <w:p w14:paraId="3DDAA319" w14:textId="5BD3AE65" w:rsidR="00886AD2" w:rsidRPr="001D3583" w:rsidRDefault="00886AD2" w:rsidP="0001075E">
      <w:pPr>
        <w:pStyle w:val="ChartorTableNote"/>
      </w:pPr>
      <w:r w:rsidRPr="001D3583">
        <w:t>Source: Treasury analysis of de</w:t>
      </w:r>
      <w:r w:rsidR="0038520A">
        <w:noBreakHyphen/>
      </w:r>
      <w:r w:rsidRPr="001D3583">
        <w:t>identified administrative data (STP data linked to JobKeeper status).</w:t>
      </w:r>
    </w:p>
    <w:p w14:paraId="6E277080" w14:textId="4152302A" w:rsidR="00B1263E" w:rsidRDefault="001F4A11" w:rsidP="00B1263E">
      <w:pPr>
        <w:pStyle w:val="Heading3"/>
      </w:pPr>
      <w:bookmarkStart w:id="140" w:name="_Toc83215060"/>
      <w:r w:rsidRPr="000D5F18">
        <w:t xml:space="preserve">JobKeeper contributed to </w:t>
      </w:r>
      <w:r w:rsidR="00B1263E" w:rsidRPr="000D5F18">
        <w:t>substantially</w:t>
      </w:r>
      <w:r w:rsidR="00B1263E">
        <w:t xml:space="preserve"> better aggregate labour market outcomes</w:t>
      </w:r>
      <w:bookmarkEnd w:id="140"/>
    </w:p>
    <w:p w14:paraId="5ACA6DBB" w14:textId="77777777" w:rsidR="004C23F8" w:rsidRDefault="00886AD2" w:rsidP="00886AD2">
      <w:r>
        <w:t xml:space="preserve">Labour market outcomes highlight the importance of </w:t>
      </w:r>
      <w:r>
        <w:rPr>
          <w:lang w:val="en-US"/>
        </w:rPr>
        <w:t>JobKeeper</w:t>
      </w:r>
      <w:r>
        <w:t xml:space="preserve"> </w:t>
      </w:r>
      <w:r w:rsidR="008D0698">
        <w:t xml:space="preserve">and other fiscal support measures </w:t>
      </w:r>
      <w:r>
        <w:t xml:space="preserve">in mitigating the economic effect of the pandemic. </w:t>
      </w:r>
      <w:r w:rsidRPr="00F90500">
        <w:t>The ABS estimate</w:t>
      </w:r>
      <w:r w:rsidR="008D39A8">
        <w:t>s</w:t>
      </w:r>
      <w:r w:rsidRPr="00F90500">
        <w:t xml:space="preserve"> that there were 1.8 million people who worked less than their usual hours for economic reasons in April 2020</w:t>
      </w:r>
      <w:r>
        <w:t>. Of these,</w:t>
      </w:r>
      <w:r w:rsidRPr="00F90500">
        <w:t xml:space="preserve"> about 750,000 were stood down on zero hours and </w:t>
      </w:r>
      <w:r>
        <w:t xml:space="preserve">around </w:t>
      </w:r>
      <w:r w:rsidR="00E200C7">
        <w:t>one</w:t>
      </w:r>
      <w:r w:rsidRPr="00F90500">
        <w:t xml:space="preserve"> million people </w:t>
      </w:r>
      <w:r>
        <w:t xml:space="preserve">were </w:t>
      </w:r>
      <w:r w:rsidRPr="00F90500">
        <w:t>working fewer hours than usual.</w:t>
      </w:r>
      <w:r>
        <w:t xml:space="preserve"> </w:t>
      </w:r>
    </w:p>
    <w:p w14:paraId="0384F23A" w14:textId="247775EA" w:rsidR="00886AD2" w:rsidRDefault="00886AD2" w:rsidP="00886AD2">
      <w:r w:rsidRPr="00F90500">
        <w:t>Treasury</w:t>
      </w:r>
      <w:r>
        <w:t xml:space="preserve"> estimate</w:t>
      </w:r>
      <w:r w:rsidR="00200E68">
        <w:t>d</w:t>
      </w:r>
      <w:r>
        <w:t xml:space="preserve"> in early April</w:t>
      </w:r>
      <w:r w:rsidRPr="00F90500">
        <w:t xml:space="preserve"> that</w:t>
      </w:r>
      <w:r>
        <w:t>,</w:t>
      </w:r>
      <w:r w:rsidRPr="00F90500">
        <w:t xml:space="preserve"> in the absence of </w:t>
      </w:r>
      <w:r>
        <w:rPr>
          <w:lang w:val="en-US"/>
        </w:rPr>
        <w:t>JobKeeper</w:t>
      </w:r>
      <w:r>
        <w:t>,</w:t>
      </w:r>
      <w:r w:rsidRPr="00F90500">
        <w:t xml:space="preserve"> the unemployment rate could reach 15 per cent</w:t>
      </w:r>
      <w:r>
        <w:t xml:space="preserve">. </w:t>
      </w:r>
      <w:r w:rsidR="00772D80">
        <w:t>Updated</w:t>
      </w:r>
      <w:r>
        <w:t xml:space="preserve"> modelling in the July Economic and Fiscal Update found that w</w:t>
      </w:r>
      <w:r w:rsidRPr="00F90500">
        <w:t>ithout the</w:t>
      </w:r>
      <w:r w:rsidR="004C23F8">
        <w:t xml:space="preserve"> </w:t>
      </w:r>
      <w:r w:rsidRPr="00F90500">
        <w:t>Government</w:t>
      </w:r>
      <w:r w:rsidR="0038520A">
        <w:t>’</w:t>
      </w:r>
      <w:r w:rsidRPr="00F90500">
        <w:t>s fiscal support</w:t>
      </w:r>
      <w:r w:rsidR="00EB6634">
        <w:t xml:space="preserve"> measures</w:t>
      </w:r>
      <w:r w:rsidR="00772D80">
        <w:t>,</w:t>
      </w:r>
      <w:r w:rsidRPr="00F90500">
        <w:t xml:space="preserve"> the peak of the unemployment rate would have been at least 5</w:t>
      </w:r>
      <w:r>
        <w:t> </w:t>
      </w:r>
      <w:r w:rsidRPr="00F90500">
        <w:t>percentage points higher</w:t>
      </w:r>
      <w:r>
        <w:t xml:space="preserve"> (</w:t>
      </w:r>
      <w:r w:rsidR="006705EF">
        <w:t>Figure</w:t>
      </w:r>
      <w:r>
        <w:t xml:space="preserve"> </w:t>
      </w:r>
      <w:r w:rsidR="00DF3A10">
        <w:t>16</w:t>
      </w:r>
      <w:r>
        <w:t>)</w:t>
      </w:r>
      <w:r w:rsidRPr="00F90500">
        <w:t>.</w:t>
      </w:r>
      <w:r w:rsidR="00BB05F6">
        <w:rPr>
          <w:rStyle w:val="FootnoteReference"/>
        </w:rPr>
        <w:footnoteReference w:id="18"/>
      </w:r>
      <w:r w:rsidRPr="00F90500">
        <w:t xml:space="preserve"> </w:t>
      </w:r>
    </w:p>
    <w:p w14:paraId="61084627" w14:textId="77777777" w:rsidR="005F66BB" w:rsidRDefault="005F66BB" w:rsidP="005F66BB">
      <w:pPr>
        <w:pStyle w:val="ChartMainHeading"/>
      </w:pPr>
      <w:bookmarkStart w:id="141" w:name="_Toc84842577"/>
      <w:r>
        <w:lastRenderedPageBreak/>
        <w:t>Labour market</w:t>
      </w:r>
      <w:bookmarkEnd w:id="141"/>
    </w:p>
    <w:tbl>
      <w:tblPr>
        <w:tblW w:w="5000" w:type="pct"/>
        <w:tblLook w:val="01E0" w:firstRow="1" w:lastRow="1" w:firstColumn="1" w:lastColumn="1" w:noHBand="0" w:noVBand="0"/>
      </w:tblPr>
      <w:tblGrid>
        <w:gridCol w:w="4563"/>
        <w:gridCol w:w="4508"/>
      </w:tblGrid>
      <w:tr w:rsidR="00560C18" w14:paraId="7B7F045D" w14:textId="77777777" w:rsidTr="00CE2201">
        <w:trPr>
          <w:cantSplit/>
          <w:trHeight w:val="4660"/>
        </w:trPr>
        <w:tc>
          <w:tcPr>
            <w:tcW w:w="2515" w:type="pct"/>
          </w:tcPr>
          <w:p w14:paraId="79838AFA" w14:textId="77777777" w:rsidR="00560C18" w:rsidRDefault="00560C18" w:rsidP="00F073EA">
            <w:pPr>
              <w:pStyle w:val="ChartGraphic"/>
              <w:keepNext w:val="0"/>
            </w:pPr>
            <w:r w:rsidRPr="002A4D7E">
              <w:rPr>
                <w:b/>
                <w:color w:val="3A6FAF" w:themeColor="accent2"/>
                <w:sz w:val="22"/>
              </w:rPr>
              <w:t>a. Unemployment rate</w:t>
            </w:r>
          </w:p>
          <w:p w14:paraId="1578216F" w14:textId="4677A469" w:rsidR="00560C18" w:rsidRDefault="00560C18" w:rsidP="0001075E">
            <w:pPr>
              <w:pStyle w:val="ChartGraphic"/>
            </w:pPr>
            <w:r>
              <w:br w:type="page"/>
            </w:r>
            <w:r w:rsidRPr="00FF37AD">
              <w:rPr>
                <w:noProof/>
              </w:rPr>
              <w:drawing>
                <wp:inline distT="0" distB="0" distL="0" distR="0" wp14:anchorId="76EB3944" wp14:editId="3A6A6698">
                  <wp:extent cx="2806700" cy="2753995"/>
                  <wp:effectExtent l="0" t="0" r="0" b="0"/>
                  <wp:docPr id="22" name="Picture 22" descr="Panel A of this chart shows forecasts for the unemployment rate from the 2020 July Economic and Fiscal Update, showing that the unemployment rate was expected to reach 14 per cent without economic support, 5 percentage points higher than was expected to reach with economic support. The actual level of the unemployment rate was lower than Treasury had forecast at the time of the 2020 July Economic and Fisc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nel A of this chart shows forecasts for the unemployment rate from the 2020 July Economic and Fiscal Update, showing that the unemployment rate was expected to reach 14 per cent without economic support, 5 percentage points higher than was expected to reach with economic support. The actual level of the unemployment rate was lower than Treasury had forecast at the time of the 2020 July Economic and Fiscal Upda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6700" cy="2753995"/>
                          </a:xfrm>
                          <a:prstGeom prst="rect">
                            <a:avLst/>
                          </a:prstGeom>
                          <a:noFill/>
                          <a:ln>
                            <a:noFill/>
                          </a:ln>
                        </pic:spPr>
                      </pic:pic>
                    </a:graphicData>
                  </a:graphic>
                </wp:inline>
              </w:drawing>
            </w:r>
          </w:p>
        </w:tc>
        <w:tc>
          <w:tcPr>
            <w:tcW w:w="2485" w:type="pct"/>
          </w:tcPr>
          <w:p w14:paraId="4885CD7A" w14:textId="77777777" w:rsidR="00560C18" w:rsidRDefault="00560C18" w:rsidP="00F073EA">
            <w:pPr>
              <w:pStyle w:val="ChartGraphic"/>
              <w:keepNext w:val="0"/>
              <w:rPr>
                <w:noProof/>
              </w:rPr>
            </w:pPr>
            <w:r w:rsidRPr="002A4D7E">
              <w:rPr>
                <w:b/>
                <w:color w:val="3A6FAF" w:themeColor="accent2"/>
                <w:sz w:val="22"/>
              </w:rPr>
              <w:t>b. Employment level</w:t>
            </w:r>
          </w:p>
          <w:p w14:paraId="3CA75BF1" w14:textId="5028AAE5" w:rsidR="00560C18" w:rsidRDefault="00560C18" w:rsidP="00161CEF">
            <w:pPr>
              <w:pStyle w:val="ChartGraphic"/>
              <w:rPr>
                <w:noProof/>
              </w:rPr>
            </w:pPr>
            <w:r>
              <w:rPr>
                <w:noProof/>
              </w:rPr>
              <w:drawing>
                <wp:inline distT="0" distB="0" distL="0" distR="0" wp14:anchorId="4330EA68" wp14:editId="40D62C73">
                  <wp:extent cx="2771775" cy="2742541"/>
                  <wp:effectExtent l="0" t="0" r="0" b="1270"/>
                  <wp:docPr id="15" name="Picture 15" descr="Panel B of this chart shows the level of employment in Australia over time. It shows that previous recessions in the 1980s and 1990s have less rapid declines in employment and much slower recoveries than was observed in the COVID-19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nel B of this chart shows the level of employment in Australia over time. It shows that previous recessions in the 1980s and 1990s have less rapid declines in employment and much slower recoveries than was observed in the COVID-19 perio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2651" cy="2753302"/>
                          </a:xfrm>
                          <a:prstGeom prst="rect">
                            <a:avLst/>
                          </a:prstGeom>
                          <a:noFill/>
                        </pic:spPr>
                      </pic:pic>
                    </a:graphicData>
                  </a:graphic>
                </wp:inline>
              </w:drawing>
            </w:r>
          </w:p>
        </w:tc>
      </w:tr>
    </w:tbl>
    <w:p w14:paraId="7D1877A5" w14:textId="5EDD560E" w:rsidR="005F66BB" w:rsidRPr="005F66BB" w:rsidRDefault="005F66BB" w:rsidP="005F66BB">
      <w:pPr>
        <w:pStyle w:val="ChartorTableNote"/>
      </w:pPr>
      <w:r w:rsidRPr="005F66BB">
        <w:t>Note: Before and after economic support estimates are taken from July Fiscal and Economic Update 2020</w:t>
      </w:r>
      <w:r w:rsidR="007819D3">
        <w:t>.</w:t>
      </w:r>
    </w:p>
    <w:p w14:paraId="64908C80" w14:textId="04FC1635" w:rsidR="005F66BB" w:rsidRDefault="005F66BB" w:rsidP="0001075E">
      <w:pPr>
        <w:pStyle w:val="ChartorTableNote"/>
      </w:pPr>
      <w:r w:rsidRPr="005F66BB">
        <w:t>Source: ABS Labour Force, Australia (Cat. No. 6202.0) and Treasury</w:t>
      </w:r>
      <w:r w:rsidR="007819D3">
        <w:t>.</w:t>
      </w:r>
    </w:p>
    <w:p w14:paraId="447E9F6E" w14:textId="77777777" w:rsidR="00D9037A" w:rsidRDefault="00D9037A" w:rsidP="004D5AD4">
      <w:pPr>
        <w:pStyle w:val="SingleParagraph"/>
      </w:pPr>
    </w:p>
    <w:p w14:paraId="34F303A3" w14:textId="76520B0B" w:rsidR="00D9037A" w:rsidRPr="00D9037A" w:rsidRDefault="00D9037A" w:rsidP="00D9037A">
      <w:r>
        <w:t>The fall in employment following the outbreak of COVID</w:t>
      </w:r>
      <w:r>
        <w:noBreakHyphen/>
        <w:t>19 was rapid and much sharper than in previous downturns, but as a result of the policy support and better</w:t>
      </w:r>
      <w:r>
        <w:noBreakHyphen/>
        <w:t>than</w:t>
      </w:r>
      <w:r>
        <w:noBreakHyphen/>
        <w:t xml:space="preserve">expected health outcomes the recovery in employment was also faster than in previous episodes. </w:t>
      </w:r>
      <w:r w:rsidRPr="008755E1">
        <w:t>Those cohorts that were significantly affected at the outset of the pandemic, such as women and youth, recovered strongly, with employment</w:t>
      </w:r>
      <w:r>
        <w:noBreakHyphen/>
      </w:r>
      <w:r w:rsidRPr="008755E1">
        <w:t>to</w:t>
      </w:r>
      <w:r>
        <w:noBreakHyphen/>
      </w:r>
      <w:r w:rsidRPr="008755E1">
        <w:t>population ratios back to their pre</w:t>
      </w:r>
      <w:r>
        <w:noBreakHyphen/>
      </w:r>
      <w:r w:rsidRPr="008755E1">
        <w:t>COVID</w:t>
      </w:r>
      <w:r>
        <w:t>-19</w:t>
      </w:r>
      <w:r w:rsidRPr="008755E1">
        <w:t xml:space="preserve"> levels by March 2021.</w:t>
      </w:r>
    </w:p>
    <w:p w14:paraId="2CBCDA82" w14:textId="665F353B" w:rsidR="00C33706" w:rsidRDefault="00C33706" w:rsidP="004B36C2">
      <w:pPr>
        <w:pStyle w:val="Heading2"/>
      </w:pPr>
      <w:bookmarkStart w:id="142" w:name="_Toc84842625"/>
      <w:r>
        <w:t>Impact of JobKeeper on earnings</w:t>
      </w:r>
      <w:bookmarkEnd w:id="142"/>
    </w:p>
    <w:p w14:paraId="35F84F17" w14:textId="73FC314F" w:rsidR="00C33706" w:rsidRDefault="00C33706" w:rsidP="00C33706">
      <w:pPr>
        <w:pStyle w:val="Heading3"/>
      </w:pPr>
      <w:bookmarkStart w:id="143" w:name="_Toc83215062"/>
      <w:r>
        <w:t>JobKeeper played a cr</w:t>
      </w:r>
      <w:r w:rsidR="00E9249A">
        <w:t>ucial role in supporting earning</w:t>
      </w:r>
      <w:r w:rsidR="00EB6634">
        <w:t>s</w:t>
      </w:r>
      <w:r w:rsidR="00E9249A">
        <w:t xml:space="preserve"> for lower income individuals and households</w:t>
      </w:r>
      <w:bookmarkEnd w:id="143"/>
    </w:p>
    <w:p w14:paraId="6DB1D688" w14:textId="77777777" w:rsidR="009E43FD" w:rsidRDefault="00C33706" w:rsidP="00C33706">
      <w:r>
        <w:t>Analysis of individual</w:t>
      </w:r>
      <w:r w:rsidR="005541C9">
        <w:t xml:space="preserve"> employment and welfare</w:t>
      </w:r>
      <w:r>
        <w:t xml:space="preserve"> incomes using integrated welfare and employment data suggests that Government support was well targeted and played a key role in supporting incomes throughout 2020, particularly at the lower end of the income distribution. </w:t>
      </w:r>
    </w:p>
    <w:p w14:paraId="11FF056B" w14:textId="5942C5F4" w:rsidR="00C33706" w:rsidRDefault="00D13C68" w:rsidP="00C33706">
      <w:r>
        <w:t>Changes in a</w:t>
      </w:r>
      <w:r w:rsidR="00437931">
        <w:t xml:space="preserve">verage income levels </w:t>
      </w:r>
      <w:r>
        <w:t xml:space="preserve">across 2020 </w:t>
      </w:r>
      <w:r w:rsidR="00580C7F">
        <w:t>have been calculated across the five income quintiles</w:t>
      </w:r>
      <w:r w:rsidR="00324D8D">
        <w:t xml:space="preserve"> taking into account employment income, welfare income and JobKeeper payment</w:t>
      </w:r>
      <w:r w:rsidR="00C2366F">
        <w:t>s</w:t>
      </w:r>
      <w:r w:rsidR="00580C7F">
        <w:t xml:space="preserve"> (Figure </w:t>
      </w:r>
      <w:r w:rsidR="00D7225F">
        <w:t>17</w:t>
      </w:r>
      <w:r w:rsidR="00580C7F">
        <w:t>). This</w:t>
      </w:r>
      <w:r w:rsidR="00C2366F">
        <w:t xml:space="preserve"> show</w:t>
      </w:r>
      <w:r w:rsidR="00580C7F">
        <w:t>s</w:t>
      </w:r>
      <w:r w:rsidR="00C2366F">
        <w:t xml:space="preserve"> that a</w:t>
      </w:r>
      <w:r w:rsidR="00C33706">
        <w:t>verage incomes in the lowest two income quintiles increased in the June quarter 2020 despite larger employment losses in these groups</w:t>
      </w:r>
      <w:r>
        <w:t xml:space="preserve">, </w:t>
      </w:r>
      <w:r w:rsidR="00C33706">
        <w:t>reflect</w:t>
      </w:r>
      <w:r>
        <w:t>ing</w:t>
      </w:r>
      <w:r w:rsidR="00C33706">
        <w:t xml:space="preserve"> the introduction of the Coronavirus Supplement and </w:t>
      </w:r>
      <w:r w:rsidR="007B091A" w:rsidRPr="007B091A">
        <w:t>JobSeeker eligibility criteria changes</w:t>
      </w:r>
      <w:r w:rsidR="00C33706">
        <w:t xml:space="preserve"> a</w:t>
      </w:r>
      <w:r w:rsidR="00C2366F">
        <w:t xml:space="preserve">s well as </w:t>
      </w:r>
      <w:r w:rsidR="00C33706">
        <w:t xml:space="preserve">JobKeeper </w:t>
      </w:r>
      <w:r w:rsidR="00C2366F">
        <w:t>payments</w:t>
      </w:r>
      <w:r w:rsidR="00C33706">
        <w:t>. Incomes remained above pre</w:t>
      </w:r>
      <w:r w:rsidR="0038520A">
        <w:noBreakHyphen/>
      </w:r>
      <w:r w:rsidR="00C33706">
        <w:t>pandemic levels throughout 2020, even as government supports were tapered, reflecting improved labour market conditions. Income for the third</w:t>
      </w:r>
      <w:r w:rsidR="0038520A">
        <w:noBreakHyphen/>
      </w:r>
      <w:r w:rsidR="00C33706">
        <w:t xml:space="preserve"> and fourth</w:t>
      </w:r>
      <w:r w:rsidR="0038520A">
        <w:noBreakHyphen/>
      </w:r>
      <w:r w:rsidR="00C33706">
        <w:t xml:space="preserve">highest income quintiles remained similar to March levels, while the income of the top quintile declined slightly. </w:t>
      </w:r>
      <w:r w:rsidR="00C33706">
        <w:lastRenderedPageBreak/>
        <w:t>However, this likely understates growth</w:t>
      </w:r>
      <w:r>
        <w:t xml:space="preserve"> for the top quintile</w:t>
      </w:r>
      <w:r w:rsidR="00C33706">
        <w:t>, as business and investment income are excluded</w:t>
      </w:r>
      <w:r w:rsidR="00C33706" w:rsidDel="00537CB1">
        <w:t>.</w:t>
      </w:r>
      <w:r w:rsidR="00C33706">
        <w:rPr>
          <w:rStyle w:val="FootnoteReference"/>
        </w:rPr>
        <w:footnoteReference w:id="19"/>
      </w:r>
    </w:p>
    <w:p w14:paraId="5A952A0E" w14:textId="43BB6A4E" w:rsidR="00C33706" w:rsidRPr="006F35C7" w:rsidRDefault="00C33706" w:rsidP="00C33706">
      <w:pPr>
        <w:autoSpaceDE w:val="0"/>
        <w:autoSpaceDN w:val="0"/>
        <w:adjustRightInd w:val="0"/>
        <w:spacing w:after="0"/>
        <w:rPr>
          <w:rFonts w:ascii="CIDFont+F1" w:hAnsi="CIDFont+F1" w:cs="CIDFont+F1"/>
        </w:rPr>
      </w:pPr>
      <w:r>
        <w:rPr>
          <w:rFonts w:ascii="CIDFont+F1" w:hAnsi="CIDFont+F1" w:cs="CIDFont+F1"/>
        </w:rPr>
        <w:t xml:space="preserve">JobKeeper payments and </w:t>
      </w:r>
      <w:r w:rsidR="00790D8C">
        <w:rPr>
          <w:rFonts w:ascii="CIDFont+F1" w:hAnsi="CIDFont+F1" w:cs="CIDFont+F1"/>
        </w:rPr>
        <w:t>income transfer</w:t>
      </w:r>
      <w:r>
        <w:rPr>
          <w:rFonts w:ascii="CIDFont+F1" w:hAnsi="CIDFont+F1" w:cs="CIDFont+F1"/>
        </w:rPr>
        <w:t>s played a larger role in supporting people in lower income quintiles.</w:t>
      </w:r>
      <w:r>
        <w:rPr>
          <w:rFonts w:ascii="CIDFont+F1" w:hAnsi="CIDFont+F1" w:cs="CIDFont+F1"/>
          <w:sz w:val="14"/>
          <w:szCs w:val="14"/>
        </w:rPr>
        <w:t xml:space="preserve"> </w:t>
      </w:r>
      <w:r>
        <w:rPr>
          <w:rFonts w:ascii="CIDFont+F1" w:hAnsi="CIDFont+F1" w:cs="CIDFont+F1"/>
        </w:rPr>
        <w:t xml:space="preserve">This </w:t>
      </w:r>
      <w:r w:rsidR="00D13C68">
        <w:rPr>
          <w:rFonts w:ascii="CIDFont+F1" w:hAnsi="CIDFont+F1" w:cs="CIDFont+F1"/>
        </w:rPr>
        <w:t>is because</w:t>
      </w:r>
      <w:r>
        <w:rPr>
          <w:rFonts w:ascii="CIDFont+F1" w:hAnsi="CIDFont+F1" w:cs="CIDFont+F1"/>
        </w:rPr>
        <w:t xml:space="preserve"> lower income individuals were both more likely to be on JobKeeper and the flat rate </w:t>
      </w:r>
      <w:r w:rsidR="00FF26EF">
        <w:rPr>
          <w:rFonts w:ascii="CIDFont+F1" w:hAnsi="CIDFont+F1" w:cs="CIDFont+F1"/>
        </w:rPr>
        <w:t>payment</w:t>
      </w:r>
      <w:r>
        <w:rPr>
          <w:rFonts w:ascii="CIDFont+F1" w:hAnsi="CIDFont+F1" w:cs="CIDFont+F1"/>
        </w:rPr>
        <w:t xml:space="preserve"> was a larger share of their pre</w:t>
      </w:r>
      <w:r w:rsidR="0038520A">
        <w:rPr>
          <w:rFonts w:ascii="CIDFont+F1" w:hAnsi="CIDFont+F1" w:cs="CIDFont+F1"/>
        </w:rPr>
        <w:noBreakHyphen/>
      </w:r>
      <w:r w:rsidR="003233D3">
        <w:rPr>
          <w:rFonts w:ascii="CIDFont+F1" w:hAnsi="CIDFont+F1" w:cs="CIDFont+F1"/>
        </w:rPr>
        <w:t>COVID</w:t>
      </w:r>
      <w:r w:rsidR="0038520A">
        <w:rPr>
          <w:rFonts w:ascii="CIDFont+F1" w:hAnsi="CIDFont+F1" w:cs="CIDFont+F1"/>
        </w:rPr>
        <w:noBreakHyphen/>
      </w:r>
      <w:r w:rsidR="003233D3">
        <w:rPr>
          <w:rFonts w:ascii="CIDFont+F1" w:hAnsi="CIDFont+F1" w:cs="CIDFont+F1"/>
        </w:rPr>
        <w:t xml:space="preserve">19 </w:t>
      </w:r>
      <w:r>
        <w:rPr>
          <w:rFonts w:ascii="CIDFont+F1" w:hAnsi="CIDFont+F1" w:cs="CIDFont+F1"/>
        </w:rPr>
        <w:t xml:space="preserve">salary. As expected, the contribution of JobKeeper declined substantially in the December </w:t>
      </w:r>
      <w:r w:rsidR="00F86B04">
        <w:rPr>
          <w:rFonts w:ascii="CIDFont+F1" w:hAnsi="CIDFont+F1" w:cs="CIDFont+F1"/>
        </w:rPr>
        <w:t xml:space="preserve">2020 </w:t>
      </w:r>
      <w:r>
        <w:rPr>
          <w:rFonts w:ascii="CIDFont+F1" w:hAnsi="CIDFont+F1" w:cs="CIDFont+F1"/>
        </w:rPr>
        <w:t xml:space="preserve">quarter, reflecting fewer recipients in </w:t>
      </w:r>
      <w:r w:rsidR="000B4669">
        <w:rPr>
          <w:rFonts w:ascii="CIDFont+F1" w:hAnsi="CIDFont+F1" w:cs="CIDFont+F1"/>
        </w:rPr>
        <w:t xml:space="preserve">the second phase of </w:t>
      </w:r>
      <w:r>
        <w:rPr>
          <w:rFonts w:ascii="CIDFont+F1" w:hAnsi="CIDFont+F1" w:cs="CIDFont+F1"/>
        </w:rPr>
        <w:t xml:space="preserve">JobKeeper </w:t>
      </w:r>
      <w:r w:rsidR="000B4669">
        <w:rPr>
          <w:rFonts w:ascii="CIDFont+F1" w:hAnsi="CIDFont+F1" w:cs="CIDFont+F1"/>
        </w:rPr>
        <w:t>(October 2020 to March 2021)</w:t>
      </w:r>
      <w:r>
        <w:rPr>
          <w:rFonts w:ascii="CIDFont+F1" w:hAnsi="CIDFont+F1" w:cs="CIDFont+F1"/>
        </w:rPr>
        <w:t>, the reduced</w:t>
      </w:r>
      <w:r w:rsidR="001F50AF">
        <w:rPr>
          <w:rFonts w:ascii="CIDFont+F1" w:hAnsi="CIDFont+F1" w:cs="CIDFont+F1"/>
        </w:rPr>
        <w:t xml:space="preserve"> payment rate and the introduction of a lower payment rate for recipients who were previously working part time</w:t>
      </w:r>
      <w:r>
        <w:rPr>
          <w:rFonts w:ascii="CIDFont+F1" w:hAnsi="CIDFont+F1" w:cs="CIDFont+F1"/>
        </w:rPr>
        <w:t>.</w:t>
      </w:r>
    </w:p>
    <w:p w14:paraId="52EFDF0C" w14:textId="39C79C36" w:rsidR="001309BB" w:rsidRDefault="00813A16" w:rsidP="00511F40">
      <w:pPr>
        <w:pStyle w:val="ChartMainHeading"/>
      </w:pPr>
      <w:bookmarkStart w:id="144" w:name="_Toc84842578"/>
      <w:r>
        <w:t>I</w:t>
      </w:r>
      <w:r w:rsidR="00E9249A" w:rsidRPr="00CC3B78">
        <w:t>ncome</w:t>
      </w:r>
      <w:r w:rsidR="00C022BA">
        <w:t xml:space="preserve"> </w:t>
      </w:r>
      <w:r w:rsidR="006D115B">
        <w:t xml:space="preserve">sources as share of </w:t>
      </w:r>
      <w:r w:rsidR="00C022BA">
        <w:t>March</w:t>
      </w:r>
      <w:r w:rsidR="005E4369">
        <w:t xml:space="preserve"> quarter</w:t>
      </w:r>
      <w:r w:rsidR="006D115B">
        <w:t xml:space="preserve"> income</w:t>
      </w:r>
      <w:r w:rsidR="00E9249A" w:rsidRPr="00CC3B78">
        <w:t xml:space="preserve">, by </w:t>
      </w:r>
      <w:r w:rsidR="0003308F">
        <w:t>q</w:t>
      </w:r>
      <w:r w:rsidR="00E9249A" w:rsidRPr="00CC3B78">
        <w:t>uintile</w:t>
      </w:r>
      <w:bookmarkEnd w:id="144"/>
    </w:p>
    <w:p w14:paraId="3704ADF5" w14:textId="745E3AA4" w:rsidR="00E9249A" w:rsidRDefault="006C2EE2" w:rsidP="00E9249A">
      <w:pPr>
        <w:pStyle w:val="ChartGraphic"/>
      </w:pPr>
      <w:r w:rsidRPr="006C2EE2">
        <w:rPr>
          <w:noProof/>
        </w:rPr>
        <w:drawing>
          <wp:inline distT="0" distB="0" distL="0" distR="0" wp14:anchorId="4C7D3C29" wp14:editId="3322C7ED">
            <wp:extent cx="5760085" cy="2618105"/>
            <wp:effectExtent l="0" t="0" r="0" b="0"/>
            <wp:docPr id="449" name="Picture 449" descr="This bar chart shows the income sources in the March, June, September and December quarters 2020 as a share of March quarter 2020 income, by income quintile. The income for the first (lowest) and second (second lowest) income quintiles have been elevated since the March quarter, as government welfare payments and JobKeeper more than offset declines in employment income.  Income for other quintiles was broadly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This bar chart shows the income sources in the March, June, September and December quarters 2020 as a share of March quarter 2020 income, by income quintile. The income for the first (lowest) and second (second lowest) income quintiles have been elevated since the March quarter, as government welfare payments and JobKeeper more than offset declines in employment income.  Income for other quintiles was broadly fla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2618105"/>
                    </a:xfrm>
                    <a:prstGeom prst="rect">
                      <a:avLst/>
                    </a:prstGeom>
                    <a:noFill/>
                    <a:ln>
                      <a:noFill/>
                    </a:ln>
                  </pic:spPr>
                </pic:pic>
              </a:graphicData>
            </a:graphic>
          </wp:inline>
        </w:drawing>
      </w:r>
    </w:p>
    <w:p w14:paraId="57F9A6DF" w14:textId="349E08A0" w:rsidR="004B36C2" w:rsidRPr="00F4566A" w:rsidRDefault="00687A79" w:rsidP="00A91B01">
      <w:pPr>
        <w:spacing w:before="0"/>
        <w:jc w:val="both"/>
      </w:pPr>
      <w:r>
        <w:rPr>
          <w:color w:val="000000"/>
          <w:sz w:val="18"/>
        </w:rPr>
        <w:t>Note: Only covers employment and welfare income. Business</w:t>
      </w:r>
      <w:r w:rsidR="00622091">
        <w:rPr>
          <w:color w:val="000000"/>
          <w:sz w:val="18"/>
        </w:rPr>
        <w:t>, investment or</w:t>
      </w:r>
      <w:r>
        <w:rPr>
          <w:color w:val="000000"/>
          <w:sz w:val="18"/>
        </w:rPr>
        <w:t xml:space="preserve"> other income excluded. Workers assigned income quintile base</w:t>
      </w:r>
      <w:r w:rsidR="008B78D0">
        <w:rPr>
          <w:color w:val="000000"/>
          <w:sz w:val="18"/>
        </w:rPr>
        <w:t>d</w:t>
      </w:r>
      <w:r>
        <w:rPr>
          <w:color w:val="000000"/>
          <w:sz w:val="18"/>
        </w:rPr>
        <w:t xml:space="preserve"> on 2019 wage and salary income. As such those without wage income in 2019 are excluded.</w:t>
      </w:r>
      <w:r w:rsidR="005541C9">
        <w:rPr>
          <w:color w:val="000000"/>
          <w:sz w:val="18"/>
        </w:rPr>
        <w:br/>
      </w:r>
      <w:r w:rsidR="00E9249A" w:rsidRPr="00F4566A">
        <w:rPr>
          <w:color w:val="000000"/>
          <w:sz w:val="18"/>
        </w:rPr>
        <w:t xml:space="preserve">Source: Treasury analysis </w:t>
      </w:r>
      <w:r w:rsidR="002C6FFD">
        <w:rPr>
          <w:color w:val="000000"/>
          <w:sz w:val="18"/>
        </w:rPr>
        <w:t xml:space="preserve">of </w:t>
      </w:r>
      <w:r w:rsidR="00E9249A" w:rsidRPr="00F4566A">
        <w:rPr>
          <w:color w:val="000000"/>
          <w:sz w:val="18"/>
        </w:rPr>
        <w:t>Labour Market Tracker Data</w:t>
      </w:r>
      <w:r w:rsidR="007819D3">
        <w:rPr>
          <w:color w:val="000000"/>
          <w:sz w:val="18"/>
        </w:rPr>
        <w:t xml:space="preserve"> and</w:t>
      </w:r>
      <w:r w:rsidR="00E9249A" w:rsidRPr="00F4566A">
        <w:rPr>
          <w:color w:val="000000"/>
          <w:sz w:val="18"/>
        </w:rPr>
        <w:t xml:space="preserve"> ABS Australian National Accounts: National Income, Expenditure and</w:t>
      </w:r>
      <w:r w:rsidR="00650C1C" w:rsidRPr="00F4566A">
        <w:rPr>
          <w:color w:val="000000"/>
          <w:sz w:val="18"/>
        </w:rPr>
        <w:t xml:space="preserve"> Product</w:t>
      </w:r>
      <w:r w:rsidR="000676E9">
        <w:rPr>
          <w:color w:val="000000"/>
          <w:sz w:val="18"/>
        </w:rPr>
        <w:t xml:space="preserve"> </w:t>
      </w:r>
      <w:r w:rsidR="000676E9" w:rsidRPr="000676E9">
        <w:rPr>
          <w:color w:val="000000"/>
          <w:sz w:val="18"/>
        </w:rPr>
        <w:t>(Cat. No. 5206.0)</w:t>
      </w:r>
      <w:r w:rsidR="007819D3">
        <w:rPr>
          <w:color w:val="000000"/>
          <w:sz w:val="18"/>
        </w:rPr>
        <w:t>.</w:t>
      </w:r>
    </w:p>
    <w:p w14:paraId="4224EB21" w14:textId="4D8DAD3B" w:rsidR="00E9249A" w:rsidRDefault="00E9249A" w:rsidP="00E9249A">
      <w:pPr>
        <w:pStyle w:val="Heading3"/>
      </w:pPr>
      <w:bookmarkStart w:id="145" w:name="_Toc83215063"/>
      <w:r>
        <w:t xml:space="preserve">JobKeeper lessened the need for </w:t>
      </w:r>
      <w:r w:rsidR="00BF13AC">
        <w:t>payments through the social security system</w:t>
      </w:r>
      <w:bookmarkEnd w:id="145"/>
    </w:p>
    <w:p w14:paraId="5536B9F3" w14:textId="07EB8ACA" w:rsidR="00E9249A" w:rsidRDefault="00E9249A" w:rsidP="00E9249A">
      <w:r>
        <w:t xml:space="preserve">Many of the JobKeeper workers that returned to their </w:t>
      </w:r>
      <w:r w:rsidR="00ED192A">
        <w:t>employer</w:t>
      </w:r>
      <w:r>
        <w:t xml:space="preserve"> following the introduction of the program would otherwise have received JobSeeker payments. </w:t>
      </w:r>
      <w:r w:rsidR="000D1087">
        <w:t xml:space="preserve">This </w:t>
      </w:r>
      <w:r>
        <w:t xml:space="preserve">can be seen from analysing the flows of </w:t>
      </w:r>
      <w:r w:rsidR="00ED192A">
        <w:t xml:space="preserve">JobKeeper </w:t>
      </w:r>
      <w:r>
        <w:t>workers between these payments. Before JobKeeper was in place, a large number of workers that would eventually receive JobKeeper had started receiving JobSeeker (Figure</w:t>
      </w:r>
      <w:r w:rsidR="004B36C2">
        <w:t> </w:t>
      </w:r>
      <w:r w:rsidR="00E670B8">
        <w:t>18</w:t>
      </w:r>
      <w:r>
        <w:t>).</w:t>
      </w:r>
      <w:r w:rsidR="002308A1">
        <w:rPr>
          <w:rStyle w:val="FootnoteReference"/>
        </w:rPr>
        <w:footnoteReference w:id="20"/>
      </w:r>
      <w:r>
        <w:t xml:space="preserve"> As JobKeeper was rolled out, the </w:t>
      </w:r>
      <w:r w:rsidRPr="00362172">
        <w:t>majority</w:t>
      </w:r>
      <w:r>
        <w:t xml:space="preserve"> of these workers moved from JobSeeker to JobKeeper and re</w:t>
      </w:r>
      <w:r w:rsidR="0038520A">
        <w:noBreakHyphen/>
      </w:r>
      <w:r>
        <w:t xml:space="preserve">connected with their employer. </w:t>
      </w:r>
      <w:r w:rsidR="000D1087">
        <w:t xml:space="preserve">As such, JobKeeper </w:t>
      </w:r>
      <w:r w:rsidR="00157B18">
        <w:t>complemented</w:t>
      </w:r>
      <w:r w:rsidR="000D1087">
        <w:t xml:space="preserve"> JobSeeker in supporting incomes for households, whil</w:t>
      </w:r>
      <w:r w:rsidR="00BD05C2">
        <w:t>e</w:t>
      </w:r>
      <w:r w:rsidR="000D1087">
        <w:t xml:space="preserve"> also supporting employment relationships.</w:t>
      </w:r>
    </w:p>
    <w:p w14:paraId="2F888F5F" w14:textId="04BC3A57" w:rsidR="00E9249A" w:rsidRPr="00400663" w:rsidRDefault="005E4369" w:rsidP="00DA48B5">
      <w:pPr>
        <w:pStyle w:val="ChartMainHeading"/>
      </w:pPr>
      <w:bookmarkStart w:id="146" w:name="_Toc84842579"/>
      <w:r>
        <w:lastRenderedPageBreak/>
        <w:t>I</w:t>
      </w:r>
      <w:r w:rsidR="00E9249A" w:rsidRPr="00C15500">
        <w:t>ncome support flows for individuals on</w:t>
      </w:r>
      <w:r w:rsidR="003A3F2D">
        <w:t xml:space="preserve"> </w:t>
      </w:r>
      <w:r w:rsidR="00F47CDD">
        <w:br/>
      </w:r>
      <w:r w:rsidR="00E9249A" w:rsidRPr="00C15500">
        <w:t xml:space="preserve">the first phase of </w:t>
      </w:r>
      <w:r w:rsidR="00E9249A" w:rsidRPr="00400663">
        <w:t>JobKeeper</w:t>
      </w:r>
      <w:bookmarkEnd w:id="146"/>
    </w:p>
    <w:p w14:paraId="24F0FF2A" w14:textId="7ED0FF6E" w:rsidR="00E9249A" w:rsidRDefault="00150F29" w:rsidP="00E9249A">
      <w:pPr>
        <w:pStyle w:val="ChartGraphic"/>
        <w:rPr>
          <w:sz w:val="16"/>
          <w:szCs w:val="16"/>
          <w:lang w:val="en-US"/>
        </w:rPr>
      </w:pPr>
      <w:r w:rsidRPr="00150F29">
        <w:rPr>
          <w:noProof/>
        </w:rPr>
        <w:drawing>
          <wp:inline distT="0" distB="0" distL="0" distR="0" wp14:anchorId="291BFC44" wp14:editId="3B86BEFA">
            <wp:extent cx="5760085" cy="2534285"/>
            <wp:effectExtent l="0" t="0" r="0" b="0"/>
            <wp:docPr id="16" name="Picture 16" descr="This chart shows the number of eventual JobKeeper recipients flowing on and off JobSeeker in gross, and net terms. The number flowing on increased sharply in April, leading to a sharp increase in net flows. Into May, gross inflows declined and workers started flowing off Jobseeker, leading to net out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hart shows the number of eventual JobKeeper recipients flowing on and off JobSeeker in gross, and net terms. The number flowing on increased sharply in April, leading to a sharp increase in net flows. Into May, gross inflows declined and workers started flowing off Jobseeker, leading to net outflow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2534285"/>
                    </a:xfrm>
                    <a:prstGeom prst="rect">
                      <a:avLst/>
                    </a:prstGeom>
                    <a:noFill/>
                    <a:ln>
                      <a:noFill/>
                    </a:ln>
                  </pic:spPr>
                </pic:pic>
              </a:graphicData>
            </a:graphic>
          </wp:inline>
        </w:drawing>
      </w:r>
    </w:p>
    <w:p w14:paraId="4C79A4F4" w14:textId="6C20AA77" w:rsidR="00E9249A" w:rsidRDefault="00E9249A" w:rsidP="00E9249A">
      <w:pPr>
        <w:pStyle w:val="ChartorTableNote"/>
        <w:rPr>
          <w:lang w:val="en-US"/>
        </w:rPr>
      </w:pPr>
      <w:r w:rsidRPr="004077E7">
        <w:rPr>
          <w:lang w:val="en-US"/>
        </w:rPr>
        <w:t>Note: Income support includes Newstart Allowance</w:t>
      </w:r>
      <w:r w:rsidR="008A1279">
        <w:rPr>
          <w:lang w:val="en-US"/>
        </w:rPr>
        <w:t xml:space="preserve"> (prior to 20 March 2020)</w:t>
      </w:r>
      <w:r w:rsidRPr="004077E7">
        <w:rPr>
          <w:lang w:val="en-US"/>
        </w:rPr>
        <w:t xml:space="preserve">, JobSeeker Payment </w:t>
      </w:r>
      <w:r w:rsidR="008A1279">
        <w:rPr>
          <w:lang w:val="en-US"/>
        </w:rPr>
        <w:t>(from 20 March 2020)</w:t>
      </w:r>
      <w:r w:rsidRPr="004077E7" w:rsidDel="008A1279">
        <w:rPr>
          <w:lang w:val="en-US"/>
        </w:rPr>
        <w:t xml:space="preserve"> </w:t>
      </w:r>
      <w:r w:rsidRPr="004077E7">
        <w:rPr>
          <w:lang w:val="en-US"/>
        </w:rPr>
        <w:t>and Youth Allowance (Other). Flows onto and off income support payments include flows from nil rate recipient status to being in receipt of a payment. Two</w:t>
      </w:r>
      <w:r w:rsidR="0038520A">
        <w:rPr>
          <w:lang w:val="en-US"/>
        </w:rPr>
        <w:noBreakHyphen/>
      </w:r>
      <w:r w:rsidRPr="004077E7">
        <w:rPr>
          <w:lang w:val="en-US"/>
        </w:rPr>
        <w:t>week moving average.</w:t>
      </w:r>
    </w:p>
    <w:p w14:paraId="0AD41EC9" w14:textId="247E7734" w:rsidR="00E9249A" w:rsidRDefault="00E9249A" w:rsidP="005578FA">
      <w:pPr>
        <w:pStyle w:val="ChartorTableNote"/>
        <w:rPr>
          <w:lang w:val="en-US"/>
        </w:rPr>
      </w:pPr>
      <w:r w:rsidRPr="004077E7">
        <w:rPr>
          <w:lang w:val="en-US"/>
        </w:rPr>
        <w:t>Source: Treasury analysis of</w:t>
      </w:r>
      <w:r>
        <w:rPr>
          <w:lang w:val="en-US"/>
        </w:rPr>
        <w:t xml:space="preserve"> </w:t>
      </w:r>
      <w:r w:rsidRPr="00875784">
        <w:rPr>
          <w:lang w:val="en-US"/>
        </w:rPr>
        <w:t>de</w:t>
      </w:r>
      <w:r w:rsidR="0038520A">
        <w:rPr>
          <w:lang w:val="en-US"/>
        </w:rPr>
        <w:noBreakHyphen/>
      </w:r>
      <w:r w:rsidRPr="00875784">
        <w:rPr>
          <w:lang w:val="en-US"/>
        </w:rPr>
        <w:t>identified administrative data</w:t>
      </w:r>
      <w:r w:rsidRPr="004077E7">
        <w:rPr>
          <w:lang w:val="en-US"/>
        </w:rPr>
        <w:t xml:space="preserve"> </w:t>
      </w:r>
      <w:r>
        <w:rPr>
          <w:lang w:val="en-US"/>
        </w:rPr>
        <w:t xml:space="preserve">(linked STP and </w:t>
      </w:r>
      <w:r w:rsidRPr="004077E7">
        <w:rPr>
          <w:lang w:val="en-US"/>
        </w:rPr>
        <w:t>welfare payment microdata</w:t>
      </w:r>
      <w:r>
        <w:rPr>
          <w:lang w:val="en-US"/>
        </w:rPr>
        <w:t>)</w:t>
      </w:r>
      <w:r w:rsidRPr="004077E7">
        <w:rPr>
          <w:lang w:val="en-US"/>
        </w:rPr>
        <w:t>.</w:t>
      </w:r>
    </w:p>
    <w:p w14:paraId="64E06D35" w14:textId="2693147E" w:rsidR="00E9249A" w:rsidRDefault="00E9249A" w:rsidP="004B36C2">
      <w:pPr>
        <w:pStyle w:val="Heading2"/>
      </w:pPr>
      <w:bookmarkStart w:id="147" w:name="_Toc83215064"/>
      <w:bookmarkStart w:id="148" w:name="_Toc84842626"/>
      <w:r>
        <w:t>Impact of JobKeeper on economic activity</w:t>
      </w:r>
      <w:bookmarkEnd w:id="147"/>
      <w:bookmarkEnd w:id="148"/>
    </w:p>
    <w:p w14:paraId="3DD24CC3" w14:textId="58310E87" w:rsidR="00E9249A" w:rsidRDefault="00E9249A" w:rsidP="00E9249A">
      <w:pPr>
        <w:pStyle w:val="Heading3"/>
      </w:pPr>
      <w:bookmarkStart w:id="149" w:name="_Toc83215065"/>
      <w:r w:rsidRPr="004A4E2F">
        <w:t>JobKeeper helped to ensure resource</w:t>
      </w:r>
      <w:r w:rsidR="0038520A">
        <w:noBreakHyphen/>
      </w:r>
      <w:r w:rsidRPr="004A4E2F">
        <w:t>reallocation in the economy remained linked to productivity</w:t>
      </w:r>
      <w:r w:rsidR="00732904">
        <w:t xml:space="preserve"> and limit</w:t>
      </w:r>
      <w:r w:rsidR="00BD05C2">
        <w:t>ed</w:t>
      </w:r>
      <w:r w:rsidR="00732904">
        <w:t xml:space="preserve"> economic scarring</w:t>
      </w:r>
      <w:bookmarkEnd w:id="149"/>
    </w:p>
    <w:p w14:paraId="47D7A8D6" w14:textId="301D9A5A" w:rsidR="00E9249A" w:rsidRPr="00A23B67" w:rsidRDefault="00E9249A" w:rsidP="00E9249A">
      <w:r w:rsidRPr="00A23B67">
        <w:t xml:space="preserve">A recent </w:t>
      </w:r>
      <w:r>
        <w:t xml:space="preserve">OECD </w:t>
      </w:r>
      <w:r w:rsidRPr="00A23B67">
        <w:t>paper examined labour flows and reallocation in the Australian economy during COVID</w:t>
      </w:r>
      <w:r w:rsidR="0038520A">
        <w:noBreakHyphen/>
      </w:r>
      <w:r w:rsidR="002E0353">
        <w:t>19</w:t>
      </w:r>
      <w:r w:rsidRPr="00A23B67">
        <w:t>.</w:t>
      </w:r>
      <w:r>
        <w:rPr>
          <w:rStyle w:val="FootnoteReference"/>
        </w:rPr>
        <w:footnoteReference w:id="21"/>
      </w:r>
      <w:r w:rsidRPr="00A23B67">
        <w:t xml:space="preserve"> It found that while reallocation of labour in the economy declined, it remained firmly linked to productivity. That is, more productive </w:t>
      </w:r>
      <w:r w:rsidR="007B77CB">
        <w:t>businesses</w:t>
      </w:r>
      <w:r w:rsidRPr="00A23B67">
        <w:t xml:space="preserve"> remained more likely to grow and survive, compared to less productive </w:t>
      </w:r>
      <w:r w:rsidR="007B77CB">
        <w:t>businesses</w:t>
      </w:r>
      <w:r w:rsidRPr="00A23B67">
        <w:t>. This is important, given COVID</w:t>
      </w:r>
      <w:r w:rsidR="0038520A">
        <w:noBreakHyphen/>
      </w:r>
      <w:r w:rsidR="002E0353">
        <w:t>19</w:t>
      </w:r>
      <w:r w:rsidRPr="00A23B67">
        <w:t xml:space="preserve"> could have led to significant medium</w:t>
      </w:r>
      <w:r w:rsidR="0038520A">
        <w:noBreakHyphen/>
      </w:r>
      <w:r w:rsidRPr="00A23B67">
        <w:t xml:space="preserve">term economic scarring if </w:t>
      </w:r>
      <w:r>
        <w:t xml:space="preserve">it </w:t>
      </w:r>
      <w:r w:rsidRPr="00A23B67">
        <w:t>caused an indiscriminate shake</w:t>
      </w:r>
      <w:r w:rsidR="0038520A">
        <w:noBreakHyphen/>
      </w:r>
      <w:r w:rsidRPr="00A23B67">
        <w:t xml:space="preserve">out of highly productive businesses, and the loss of their </w:t>
      </w:r>
      <w:r w:rsidR="00B807EE">
        <w:t>business</w:t>
      </w:r>
      <w:r w:rsidR="0038520A">
        <w:noBreakHyphen/>
      </w:r>
      <w:r w:rsidRPr="00A23B67">
        <w:t xml:space="preserve">specific capital. </w:t>
      </w:r>
    </w:p>
    <w:p w14:paraId="3774FBF9" w14:textId="19D01A41" w:rsidR="00E9249A" w:rsidRPr="00A23B67" w:rsidRDefault="00E9249A" w:rsidP="00E9249A">
      <w:r w:rsidRPr="00A23B67">
        <w:t xml:space="preserve">The paper also found that JobKeeper played a role in this outcome, boosting the link between productivity and reallocation. In fact, </w:t>
      </w:r>
      <w:r w:rsidR="005850C9">
        <w:t>the authors</w:t>
      </w:r>
      <w:r w:rsidR="00F86B04" w:rsidRPr="00A23B67">
        <w:t xml:space="preserve"> </w:t>
      </w:r>
      <w:r w:rsidRPr="00A23B67">
        <w:t xml:space="preserve">estimate that aggregate labour productivity would have been </w:t>
      </w:r>
      <w:r w:rsidR="00B67E58">
        <w:t>between 4.5 and 5.5</w:t>
      </w:r>
      <w:r w:rsidRPr="00A23B67">
        <w:t xml:space="preserve"> per cent lower if reallocation and productivity had been de</w:t>
      </w:r>
      <w:r w:rsidR="0038520A">
        <w:noBreakHyphen/>
      </w:r>
      <w:r w:rsidRPr="00A23B67">
        <w:t xml:space="preserve">coupled, and that JobKeeper can account for around half of this. This </w:t>
      </w:r>
      <w:r w:rsidR="00423454">
        <w:t xml:space="preserve">analysis finds that </w:t>
      </w:r>
      <w:r w:rsidRPr="00A23B67">
        <w:t>i</w:t>
      </w:r>
      <w:r w:rsidR="00017400">
        <w:t xml:space="preserve">n the first </w:t>
      </w:r>
      <w:r w:rsidR="009C36E8">
        <w:t>six</w:t>
      </w:r>
      <w:r w:rsidR="00017400">
        <w:t xml:space="preserve"> months of the program,</w:t>
      </w:r>
      <w:r w:rsidRPr="00A23B67">
        <w:t xml:space="preserve"> </w:t>
      </w:r>
      <w:r w:rsidR="00423454">
        <w:t>JobKeeper</w:t>
      </w:r>
      <w:r w:rsidR="00423454" w:rsidRPr="00A23B67">
        <w:t xml:space="preserve"> </w:t>
      </w:r>
      <w:r w:rsidRPr="00A23B67">
        <w:t xml:space="preserve">disproportionately supported highly productive but financially fragile </w:t>
      </w:r>
      <w:r w:rsidR="007B77CB">
        <w:t>businesses</w:t>
      </w:r>
      <w:r w:rsidRPr="00A23B67">
        <w:t xml:space="preserve"> that might have had trouble </w:t>
      </w:r>
      <w:r w:rsidR="00564B4F">
        <w:t>surviving a period of decreased activity and revenue</w:t>
      </w:r>
      <w:r w:rsidRPr="00A23B67">
        <w:t>.</w:t>
      </w:r>
    </w:p>
    <w:p w14:paraId="1DF35E52" w14:textId="4A95FFFA" w:rsidR="00E9249A" w:rsidRPr="00A23B67" w:rsidRDefault="00E9249A" w:rsidP="00E9249A">
      <w:r w:rsidRPr="00A23B67">
        <w:t>That said, the paper did find evidence that JobKeeper bec</w:t>
      </w:r>
      <w:r w:rsidR="00017400">
        <w:t>ame</w:t>
      </w:r>
      <w:r w:rsidRPr="00A23B67">
        <w:t xml:space="preserve"> more distortionary over time as the economic recovery took hold. In particular, the</w:t>
      </w:r>
      <w:r>
        <w:t xml:space="preserve"> analysis</w:t>
      </w:r>
      <w:r w:rsidRPr="00A23B67">
        <w:t xml:space="preserve"> found that when businesses rolled off </w:t>
      </w:r>
      <w:r w:rsidR="00A21B61">
        <w:t xml:space="preserve">the first </w:t>
      </w:r>
      <w:r w:rsidRPr="00A23B67">
        <w:t>phase</w:t>
      </w:r>
      <w:r w:rsidR="00C4089F" w:rsidRPr="00A23B67">
        <w:t xml:space="preserve"> </w:t>
      </w:r>
      <w:r w:rsidRPr="00A23B67">
        <w:t xml:space="preserve">of </w:t>
      </w:r>
      <w:r>
        <w:t xml:space="preserve">JobKeeper </w:t>
      </w:r>
      <w:r w:rsidRPr="00A23B67">
        <w:t xml:space="preserve">in September </w:t>
      </w:r>
      <w:r w:rsidR="005850C9">
        <w:t xml:space="preserve">2020 </w:t>
      </w:r>
      <w:r w:rsidRPr="00A23B67">
        <w:t xml:space="preserve">there was </w:t>
      </w:r>
      <w:r w:rsidR="000F1572">
        <w:t>some significant</w:t>
      </w:r>
      <w:r w:rsidRPr="00A23B67">
        <w:t xml:space="preserve"> labour </w:t>
      </w:r>
      <w:r w:rsidR="001C5BB6">
        <w:t>movement</w:t>
      </w:r>
      <w:r w:rsidR="001C5BB6" w:rsidRPr="00A23B67">
        <w:t xml:space="preserve"> </w:t>
      </w:r>
      <w:r w:rsidRPr="00A23B67">
        <w:t xml:space="preserve">towards more productive </w:t>
      </w:r>
      <w:r w:rsidR="007B77CB">
        <w:t>businesses</w:t>
      </w:r>
      <w:r w:rsidR="00C253FD">
        <w:t>, suggesti</w:t>
      </w:r>
      <w:r w:rsidR="00E50B76">
        <w:t>ng that</w:t>
      </w:r>
      <w:r w:rsidR="00C253FD">
        <w:t xml:space="preserve"> JobKeeper had been</w:t>
      </w:r>
      <w:r w:rsidR="00575F39">
        <w:t xml:space="preserve"> starting to</w:t>
      </w:r>
      <w:r w:rsidR="00C253FD">
        <w:t xml:space="preserve"> hold back this reallocation</w:t>
      </w:r>
      <w:r w:rsidR="00575F39">
        <w:t xml:space="preserve"> as the economy continued to recover</w:t>
      </w:r>
      <w:r w:rsidRPr="00A23B67">
        <w:t xml:space="preserve">. </w:t>
      </w:r>
    </w:p>
    <w:p w14:paraId="1C76219E" w14:textId="6A65D34C" w:rsidR="00E9249A" w:rsidRDefault="00E9249A" w:rsidP="00E9249A">
      <w:pPr>
        <w:pStyle w:val="Heading3"/>
      </w:pPr>
      <w:bookmarkStart w:id="150" w:name="_Toc83215066"/>
      <w:r>
        <w:lastRenderedPageBreak/>
        <w:t xml:space="preserve">JobKeeper subsidies </w:t>
      </w:r>
      <w:r w:rsidR="004D09D2">
        <w:t>supported businesses</w:t>
      </w:r>
      <w:r w:rsidR="00281D6F">
        <w:t xml:space="preserve"> in need</w:t>
      </w:r>
      <w:bookmarkEnd w:id="150"/>
    </w:p>
    <w:p w14:paraId="7AF47C38" w14:textId="2DD74088" w:rsidR="00E9249A" w:rsidRDefault="00E9249A" w:rsidP="00E9249A">
      <w:r>
        <w:t>One of the key purposes of JobKeeper was to protect businesses that had to cease or wind back their operations because of the public health restrictions.</w:t>
      </w:r>
    </w:p>
    <w:p w14:paraId="104E57AC" w14:textId="6429391D" w:rsidR="00E9249A" w:rsidRDefault="00E9249A" w:rsidP="00E9249A">
      <w:r>
        <w:t xml:space="preserve">From a macroeconomic perspective, the combination of economic support measures, including JobKeeper and </w:t>
      </w:r>
      <w:r w:rsidR="00724CFF">
        <w:t>the Boosting Cash Flow for Employers measure</w:t>
      </w:r>
      <w:r>
        <w:t xml:space="preserve">, as well as </w:t>
      </w:r>
      <w:r w:rsidR="00724CFF">
        <w:t>temporary insolvency relief</w:t>
      </w:r>
      <w:r>
        <w:t xml:space="preserve"> prevented an increase in business failures</w:t>
      </w:r>
      <w:r w:rsidR="001C5BB6">
        <w:t>. A</w:t>
      </w:r>
      <w:r>
        <w:t xml:space="preserve">dministrations </w:t>
      </w:r>
      <w:r w:rsidR="001C5BB6">
        <w:t xml:space="preserve">were </w:t>
      </w:r>
      <w:r>
        <w:t xml:space="preserve">at very low levels during 2020. The RBA has noted that JobKeeper played an important role, ensuring </w:t>
      </w:r>
      <w:r w:rsidR="007B77CB">
        <w:t>businesses</w:t>
      </w:r>
      <w:r>
        <w:t xml:space="preserve"> had sufficient liquidity to pay their bills.</w:t>
      </w:r>
      <w:r w:rsidR="00EA361D">
        <w:rPr>
          <w:rStyle w:val="FootnoteReference"/>
        </w:rPr>
        <w:footnoteReference w:id="22"/>
      </w:r>
      <w:r>
        <w:t xml:space="preserve"> </w:t>
      </w:r>
    </w:p>
    <w:p w14:paraId="629AEA90" w14:textId="3F3D3B3C" w:rsidR="00451BA0" w:rsidRDefault="005251EA" w:rsidP="00451BA0">
      <w:bookmarkStart w:id="151" w:name="_Hlk84839791"/>
      <w:r>
        <w:t>T</w:t>
      </w:r>
      <w:r w:rsidR="00451BA0">
        <w:t xml:space="preserve">he share </w:t>
      </w:r>
      <w:r w:rsidR="00F409CE">
        <w:t>of JobKeeper payments</w:t>
      </w:r>
      <w:r w:rsidR="00451BA0">
        <w:t xml:space="preserve"> going to businesses as a wage subsidy increased</w:t>
      </w:r>
      <w:r w:rsidR="006B5F00">
        <w:t xml:space="preserve"> as the economy recovered and workers got more hours</w:t>
      </w:r>
      <w:r w:rsidR="00451BA0">
        <w:t xml:space="preserve">. </w:t>
      </w:r>
      <w:r w:rsidR="00A3418B">
        <w:t xml:space="preserve">Based on Figure 15a above, </w:t>
      </w:r>
      <w:r w:rsidR="00F409CE">
        <w:t xml:space="preserve">the </w:t>
      </w:r>
      <w:r w:rsidR="00A0695F">
        <w:t>average amount</w:t>
      </w:r>
      <w:r w:rsidR="00F409CE">
        <w:t xml:space="preserve"> of JobKeeper payments that represented a</w:t>
      </w:r>
      <w:r w:rsidR="00A3418B">
        <w:t xml:space="preserve">n income transfer peaked at </w:t>
      </w:r>
      <w:r w:rsidR="004F39DD">
        <w:t>$350</w:t>
      </w:r>
      <w:r w:rsidR="00A0695F">
        <w:t xml:space="preserve"> (</w:t>
      </w:r>
      <w:r w:rsidR="00340432">
        <w:t xml:space="preserve">around </w:t>
      </w:r>
      <w:r w:rsidR="00A3418B">
        <w:t>25 per cent</w:t>
      </w:r>
      <w:r w:rsidR="00A0695F">
        <w:t xml:space="preserve"> of the $1500)</w:t>
      </w:r>
      <w:r w:rsidR="00340432">
        <w:t xml:space="preserve"> in May 2020</w:t>
      </w:r>
      <w:r w:rsidR="00A3418B">
        <w:t xml:space="preserve">, </w:t>
      </w:r>
      <w:r w:rsidR="00340432">
        <w:t xml:space="preserve">meaning that </w:t>
      </w:r>
      <w:r w:rsidR="00A3418B">
        <w:t xml:space="preserve">the share that represented </w:t>
      </w:r>
      <w:r w:rsidR="00F409CE">
        <w:t>a wage subsidy was at its lowest point at around 75 per cent</w:t>
      </w:r>
      <w:r w:rsidR="00B808A2">
        <w:t> </w:t>
      </w:r>
      <w:r w:rsidR="00340432">
        <w:t>at that time</w:t>
      </w:r>
      <w:r w:rsidR="00F409CE">
        <w:t>.</w:t>
      </w:r>
      <w:r w:rsidR="002342C1">
        <w:t xml:space="preserve"> </w:t>
      </w:r>
      <w:r w:rsidR="0094340F" w:rsidRPr="0094340F">
        <w:t>The provision of the wage subsidy enabled many of these businesses to continue operating and then to pivot and grow.</w:t>
      </w:r>
    </w:p>
    <w:bookmarkEnd w:id="151"/>
    <w:p w14:paraId="2886278B" w14:textId="6424C9C6" w:rsidR="00E9249A" w:rsidRDefault="004D44E6" w:rsidP="00E9249A">
      <w:r w:rsidRPr="000D5F18">
        <w:t xml:space="preserve">JobKeeper represented a sizeable and important subsidy for wage costs for many businesses. </w:t>
      </w:r>
      <w:r w:rsidR="00BD436F" w:rsidRPr="000D5F18">
        <w:t xml:space="preserve">On average, JobKeeper provided a subsidy of 60 per cent of wage costs, reducing labour costs by 15 per cent of revenue. </w:t>
      </w:r>
      <w:r w:rsidR="00CF6A94" w:rsidRPr="000D5F18">
        <w:t xml:space="preserve">This subsidy was particularly important for those businesses that were hardest hit by the pandemic. </w:t>
      </w:r>
      <w:r w:rsidR="007E6A10" w:rsidRPr="000D5F18">
        <w:t>A</w:t>
      </w:r>
      <w:r w:rsidR="00E9249A" w:rsidRPr="000D5F18">
        <w:t>lmost one</w:t>
      </w:r>
      <w:r w:rsidR="0038520A" w:rsidRPr="000D5F18">
        <w:noBreakHyphen/>
      </w:r>
      <w:r w:rsidR="00E9249A" w:rsidRPr="000D5F18">
        <w:t xml:space="preserve">quarter of JobKeeper recipient </w:t>
      </w:r>
      <w:r w:rsidR="007B77CB" w:rsidRPr="000D5F18">
        <w:t>businesses</w:t>
      </w:r>
      <w:r w:rsidR="00E9249A" w:rsidRPr="000D5F18">
        <w:t xml:space="preserve"> faced no out</w:t>
      </w:r>
      <w:r w:rsidR="0038520A" w:rsidRPr="000D5F18">
        <w:noBreakHyphen/>
      </w:r>
      <w:r w:rsidR="00E9249A" w:rsidRPr="000D5F18">
        <w:t>of</w:t>
      </w:r>
      <w:r w:rsidR="0038520A" w:rsidRPr="000D5F18">
        <w:noBreakHyphen/>
      </w:r>
      <w:r w:rsidR="00E9249A" w:rsidRPr="000D5F18">
        <w:t xml:space="preserve">pocket </w:t>
      </w:r>
      <w:r w:rsidR="00822B8B" w:rsidRPr="000D5F18">
        <w:t xml:space="preserve">wage </w:t>
      </w:r>
      <w:r w:rsidR="00E9249A" w:rsidRPr="000D5F18">
        <w:t>costs in September,</w:t>
      </w:r>
      <w:r w:rsidR="00E9249A" w:rsidDel="0025007E">
        <w:t xml:space="preserve"> </w:t>
      </w:r>
      <w:r w:rsidR="00E9249A">
        <w:t>with workers</w:t>
      </w:r>
      <w:r w:rsidR="0038520A">
        <w:t>’</w:t>
      </w:r>
      <w:r w:rsidR="00E9249A">
        <w:t xml:space="preserve"> wages being completely covered by JobKeeper payments</w:t>
      </w:r>
      <w:r w:rsidR="00D04540">
        <w:t xml:space="preserve">. </w:t>
      </w:r>
      <w:r w:rsidR="007B7E82">
        <w:t xml:space="preserve">Turnover for </w:t>
      </w:r>
      <w:r w:rsidR="00E9249A" w:rsidRPr="00902B35">
        <w:t xml:space="preserve">these </w:t>
      </w:r>
      <w:r w:rsidR="007B77CB">
        <w:t>businesses</w:t>
      </w:r>
      <w:r w:rsidR="00E9249A" w:rsidRPr="00902B35">
        <w:t xml:space="preserve"> </w:t>
      </w:r>
      <w:r w:rsidR="00AD2AA9">
        <w:t xml:space="preserve">in the quarter </w:t>
      </w:r>
      <w:r w:rsidR="00E9249A" w:rsidRPr="00902B35">
        <w:t>was typically 39 per cent</w:t>
      </w:r>
      <w:r w:rsidR="00E9249A" w:rsidRPr="008B47B8">
        <w:t xml:space="preserve"> </w:t>
      </w:r>
      <w:r w:rsidR="00E9249A" w:rsidRPr="00902B35">
        <w:t>lower than the previous year</w:t>
      </w:r>
      <w:r w:rsidR="00810805">
        <w:t xml:space="preserve">, compared to </w:t>
      </w:r>
      <w:r w:rsidR="001C0D72">
        <w:t xml:space="preserve">23 per cent for a broader sample of JobKeeper </w:t>
      </w:r>
      <w:r w:rsidR="00E83BA5" w:rsidRPr="00E83BA5">
        <w:t>businesses</w:t>
      </w:r>
      <w:r w:rsidR="00E9249A" w:rsidRPr="00902B35">
        <w:t xml:space="preserve">. </w:t>
      </w:r>
    </w:p>
    <w:p w14:paraId="3FD2A975" w14:textId="03650900" w:rsidR="00F640F8" w:rsidRDefault="009E76A6" w:rsidP="00F640F8">
      <w:r>
        <w:t xml:space="preserve">Survey evidence demonstrates the role of JobKeeper in supporting businesses. </w:t>
      </w:r>
      <w:r w:rsidR="00F640F8">
        <w:t>According to a Spring</w:t>
      </w:r>
      <w:r w:rsidR="00B808A2">
        <w:t> </w:t>
      </w:r>
      <w:r w:rsidR="00F640F8">
        <w:t xml:space="preserve">2020 survey by Sensis, approximately 44 per cent of Australian small businesses would not have survived without JobKeeper. In the hardest hit sectors, the role of JobKeeper was even more significant, with 65 per cent of hospitality small businesses reporting </w:t>
      </w:r>
      <w:r w:rsidR="00F640F8">
        <w:rPr>
          <w:lang w:val="en-US"/>
        </w:rPr>
        <w:t>JobKeeper</w:t>
      </w:r>
      <w:r w:rsidR="00F640F8">
        <w:t xml:space="preserve"> was responsible for their survival.</w:t>
      </w:r>
      <w:r w:rsidR="00F640F8">
        <w:rPr>
          <w:rStyle w:val="FootnoteReference"/>
        </w:rPr>
        <w:footnoteReference w:id="23"/>
      </w:r>
      <w:r w:rsidR="00F640F8">
        <w:t xml:space="preserve"> In September 2020, MYOB</w:t>
      </w:r>
      <w:r w:rsidR="0038520A">
        <w:t>’</w:t>
      </w:r>
      <w:r w:rsidR="00F640F8">
        <w:t xml:space="preserve">s Business Monitor survey of more than 1,000 SMEs found that among businesses that accessed </w:t>
      </w:r>
      <w:r w:rsidR="00F640F8">
        <w:rPr>
          <w:lang w:val="en-US"/>
        </w:rPr>
        <w:t>JobKeeper</w:t>
      </w:r>
      <w:r w:rsidR="00F640F8">
        <w:t>, 82 per cent reported it allowed trading to continue in the face of doubt.</w:t>
      </w:r>
      <w:r w:rsidR="00F640F8">
        <w:rPr>
          <w:rStyle w:val="FootnoteReference"/>
        </w:rPr>
        <w:footnoteReference w:id="24"/>
      </w:r>
      <w:r w:rsidR="00F640F8">
        <w:t xml:space="preserve"> </w:t>
      </w:r>
    </w:p>
    <w:p w14:paraId="3DA7D2F7" w14:textId="6A7AC3EB" w:rsidR="00E9249A" w:rsidRPr="001A4814" w:rsidRDefault="009E76A6" w:rsidP="00E9249A">
      <w:pPr>
        <w:pStyle w:val="Heading3"/>
      </w:pPr>
      <w:bookmarkStart w:id="152" w:name="_Toc83215067"/>
      <w:r w:rsidRPr="001A4814">
        <w:t>T</w:t>
      </w:r>
      <w:r w:rsidR="00F50E86" w:rsidRPr="001A4814">
        <w:t>he re</w:t>
      </w:r>
      <w:r w:rsidR="0038520A" w:rsidRPr="001A4814">
        <w:noBreakHyphen/>
      </w:r>
      <w:r w:rsidR="00F50E86" w:rsidRPr="001A4814">
        <w:t xml:space="preserve">testing of </w:t>
      </w:r>
      <w:r w:rsidRPr="001A4814">
        <w:t xml:space="preserve">JobKeeper </w:t>
      </w:r>
      <w:r w:rsidR="00F50E86" w:rsidRPr="001A4814">
        <w:t>eligibility</w:t>
      </w:r>
      <w:r w:rsidR="00E9249A" w:rsidRPr="001A4814">
        <w:t xml:space="preserve"> created some incentives </w:t>
      </w:r>
      <w:r w:rsidR="00F50E86" w:rsidRPr="001A4814">
        <w:t xml:space="preserve">to adjust </w:t>
      </w:r>
      <w:bookmarkEnd w:id="152"/>
      <w:r w:rsidR="00F50E86" w:rsidRPr="001A4814">
        <w:t>operations</w:t>
      </w:r>
    </w:p>
    <w:p w14:paraId="4801E8D4" w14:textId="77777777" w:rsidR="00BE0BD9" w:rsidRDefault="00E9249A" w:rsidP="002B0829">
      <w:r w:rsidRPr="001A4814">
        <w:t xml:space="preserve">JobKeeper was designed to </w:t>
      </w:r>
      <w:r w:rsidR="003C7674" w:rsidRPr="001A4814">
        <w:t>reduce the extent of the downturn and support a strong</w:t>
      </w:r>
      <w:r w:rsidRPr="001A4814">
        <w:t xml:space="preserve"> economic recovery. </w:t>
      </w:r>
      <w:r w:rsidR="00431607" w:rsidRPr="001A4814">
        <w:t xml:space="preserve">Nonetheless, the shift to improve targeting of the scheme in </w:t>
      </w:r>
      <w:r w:rsidR="00FA702D" w:rsidRPr="001A4814">
        <w:t xml:space="preserve">its extension phase distorted business decisions for some </w:t>
      </w:r>
      <w:r w:rsidR="00E83BA5" w:rsidRPr="001A4814">
        <w:t>businesses</w:t>
      </w:r>
      <w:r w:rsidR="00FA702D" w:rsidRPr="001A4814">
        <w:t xml:space="preserve"> from July to September, as turnover in this period was used to determine eligibility for the December quarter. </w:t>
      </w:r>
      <w:r w:rsidR="002B0829" w:rsidRPr="001A4814">
        <w:t xml:space="preserve">These results highlight the </w:t>
      </w:r>
      <w:r w:rsidR="00212FDF" w:rsidRPr="001A4814">
        <w:t>trade</w:t>
      </w:r>
      <w:r w:rsidR="0038520A" w:rsidRPr="001A4814">
        <w:noBreakHyphen/>
      </w:r>
      <w:r w:rsidR="00212FDF" w:rsidRPr="001A4814">
        <w:t xml:space="preserve">offs between </w:t>
      </w:r>
      <w:r w:rsidR="004E1F07" w:rsidRPr="001A4814">
        <w:t xml:space="preserve">tight </w:t>
      </w:r>
      <w:r w:rsidR="00212FDF" w:rsidRPr="001A4814">
        <w:t xml:space="preserve">targeting and </w:t>
      </w:r>
      <w:r w:rsidR="004E1F07" w:rsidRPr="001A4814">
        <w:t>avoiding disincentives for business to adapt and grow</w:t>
      </w:r>
      <w:r w:rsidR="002B0829" w:rsidRPr="001A4814">
        <w:t>.</w:t>
      </w:r>
      <w:r w:rsidR="002B0829" w:rsidRPr="001A4814" w:rsidDel="003870E9">
        <w:t xml:space="preserve"> </w:t>
      </w:r>
      <w:r w:rsidR="002B0829" w:rsidRPr="001A4814">
        <w:t>While the disincentives to maximise turnover appear to have been relatively limited in the first phase of JobKeeper, the re</w:t>
      </w:r>
      <w:r w:rsidR="0038520A" w:rsidRPr="001A4814">
        <w:noBreakHyphen/>
      </w:r>
      <w:r w:rsidR="002B0829" w:rsidRPr="001A4814">
        <w:t>testing of eligibility ahead of the second, more targeted phase, appears to have created incentives for some businesses to curtail their operations</w:t>
      </w:r>
      <w:r w:rsidR="0038520A" w:rsidRPr="001A4814">
        <w:t>.</w:t>
      </w:r>
    </w:p>
    <w:p w14:paraId="58F19EE9" w14:textId="5BC0D96C" w:rsidR="002B0829" w:rsidRPr="001A4814" w:rsidRDefault="00BE0BD9" w:rsidP="002B0829">
      <w:r>
        <w:lastRenderedPageBreak/>
        <w:t xml:space="preserve">It is common to observe individuals and entities adjusting their behaviour in response to eligibility thresholds. Where individuals and entities have an incentive to remain on one side of a threshold, bunching is often observed. </w:t>
      </w:r>
      <w:r w:rsidRPr="008A6BF7">
        <w:t>Breunig and Johnson (2017)</w:t>
      </w:r>
      <w:r>
        <w:t xml:space="preserve"> highlight one example of this in the personal income tax system.</w:t>
      </w:r>
      <w:r w:rsidR="00672665">
        <w:rPr>
          <w:rStyle w:val="FootnoteReference"/>
        </w:rPr>
        <w:footnoteReference w:id="25"/>
      </w:r>
      <w:r>
        <w:t xml:space="preserve"> They find statistically significant bunching at all notches in the Australian tax system.  </w:t>
      </w:r>
      <w:r w:rsidR="0038520A" w:rsidRPr="001A4814">
        <w:t xml:space="preserve"> </w:t>
      </w:r>
    </w:p>
    <w:p w14:paraId="61DB86B0" w14:textId="4CFFE1A7" w:rsidR="00E9249A" w:rsidRPr="001A4814" w:rsidRDefault="00E9249A" w:rsidP="00E9249A">
      <w:r w:rsidRPr="001A4814">
        <w:t>Figure</w:t>
      </w:r>
      <w:r w:rsidRPr="001A4814" w:rsidDel="00741687">
        <w:t xml:space="preserve"> </w:t>
      </w:r>
      <w:r w:rsidR="00741687" w:rsidRPr="001A4814">
        <w:t>19</w:t>
      </w:r>
      <w:r w:rsidRPr="001A4814">
        <w:t xml:space="preserve"> shows the distribution of turnover growth for recipients of the first phase of JobKeeper in the June and September quarters</w:t>
      </w:r>
      <w:r w:rsidR="00187CBA" w:rsidRPr="001A4814">
        <w:t xml:space="preserve"> of 2020</w:t>
      </w:r>
      <w:r w:rsidRPr="001A4814">
        <w:t xml:space="preserve">, relative to the equivalent period the previous year. For </w:t>
      </w:r>
      <w:r w:rsidR="00D574EA" w:rsidRPr="001A4814">
        <w:t xml:space="preserve">the </w:t>
      </w:r>
      <w:r w:rsidRPr="001A4814">
        <w:t>June</w:t>
      </w:r>
      <w:r w:rsidR="00D574EA" w:rsidRPr="001A4814">
        <w:t xml:space="preserve"> quarter</w:t>
      </w:r>
      <w:r w:rsidRPr="001A4814">
        <w:t xml:space="preserve">, the number of </w:t>
      </w:r>
      <w:r w:rsidR="007B77CB" w:rsidRPr="001A4814">
        <w:t>businesses</w:t>
      </w:r>
      <w:r w:rsidRPr="001A4814">
        <w:t xml:space="preserve"> with sales declines of slightly more than 30 per cent was somewhat higher than the number with declines of slightly less than 30 per cent. This suggests that some </w:t>
      </w:r>
      <w:r w:rsidR="007B77CB" w:rsidRPr="001A4814">
        <w:t>businesses</w:t>
      </w:r>
      <w:r w:rsidRPr="001A4814">
        <w:t xml:space="preserve"> sought to adjust their </w:t>
      </w:r>
      <w:r w:rsidR="0086553B" w:rsidRPr="001A4814">
        <w:t>operations</w:t>
      </w:r>
      <w:r w:rsidRPr="001A4814">
        <w:t xml:space="preserve"> to ensure that they were eligible for JobKeeper, even though </w:t>
      </w:r>
      <w:r w:rsidR="0086553B" w:rsidRPr="001A4814">
        <w:t>that was no</w:t>
      </w:r>
      <w:r w:rsidR="006A1B0E" w:rsidRPr="001A4814">
        <w:t>t</w:t>
      </w:r>
      <w:r w:rsidR="0086553B" w:rsidRPr="001A4814">
        <w:t xml:space="preserve"> necessary for their eligibility</w:t>
      </w:r>
      <w:r w:rsidRPr="001A4814">
        <w:t>.</w:t>
      </w:r>
    </w:p>
    <w:p w14:paraId="3DCB090C" w14:textId="44CD839B" w:rsidR="00E9249A" w:rsidRPr="000D5F18" w:rsidRDefault="00E9249A" w:rsidP="00E9249A">
      <w:r w:rsidRPr="001A4814">
        <w:t xml:space="preserve">More notable is the pattern in </w:t>
      </w:r>
      <w:r w:rsidR="009B1234" w:rsidRPr="001A4814">
        <w:t>the</w:t>
      </w:r>
      <w:r w:rsidRPr="001A4814">
        <w:t xml:space="preserve"> September</w:t>
      </w:r>
      <w:r w:rsidR="009B1234" w:rsidRPr="001A4814">
        <w:t xml:space="preserve"> quarter</w:t>
      </w:r>
      <w:r w:rsidRPr="001A4814">
        <w:t xml:space="preserve">. The share of </w:t>
      </w:r>
      <w:r w:rsidR="007B77CB" w:rsidRPr="001A4814">
        <w:t>businesses</w:t>
      </w:r>
      <w:r w:rsidRPr="001A4814">
        <w:t xml:space="preserve"> with turnover declines of slightly more than the 30 per cent </w:t>
      </w:r>
      <w:r w:rsidR="00D306F8" w:rsidRPr="001A4814">
        <w:t xml:space="preserve">(50,000 </w:t>
      </w:r>
      <w:r w:rsidR="00E83BA5" w:rsidRPr="001A4814">
        <w:t>businesses</w:t>
      </w:r>
      <w:r w:rsidR="00D306F8" w:rsidRPr="001A4814">
        <w:t xml:space="preserve"> with sales de</w:t>
      </w:r>
      <w:r w:rsidR="00843501" w:rsidRPr="001A4814">
        <w:t>cli</w:t>
      </w:r>
      <w:r w:rsidR="00D306F8" w:rsidRPr="001A4814">
        <w:t>nes between 30 and 35</w:t>
      </w:r>
      <w:r w:rsidR="00EC3487" w:rsidRPr="001A4814">
        <w:t> </w:t>
      </w:r>
      <w:r w:rsidR="00D306F8" w:rsidRPr="001A4814">
        <w:t xml:space="preserve">per cent) </w:t>
      </w:r>
      <w:r w:rsidRPr="001A4814">
        <w:t>was much larger than the share with declines slightly smaller than 30 per cent</w:t>
      </w:r>
      <w:r w:rsidR="00D306F8" w:rsidRPr="001A4814">
        <w:t xml:space="preserve"> (20,000</w:t>
      </w:r>
      <w:r w:rsidR="00EC3487" w:rsidRPr="001A4814">
        <w:t> </w:t>
      </w:r>
      <w:r w:rsidR="00E83BA5" w:rsidRPr="000D5F18">
        <w:t>businesses</w:t>
      </w:r>
      <w:r w:rsidR="00D306F8" w:rsidRPr="000D5F18">
        <w:t xml:space="preserve"> with declined between 25 and 30 per cent)</w:t>
      </w:r>
      <w:r w:rsidRPr="000D5F18">
        <w:t xml:space="preserve">. This provides evidence that a number of </w:t>
      </w:r>
      <w:r w:rsidR="007B77CB" w:rsidRPr="000D5F18">
        <w:t>businesses</w:t>
      </w:r>
      <w:r w:rsidRPr="000D5F18">
        <w:t xml:space="preserve"> may have adjusted their </w:t>
      </w:r>
      <w:r w:rsidR="0086553B" w:rsidRPr="000D5F18">
        <w:t>operations</w:t>
      </w:r>
      <w:r w:rsidRPr="000D5F18">
        <w:t xml:space="preserve"> to qualify for the second phase of JobKeeper</w:t>
      </w:r>
      <w:r w:rsidR="00FA702D" w:rsidRPr="000D5F18">
        <w:t>.</w:t>
      </w:r>
      <w:r w:rsidR="00326816" w:rsidRPr="000D5F18">
        <w:t xml:space="preserve"> </w:t>
      </w:r>
    </w:p>
    <w:p w14:paraId="14B8E2B7" w14:textId="77777777" w:rsidR="00FF4667" w:rsidRDefault="00FF4667" w:rsidP="00FF4667">
      <w:r w:rsidRPr="00FF4667">
        <w:t>Manipulation or misstatement of turnover to allow for access to the second phase of JobKeeper was a key focus of the ATO’s compliance strategy. The ATO identified risk factors such as dramatic changes in turnover, adjustments to Business Activity Statements, tip offs and other intelligence, and turnover slightly below the threshold for further investigation in their compliance program.</w:t>
      </w:r>
    </w:p>
    <w:p w14:paraId="3126D58C" w14:textId="7AE2CE3B" w:rsidR="00E9249A" w:rsidRPr="001A4814" w:rsidRDefault="005E4369" w:rsidP="00DA48B5">
      <w:pPr>
        <w:pStyle w:val="ChartMainHeading"/>
      </w:pPr>
      <w:bookmarkStart w:id="153" w:name="_Toc84842580"/>
      <w:r w:rsidRPr="001A4814">
        <w:t>D</w:t>
      </w:r>
      <w:r w:rsidR="00E9249A" w:rsidRPr="001A4814">
        <w:t>istribution of turnover growth outcomes</w:t>
      </w:r>
      <w:r w:rsidR="003A3F2D" w:rsidRPr="001A4814">
        <w:t xml:space="preserve"> </w:t>
      </w:r>
      <w:r w:rsidR="00F47CDD" w:rsidRPr="001A4814">
        <w:br/>
      </w:r>
      <w:r w:rsidR="00E9249A" w:rsidRPr="001A4814">
        <w:t>for JobKeeper recipients</w:t>
      </w:r>
      <w:bookmarkEnd w:id="153"/>
    </w:p>
    <w:p w14:paraId="39DB1A93" w14:textId="3313AC17" w:rsidR="00E9249A" w:rsidRPr="001A4814" w:rsidRDefault="003C0F3F" w:rsidP="00E9249A">
      <w:pPr>
        <w:pStyle w:val="ChartGraphic"/>
        <w:rPr>
          <w:sz w:val="22"/>
        </w:rPr>
      </w:pPr>
      <w:r w:rsidRPr="003C0F3F">
        <w:rPr>
          <w:noProof/>
        </w:rPr>
        <w:drawing>
          <wp:inline distT="0" distB="0" distL="0" distR="0" wp14:anchorId="5348E232" wp14:editId="7017AF61">
            <wp:extent cx="5591175" cy="2428875"/>
            <wp:effectExtent l="0" t="0" r="9525" b="0"/>
            <wp:docPr id="31" name="Picture 31" descr="This chart shows the distribution of through the year turnover growth in June and September among JobKeeper-recipient firms. Both distributions are right-skewed, meaning the majority of firms had turnover declines. There is a small discontinuous spike at the 30% turnover decline threshold in June, and a much larger spike at the same threshold in September. This provides evidence that businesses sought to adjust operations to ensure they were eligible for JobKeeper, particularly the second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chart shows the distribution of through the year turnover growth in June and September among JobKeeper-recipient firms. Both distributions are right-skewed, meaning the majority of firms had turnover declines. There is a small discontinuous spike at the 30% turnover decline threshold in June, and a much larger spike at the same threshold in September. This provides evidence that businesses sought to adjust operations to ensure they were eligible for JobKeeper, particularly the second phase.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399220FF" w14:textId="78EB6B58" w:rsidR="00E9249A" w:rsidRPr="001A4814" w:rsidRDefault="00E9249A" w:rsidP="00E9249A">
      <w:pPr>
        <w:pStyle w:val="ChartorTableNote"/>
      </w:pPr>
      <w:r w:rsidRPr="001A4814">
        <w:t>Note: Through</w:t>
      </w:r>
      <w:r w:rsidR="007B7968">
        <w:t>-</w:t>
      </w:r>
      <w:r w:rsidRPr="001A4814">
        <w:t>the</w:t>
      </w:r>
      <w:r w:rsidR="007B7968">
        <w:t>-</w:t>
      </w:r>
      <w:r w:rsidRPr="001A4814">
        <w:t xml:space="preserve">year growth in BAS turnover in the June and September quarters. Excludes NFPs. Only includes </w:t>
      </w:r>
      <w:r w:rsidR="007B77CB" w:rsidRPr="001A4814">
        <w:t>businesses</w:t>
      </w:r>
      <w:r w:rsidRPr="001A4814">
        <w:t xml:space="preserve"> with sales growth </w:t>
      </w:r>
      <w:r w:rsidR="003F5214" w:rsidRPr="001A4814">
        <w:t>strictly</w:t>
      </w:r>
      <w:r w:rsidRPr="001A4814">
        <w:t xml:space="preserve"> between </w:t>
      </w:r>
      <w:r w:rsidR="0038520A" w:rsidRPr="001A4814">
        <w:noBreakHyphen/>
      </w:r>
      <w:r w:rsidRPr="001A4814">
        <w:t xml:space="preserve">100 per cent and 100 per cent. </w:t>
      </w:r>
      <w:r w:rsidR="003E46C6" w:rsidRPr="001A4814">
        <w:t>Figure</w:t>
      </w:r>
      <w:r w:rsidRPr="001A4814">
        <w:t xml:space="preserve"> interpolated for zero growth </w:t>
      </w:r>
      <w:r w:rsidR="007B77CB" w:rsidRPr="001A4814">
        <w:t>businesses</w:t>
      </w:r>
      <w:r w:rsidRPr="001A4814">
        <w:t xml:space="preserve"> due to large spike.</w:t>
      </w:r>
    </w:p>
    <w:p w14:paraId="3608B6B2" w14:textId="55829480" w:rsidR="00E9249A" w:rsidRDefault="00E9249A" w:rsidP="00E9249A">
      <w:pPr>
        <w:pStyle w:val="ChartorTableNote"/>
      </w:pPr>
      <w:r w:rsidRPr="001A4814">
        <w:t>Source: Treasury analysis of de</w:t>
      </w:r>
      <w:r w:rsidR="0038520A" w:rsidRPr="001A4814">
        <w:noBreakHyphen/>
      </w:r>
      <w:r w:rsidRPr="001A4814">
        <w:t>identified administrative data (BAS data linked to JobKeeper status).</w:t>
      </w:r>
    </w:p>
    <w:p w14:paraId="47C8C618" w14:textId="77777777" w:rsidR="00DE2CB6" w:rsidRDefault="00DE2CB6" w:rsidP="00DE2CB6">
      <w:pPr>
        <w:pStyle w:val="Heading3"/>
      </w:pPr>
      <w:bookmarkStart w:id="154" w:name="_Toc83215068"/>
      <w:r>
        <w:lastRenderedPageBreak/>
        <w:t>JobKeeper is likely to have provided ongoing economic support by strengthening balance sheets</w:t>
      </w:r>
      <w:bookmarkEnd w:id="154"/>
    </w:p>
    <w:p w14:paraId="7C6457B6" w14:textId="08858607" w:rsidR="00DE2CB6" w:rsidRDefault="00DE2CB6" w:rsidP="00DE2CB6">
      <w:r>
        <w:t xml:space="preserve">Balance sheet support is a key channel through which fiscal policies support the economy. For </w:t>
      </w:r>
      <w:r w:rsidR="007B77CB">
        <w:t>businesses</w:t>
      </w:r>
      <w:r>
        <w:t xml:space="preserve">, strong balance sheets allow them to borrow or provide credit to counterparties. These buffers are important for the effective operation of the economy as they reduce counterparty risk and allow </w:t>
      </w:r>
      <w:r w:rsidR="007B77CB">
        <w:t>businesses</w:t>
      </w:r>
      <w:r>
        <w:t xml:space="preserve"> to fund investment. Following a shock that raises economic uncertainty, economic policy that supports the replenishment of these buffers can assist in bringing forward the recovery in investment and consumption activity as the recovery takes hold. </w:t>
      </w:r>
      <w:r w:rsidR="00A16C59">
        <w:t>This</w:t>
      </w:r>
      <w:r>
        <w:t xml:space="preserve"> </w:t>
      </w:r>
      <w:r w:rsidR="00A16C59">
        <w:t>supports</w:t>
      </w:r>
      <w:r w:rsidR="00AC0947">
        <w:t xml:space="preserve"> </w:t>
      </w:r>
      <w:r>
        <w:t xml:space="preserve">the economy in the medium to long term. </w:t>
      </w:r>
    </w:p>
    <w:p w14:paraId="3085EEE2" w14:textId="77777777" w:rsidR="00DE2CB6" w:rsidRDefault="00DE2CB6" w:rsidP="00EC3487">
      <w:pPr>
        <w:keepNext/>
      </w:pPr>
      <w:r>
        <w:t xml:space="preserve">Household and business sector balance sheet positions have remained strong despite the impact of the pandemic. This reflects: </w:t>
      </w:r>
    </w:p>
    <w:p w14:paraId="1D2A210E" w14:textId="0123DE16" w:rsidR="00DE2CB6" w:rsidRDefault="00DE2CB6" w:rsidP="00DE2CB6">
      <w:pPr>
        <w:pStyle w:val="Bullet"/>
      </w:pPr>
      <w:r>
        <w:t xml:space="preserve">the financial and economic support from the Government </w:t>
      </w:r>
    </w:p>
    <w:p w14:paraId="7442DE77" w14:textId="3F410015" w:rsidR="00DE2CB6" w:rsidRDefault="00DE2CB6" w:rsidP="00DE2CB6">
      <w:pPr>
        <w:pStyle w:val="Bullet"/>
      </w:pPr>
      <w:r>
        <w:t xml:space="preserve">the recovery in equity markets and the resilience in house prices, which have been aided by accommodative monetary policy and a supportive financial system </w:t>
      </w:r>
    </w:p>
    <w:p w14:paraId="445D66E7" w14:textId="10E1A157" w:rsidR="00DE2CB6" w:rsidRDefault="00DE2CB6" w:rsidP="00DE2CB6">
      <w:pPr>
        <w:pStyle w:val="Bullet"/>
      </w:pPr>
      <w:r>
        <w:t xml:space="preserve">increased saving flowing from both restrictions on household consumption and precautionary behaviour of households and </w:t>
      </w:r>
      <w:r w:rsidR="007B77CB">
        <w:t>businesses</w:t>
      </w:r>
      <w:r>
        <w:t xml:space="preserve"> </w:t>
      </w:r>
    </w:p>
    <w:p w14:paraId="708DC14F" w14:textId="62ACAEA0" w:rsidR="00EB7514" w:rsidRDefault="00EB7514" w:rsidP="00DA48B5">
      <w:r>
        <w:t xml:space="preserve">On the </w:t>
      </w:r>
      <w:r w:rsidRPr="00DA48B5">
        <w:t>household</w:t>
      </w:r>
      <w:r>
        <w:t xml:space="preserve"> side, net saving in the June and September quarters of 2020 amounted to around $130 billion, which was much larger than results seen in the previous decade (</w:t>
      </w:r>
      <w:r w:rsidR="006705EF">
        <w:t>Figure</w:t>
      </w:r>
      <w:r w:rsidRPr="0063533F">
        <w:t xml:space="preserve"> </w:t>
      </w:r>
      <w:r w:rsidR="00BF1D3B">
        <w:t>20</w:t>
      </w:r>
      <w:r>
        <w:t>). Since much of this additional saving for consumers was unintended and a result of both precautionary saving due to high uncertainty and being unable to consume certain goods and services as a result of lockdown restrictions, it is reasonable to expect that consumers w</w:t>
      </w:r>
      <w:r w:rsidR="008B53F7">
        <w:t>ill</w:t>
      </w:r>
      <w:r>
        <w:t xml:space="preserve"> gradually run down </w:t>
      </w:r>
      <w:r w:rsidR="008B53F7">
        <w:t>these</w:t>
      </w:r>
      <w:r>
        <w:t xml:space="preserve"> savings through higher consumption expenditure during the recovery. </w:t>
      </w:r>
    </w:p>
    <w:p w14:paraId="4E418681" w14:textId="7E383513" w:rsidR="00DE2CB6" w:rsidRDefault="00B4654E" w:rsidP="00DE2CB6">
      <w:r>
        <w:t>S</w:t>
      </w:r>
      <w:r w:rsidR="00DE2CB6">
        <w:t xml:space="preserve">aving by </w:t>
      </w:r>
      <w:r w:rsidR="007B77CB">
        <w:t>businesses</w:t>
      </w:r>
      <w:r w:rsidR="00DE2CB6">
        <w:t xml:space="preserve"> </w:t>
      </w:r>
      <w:r w:rsidR="00EB7514">
        <w:t xml:space="preserve">also increased sharply in the June and September quarters 2020, </w:t>
      </w:r>
      <w:r w:rsidR="00DE2CB6">
        <w:t>reflect</w:t>
      </w:r>
      <w:r w:rsidR="00EB7514">
        <w:t>ing</w:t>
      </w:r>
      <w:r w:rsidR="00DE2CB6">
        <w:t xml:space="preserve"> the substantial support to business</w:t>
      </w:r>
      <w:r w:rsidR="006C6246">
        <w:t>es</w:t>
      </w:r>
      <w:r w:rsidR="002E5C26">
        <w:t>.</w:t>
      </w:r>
      <w:r w:rsidR="00DE2CB6">
        <w:t xml:space="preserve"> </w:t>
      </w:r>
      <w:r w:rsidR="002E5C26">
        <w:t xml:space="preserve">Combined with </w:t>
      </w:r>
      <w:r w:rsidR="00DE2CB6">
        <w:t xml:space="preserve">elevated uncertainty </w:t>
      </w:r>
      <w:r w:rsidR="006D746D">
        <w:t>that</w:t>
      </w:r>
      <w:r w:rsidR="00DE2CB6">
        <w:t xml:space="preserve"> manifested in sharply lower investment spending</w:t>
      </w:r>
      <w:r w:rsidR="002E5C26">
        <w:t xml:space="preserve">, </w:t>
      </w:r>
      <w:r w:rsidR="006D746D">
        <w:t xml:space="preserve">this led to </w:t>
      </w:r>
      <w:r w:rsidR="002E5C26">
        <w:t>t</w:t>
      </w:r>
      <w:r w:rsidR="00311D97" w:rsidRPr="00311D97">
        <w:t>he value of cash and deposits held by non</w:t>
      </w:r>
      <w:r w:rsidR="0038520A">
        <w:noBreakHyphen/>
      </w:r>
      <w:r w:rsidR="00311D97" w:rsidRPr="00311D97">
        <w:t>financial corporations increas</w:t>
      </w:r>
      <w:r w:rsidR="006D746D">
        <w:t>ing</w:t>
      </w:r>
      <w:r w:rsidR="00311D97" w:rsidRPr="00311D97">
        <w:t xml:space="preserve"> by $</w:t>
      </w:r>
      <w:r w:rsidR="00377B4E" w:rsidRPr="00311D97">
        <w:t>4</w:t>
      </w:r>
      <w:r w:rsidR="00377B4E">
        <w:t>8</w:t>
      </w:r>
      <w:r w:rsidR="00377B4E" w:rsidRPr="00311D97">
        <w:t xml:space="preserve"> </w:t>
      </w:r>
      <w:r w:rsidR="00311D97" w:rsidRPr="00311D97">
        <w:t xml:space="preserve">billion over the period. </w:t>
      </w:r>
      <w:r w:rsidR="002A31DC">
        <w:t>T</w:t>
      </w:r>
      <w:r w:rsidR="00DE2CB6">
        <w:t xml:space="preserve">he improvement to </w:t>
      </w:r>
      <w:r w:rsidR="007B77CB">
        <w:t>businesses</w:t>
      </w:r>
      <w:r w:rsidR="0038520A">
        <w:t>’</w:t>
      </w:r>
      <w:r w:rsidR="00DE2CB6">
        <w:t xml:space="preserve"> balance sheets is expected to support additional investment spending as the economy recovers and uncertainty subsides, especially when combined with the Government</w:t>
      </w:r>
      <w:r w:rsidR="0038520A">
        <w:t>’</w:t>
      </w:r>
      <w:r w:rsidR="00DE2CB6">
        <w:t>s substantial investment incentives also in place.</w:t>
      </w:r>
      <w:r w:rsidR="00DE2CB6">
        <w:rPr>
          <w:rStyle w:val="FootnoteReference"/>
        </w:rPr>
        <w:footnoteReference w:id="26"/>
      </w:r>
      <w:r w:rsidR="00DE2CB6">
        <w:t xml:space="preserve"> Business investment has already been better than was expected in</w:t>
      </w:r>
      <w:r w:rsidR="00DE2CB6" w:rsidRPr="00505C1E">
        <w:t xml:space="preserve"> the early stages of the crisis, </w:t>
      </w:r>
      <w:r w:rsidR="00DE2CB6">
        <w:t xml:space="preserve">when </w:t>
      </w:r>
      <w:r w:rsidR="00DE2CB6" w:rsidRPr="00505C1E">
        <w:t>new private business investment was forecast to fall by more than 12</w:t>
      </w:r>
      <w:r w:rsidR="007D345D">
        <w:t> </w:t>
      </w:r>
      <w:r w:rsidR="00DE2CB6" w:rsidRPr="00505C1E">
        <w:t>per cent in 2020</w:t>
      </w:r>
      <w:r w:rsidR="0038520A">
        <w:noBreakHyphen/>
      </w:r>
      <w:r w:rsidR="00DE2CB6" w:rsidRPr="00505C1E">
        <w:t>21</w:t>
      </w:r>
      <w:r w:rsidR="00DE2CB6">
        <w:t xml:space="preserve">. Machinery and equipment investment by the private sector, which has shorter lead times than many other forms of investment, has risen by 22.4 per cent since it troughed in </w:t>
      </w:r>
      <w:r w:rsidR="00DE2CB6" w:rsidRPr="00366599">
        <w:t>the September quarter 2020</w:t>
      </w:r>
      <w:r w:rsidR="00DE2CB6" w:rsidRPr="008B0406">
        <w:t>.</w:t>
      </w:r>
    </w:p>
    <w:p w14:paraId="42D1F3DB" w14:textId="5F4FE7AA" w:rsidR="00DE2CB6" w:rsidRPr="003874BF" w:rsidRDefault="00DE2CB6" w:rsidP="00DA48B5">
      <w:pPr>
        <w:pStyle w:val="ChartMainHeading"/>
      </w:pPr>
      <w:bookmarkStart w:id="155" w:name="_Toc84842581"/>
      <w:r w:rsidRPr="003874BF">
        <w:lastRenderedPageBreak/>
        <w:t>Net saving in the household and non</w:t>
      </w:r>
      <w:r w:rsidR="0038520A">
        <w:noBreakHyphen/>
      </w:r>
      <w:r w:rsidRPr="003874BF">
        <w:t>financial corporate sectors</w:t>
      </w:r>
      <w:bookmarkEnd w:id="155"/>
    </w:p>
    <w:p w14:paraId="0B84EF1B" w14:textId="7C740A11" w:rsidR="00DE2CB6" w:rsidRDefault="00B12747" w:rsidP="00DE2CB6">
      <w:pPr>
        <w:pStyle w:val="ChartGraphic"/>
      </w:pPr>
      <w:r>
        <w:rPr>
          <w:noProof/>
        </w:rPr>
        <w:drawing>
          <wp:inline distT="0" distB="0" distL="0" distR="0" wp14:anchorId="05C3C118" wp14:editId="58588CEB">
            <wp:extent cx="5584190" cy="2524125"/>
            <wp:effectExtent l="0" t="0" r="0" b="9525"/>
            <wp:docPr id="5" name="Picture 5" descr="This chart shows the ABS measure of net saving for the household and non-financial corporate sectors between June quarter 2011 and June quarter 2021. In the June and September quarters of 2020 net saving for both sectors increased significantly. Net saving in both sectors declined in the December 2020 quarter, but still remains elevated relative to the levels seen over the previous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chart shows the ABS measure of net saving for the household and non-financial corporate sectors between June quarter 2011 and June quarter 2021. In the June and September quarters of 2020 net saving for both sectors increased significantly. Net saving in both sectors declined in the December 2020 quarter, but still remains elevated relative to the levels seen over the previous decad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4190" cy="2524125"/>
                    </a:xfrm>
                    <a:prstGeom prst="rect">
                      <a:avLst/>
                    </a:prstGeom>
                    <a:noFill/>
                  </pic:spPr>
                </pic:pic>
              </a:graphicData>
            </a:graphic>
          </wp:inline>
        </w:drawing>
      </w:r>
    </w:p>
    <w:p w14:paraId="53884ABD" w14:textId="1DFE4EB7" w:rsidR="00A2145C" w:rsidDel="00A2145C" w:rsidRDefault="00A2145C" w:rsidP="00E04353">
      <w:pPr>
        <w:pStyle w:val="ChartorTableNote"/>
      </w:pPr>
      <w:r>
        <w:t xml:space="preserve">Source: </w:t>
      </w:r>
      <w:r w:rsidRPr="00F4566A">
        <w:t>ABS Australian National Accounts: National Income, Expenditure and Product</w:t>
      </w:r>
      <w:r w:rsidR="000676E9">
        <w:t xml:space="preserve"> </w:t>
      </w:r>
      <w:r w:rsidR="000676E9" w:rsidRPr="000676E9">
        <w:t>(Cat. No. 5206.0)</w:t>
      </w:r>
      <w:r w:rsidR="006335B1">
        <w:t>.</w:t>
      </w:r>
    </w:p>
    <w:p w14:paraId="0405F7FB" w14:textId="746259C3" w:rsidR="0048615B" w:rsidRDefault="0048615B" w:rsidP="0048615B">
      <w:pPr>
        <w:pStyle w:val="Heading3"/>
      </w:pPr>
      <w:bookmarkStart w:id="156" w:name="_Toc83215069"/>
      <w:r>
        <w:t xml:space="preserve">Aggregate economic activity recovered </w:t>
      </w:r>
      <w:r w:rsidR="00006BC0">
        <w:t xml:space="preserve">more </w:t>
      </w:r>
      <w:r>
        <w:t>strongly</w:t>
      </w:r>
      <w:bookmarkEnd w:id="156"/>
      <w:r w:rsidR="00006BC0">
        <w:t xml:space="preserve"> than expected</w:t>
      </w:r>
    </w:p>
    <w:p w14:paraId="1C5D3516" w14:textId="63E98978" w:rsidR="00DF45AA" w:rsidRDefault="00DF45AA" w:rsidP="00DF45AA">
      <w:r>
        <w:t>At the July 2020 Economic and Fiscal Update, it was estimated that the fiscal support committed at that time would increase the level of real GDP by around ¾ of a per cent in 2019</w:t>
      </w:r>
      <w:r w:rsidR="0038520A">
        <w:noBreakHyphen/>
      </w:r>
      <w:r>
        <w:t>20 and by 4¼ per cent in 2020</w:t>
      </w:r>
      <w:r w:rsidR="0038520A">
        <w:noBreakHyphen/>
      </w:r>
      <w:r>
        <w:t xml:space="preserve">21 relative to </w:t>
      </w:r>
      <w:r w:rsidR="006B2B7B">
        <w:t xml:space="preserve">a counterfactual of </w:t>
      </w:r>
      <w:r>
        <w:t>no policy support (</w:t>
      </w:r>
      <w:r w:rsidR="006705EF">
        <w:t>Figure</w:t>
      </w:r>
      <w:r>
        <w:t xml:space="preserve"> </w:t>
      </w:r>
      <w:r w:rsidR="001B05AC">
        <w:t>21</w:t>
      </w:r>
      <w:r>
        <w:t>). These forecasts took into account the direct effect of fiscal support on household and business incomes and hence consumption and investment spending, and the second</w:t>
      </w:r>
      <w:r w:rsidR="0038520A">
        <w:noBreakHyphen/>
      </w:r>
      <w:r>
        <w:t>round effects of this spending.</w:t>
      </w:r>
      <w:r>
        <w:rPr>
          <w:rStyle w:val="FootnoteReference"/>
        </w:rPr>
        <w:footnoteReference w:id="27"/>
      </w:r>
      <w:r>
        <w:t xml:space="preserve"> They also incorporated an </w:t>
      </w:r>
      <w:r w:rsidR="006B2B7B">
        <w:t xml:space="preserve">estimate of </w:t>
      </w:r>
      <w:r w:rsidR="007B21C3">
        <w:t xml:space="preserve">the </w:t>
      </w:r>
      <w:r>
        <w:t>ongoing positive effect on spending of Government support on household and business confidence.</w:t>
      </w:r>
    </w:p>
    <w:p w14:paraId="3ECA5719" w14:textId="1F9541CA" w:rsidR="00DF45AA" w:rsidRDefault="00DF45AA" w:rsidP="00DF45AA">
      <w:r>
        <w:t xml:space="preserve">As it transpired, </w:t>
      </w:r>
      <w:r w:rsidR="0073652D">
        <w:t xml:space="preserve">actual </w:t>
      </w:r>
      <w:r>
        <w:t>GDP outcomes over 2020</w:t>
      </w:r>
      <w:r w:rsidR="0038520A">
        <w:noBreakHyphen/>
      </w:r>
      <w:r>
        <w:t>2021 were much stronger than Treasury had forecast in July 2020. This is likely to be a result of a number of factors:</w:t>
      </w:r>
    </w:p>
    <w:p w14:paraId="737C2635" w14:textId="3C0E9F92" w:rsidR="00DF45AA" w:rsidRDefault="00DF45AA" w:rsidP="00DF45AA">
      <w:pPr>
        <w:pStyle w:val="Bullet"/>
      </w:pPr>
      <w:r>
        <w:t>the significantly better</w:t>
      </w:r>
      <w:r w:rsidR="0038520A">
        <w:noBreakHyphen/>
      </w:r>
      <w:r>
        <w:t>than</w:t>
      </w:r>
      <w:r w:rsidR="0038520A">
        <w:noBreakHyphen/>
      </w:r>
      <w:r>
        <w:t xml:space="preserve">expected health outcomes from the successful implementation of public health measures </w:t>
      </w:r>
    </w:p>
    <w:p w14:paraId="7F8CAA73" w14:textId="27B438ED" w:rsidR="008D5377" w:rsidRDefault="00DF45AA" w:rsidP="00E13DEA">
      <w:pPr>
        <w:pStyle w:val="Bullet"/>
      </w:pPr>
      <w:r>
        <w:t>that the policy measures, including JobKeeper, were more effective at mitigating the economic effects of the pandemic than was originally expected</w:t>
      </w:r>
      <w:r w:rsidR="00546A2E">
        <w:t>,</w:t>
      </w:r>
      <w:r>
        <w:t xml:space="preserve"> </w:t>
      </w:r>
      <w:r w:rsidR="008D5377">
        <w:t>through</w:t>
      </w:r>
      <w:r w:rsidR="00E13DEA">
        <w:t xml:space="preserve"> </w:t>
      </w:r>
      <w:r w:rsidR="008D5377">
        <w:t>minimising the extent of balance sheet and labour market scarring</w:t>
      </w:r>
      <w:r w:rsidR="006D537C">
        <w:t xml:space="preserve"> and providing enough demand stimulus so that the economy could rebound quickly once restrictions eased</w:t>
      </w:r>
    </w:p>
    <w:p w14:paraId="396CDB41" w14:textId="31713BFB" w:rsidR="00DF45AA" w:rsidRDefault="0004179A" w:rsidP="00DF45AA">
      <w:pPr>
        <w:pStyle w:val="Bullet"/>
      </w:pPr>
      <w:r>
        <w:t>supply</w:t>
      </w:r>
      <w:r w:rsidR="0038520A">
        <w:noBreakHyphen/>
      </w:r>
      <w:r>
        <w:t>side restrictions were less binding than was originally expected because</w:t>
      </w:r>
      <w:r w:rsidR="00CF2615">
        <w:t xml:space="preserve"> businesses were more able </w:t>
      </w:r>
      <w:r w:rsidR="008D5377">
        <w:t xml:space="preserve">to adapt </w:t>
      </w:r>
      <w:r w:rsidR="00CF2615">
        <w:t xml:space="preserve">business models (including through enabling more people to work from home) </w:t>
      </w:r>
      <w:r w:rsidR="008D5377">
        <w:t xml:space="preserve">and </w:t>
      </w:r>
      <w:r w:rsidR="00CF2615">
        <w:t xml:space="preserve">households were more willing to substitute their consumption towards goods and away from services </w:t>
      </w:r>
    </w:p>
    <w:p w14:paraId="645A3CB4" w14:textId="1772C2EA" w:rsidR="00DF45AA" w:rsidRDefault="00DF45AA" w:rsidP="00F6695D">
      <w:pPr>
        <w:pStyle w:val="ChartMainHeading"/>
      </w:pPr>
      <w:bookmarkStart w:id="157" w:name="_Toc84842582"/>
      <w:r w:rsidRPr="00736BE5">
        <w:lastRenderedPageBreak/>
        <w:t>Real GDP</w:t>
      </w:r>
      <w:bookmarkEnd w:id="157"/>
    </w:p>
    <w:p w14:paraId="4AF0CBC3" w14:textId="126A9F60" w:rsidR="00FF37AD" w:rsidRPr="00FF37AD" w:rsidRDefault="00FF37AD" w:rsidP="00F6695D">
      <w:r w:rsidRPr="00FF37AD">
        <w:rPr>
          <w:noProof/>
        </w:rPr>
        <w:drawing>
          <wp:inline distT="0" distB="0" distL="0" distR="0" wp14:anchorId="5C782841" wp14:editId="32205E46">
            <wp:extent cx="5760085" cy="2371090"/>
            <wp:effectExtent l="0" t="0" r="0" b="0"/>
            <wp:docPr id="28" name="Picture 28" descr="This chart shows the real GDP between June quarter 2015 and June quarter 2021. At the July 2020 Economic and Fiscal Update, it was estimated that the fiscal support committed at that time would increase the level of real GDP by around ¾ of a per cent in 2019-20 and by 4¼ per cent in 2020-21 relative to a counterfactual of no policy support. Real GDP outcomes over 2020-21 were significantly stronger than Treasury had forecast in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 shows the real GDP between June quarter 2015 and June quarter 2021. At the July 2020 Economic and Fiscal Update, it was estimated that the fiscal support committed at that time would increase the level of real GDP by around ¾ of a per cent in 2019-20 and by 4¼ per cent in 2020-21 relative to a counterfactual of no policy support. Real GDP outcomes over 2020-21 were significantly stronger than Treasury had forecast in July 20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2371090"/>
                    </a:xfrm>
                    <a:prstGeom prst="rect">
                      <a:avLst/>
                    </a:prstGeom>
                    <a:noFill/>
                    <a:ln>
                      <a:noFill/>
                    </a:ln>
                  </pic:spPr>
                </pic:pic>
              </a:graphicData>
            </a:graphic>
          </wp:inline>
        </w:drawing>
      </w:r>
    </w:p>
    <w:p w14:paraId="66087E16" w14:textId="16E7DDAB" w:rsidR="008730AB" w:rsidRDefault="008730AB" w:rsidP="008730AB">
      <w:pPr>
        <w:pStyle w:val="ChartorTableNote"/>
      </w:pPr>
      <w:r w:rsidRPr="005152C9">
        <w:t xml:space="preserve">Note: Before and after economic support estimates are taken from July </w:t>
      </w:r>
      <w:r>
        <w:t>2020</w:t>
      </w:r>
      <w:r w:rsidRPr="005152C9">
        <w:t xml:space="preserve"> Fiscal and Economic Update and rebased to June Quarter GDP 2021</w:t>
      </w:r>
      <w:r w:rsidR="006335B1" w:rsidRPr="006335B1">
        <w:rPr>
          <w:szCs w:val="18"/>
        </w:rPr>
        <w:t>.</w:t>
      </w:r>
    </w:p>
    <w:p w14:paraId="7826C894" w14:textId="1629D3F1" w:rsidR="00DF45AA" w:rsidRPr="00D849D8" w:rsidRDefault="00DF45AA" w:rsidP="00DF45AA">
      <w:pPr>
        <w:pStyle w:val="ChartorTableNote"/>
      </w:pPr>
      <w:r w:rsidRPr="009B107A">
        <w:t>Source: ABS</w:t>
      </w:r>
      <w:r w:rsidRPr="00D849D8">
        <w:t xml:space="preserve"> </w:t>
      </w:r>
      <w:r w:rsidR="00672ED7" w:rsidRPr="009A2DDF">
        <w:t>Australian National A</w:t>
      </w:r>
      <w:r w:rsidR="00672ED7" w:rsidRPr="004C1D42">
        <w:t>ccounts</w:t>
      </w:r>
      <w:r w:rsidR="000676E9">
        <w:t xml:space="preserve">: </w:t>
      </w:r>
      <w:r w:rsidR="000676E9" w:rsidRPr="00F4566A">
        <w:t>National Income, Expenditure and Product</w:t>
      </w:r>
      <w:r w:rsidR="00672ED7" w:rsidRPr="00672ED7">
        <w:t xml:space="preserve"> </w:t>
      </w:r>
      <w:r w:rsidR="00672ED7">
        <w:t>(C</w:t>
      </w:r>
      <w:r w:rsidR="00672ED7" w:rsidRPr="009B107A">
        <w:t xml:space="preserve">at. </w:t>
      </w:r>
      <w:r w:rsidR="00672ED7">
        <w:t>N</w:t>
      </w:r>
      <w:r w:rsidR="00672ED7" w:rsidRPr="009B107A">
        <w:t>o. 5206.0</w:t>
      </w:r>
      <w:r w:rsidR="00672ED7">
        <w:t>)</w:t>
      </w:r>
      <w:r w:rsidRPr="00D849D8">
        <w:t xml:space="preserve"> and Treasury</w:t>
      </w:r>
      <w:r w:rsidR="006335B1" w:rsidRPr="006335B1">
        <w:rPr>
          <w:szCs w:val="18"/>
        </w:rPr>
        <w:t>.</w:t>
      </w:r>
    </w:p>
    <w:p w14:paraId="6EA7A2B4" w14:textId="77777777" w:rsidR="00B808A2" w:rsidRPr="00B808A2" w:rsidRDefault="00B808A2" w:rsidP="00B808A2">
      <w:pPr>
        <w:pStyle w:val="SingleParagraph"/>
      </w:pPr>
    </w:p>
    <w:p w14:paraId="0FF11D62" w14:textId="0837D70C" w:rsidR="00DF45AA" w:rsidRPr="00D849D8" w:rsidRDefault="00BA63DF" w:rsidP="00C823B9">
      <w:r>
        <w:t xml:space="preserve">The original estimate of the cost of JobKeeper was based on a scenario where GDP was around 24 per cent lower than otherwise forecast, consistent with the more severe restrictions </w:t>
      </w:r>
      <w:r w:rsidRPr="003241A2">
        <w:t xml:space="preserve">that were being actively considered at the time. </w:t>
      </w:r>
      <w:r>
        <w:t xml:space="preserve">With restrictions less severe than initially expected, and economic and health outcomes markedly better, </w:t>
      </w:r>
      <w:r w:rsidR="00AD429B">
        <w:t xml:space="preserve">the cost of </w:t>
      </w:r>
      <w:r w:rsidR="006A6075">
        <w:t xml:space="preserve">the first phase of </w:t>
      </w:r>
      <w:r w:rsidR="00AD429B">
        <w:t>JobKeeper was significantly less</w:t>
      </w:r>
      <w:r>
        <w:t xml:space="preserve"> than </w:t>
      </w:r>
      <w:r w:rsidR="00AD429B">
        <w:t xml:space="preserve">originally </w:t>
      </w:r>
      <w:r>
        <w:t>expected</w:t>
      </w:r>
      <w:r w:rsidR="00AD429B">
        <w:t>,</w:t>
      </w:r>
      <w:r>
        <w:t xml:space="preserve"> at around $70 billion</w:t>
      </w:r>
      <w:r w:rsidDel="007D57D3">
        <w:t>.</w:t>
      </w:r>
    </w:p>
    <w:p w14:paraId="2A3183A5" w14:textId="24002B0F" w:rsidR="00DF45AA" w:rsidRDefault="00DF45AA" w:rsidP="00DF45AA">
      <w:r>
        <w:t xml:space="preserve">The Australian economy fared better in the initial stages of the pandemic and recovered faster than many other comparable countries. Australia was ahead of any major advanced economy in </w:t>
      </w:r>
      <w:r w:rsidR="00C06562">
        <w:t>surpassing</w:t>
      </w:r>
      <w:r>
        <w:t xml:space="preserve"> pre</w:t>
      </w:r>
      <w:r w:rsidR="0038520A">
        <w:noBreakHyphen/>
      </w:r>
      <w:r>
        <w:t>pandemic levels of GDP in the March quarter 2021. In the June quarter 2021, Australia was still ahead of major advanced economies in recovering pre</w:t>
      </w:r>
      <w:r w:rsidR="0038520A">
        <w:noBreakHyphen/>
      </w:r>
      <w:r>
        <w:t>pandemic levels of GDP, with the United</w:t>
      </w:r>
      <w:r w:rsidR="004B36C2">
        <w:t> </w:t>
      </w:r>
      <w:r>
        <w:t>States the only country out of the G7 to return to pre</w:t>
      </w:r>
      <w:r w:rsidR="0038520A">
        <w:noBreakHyphen/>
      </w:r>
      <w:r>
        <w:t>pandemic levels</w:t>
      </w:r>
      <w:r w:rsidR="00797999">
        <w:t xml:space="preserve"> (</w:t>
      </w:r>
      <w:r w:rsidR="006705EF">
        <w:t>Figure</w:t>
      </w:r>
      <w:r w:rsidR="00797999">
        <w:t xml:space="preserve"> </w:t>
      </w:r>
      <w:r w:rsidR="00E8266C">
        <w:t>22a</w:t>
      </w:r>
      <w:r w:rsidR="00797999">
        <w:t>)</w:t>
      </w:r>
      <w:r>
        <w:t>.</w:t>
      </w:r>
      <w:r w:rsidR="00321B2F">
        <w:t xml:space="preserve"> </w:t>
      </w:r>
      <w:r w:rsidR="00321B2F" w:rsidRPr="004A1369">
        <w:rPr>
          <w:szCs w:val="22"/>
        </w:rPr>
        <w:t xml:space="preserve">Australia </w:t>
      </w:r>
      <w:r w:rsidR="00452F48">
        <w:rPr>
          <w:szCs w:val="22"/>
        </w:rPr>
        <w:t>surpassed</w:t>
      </w:r>
      <w:r w:rsidR="00321B2F" w:rsidRPr="004A1369">
        <w:rPr>
          <w:szCs w:val="22"/>
        </w:rPr>
        <w:t xml:space="preserve"> pre</w:t>
      </w:r>
      <w:r w:rsidR="0038520A">
        <w:rPr>
          <w:szCs w:val="22"/>
        </w:rPr>
        <w:noBreakHyphen/>
      </w:r>
      <w:r w:rsidR="00321B2F" w:rsidRPr="004A1369">
        <w:rPr>
          <w:szCs w:val="22"/>
        </w:rPr>
        <w:t xml:space="preserve">pandemic levels of employment in </w:t>
      </w:r>
      <w:r w:rsidR="00452F48">
        <w:rPr>
          <w:szCs w:val="22"/>
        </w:rPr>
        <w:t>March</w:t>
      </w:r>
      <w:r w:rsidR="00452F48" w:rsidRPr="004A1369">
        <w:rPr>
          <w:szCs w:val="22"/>
        </w:rPr>
        <w:t xml:space="preserve"> </w:t>
      </w:r>
      <w:r w:rsidR="00321B2F" w:rsidRPr="004A1369">
        <w:rPr>
          <w:szCs w:val="22"/>
        </w:rPr>
        <w:t>2021. In June 2021, Australia remained the only country to have returned to pre</w:t>
      </w:r>
      <w:r w:rsidR="0038520A">
        <w:rPr>
          <w:szCs w:val="22"/>
        </w:rPr>
        <w:noBreakHyphen/>
      </w:r>
      <w:r w:rsidR="00321B2F" w:rsidRPr="004A1369">
        <w:rPr>
          <w:szCs w:val="22"/>
        </w:rPr>
        <w:t>pandemic levels of employment compared to the group of major advanced economies</w:t>
      </w:r>
      <w:r w:rsidR="00FB69CF" w:rsidRPr="004A1369">
        <w:rPr>
          <w:szCs w:val="22"/>
        </w:rPr>
        <w:t xml:space="preserve"> (Figure </w:t>
      </w:r>
      <w:r w:rsidR="00E8266C" w:rsidRPr="004A1369" w:rsidDel="00EA7E1A">
        <w:rPr>
          <w:szCs w:val="22"/>
        </w:rPr>
        <w:t>2</w:t>
      </w:r>
      <w:r w:rsidR="00E8266C">
        <w:rPr>
          <w:szCs w:val="22"/>
        </w:rPr>
        <w:t>2</w:t>
      </w:r>
      <w:r w:rsidR="00E8266C" w:rsidRPr="004A1369">
        <w:rPr>
          <w:szCs w:val="22"/>
        </w:rPr>
        <w:t>b</w:t>
      </w:r>
      <w:r w:rsidR="00FB69CF" w:rsidRPr="004A1369">
        <w:rPr>
          <w:szCs w:val="22"/>
        </w:rPr>
        <w:t>)</w:t>
      </w:r>
      <w:r w:rsidR="00321B2F" w:rsidRPr="004A1369">
        <w:rPr>
          <w:szCs w:val="22"/>
        </w:rPr>
        <w:t>.</w:t>
      </w:r>
    </w:p>
    <w:p w14:paraId="7249453B" w14:textId="345E9151" w:rsidR="00DF45AA" w:rsidRPr="003F5268" w:rsidRDefault="00FB69CF" w:rsidP="00DA48B5">
      <w:pPr>
        <w:pStyle w:val="ChartMainHeading"/>
      </w:pPr>
      <w:bookmarkStart w:id="158" w:name="_Toc84842583"/>
      <w:r>
        <w:lastRenderedPageBreak/>
        <w:t>International comparison</w:t>
      </w:r>
      <w:r w:rsidR="004673F8">
        <w:t xml:space="preserve"> of GDP and employment outcomes</w:t>
      </w:r>
      <w:bookmarkEnd w:id="158"/>
    </w:p>
    <w:tbl>
      <w:tblPr>
        <w:tblStyle w:val="TableGrid"/>
        <w:tblW w:w="0" w:type="auto"/>
        <w:tblLook w:val="04A0" w:firstRow="1" w:lastRow="0" w:firstColumn="1" w:lastColumn="0" w:noHBand="0" w:noVBand="1"/>
      </w:tblPr>
      <w:tblGrid>
        <w:gridCol w:w="9061"/>
      </w:tblGrid>
      <w:tr w:rsidR="00FB69CF" w14:paraId="135C57BF" w14:textId="77777777" w:rsidTr="00B25A32">
        <w:tc>
          <w:tcPr>
            <w:tcW w:w="9061" w:type="dxa"/>
            <w:shd w:val="clear" w:color="auto" w:fill="auto"/>
          </w:tcPr>
          <w:p w14:paraId="43AAC0B8" w14:textId="0AD19E61" w:rsidR="00FB69CF" w:rsidRPr="000E19B8" w:rsidRDefault="00FB69CF" w:rsidP="00F47CDD">
            <w:pPr>
              <w:pStyle w:val="ChartSecondHeading"/>
              <w:rPr>
                <w:szCs w:val="22"/>
              </w:rPr>
            </w:pPr>
            <w:r w:rsidRPr="00C04DF2">
              <w:rPr>
                <w:szCs w:val="22"/>
              </w:rPr>
              <w:t xml:space="preserve">a. Change in real GDP </w:t>
            </w:r>
            <w:r w:rsidR="00071987">
              <w:rPr>
                <w:szCs w:val="22"/>
              </w:rPr>
              <w:t>from December 2019 to</w:t>
            </w:r>
            <w:r w:rsidR="00071987" w:rsidRPr="00C04DF2">
              <w:rPr>
                <w:szCs w:val="22"/>
              </w:rPr>
              <w:t xml:space="preserve"> </w:t>
            </w:r>
            <w:r w:rsidRPr="00C04DF2">
              <w:rPr>
                <w:szCs w:val="22"/>
              </w:rPr>
              <w:t>June 2021</w:t>
            </w:r>
          </w:p>
          <w:p w14:paraId="4DCED8B4" w14:textId="7C534A0B" w:rsidR="00FB69CF" w:rsidRDefault="006E22D7" w:rsidP="00B234D7">
            <w:pPr>
              <w:pStyle w:val="ChartGraphic"/>
              <w:jc w:val="left"/>
            </w:pPr>
            <w:r w:rsidRPr="006E22D7">
              <w:rPr>
                <w:noProof/>
              </w:rPr>
              <w:drawing>
                <wp:inline distT="0" distB="0" distL="0" distR="0" wp14:anchorId="2CB136A1" wp14:editId="2D20D7F5">
                  <wp:extent cx="5581650" cy="2529205"/>
                  <wp:effectExtent l="0" t="0" r="0" b="4445"/>
                  <wp:docPr id="12" name="Picture 12" descr="Chart (a) shows the percentage changes in Australia’s and G7 countries’ GDP for the June quarter of 2021 relative to pre-pandemic levels of GDP (December quarter of 2019). Australia and the United States are the only two countries to have returned to pre-pandemic levels of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a) shows the percentage changes in Australia’s and G7 countries’ GDP for the June quarter of 2021 relative to pre-pandemic levels of GDP (December quarter of 2019). Australia and the United States are the only two countries to have returned to pre-pandemic levels of GD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650" cy="2529205"/>
                          </a:xfrm>
                          <a:prstGeom prst="rect">
                            <a:avLst/>
                          </a:prstGeom>
                          <a:noFill/>
                          <a:ln>
                            <a:noFill/>
                          </a:ln>
                        </pic:spPr>
                      </pic:pic>
                    </a:graphicData>
                  </a:graphic>
                </wp:inline>
              </w:drawing>
            </w:r>
          </w:p>
        </w:tc>
      </w:tr>
      <w:tr w:rsidR="00FB69CF" w14:paraId="64CA40F0" w14:textId="77777777" w:rsidTr="00B25A32">
        <w:tc>
          <w:tcPr>
            <w:tcW w:w="9061" w:type="dxa"/>
            <w:shd w:val="clear" w:color="auto" w:fill="auto"/>
          </w:tcPr>
          <w:p w14:paraId="226C0374" w14:textId="77777777" w:rsidR="004673F8" w:rsidRDefault="004673F8" w:rsidP="00B808A2">
            <w:pPr>
              <w:pStyle w:val="SingleParagraph"/>
              <w:rPr>
                <w:szCs w:val="22"/>
              </w:rPr>
            </w:pPr>
          </w:p>
          <w:p w14:paraId="05623709" w14:textId="7F4202A2" w:rsidR="00FB69CF" w:rsidRPr="00875B20" w:rsidRDefault="00FB69CF" w:rsidP="00F47CDD">
            <w:pPr>
              <w:pStyle w:val="ChartSecondHeading"/>
              <w:rPr>
                <w:sz w:val="22"/>
                <w:szCs w:val="22"/>
              </w:rPr>
            </w:pPr>
            <w:r w:rsidRPr="00C04DF2">
              <w:rPr>
                <w:szCs w:val="22"/>
              </w:rPr>
              <w:t xml:space="preserve">b. </w:t>
            </w:r>
            <w:r w:rsidR="00071987">
              <w:rPr>
                <w:szCs w:val="22"/>
              </w:rPr>
              <w:t>Cha</w:t>
            </w:r>
            <w:r w:rsidR="00D85F49">
              <w:rPr>
                <w:szCs w:val="22"/>
              </w:rPr>
              <w:t>nge</w:t>
            </w:r>
            <w:r w:rsidR="00071987">
              <w:rPr>
                <w:szCs w:val="22"/>
              </w:rPr>
              <w:t xml:space="preserve"> in e</w:t>
            </w:r>
            <w:r w:rsidRPr="00C04DF2">
              <w:rPr>
                <w:szCs w:val="22"/>
              </w:rPr>
              <w:t xml:space="preserve">mployment </w:t>
            </w:r>
            <w:r w:rsidR="00D85F49">
              <w:rPr>
                <w:szCs w:val="22"/>
              </w:rPr>
              <w:t xml:space="preserve">from </w:t>
            </w:r>
            <w:r w:rsidR="00D85F49" w:rsidRPr="00C04DF2">
              <w:rPr>
                <w:szCs w:val="22"/>
              </w:rPr>
              <w:t>December 2019</w:t>
            </w:r>
            <w:r w:rsidR="00D85F49">
              <w:rPr>
                <w:szCs w:val="22"/>
              </w:rPr>
              <w:t xml:space="preserve"> to </w:t>
            </w:r>
            <w:r w:rsidRPr="00C04DF2">
              <w:rPr>
                <w:szCs w:val="22"/>
              </w:rPr>
              <w:t xml:space="preserve">June 2021 </w:t>
            </w:r>
          </w:p>
          <w:p w14:paraId="589EF282" w14:textId="0CDAA0EF" w:rsidR="00FB69CF" w:rsidRDefault="00CF310C" w:rsidP="00FB69CF">
            <w:pPr>
              <w:pStyle w:val="ChartGraphic"/>
            </w:pPr>
            <w:r w:rsidRPr="00CF310C">
              <w:rPr>
                <w:noProof/>
              </w:rPr>
              <w:drawing>
                <wp:inline distT="0" distB="0" distL="0" distR="0" wp14:anchorId="61C7B481" wp14:editId="01B1FA55">
                  <wp:extent cx="5353050" cy="2647950"/>
                  <wp:effectExtent l="0" t="0" r="0" b="0"/>
                  <wp:docPr id="1" name="Picture 1" descr="Chart (b) shows the percentage changes in employment relative to pre-pandemic levels for Australia and the G7 countries. In June quarter 2021, Australia remained the only country to have returned to pre-pandemic levels of employment compared to the 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 shows the percentage changes in employment relative to pre-pandemic levels for Australia and the G7 countries. In June quarter 2021, Australia remained the only country to have returned to pre-pandemic levels of employment compared to the G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3050" cy="2647950"/>
                          </a:xfrm>
                          <a:prstGeom prst="rect">
                            <a:avLst/>
                          </a:prstGeom>
                          <a:noFill/>
                          <a:ln>
                            <a:noFill/>
                          </a:ln>
                        </pic:spPr>
                      </pic:pic>
                    </a:graphicData>
                  </a:graphic>
                </wp:inline>
              </w:drawing>
            </w:r>
          </w:p>
        </w:tc>
      </w:tr>
    </w:tbl>
    <w:p w14:paraId="19038F7D" w14:textId="04CD4265" w:rsidR="00E923ED" w:rsidRPr="00E923ED" w:rsidDel="001E1B88" w:rsidRDefault="001E1B88" w:rsidP="003C0ED5">
      <w:pPr>
        <w:pStyle w:val="ChartorTableNote"/>
      </w:pPr>
      <w:r>
        <w:t xml:space="preserve">Note: </w:t>
      </w:r>
      <w:r w:rsidR="007F46BF">
        <w:t>Figure 22a</w:t>
      </w:r>
      <w:r w:rsidR="003B3AB3">
        <w:t>:</w:t>
      </w:r>
      <w:r>
        <w:t xml:space="preserve"> </w:t>
      </w:r>
      <w:r w:rsidR="00991707">
        <w:t xml:space="preserve">Data are quarterly and latest data are for the June quarter. Figure </w:t>
      </w:r>
      <w:r w:rsidR="007F46BF">
        <w:t>22b</w:t>
      </w:r>
      <w:r w:rsidR="003B3AB3">
        <w:t>:</w:t>
      </w:r>
      <w:r>
        <w:t xml:space="preserve"> Data are monthly and cover the cohort aged 15+ unless otherwise specified. UK employment and total hours worked data are a 3</w:t>
      </w:r>
      <w:r w:rsidR="0038520A">
        <w:noBreakHyphen/>
      </w:r>
      <w:r>
        <w:t xml:space="preserve">month moving average from April 2021 to June 2021. Due to definitional differences, care must be taken when comparing employment data across countries. Data is up to date as at </w:t>
      </w:r>
      <w:r w:rsidR="00B82234">
        <w:t xml:space="preserve">27 </w:t>
      </w:r>
      <w:r>
        <w:t>September 2021.</w:t>
      </w:r>
      <w:bookmarkEnd w:id="134"/>
    </w:p>
    <w:p w14:paraId="283E0452" w14:textId="24E3195D" w:rsidR="00E923ED" w:rsidRPr="00E923ED" w:rsidDel="001E1B88" w:rsidRDefault="00DF45AA" w:rsidP="00B25A32">
      <w:pPr>
        <w:pStyle w:val="ChartorTableNote"/>
      </w:pPr>
      <w:r w:rsidRPr="00FE215D">
        <w:t>Source</w:t>
      </w:r>
      <w:r w:rsidR="00E923ED">
        <w:t>s</w:t>
      </w:r>
      <w:r w:rsidRPr="00FE215D">
        <w:t>: Refinitiv</w:t>
      </w:r>
      <w:r w:rsidR="00170198">
        <w:t>,</w:t>
      </w:r>
      <w:r w:rsidR="00E923ED">
        <w:t xml:space="preserve"> </w:t>
      </w:r>
      <w:r w:rsidRPr="009A2DDF">
        <w:t>ABS Australian National A</w:t>
      </w:r>
      <w:r w:rsidRPr="004C1D42">
        <w:t>ccounts</w:t>
      </w:r>
      <w:r w:rsidR="00E15D2C">
        <w:t xml:space="preserve">: </w:t>
      </w:r>
      <w:r w:rsidR="00E15D2C" w:rsidRPr="00F4566A">
        <w:t>National Income, Expenditure and Product</w:t>
      </w:r>
      <w:r w:rsidR="00672ED7" w:rsidRPr="00672ED7">
        <w:t xml:space="preserve"> </w:t>
      </w:r>
      <w:r w:rsidR="00672ED7">
        <w:t>(C</w:t>
      </w:r>
      <w:r w:rsidR="00672ED7" w:rsidRPr="009B107A">
        <w:t xml:space="preserve">at. </w:t>
      </w:r>
      <w:r w:rsidR="00672ED7">
        <w:t>N</w:t>
      </w:r>
      <w:r w:rsidR="00672ED7" w:rsidRPr="009B107A">
        <w:t>o. 5206.0</w:t>
      </w:r>
      <w:r w:rsidR="00672ED7">
        <w:t>)</w:t>
      </w:r>
      <w:r w:rsidR="00170198">
        <w:t>,</w:t>
      </w:r>
      <w:r w:rsidR="00E923ED" w:rsidRPr="00E923ED">
        <w:t xml:space="preserve"> </w:t>
      </w:r>
      <w:r w:rsidR="00AD52E3">
        <w:t>ABS Labour Force, Australia</w:t>
      </w:r>
      <w:r w:rsidR="000676E9">
        <w:t xml:space="preserve"> (Cat. No. 6202.0)</w:t>
      </w:r>
      <w:r w:rsidR="00170198">
        <w:t xml:space="preserve"> and</w:t>
      </w:r>
      <w:r w:rsidR="00E923ED" w:rsidRPr="00E923ED">
        <w:t xml:space="preserve"> </w:t>
      </w:r>
      <w:r w:rsidR="00E923ED">
        <w:t>National statistical agencies</w:t>
      </w:r>
      <w:r w:rsidR="006335B1">
        <w:t>.</w:t>
      </w:r>
      <w:r w:rsidR="00E923ED">
        <w:t xml:space="preserve"> </w:t>
      </w:r>
    </w:p>
    <w:p w14:paraId="2E0CC183" w14:textId="7D39F685" w:rsidR="002B251A" w:rsidRDefault="002B251A" w:rsidP="003C0ED5">
      <w:pPr>
        <w:pStyle w:val="ChartorTableNote"/>
        <w:rPr>
          <w:lang w:val="en-US"/>
        </w:rPr>
      </w:pPr>
      <w:r>
        <w:rPr>
          <w:lang w:val="en-US"/>
        </w:rPr>
        <w:br w:type="page"/>
      </w:r>
    </w:p>
    <w:p w14:paraId="6C6FBA35" w14:textId="7C6E994C" w:rsidR="006E15A6" w:rsidRDefault="00FD2551" w:rsidP="006E15A6">
      <w:pPr>
        <w:pStyle w:val="Heading1"/>
      </w:pPr>
      <w:bookmarkStart w:id="159" w:name="_Toc84842627"/>
      <w:r>
        <w:lastRenderedPageBreak/>
        <w:t xml:space="preserve">4. </w:t>
      </w:r>
      <w:bookmarkStart w:id="160" w:name="_Toc83215070"/>
      <w:r w:rsidR="006E15A6">
        <w:t xml:space="preserve">JobKeeper and </w:t>
      </w:r>
      <w:r w:rsidR="00B807EE">
        <w:t>business</w:t>
      </w:r>
      <w:r w:rsidR="0038520A">
        <w:noBreakHyphen/>
      </w:r>
      <w:r>
        <w:t>l</w:t>
      </w:r>
      <w:r w:rsidR="006E15A6">
        <w:t xml:space="preserve">evel </w:t>
      </w:r>
      <w:r>
        <w:t>p</w:t>
      </w:r>
      <w:r w:rsidR="006E15A6">
        <w:t>erformance</w:t>
      </w:r>
      <w:bookmarkEnd w:id="160"/>
      <w:bookmarkEnd w:id="159"/>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1"/>
      </w:tblGrid>
      <w:tr w:rsidR="006E15A6" w14:paraId="2768BC17" w14:textId="77777777" w:rsidTr="006E15A6">
        <w:tc>
          <w:tcPr>
            <w:tcW w:w="5000" w:type="pct"/>
            <w:shd w:val="clear" w:color="auto" w:fill="EAEAEA" w:themeFill="background2"/>
          </w:tcPr>
          <w:p w14:paraId="15477778" w14:textId="77777777" w:rsidR="006E15A6" w:rsidRPr="000553FE" w:rsidRDefault="006E15A6" w:rsidP="006E15A6">
            <w:pPr>
              <w:pStyle w:val="BoxHeading"/>
              <w:rPr>
                <w:b w:val="0"/>
              </w:rPr>
            </w:pPr>
            <w:bookmarkStart w:id="161" w:name="_Toc83324974"/>
            <w:bookmarkStart w:id="162" w:name="_Toc83404431"/>
            <w:bookmarkStart w:id="163" w:name="_Toc83815095"/>
            <w:bookmarkStart w:id="164" w:name="_Toc84099865"/>
            <w:bookmarkStart w:id="165" w:name="_Toc84431351"/>
            <w:bookmarkStart w:id="166" w:name="_Toc84431679"/>
            <w:bookmarkStart w:id="167" w:name="_Toc84607862"/>
            <w:bookmarkStart w:id="168" w:name="_Toc84774145"/>
            <w:bookmarkStart w:id="169" w:name="_Toc84842584"/>
            <w:r>
              <w:t>Summary</w:t>
            </w:r>
            <w:bookmarkEnd w:id="161"/>
            <w:bookmarkEnd w:id="162"/>
            <w:bookmarkEnd w:id="163"/>
            <w:bookmarkEnd w:id="164"/>
            <w:bookmarkEnd w:id="165"/>
            <w:bookmarkEnd w:id="166"/>
            <w:bookmarkEnd w:id="167"/>
            <w:bookmarkEnd w:id="168"/>
            <w:bookmarkEnd w:id="169"/>
          </w:p>
          <w:p w14:paraId="71BF05F1" w14:textId="1EF9CF0B" w:rsidR="006E15A6" w:rsidRPr="004A1369" w:rsidDel="009D178C" w:rsidRDefault="006E15A6" w:rsidP="004A1369">
            <w:pPr>
              <w:jc w:val="left"/>
              <w:rPr>
                <w:sz w:val="22"/>
                <w:szCs w:val="22"/>
              </w:rPr>
            </w:pPr>
            <w:r w:rsidRPr="004648C1" w:rsidDel="009D178C">
              <w:rPr>
                <w:sz w:val="22"/>
                <w:szCs w:val="22"/>
              </w:rPr>
              <w:t xml:space="preserve">JobKeeper </w:t>
            </w:r>
            <w:r w:rsidRPr="004648C1">
              <w:rPr>
                <w:sz w:val="22"/>
                <w:szCs w:val="22"/>
              </w:rPr>
              <w:t>businesses</w:t>
            </w:r>
            <w:r w:rsidRPr="004648C1" w:rsidDel="009D178C">
              <w:rPr>
                <w:sz w:val="22"/>
                <w:szCs w:val="22"/>
              </w:rPr>
              <w:t xml:space="preserve"> </w:t>
            </w:r>
            <w:r w:rsidR="000D7980">
              <w:rPr>
                <w:sz w:val="22"/>
                <w:szCs w:val="22"/>
              </w:rPr>
              <w:t>experienced larger declines in</w:t>
            </w:r>
            <w:r w:rsidR="00D574EA" w:rsidRPr="004648C1">
              <w:rPr>
                <w:sz w:val="22"/>
                <w:szCs w:val="22"/>
              </w:rPr>
              <w:t xml:space="preserve"> turnover than other businesses on average</w:t>
            </w:r>
            <w:r w:rsidRPr="004648C1">
              <w:rPr>
                <w:sz w:val="22"/>
                <w:szCs w:val="22"/>
              </w:rPr>
              <w:t xml:space="preserve">. Some businesses, however, did not experience </w:t>
            </w:r>
            <w:r w:rsidR="0054624F">
              <w:rPr>
                <w:sz w:val="22"/>
                <w:szCs w:val="22"/>
              </w:rPr>
              <w:t xml:space="preserve">a 30 per cent (or 50 per cent) </w:t>
            </w:r>
            <w:r w:rsidRPr="004648C1">
              <w:rPr>
                <w:sz w:val="22"/>
                <w:szCs w:val="22"/>
              </w:rPr>
              <w:t>decline in turnover.</w:t>
            </w:r>
          </w:p>
          <w:p w14:paraId="4853D61A" w14:textId="2880D496" w:rsidR="006E15A6" w:rsidRPr="004A1369" w:rsidDel="009D178C" w:rsidRDefault="006E15A6" w:rsidP="004A1369">
            <w:pPr>
              <w:pStyle w:val="Bullet"/>
              <w:jc w:val="left"/>
              <w:rPr>
                <w:sz w:val="22"/>
                <w:szCs w:val="22"/>
              </w:rPr>
            </w:pPr>
            <w:r w:rsidRPr="004648C1" w:rsidDel="009D178C">
              <w:rPr>
                <w:sz w:val="22"/>
                <w:szCs w:val="22"/>
              </w:rPr>
              <w:t>Around $</w:t>
            </w:r>
            <w:r w:rsidR="008C01BD" w:rsidRPr="004648C1">
              <w:rPr>
                <w:sz w:val="22"/>
                <w:szCs w:val="22"/>
              </w:rPr>
              <w:t>11.4</w:t>
            </w:r>
            <w:r w:rsidRPr="004648C1" w:rsidDel="009D178C">
              <w:rPr>
                <w:sz w:val="22"/>
                <w:szCs w:val="22"/>
              </w:rPr>
              <w:t xml:space="preserve"> billion </w:t>
            </w:r>
            <w:r w:rsidRPr="004648C1">
              <w:rPr>
                <w:sz w:val="22"/>
                <w:szCs w:val="22"/>
              </w:rPr>
              <w:t>was paid in the June quarter</w:t>
            </w:r>
            <w:r w:rsidR="00187CBA" w:rsidRPr="004648C1">
              <w:rPr>
                <w:sz w:val="22"/>
                <w:szCs w:val="22"/>
              </w:rPr>
              <w:t xml:space="preserve"> 2020</w:t>
            </w:r>
            <w:r w:rsidRPr="004648C1">
              <w:rPr>
                <w:sz w:val="22"/>
                <w:szCs w:val="22"/>
              </w:rPr>
              <w:t xml:space="preserve"> </w:t>
            </w:r>
            <w:r w:rsidR="008C01BD" w:rsidRPr="004648C1">
              <w:rPr>
                <w:sz w:val="22"/>
                <w:szCs w:val="22"/>
              </w:rPr>
              <w:t>and $15.6 billion in the September</w:t>
            </w:r>
            <w:r w:rsidR="0048661D">
              <w:rPr>
                <w:sz w:val="22"/>
                <w:szCs w:val="22"/>
              </w:rPr>
              <w:t> </w:t>
            </w:r>
            <w:r w:rsidR="008C01BD" w:rsidRPr="004648C1">
              <w:rPr>
                <w:sz w:val="22"/>
                <w:szCs w:val="22"/>
              </w:rPr>
              <w:t>quarter</w:t>
            </w:r>
            <w:r w:rsidRPr="004648C1">
              <w:rPr>
                <w:sz w:val="22"/>
                <w:szCs w:val="22"/>
              </w:rPr>
              <w:t xml:space="preserve"> to businesses</w:t>
            </w:r>
            <w:r w:rsidRPr="004648C1" w:rsidDel="009D178C">
              <w:rPr>
                <w:sz w:val="22"/>
                <w:szCs w:val="22"/>
              </w:rPr>
              <w:t xml:space="preserve"> that did not have a 30 per cent (or 50 per cent) decline in turnover</w:t>
            </w:r>
            <w:r w:rsidR="00C33C79" w:rsidRPr="004648C1">
              <w:rPr>
                <w:sz w:val="22"/>
                <w:szCs w:val="22"/>
              </w:rPr>
              <w:t xml:space="preserve"> compared to the same period the previous year</w:t>
            </w:r>
            <w:r w:rsidR="00CD1548">
              <w:rPr>
                <w:sz w:val="22"/>
                <w:szCs w:val="22"/>
              </w:rPr>
              <w:t>. Of this</w:t>
            </w:r>
            <w:r w:rsidR="0003228A">
              <w:rPr>
                <w:sz w:val="22"/>
                <w:szCs w:val="22"/>
              </w:rPr>
              <w:t>,</w:t>
            </w:r>
            <w:r w:rsidRPr="004648C1" w:rsidDel="009D178C">
              <w:rPr>
                <w:sz w:val="22"/>
                <w:szCs w:val="22"/>
              </w:rPr>
              <w:t xml:space="preserve"> $</w:t>
            </w:r>
            <w:r w:rsidR="00457B92" w:rsidRPr="004648C1">
              <w:rPr>
                <w:sz w:val="22"/>
                <w:szCs w:val="22"/>
              </w:rPr>
              <w:t>4.6</w:t>
            </w:r>
            <w:r w:rsidRPr="004648C1" w:rsidDel="009D178C">
              <w:rPr>
                <w:sz w:val="22"/>
                <w:szCs w:val="22"/>
              </w:rPr>
              <w:t xml:space="preserve"> billion went to </w:t>
            </w:r>
            <w:r w:rsidR="007B77CB" w:rsidRPr="004648C1">
              <w:rPr>
                <w:sz w:val="22"/>
                <w:szCs w:val="22"/>
              </w:rPr>
              <w:t>businesses</w:t>
            </w:r>
            <w:r w:rsidRPr="004648C1" w:rsidDel="009D178C">
              <w:rPr>
                <w:sz w:val="22"/>
                <w:szCs w:val="22"/>
              </w:rPr>
              <w:t xml:space="preserve"> </w:t>
            </w:r>
            <w:r w:rsidR="00D31DB5" w:rsidRPr="004648C1">
              <w:rPr>
                <w:sz w:val="22"/>
                <w:szCs w:val="22"/>
              </w:rPr>
              <w:t>that</w:t>
            </w:r>
            <w:r w:rsidRPr="004648C1" w:rsidDel="009D178C">
              <w:rPr>
                <w:sz w:val="22"/>
                <w:szCs w:val="22"/>
              </w:rPr>
              <w:t xml:space="preserve"> </w:t>
            </w:r>
            <w:r w:rsidR="00A34B1A" w:rsidRPr="004648C1">
              <w:rPr>
                <w:sz w:val="22"/>
                <w:szCs w:val="22"/>
              </w:rPr>
              <w:t>had an increase in</w:t>
            </w:r>
            <w:r w:rsidRPr="004648C1" w:rsidDel="009D178C">
              <w:rPr>
                <w:sz w:val="22"/>
                <w:szCs w:val="22"/>
              </w:rPr>
              <w:t xml:space="preserve"> turnover</w:t>
            </w:r>
            <w:r w:rsidR="00457B92" w:rsidRPr="004648C1" w:rsidDel="004243D6">
              <w:rPr>
                <w:sz w:val="22"/>
                <w:szCs w:val="22"/>
              </w:rPr>
              <w:t xml:space="preserve"> </w:t>
            </w:r>
            <w:r w:rsidR="004243D6">
              <w:rPr>
                <w:sz w:val="22"/>
                <w:szCs w:val="22"/>
              </w:rPr>
              <w:t>over the year to</w:t>
            </w:r>
            <w:r w:rsidR="00457B92" w:rsidRPr="004648C1">
              <w:rPr>
                <w:sz w:val="22"/>
                <w:szCs w:val="22"/>
              </w:rPr>
              <w:t xml:space="preserve"> the June quarter and $9.2</w:t>
            </w:r>
            <w:r w:rsidR="007B7968">
              <w:rPr>
                <w:sz w:val="22"/>
                <w:szCs w:val="22"/>
              </w:rPr>
              <w:t> </w:t>
            </w:r>
            <w:r w:rsidR="00457B92" w:rsidRPr="004648C1">
              <w:rPr>
                <w:sz w:val="22"/>
                <w:szCs w:val="22"/>
              </w:rPr>
              <w:t xml:space="preserve">billion to businesses with </w:t>
            </w:r>
            <w:r w:rsidR="004243D6">
              <w:rPr>
                <w:sz w:val="22"/>
                <w:szCs w:val="22"/>
              </w:rPr>
              <w:t xml:space="preserve">an </w:t>
            </w:r>
            <w:r w:rsidR="00457B92" w:rsidRPr="004648C1">
              <w:rPr>
                <w:sz w:val="22"/>
                <w:szCs w:val="22"/>
              </w:rPr>
              <w:t xml:space="preserve">increase </w:t>
            </w:r>
            <w:r w:rsidR="004243D6">
              <w:rPr>
                <w:sz w:val="22"/>
                <w:szCs w:val="22"/>
              </w:rPr>
              <w:t xml:space="preserve">over the year to </w:t>
            </w:r>
            <w:r w:rsidR="002469C2">
              <w:rPr>
                <w:sz w:val="22"/>
                <w:szCs w:val="22"/>
              </w:rPr>
              <w:t xml:space="preserve">the </w:t>
            </w:r>
            <w:r w:rsidR="00457B92" w:rsidRPr="004648C1">
              <w:rPr>
                <w:sz w:val="22"/>
                <w:szCs w:val="22"/>
              </w:rPr>
              <w:t>September</w:t>
            </w:r>
            <w:r w:rsidR="002469C2">
              <w:rPr>
                <w:sz w:val="22"/>
                <w:szCs w:val="22"/>
              </w:rPr>
              <w:t xml:space="preserve"> quarter</w:t>
            </w:r>
            <w:r w:rsidRPr="004648C1" w:rsidDel="009D178C">
              <w:rPr>
                <w:sz w:val="22"/>
                <w:szCs w:val="22"/>
              </w:rPr>
              <w:t>.</w:t>
            </w:r>
          </w:p>
          <w:p w14:paraId="53497E7B" w14:textId="1EE5C6C8" w:rsidR="006E15A6" w:rsidRPr="004A1369" w:rsidDel="009D178C" w:rsidRDefault="006E15A6" w:rsidP="004A1369">
            <w:pPr>
              <w:pStyle w:val="Dash"/>
              <w:jc w:val="left"/>
              <w:rPr>
                <w:sz w:val="22"/>
                <w:szCs w:val="22"/>
              </w:rPr>
            </w:pPr>
            <w:r w:rsidRPr="004648C1" w:rsidDel="009D178C">
              <w:rPr>
                <w:sz w:val="22"/>
                <w:szCs w:val="22"/>
              </w:rPr>
              <w:t>The vast majority of the</w:t>
            </w:r>
            <w:r w:rsidR="0043571F" w:rsidRPr="004648C1">
              <w:rPr>
                <w:sz w:val="22"/>
                <w:szCs w:val="22"/>
              </w:rPr>
              <w:t xml:space="preserve"> payment</w:t>
            </w:r>
            <w:r w:rsidR="000243D0">
              <w:rPr>
                <w:sz w:val="22"/>
                <w:szCs w:val="22"/>
              </w:rPr>
              <w:t>s</w:t>
            </w:r>
            <w:r w:rsidR="0043571F" w:rsidRPr="004648C1">
              <w:rPr>
                <w:sz w:val="22"/>
                <w:szCs w:val="22"/>
              </w:rPr>
              <w:t xml:space="preserve"> to businesses </w:t>
            </w:r>
            <w:r w:rsidR="00E25775">
              <w:rPr>
                <w:sz w:val="22"/>
                <w:szCs w:val="22"/>
              </w:rPr>
              <w:t>that increased their turnover</w:t>
            </w:r>
            <w:r w:rsidR="0038520A">
              <w:rPr>
                <w:sz w:val="22"/>
                <w:szCs w:val="22"/>
              </w:rPr>
              <w:t xml:space="preserve"> </w:t>
            </w:r>
            <w:r w:rsidR="007E3E41" w:rsidRPr="004648C1" w:rsidDel="009D178C">
              <w:rPr>
                <w:sz w:val="22"/>
                <w:szCs w:val="22"/>
              </w:rPr>
              <w:t xml:space="preserve">went to small </w:t>
            </w:r>
            <w:r w:rsidR="007E3E41" w:rsidRPr="004648C1">
              <w:rPr>
                <w:sz w:val="22"/>
                <w:szCs w:val="22"/>
              </w:rPr>
              <w:t>businesses</w:t>
            </w:r>
            <w:r w:rsidR="007E3E41">
              <w:rPr>
                <w:sz w:val="22"/>
                <w:szCs w:val="22"/>
              </w:rPr>
              <w:t xml:space="preserve"> </w:t>
            </w:r>
            <w:r w:rsidR="0038520A">
              <w:rPr>
                <w:sz w:val="22"/>
                <w:szCs w:val="22"/>
              </w:rPr>
              <w:t xml:space="preserve">– </w:t>
            </w:r>
            <w:r w:rsidRPr="004648C1" w:rsidDel="009D178C">
              <w:rPr>
                <w:sz w:val="22"/>
                <w:szCs w:val="22"/>
              </w:rPr>
              <w:t>around $</w:t>
            </w:r>
            <w:r w:rsidR="007E3E41">
              <w:rPr>
                <w:sz w:val="22"/>
                <w:szCs w:val="22"/>
              </w:rPr>
              <w:t>12.1</w:t>
            </w:r>
            <w:r w:rsidRPr="004648C1" w:rsidDel="009D178C">
              <w:rPr>
                <w:sz w:val="22"/>
                <w:szCs w:val="22"/>
              </w:rPr>
              <w:t xml:space="preserve"> billion</w:t>
            </w:r>
            <w:r w:rsidR="007E3E41">
              <w:rPr>
                <w:sz w:val="22"/>
                <w:szCs w:val="22"/>
              </w:rPr>
              <w:t xml:space="preserve"> or 88 per cent of the total</w:t>
            </w:r>
            <w:r w:rsidRPr="004648C1" w:rsidDel="009D178C">
              <w:rPr>
                <w:sz w:val="22"/>
                <w:szCs w:val="22"/>
              </w:rPr>
              <w:t>.</w:t>
            </w:r>
          </w:p>
          <w:p w14:paraId="47D72AA1" w14:textId="2A337A82" w:rsidR="008B3C1D" w:rsidRPr="004A1369" w:rsidRDefault="00E25775" w:rsidP="004A1369">
            <w:pPr>
              <w:pStyle w:val="Dash"/>
              <w:jc w:val="left"/>
              <w:rPr>
                <w:sz w:val="22"/>
                <w:szCs w:val="22"/>
              </w:rPr>
            </w:pPr>
            <w:r>
              <w:rPr>
                <w:sz w:val="22"/>
                <w:szCs w:val="22"/>
              </w:rPr>
              <w:t>M</w:t>
            </w:r>
            <w:r w:rsidR="008B3C1D" w:rsidRPr="004648C1">
              <w:rPr>
                <w:sz w:val="22"/>
                <w:szCs w:val="22"/>
              </w:rPr>
              <w:t>any of these businesses</w:t>
            </w:r>
            <w:r w:rsidRPr="004648C1">
              <w:rPr>
                <w:sz w:val="22"/>
                <w:szCs w:val="22"/>
              </w:rPr>
              <w:t xml:space="preserve"> </w:t>
            </w:r>
            <w:r>
              <w:rPr>
                <w:sz w:val="22"/>
                <w:szCs w:val="22"/>
              </w:rPr>
              <w:t xml:space="preserve">had been </w:t>
            </w:r>
            <w:r w:rsidRPr="004648C1">
              <w:rPr>
                <w:sz w:val="22"/>
                <w:szCs w:val="22"/>
              </w:rPr>
              <w:t>allowed to use an alternative test to determine their eligibility</w:t>
            </w:r>
            <w:r w:rsidR="008B3C1D" w:rsidRPr="004648C1">
              <w:rPr>
                <w:sz w:val="22"/>
                <w:szCs w:val="22"/>
              </w:rPr>
              <w:t xml:space="preserve">, </w:t>
            </w:r>
            <w:r w:rsidR="004949AE">
              <w:rPr>
                <w:sz w:val="22"/>
                <w:szCs w:val="22"/>
              </w:rPr>
              <w:t xml:space="preserve">as </w:t>
            </w:r>
            <w:r w:rsidR="008B3C1D" w:rsidRPr="004648C1">
              <w:rPr>
                <w:sz w:val="22"/>
                <w:szCs w:val="22"/>
              </w:rPr>
              <w:t>turnover relative to a year earlier was not a good indication of the impact of COVID</w:t>
            </w:r>
            <w:r w:rsidR="0038520A">
              <w:rPr>
                <w:sz w:val="22"/>
                <w:szCs w:val="22"/>
              </w:rPr>
              <w:noBreakHyphen/>
            </w:r>
            <w:r w:rsidR="008B3C1D" w:rsidRPr="004648C1">
              <w:rPr>
                <w:sz w:val="22"/>
                <w:szCs w:val="22"/>
              </w:rPr>
              <w:t xml:space="preserve">19 on their operations. </w:t>
            </w:r>
            <w:r w:rsidR="007E3E41" w:rsidRPr="004648C1">
              <w:rPr>
                <w:sz w:val="22"/>
                <w:szCs w:val="22"/>
              </w:rPr>
              <w:t>Around $4.9 billion of the payments that were made to businesses whose turnover increased were made to businesses that</w:t>
            </w:r>
            <w:r w:rsidR="007E3E41" w:rsidRPr="004648C1" w:rsidDel="009D178C">
              <w:rPr>
                <w:sz w:val="22"/>
                <w:szCs w:val="22"/>
              </w:rPr>
              <w:t xml:space="preserve"> had grown </w:t>
            </w:r>
            <w:r w:rsidR="007E3E41" w:rsidRPr="004648C1">
              <w:rPr>
                <w:sz w:val="22"/>
                <w:szCs w:val="22"/>
              </w:rPr>
              <w:t xml:space="preserve">significantly over the year </w:t>
            </w:r>
            <w:r w:rsidR="007E3E41" w:rsidRPr="004648C1" w:rsidDel="009D178C">
              <w:rPr>
                <w:sz w:val="22"/>
                <w:szCs w:val="22"/>
              </w:rPr>
              <w:t>prior to COVID</w:t>
            </w:r>
            <w:r w:rsidR="007E3E41">
              <w:rPr>
                <w:sz w:val="22"/>
                <w:szCs w:val="22"/>
              </w:rPr>
              <w:noBreakHyphen/>
            </w:r>
            <w:r w:rsidR="007E3E41" w:rsidRPr="004648C1">
              <w:rPr>
                <w:sz w:val="22"/>
                <w:szCs w:val="22"/>
              </w:rPr>
              <w:t>19</w:t>
            </w:r>
            <w:r w:rsidR="007E3E41" w:rsidRPr="004648C1" w:rsidDel="009D178C">
              <w:rPr>
                <w:sz w:val="22"/>
                <w:szCs w:val="22"/>
              </w:rPr>
              <w:t xml:space="preserve">, </w:t>
            </w:r>
            <w:r w:rsidR="007E3E41">
              <w:rPr>
                <w:sz w:val="22"/>
                <w:szCs w:val="22"/>
              </w:rPr>
              <w:t xml:space="preserve">but who </w:t>
            </w:r>
            <w:r w:rsidR="006C2EE2">
              <w:rPr>
                <w:sz w:val="22"/>
                <w:szCs w:val="22"/>
              </w:rPr>
              <w:t xml:space="preserve">appear to have </w:t>
            </w:r>
            <w:r w:rsidR="007E3E41">
              <w:rPr>
                <w:sz w:val="22"/>
                <w:szCs w:val="22"/>
              </w:rPr>
              <w:t>experienced a significant COVID</w:t>
            </w:r>
            <w:r w:rsidR="007E3E41">
              <w:rPr>
                <w:sz w:val="22"/>
                <w:szCs w:val="22"/>
              </w:rPr>
              <w:noBreakHyphen/>
              <w:t>19 impact</w:t>
            </w:r>
            <w:r w:rsidR="007E3E41" w:rsidRPr="004648C1" w:rsidDel="009D178C">
              <w:rPr>
                <w:sz w:val="22"/>
                <w:szCs w:val="22"/>
              </w:rPr>
              <w:t>.</w:t>
            </w:r>
          </w:p>
          <w:p w14:paraId="621F0BD2" w14:textId="1999B1C6" w:rsidR="008B3C1D" w:rsidRPr="004A1369" w:rsidDel="009D178C" w:rsidRDefault="008B3C1D" w:rsidP="004A1369">
            <w:pPr>
              <w:pStyle w:val="Dash"/>
              <w:jc w:val="left"/>
              <w:rPr>
                <w:sz w:val="22"/>
                <w:szCs w:val="22"/>
              </w:rPr>
            </w:pPr>
            <w:r w:rsidRPr="004648C1">
              <w:rPr>
                <w:sz w:val="22"/>
                <w:szCs w:val="22"/>
              </w:rPr>
              <w:t>For other</w:t>
            </w:r>
            <w:r w:rsidR="007E3E41">
              <w:rPr>
                <w:sz w:val="22"/>
                <w:szCs w:val="22"/>
              </w:rPr>
              <w:t xml:space="preserve"> businesses</w:t>
            </w:r>
            <w:r w:rsidRPr="004648C1">
              <w:rPr>
                <w:sz w:val="22"/>
                <w:szCs w:val="22"/>
              </w:rPr>
              <w:t>, this outcome reflected better</w:t>
            </w:r>
            <w:r w:rsidR="00D37B19">
              <w:rPr>
                <w:sz w:val="22"/>
                <w:szCs w:val="22"/>
              </w:rPr>
              <w:t>-</w:t>
            </w:r>
            <w:r w:rsidRPr="004648C1">
              <w:rPr>
                <w:sz w:val="22"/>
                <w:szCs w:val="22"/>
              </w:rPr>
              <w:t>than</w:t>
            </w:r>
            <w:r w:rsidR="00D37B19">
              <w:rPr>
                <w:sz w:val="22"/>
                <w:szCs w:val="22"/>
              </w:rPr>
              <w:t>-</w:t>
            </w:r>
            <w:r w:rsidRPr="004648C1">
              <w:rPr>
                <w:sz w:val="22"/>
                <w:szCs w:val="22"/>
              </w:rPr>
              <w:t>expected health and business conditions and supported the economic recovery.</w:t>
            </w:r>
          </w:p>
          <w:p w14:paraId="4586291F" w14:textId="6D2F279F" w:rsidR="006E15A6" w:rsidRPr="004A1369" w:rsidDel="009D178C" w:rsidRDefault="008B3C1D" w:rsidP="004A1369">
            <w:pPr>
              <w:pStyle w:val="Bullet"/>
              <w:jc w:val="left"/>
              <w:rPr>
                <w:sz w:val="22"/>
                <w:szCs w:val="22"/>
              </w:rPr>
            </w:pPr>
            <w:r w:rsidRPr="004648C1">
              <w:rPr>
                <w:sz w:val="22"/>
                <w:szCs w:val="22"/>
              </w:rPr>
              <w:t>Most JobKeeper b</w:t>
            </w:r>
            <w:r w:rsidR="006E15A6" w:rsidRPr="004648C1">
              <w:rPr>
                <w:sz w:val="22"/>
                <w:szCs w:val="22"/>
              </w:rPr>
              <w:t>usinesses</w:t>
            </w:r>
            <w:r w:rsidR="006E15A6" w:rsidRPr="004648C1" w:rsidDel="009D178C">
              <w:rPr>
                <w:sz w:val="22"/>
                <w:szCs w:val="22"/>
              </w:rPr>
              <w:t xml:space="preserve"> that did not </w:t>
            </w:r>
            <w:r w:rsidRPr="004648C1">
              <w:rPr>
                <w:sz w:val="22"/>
                <w:szCs w:val="22"/>
              </w:rPr>
              <w:t>experience</w:t>
            </w:r>
            <w:r w:rsidR="006E15A6" w:rsidRPr="004648C1" w:rsidDel="009D178C">
              <w:rPr>
                <w:sz w:val="22"/>
                <w:szCs w:val="22"/>
              </w:rPr>
              <w:t xml:space="preserve"> a 30 per cent (or 50 per cent) decline in turnover</w:t>
            </w:r>
            <w:r w:rsidR="007B7968">
              <w:rPr>
                <w:sz w:val="22"/>
                <w:szCs w:val="22"/>
              </w:rPr>
              <w:t xml:space="preserve"> compared </w:t>
            </w:r>
            <w:r w:rsidR="00160434">
              <w:rPr>
                <w:sz w:val="22"/>
                <w:szCs w:val="22"/>
              </w:rPr>
              <w:t>with</w:t>
            </w:r>
            <w:r w:rsidR="007B7968">
              <w:rPr>
                <w:sz w:val="22"/>
                <w:szCs w:val="22"/>
              </w:rPr>
              <w:t xml:space="preserve"> a year earlier</w:t>
            </w:r>
            <w:r w:rsidR="006E15A6" w:rsidRPr="004648C1" w:rsidDel="009D178C">
              <w:rPr>
                <w:sz w:val="22"/>
                <w:szCs w:val="22"/>
              </w:rPr>
              <w:t>, including those with turnover increases</w:t>
            </w:r>
            <w:r w:rsidR="00804A84" w:rsidRPr="004648C1">
              <w:rPr>
                <w:sz w:val="22"/>
                <w:szCs w:val="22"/>
              </w:rPr>
              <w:t>,</w:t>
            </w:r>
            <w:r w:rsidR="006E15A6" w:rsidRPr="004648C1" w:rsidDel="009D178C">
              <w:rPr>
                <w:sz w:val="22"/>
                <w:szCs w:val="22"/>
              </w:rPr>
              <w:t xml:space="preserve"> were still significantly negatively impacted by COVID</w:t>
            </w:r>
            <w:r w:rsidR="0038520A">
              <w:rPr>
                <w:sz w:val="22"/>
                <w:szCs w:val="22"/>
              </w:rPr>
              <w:noBreakHyphen/>
            </w:r>
            <w:r w:rsidR="003E2800" w:rsidRPr="004648C1">
              <w:rPr>
                <w:sz w:val="22"/>
                <w:szCs w:val="22"/>
              </w:rPr>
              <w:t>19</w:t>
            </w:r>
            <w:r w:rsidR="006E15A6" w:rsidRPr="004648C1" w:rsidDel="009D178C">
              <w:rPr>
                <w:sz w:val="22"/>
                <w:szCs w:val="22"/>
              </w:rPr>
              <w:t>.</w:t>
            </w:r>
          </w:p>
          <w:p w14:paraId="40696C33" w14:textId="4624BB0C" w:rsidR="006E15A6" w:rsidRPr="007E3E41" w:rsidRDefault="006E15A6">
            <w:pPr>
              <w:pStyle w:val="Dash"/>
              <w:jc w:val="left"/>
            </w:pPr>
            <w:r w:rsidRPr="004648C1" w:rsidDel="009D178C">
              <w:rPr>
                <w:sz w:val="22"/>
                <w:szCs w:val="22"/>
              </w:rPr>
              <w:t xml:space="preserve">Employment outcomes for these </w:t>
            </w:r>
            <w:r w:rsidR="007B77CB" w:rsidRPr="004648C1">
              <w:rPr>
                <w:sz w:val="22"/>
                <w:szCs w:val="22"/>
              </w:rPr>
              <w:t>businesses</w:t>
            </w:r>
            <w:r w:rsidRPr="004648C1" w:rsidDel="009D178C">
              <w:rPr>
                <w:sz w:val="22"/>
                <w:szCs w:val="22"/>
              </w:rPr>
              <w:t xml:space="preserve"> were </w:t>
            </w:r>
            <w:r w:rsidR="008B3C1D" w:rsidRPr="004648C1">
              <w:rPr>
                <w:sz w:val="22"/>
                <w:szCs w:val="22"/>
              </w:rPr>
              <w:t>typically</w:t>
            </w:r>
            <w:r w:rsidRPr="004648C1" w:rsidDel="009D178C">
              <w:rPr>
                <w:sz w:val="22"/>
                <w:szCs w:val="22"/>
              </w:rPr>
              <w:t xml:space="preserve"> worse than for non</w:t>
            </w:r>
            <w:r w:rsidR="0038520A">
              <w:rPr>
                <w:sz w:val="22"/>
                <w:szCs w:val="22"/>
              </w:rPr>
              <w:noBreakHyphen/>
            </w:r>
            <w:r w:rsidRPr="004648C1" w:rsidDel="009D178C">
              <w:rPr>
                <w:sz w:val="22"/>
                <w:szCs w:val="22"/>
              </w:rPr>
              <w:t xml:space="preserve">JobKeeper </w:t>
            </w:r>
            <w:r w:rsidR="007B77CB" w:rsidRPr="004648C1">
              <w:rPr>
                <w:sz w:val="22"/>
                <w:szCs w:val="22"/>
              </w:rPr>
              <w:t>businesses</w:t>
            </w:r>
            <w:r w:rsidRPr="004648C1" w:rsidDel="009D178C">
              <w:rPr>
                <w:sz w:val="22"/>
                <w:szCs w:val="22"/>
              </w:rPr>
              <w:t>.</w:t>
            </w:r>
          </w:p>
        </w:tc>
      </w:tr>
    </w:tbl>
    <w:p w14:paraId="6C151AEB" w14:textId="223F10DA" w:rsidR="00B64A1C" w:rsidRDefault="004243D6" w:rsidP="00727DA0">
      <w:pPr>
        <w:pStyle w:val="Heading2"/>
      </w:pPr>
      <w:bookmarkStart w:id="170" w:name="_Toc84842628"/>
      <w:r>
        <w:t>A</w:t>
      </w:r>
      <w:r w:rsidR="00B64A1C">
        <w:t>nalysis of JobKeeper recipients</w:t>
      </w:r>
      <w:bookmarkEnd w:id="170"/>
    </w:p>
    <w:p w14:paraId="09487A67" w14:textId="2B20C669" w:rsidR="00A57512" w:rsidRDefault="004243D6" w:rsidP="00A57512">
      <w:r>
        <w:t>T</w:t>
      </w:r>
      <w:r w:rsidR="00A57512">
        <w:t>he turnover outcomes of businesses that took part in the first phase of JobKeeper</w:t>
      </w:r>
      <w:r>
        <w:t xml:space="preserve"> have been analysed using</w:t>
      </w:r>
      <w:r w:rsidR="00A57512">
        <w:t xml:space="preserve"> </w:t>
      </w:r>
      <w:r w:rsidR="00B807EE">
        <w:t>individual business</w:t>
      </w:r>
      <w:r w:rsidR="0038520A">
        <w:noBreakHyphen/>
      </w:r>
      <w:r w:rsidR="00A57512">
        <w:t xml:space="preserve">level turnover data from Business Activity Statements submitted to the ATO, alongside </w:t>
      </w:r>
      <w:r w:rsidR="00B807EE">
        <w:t>business</w:t>
      </w:r>
      <w:r w:rsidR="0038520A">
        <w:noBreakHyphen/>
      </w:r>
      <w:r w:rsidR="00A57512">
        <w:t xml:space="preserve">level program data. This analysis focuses directly on the distribution of </w:t>
      </w:r>
      <w:r w:rsidR="00C42947">
        <w:t xml:space="preserve">outcomes </w:t>
      </w:r>
      <w:r w:rsidR="00A57512">
        <w:t xml:space="preserve">at the </w:t>
      </w:r>
      <w:r w:rsidR="00B807EE">
        <w:t xml:space="preserve">individual business </w:t>
      </w:r>
      <w:r w:rsidR="00A57512">
        <w:t>level observed during the first phase of JobKeeper.</w:t>
      </w:r>
    </w:p>
    <w:p w14:paraId="4322DAF1" w14:textId="4F0496C1" w:rsidR="00E0153A" w:rsidRDefault="001B6101" w:rsidP="00E0153A">
      <w:r>
        <w:t>This</w:t>
      </w:r>
      <w:r w:rsidR="00E0153A">
        <w:t xml:space="preserve"> analysis has examined the subset of businesses for whom appropriate data on turnover are available. </w:t>
      </w:r>
      <w:r w:rsidR="006F4261">
        <w:t>It</w:t>
      </w:r>
      <w:r w:rsidR="00E0153A">
        <w:t xml:space="preserve"> </w:t>
      </w:r>
      <w:r w:rsidR="009501B8">
        <w:t>uses</w:t>
      </w:r>
      <w:r w:rsidR="00E0153A">
        <w:t xml:space="preserve"> quarterly data from Business Activity Statement</w:t>
      </w:r>
      <w:r w:rsidR="006F4261">
        <w:t>s</w:t>
      </w:r>
      <w:r w:rsidR="000276C4" w:rsidRPr="000276C4">
        <w:t xml:space="preserve">, since </w:t>
      </w:r>
      <w:r w:rsidR="005F063B">
        <w:t>those</w:t>
      </w:r>
      <w:r w:rsidR="000276C4" w:rsidRPr="000276C4">
        <w:t xml:space="preserve"> data </w:t>
      </w:r>
      <w:r w:rsidR="005F063B">
        <w:t xml:space="preserve">are </w:t>
      </w:r>
      <w:r w:rsidR="000276C4" w:rsidRPr="000276C4">
        <w:t xml:space="preserve">most commonly available. Businesses had the option to base their eligibility on a monthly decline in turnover, but only large businesses are required to remit </w:t>
      </w:r>
      <w:r w:rsidR="00A85933">
        <w:t xml:space="preserve">Business Activity Statements </w:t>
      </w:r>
      <w:r w:rsidR="000276C4" w:rsidRPr="000276C4">
        <w:t>on a monthly basis.</w:t>
      </w:r>
      <w:r w:rsidR="00E0153A">
        <w:t xml:space="preserve"> </w:t>
      </w:r>
    </w:p>
    <w:p w14:paraId="2B361FBA" w14:textId="54A249E1" w:rsidR="00E0153A" w:rsidRDefault="00E0153A" w:rsidP="00E0153A">
      <w:r>
        <w:lastRenderedPageBreak/>
        <w:t>The detailed analysis that follows covers around two</w:t>
      </w:r>
      <w:r w:rsidR="0038520A">
        <w:noBreakHyphen/>
      </w:r>
      <w:r>
        <w:t>thirds of the businesses that received assistance – around $47.6 billion of the $70.3 billion paid in the first phase of JobKeeper (</w:t>
      </w:r>
      <w:r w:rsidRPr="008A17A0">
        <w:t xml:space="preserve">Table </w:t>
      </w:r>
      <w:r w:rsidR="004C73F0">
        <w:t>1</w:t>
      </w:r>
      <w:r>
        <w:t>).</w:t>
      </w:r>
      <w:r w:rsidR="00DC4307" w:rsidRPr="00187EDF">
        <w:rPr>
          <w:vertAlign w:val="superscript"/>
        </w:rPr>
        <w:footnoteReference w:id="28"/>
      </w:r>
      <w:r>
        <w:t xml:space="preserve"> Recipients excluded from this analysis were:</w:t>
      </w:r>
    </w:p>
    <w:p w14:paraId="566BFAAF" w14:textId="6E0C4BB4" w:rsidR="00E0153A" w:rsidRDefault="00E0153A" w:rsidP="00E0153A">
      <w:pPr>
        <w:pStyle w:val="Bullet"/>
      </w:pPr>
      <w:r>
        <w:t>Not</w:t>
      </w:r>
      <w:r w:rsidR="0038520A">
        <w:noBreakHyphen/>
      </w:r>
      <w:r>
        <w:t>for</w:t>
      </w:r>
      <w:r w:rsidR="0038520A">
        <w:noBreakHyphen/>
      </w:r>
      <w:r>
        <w:t xml:space="preserve">Profit (NFP) recipients. The JobKeeper definition of turnover differed substantially from the Business Activity Statement definition for registered charities, particularly for revenue from donations and government grants. </w:t>
      </w:r>
    </w:p>
    <w:p w14:paraId="077CFCCB" w14:textId="77777777" w:rsidR="00E0153A" w:rsidRDefault="00E0153A" w:rsidP="00E0153A">
      <w:pPr>
        <w:pStyle w:val="Bullet"/>
      </w:pPr>
      <w:r>
        <w:t>Businesses such as new entrants that did not submit a Business Activity Statement a year earlier and b</w:t>
      </w:r>
      <w:r w:rsidRPr="002B6E84">
        <w:t xml:space="preserve">usinesses </w:t>
      </w:r>
      <w:r>
        <w:t xml:space="preserve">too small to submit a quarterly Business Activity Statement. </w:t>
      </w:r>
    </w:p>
    <w:p w14:paraId="60FABCD4" w14:textId="6DA16E59" w:rsidR="00E0153A" w:rsidRDefault="00E0153A" w:rsidP="00E0153A">
      <w:pPr>
        <w:pStyle w:val="Bullet"/>
      </w:pPr>
      <w:r>
        <w:t>Some b</w:t>
      </w:r>
      <w:r w:rsidRPr="002B6E84">
        <w:t>usinesses</w:t>
      </w:r>
      <w:r>
        <w:t xml:space="preserve"> that reported as part of a consolidated group. </w:t>
      </w:r>
      <w:r w:rsidR="004243D6">
        <w:t xml:space="preserve">This </w:t>
      </w:r>
      <w:r>
        <w:t>analysis includes consolidated groups where JobKeeper was received by the reporting entity</w:t>
      </w:r>
      <w:r w:rsidR="00043AFA">
        <w:t>, but not</w:t>
      </w:r>
      <w:r>
        <w:t xml:space="preserve"> </w:t>
      </w:r>
      <w:r w:rsidR="00043AFA">
        <w:t>w</w:t>
      </w:r>
      <w:r>
        <w:t>here a member entity of the group is the JobKeeper recipient.</w:t>
      </w:r>
      <w:r w:rsidR="00643D7A">
        <w:t xml:space="preserve"> </w:t>
      </w:r>
      <w:r w:rsidR="00643D7A" w:rsidRPr="00EF7FD3">
        <w:t>For those groups where the reporting entity received JobKeeper, not all members of a group would necessarily have been JobKeeper recipients</w:t>
      </w:r>
      <w:r w:rsidR="007F0D4C" w:rsidRPr="00B907D5">
        <w:t>, making analysis based on Business Activity Statements less reliable given turnover is reported at the group, not entity, level</w:t>
      </w:r>
      <w:r w:rsidR="00643D7A" w:rsidRPr="007F0D4C">
        <w:t>.</w:t>
      </w:r>
      <w:r>
        <w:rPr>
          <w:rStyle w:val="FootnoteReference"/>
        </w:rPr>
        <w:footnoteReference w:id="29"/>
      </w:r>
    </w:p>
    <w:p w14:paraId="223845F0" w14:textId="52371AB4" w:rsidR="00E0153A" w:rsidRPr="00AF63D1" w:rsidRDefault="00E0153A" w:rsidP="00B64A1C">
      <w:pPr>
        <w:pStyle w:val="TableMainHeading"/>
      </w:pPr>
      <w:bookmarkStart w:id="171" w:name="_Toc84842585"/>
      <w:r w:rsidRPr="00AF63D1">
        <w:t xml:space="preserve">JobKeeper </w:t>
      </w:r>
      <w:r>
        <w:t>payments</w:t>
      </w:r>
      <w:r w:rsidR="00EC09D4">
        <w:t xml:space="preserve">, </w:t>
      </w:r>
      <w:r w:rsidRPr="00AF63D1">
        <w:t>$</w:t>
      </w:r>
      <w:r w:rsidR="00EC09D4">
        <w:t>b,</w:t>
      </w:r>
      <w:r w:rsidRPr="00AF63D1">
        <w:t xml:space="preserve"> and </w:t>
      </w:r>
      <w:r>
        <w:t>businesses</w:t>
      </w:r>
      <w:r w:rsidRPr="00AF63D1">
        <w:t xml:space="preserve"> within sample</w:t>
      </w:r>
      <w:bookmarkEnd w:id="171"/>
    </w:p>
    <w:tbl>
      <w:tblPr>
        <w:tblStyle w:val="TableGrid"/>
        <w:tblW w:w="5000" w:type="pct"/>
        <w:tblLayout w:type="fixed"/>
        <w:tblLook w:val="04A0" w:firstRow="1" w:lastRow="0" w:firstColumn="1" w:lastColumn="0" w:noHBand="0" w:noVBand="1"/>
      </w:tblPr>
      <w:tblGrid>
        <w:gridCol w:w="6351"/>
        <w:gridCol w:w="971"/>
        <w:gridCol w:w="971"/>
        <w:gridCol w:w="778"/>
      </w:tblGrid>
      <w:tr w:rsidR="00E0153A" w14:paraId="4E3A8D03" w14:textId="77777777" w:rsidTr="009C1BC3">
        <w:tc>
          <w:tcPr>
            <w:tcW w:w="6521" w:type="dxa"/>
            <w:tcBorders>
              <w:top w:val="single" w:sz="4" w:space="0" w:color="3A6FAF" w:themeColor="accent2"/>
              <w:bottom w:val="single" w:sz="4" w:space="0" w:color="3A6FAF" w:themeColor="accent2"/>
            </w:tcBorders>
            <w:shd w:val="clear" w:color="auto" w:fill="auto"/>
          </w:tcPr>
          <w:p w14:paraId="63DFBB5D" w14:textId="77777777" w:rsidR="00E0153A" w:rsidRPr="00E67BCF" w:rsidRDefault="00E0153A" w:rsidP="009C1BC3">
            <w:pPr>
              <w:pStyle w:val="TableColumnHeadingRight"/>
            </w:pPr>
          </w:p>
        </w:tc>
        <w:tc>
          <w:tcPr>
            <w:tcW w:w="992" w:type="dxa"/>
            <w:tcBorders>
              <w:top w:val="single" w:sz="4" w:space="0" w:color="3A6FAF" w:themeColor="accent2"/>
              <w:bottom w:val="single" w:sz="4" w:space="0" w:color="3A6FAF" w:themeColor="accent2"/>
            </w:tcBorders>
            <w:shd w:val="clear" w:color="auto" w:fill="auto"/>
          </w:tcPr>
          <w:p w14:paraId="1923BAF3" w14:textId="77777777" w:rsidR="00E0153A" w:rsidRPr="009C372D" w:rsidRDefault="00E0153A" w:rsidP="009C1BC3">
            <w:pPr>
              <w:pStyle w:val="TableColumnHeadingRight"/>
            </w:pPr>
            <w:r w:rsidRPr="00E67BCF">
              <w:t>June Q</w:t>
            </w:r>
          </w:p>
        </w:tc>
        <w:tc>
          <w:tcPr>
            <w:tcW w:w="992" w:type="dxa"/>
            <w:tcBorders>
              <w:top w:val="single" w:sz="4" w:space="0" w:color="3A6FAF" w:themeColor="accent2"/>
              <w:bottom w:val="single" w:sz="4" w:space="0" w:color="3A6FAF" w:themeColor="accent2"/>
            </w:tcBorders>
            <w:shd w:val="clear" w:color="auto" w:fill="auto"/>
          </w:tcPr>
          <w:p w14:paraId="0AC7BFCB" w14:textId="77777777" w:rsidR="00E0153A" w:rsidRPr="00E67BCF" w:rsidRDefault="00E0153A" w:rsidP="009C1BC3">
            <w:pPr>
              <w:pStyle w:val="TableColumnHeadingRight"/>
            </w:pPr>
            <w:r w:rsidRPr="00E67BCF">
              <w:t>Sept Q</w:t>
            </w:r>
          </w:p>
        </w:tc>
        <w:tc>
          <w:tcPr>
            <w:tcW w:w="793" w:type="dxa"/>
            <w:tcBorders>
              <w:top w:val="single" w:sz="4" w:space="0" w:color="3A6FAF" w:themeColor="accent2"/>
              <w:bottom w:val="single" w:sz="4" w:space="0" w:color="3A6FAF" w:themeColor="accent2"/>
            </w:tcBorders>
            <w:shd w:val="clear" w:color="auto" w:fill="auto"/>
          </w:tcPr>
          <w:p w14:paraId="2C15751C" w14:textId="77777777" w:rsidR="00E0153A" w:rsidRPr="00E67BCF" w:rsidRDefault="00E0153A" w:rsidP="009C1BC3">
            <w:pPr>
              <w:pStyle w:val="TableColumnHeadingRight"/>
            </w:pPr>
            <w:r w:rsidRPr="00E67BCF">
              <w:t>Total</w:t>
            </w:r>
          </w:p>
        </w:tc>
      </w:tr>
      <w:tr w:rsidR="00E0153A" w14:paraId="6428B4DB" w14:textId="77777777" w:rsidTr="009C1BC3">
        <w:tc>
          <w:tcPr>
            <w:tcW w:w="6521" w:type="dxa"/>
            <w:tcBorders>
              <w:top w:val="single" w:sz="4" w:space="0" w:color="3A6FAF" w:themeColor="accent2"/>
            </w:tcBorders>
            <w:shd w:val="clear" w:color="auto" w:fill="auto"/>
          </w:tcPr>
          <w:p w14:paraId="37407DC3" w14:textId="77777777" w:rsidR="00E0153A" w:rsidRPr="009C372D" w:rsidRDefault="00E0153A" w:rsidP="009C1BC3">
            <w:pPr>
              <w:pStyle w:val="TableTextLeft"/>
            </w:pPr>
            <w:r w:rsidRPr="00E67BCF">
              <w:t>Total JobKeeper disbursed</w:t>
            </w:r>
          </w:p>
        </w:tc>
        <w:tc>
          <w:tcPr>
            <w:tcW w:w="992" w:type="dxa"/>
            <w:tcBorders>
              <w:top w:val="single" w:sz="4" w:space="0" w:color="3A6FAF" w:themeColor="accent2"/>
            </w:tcBorders>
            <w:shd w:val="clear" w:color="auto" w:fill="auto"/>
          </w:tcPr>
          <w:p w14:paraId="40257B3B" w14:textId="77777777" w:rsidR="00E0153A" w:rsidRPr="00E67BCF" w:rsidRDefault="00E0153A" w:rsidP="009C1BC3">
            <w:pPr>
              <w:pStyle w:val="TableTextRight"/>
              <w:rPr>
                <w:b/>
              </w:rPr>
            </w:pPr>
            <w:r w:rsidRPr="00E67BCF">
              <w:t>31.8</w:t>
            </w:r>
          </w:p>
        </w:tc>
        <w:tc>
          <w:tcPr>
            <w:tcW w:w="992" w:type="dxa"/>
            <w:tcBorders>
              <w:top w:val="single" w:sz="4" w:space="0" w:color="3A6FAF" w:themeColor="accent2"/>
            </w:tcBorders>
            <w:shd w:val="clear" w:color="auto" w:fill="auto"/>
          </w:tcPr>
          <w:p w14:paraId="78F554A8" w14:textId="77777777" w:rsidR="00E0153A" w:rsidRPr="00E67BCF" w:rsidRDefault="00E0153A" w:rsidP="009C1BC3">
            <w:pPr>
              <w:pStyle w:val="TableTextRight"/>
              <w:rPr>
                <w:b/>
              </w:rPr>
            </w:pPr>
            <w:r w:rsidRPr="00E67BCF">
              <w:t>38.5</w:t>
            </w:r>
          </w:p>
        </w:tc>
        <w:tc>
          <w:tcPr>
            <w:tcW w:w="793" w:type="dxa"/>
            <w:tcBorders>
              <w:top w:val="single" w:sz="4" w:space="0" w:color="3A6FAF" w:themeColor="accent2"/>
            </w:tcBorders>
            <w:shd w:val="clear" w:color="auto" w:fill="auto"/>
          </w:tcPr>
          <w:p w14:paraId="76BDA325" w14:textId="77777777" w:rsidR="00E0153A" w:rsidRPr="00E67BCF" w:rsidRDefault="00E0153A" w:rsidP="009C1BC3">
            <w:pPr>
              <w:pStyle w:val="TableTextRight"/>
              <w:rPr>
                <w:b/>
              </w:rPr>
            </w:pPr>
            <w:r w:rsidRPr="00E67BCF">
              <w:t>70.3</w:t>
            </w:r>
          </w:p>
        </w:tc>
      </w:tr>
      <w:tr w:rsidR="00E0153A" w14:paraId="34501458" w14:textId="77777777" w:rsidTr="009C1BC3">
        <w:tc>
          <w:tcPr>
            <w:tcW w:w="6521" w:type="dxa"/>
            <w:shd w:val="clear" w:color="auto" w:fill="auto"/>
          </w:tcPr>
          <w:p w14:paraId="08AF1D7D" w14:textId="77777777" w:rsidR="00E0153A" w:rsidRPr="00353172" w:rsidRDefault="00E0153A" w:rsidP="009C1BC3">
            <w:pPr>
              <w:pStyle w:val="TableTextBullet"/>
              <w:ind w:left="568"/>
            </w:pPr>
            <w:r w:rsidRPr="00353172">
              <w:t>Of which unable to match to BAS due to GST groupings</w:t>
            </w:r>
          </w:p>
        </w:tc>
        <w:tc>
          <w:tcPr>
            <w:tcW w:w="992" w:type="dxa"/>
            <w:shd w:val="clear" w:color="auto" w:fill="auto"/>
          </w:tcPr>
          <w:p w14:paraId="410AF56A" w14:textId="77777777" w:rsidR="00E0153A" w:rsidRPr="00E67BCF" w:rsidRDefault="00E0153A" w:rsidP="009C1BC3">
            <w:pPr>
              <w:pStyle w:val="TableTextRight"/>
              <w:rPr>
                <w:b/>
              </w:rPr>
            </w:pPr>
            <w:r w:rsidRPr="00E67BCF">
              <w:t>3.</w:t>
            </w:r>
            <w:r>
              <w:t>5</w:t>
            </w:r>
          </w:p>
        </w:tc>
        <w:tc>
          <w:tcPr>
            <w:tcW w:w="992" w:type="dxa"/>
            <w:shd w:val="clear" w:color="auto" w:fill="auto"/>
          </w:tcPr>
          <w:p w14:paraId="5C75B567" w14:textId="77777777" w:rsidR="00E0153A" w:rsidRPr="00E67BCF" w:rsidRDefault="00E0153A" w:rsidP="009C1BC3">
            <w:pPr>
              <w:pStyle w:val="TableTextRight"/>
              <w:rPr>
                <w:b/>
              </w:rPr>
            </w:pPr>
            <w:r>
              <w:t>4.0</w:t>
            </w:r>
          </w:p>
        </w:tc>
        <w:tc>
          <w:tcPr>
            <w:tcW w:w="793" w:type="dxa"/>
            <w:shd w:val="clear" w:color="auto" w:fill="auto"/>
          </w:tcPr>
          <w:p w14:paraId="2ABD1EB7" w14:textId="77777777" w:rsidR="00E0153A" w:rsidRPr="00E67BCF" w:rsidRDefault="00E0153A" w:rsidP="009C1BC3">
            <w:pPr>
              <w:pStyle w:val="TableTextRight"/>
              <w:rPr>
                <w:b/>
              </w:rPr>
            </w:pPr>
            <w:r>
              <w:t>7.4</w:t>
            </w:r>
          </w:p>
        </w:tc>
      </w:tr>
      <w:tr w:rsidR="00E0153A" w14:paraId="0C52DC9F" w14:textId="77777777" w:rsidTr="009C1BC3">
        <w:tc>
          <w:tcPr>
            <w:tcW w:w="6521" w:type="dxa"/>
            <w:shd w:val="clear" w:color="auto" w:fill="auto"/>
          </w:tcPr>
          <w:p w14:paraId="7F2940D7" w14:textId="18C06965" w:rsidR="00E0153A" w:rsidRPr="00353172" w:rsidRDefault="00E0153A" w:rsidP="009C1BC3">
            <w:pPr>
              <w:pStyle w:val="TableTextBullet"/>
              <w:ind w:left="568"/>
            </w:pPr>
            <w:r w:rsidRPr="00353172">
              <w:t>Of which unable to examine due to Not</w:t>
            </w:r>
            <w:r w:rsidR="0038520A">
              <w:noBreakHyphen/>
            </w:r>
            <w:r w:rsidRPr="00353172">
              <w:t>for</w:t>
            </w:r>
            <w:r w:rsidR="0038520A">
              <w:noBreakHyphen/>
            </w:r>
            <w:r w:rsidRPr="00353172">
              <w:t>profit reporting</w:t>
            </w:r>
          </w:p>
        </w:tc>
        <w:tc>
          <w:tcPr>
            <w:tcW w:w="992" w:type="dxa"/>
            <w:shd w:val="clear" w:color="auto" w:fill="auto"/>
          </w:tcPr>
          <w:p w14:paraId="6CA9863E" w14:textId="77777777" w:rsidR="00E0153A" w:rsidRPr="00E67BCF" w:rsidRDefault="00E0153A" w:rsidP="009C1BC3">
            <w:pPr>
              <w:pStyle w:val="TableTextRight"/>
              <w:rPr>
                <w:b/>
              </w:rPr>
            </w:pPr>
            <w:r w:rsidRPr="00E67BCF">
              <w:t>3.7</w:t>
            </w:r>
          </w:p>
        </w:tc>
        <w:tc>
          <w:tcPr>
            <w:tcW w:w="992" w:type="dxa"/>
            <w:shd w:val="clear" w:color="auto" w:fill="auto"/>
          </w:tcPr>
          <w:p w14:paraId="3E8FE864" w14:textId="77777777" w:rsidR="00E0153A" w:rsidRPr="00E67BCF" w:rsidRDefault="00E0153A" w:rsidP="009C1BC3">
            <w:pPr>
              <w:pStyle w:val="TableTextRight"/>
              <w:rPr>
                <w:b/>
              </w:rPr>
            </w:pPr>
            <w:r w:rsidRPr="00E67BCF">
              <w:t>4.1</w:t>
            </w:r>
          </w:p>
        </w:tc>
        <w:tc>
          <w:tcPr>
            <w:tcW w:w="793" w:type="dxa"/>
            <w:shd w:val="clear" w:color="auto" w:fill="auto"/>
          </w:tcPr>
          <w:p w14:paraId="31D32583" w14:textId="77777777" w:rsidR="00E0153A" w:rsidRPr="00E67BCF" w:rsidRDefault="00E0153A" w:rsidP="009C1BC3">
            <w:pPr>
              <w:pStyle w:val="TableTextRight"/>
              <w:rPr>
                <w:b/>
              </w:rPr>
            </w:pPr>
            <w:r w:rsidRPr="00E67BCF">
              <w:t>7.8</w:t>
            </w:r>
          </w:p>
        </w:tc>
      </w:tr>
      <w:tr w:rsidR="00E0153A" w14:paraId="203C7995" w14:textId="77777777" w:rsidTr="009C1BC3">
        <w:tc>
          <w:tcPr>
            <w:tcW w:w="6521" w:type="dxa"/>
            <w:shd w:val="clear" w:color="auto" w:fill="auto"/>
          </w:tcPr>
          <w:p w14:paraId="61E684EB" w14:textId="729D8FFD" w:rsidR="00E0153A" w:rsidRPr="00353172" w:rsidRDefault="00E0153A" w:rsidP="009C1BC3">
            <w:pPr>
              <w:pStyle w:val="TableTextBullet"/>
              <w:ind w:left="568"/>
            </w:pPr>
            <w:r w:rsidRPr="00353172">
              <w:t>Of which unable to match to BAS due to non</w:t>
            </w:r>
            <w:r w:rsidR="0038520A">
              <w:noBreakHyphen/>
            </w:r>
            <w:r w:rsidRPr="00353172">
              <w:t xml:space="preserve">reporting or </w:t>
            </w:r>
            <w:r w:rsidR="00B807EE">
              <w:t>business</w:t>
            </w:r>
            <w:r w:rsidR="00B807EE" w:rsidRPr="00353172">
              <w:t xml:space="preserve"> </w:t>
            </w:r>
            <w:r w:rsidRPr="00353172">
              <w:t>entry</w:t>
            </w:r>
          </w:p>
        </w:tc>
        <w:tc>
          <w:tcPr>
            <w:tcW w:w="992" w:type="dxa"/>
            <w:shd w:val="clear" w:color="auto" w:fill="auto"/>
          </w:tcPr>
          <w:p w14:paraId="63861E4F" w14:textId="77777777" w:rsidR="00E0153A" w:rsidRPr="00E67BCF" w:rsidRDefault="00E0153A" w:rsidP="009C1BC3">
            <w:pPr>
              <w:pStyle w:val="TableTextRight"/>
              <w:rPr>
                <w:b/>
              </w:rPr>
            </w:pPr>
            <w:r>
              <w:t>3.8</w:t>
            </w:r>
          </w:p>
        </w:tc>
        <w:tc>
          <w:tcPr>
            <w:tcW w:w="992" w:type="dxa"/>
            <w:shd w:val="clear" w:color="auto" w:fill="auto"/>
          </w:tcPr>
          <w:p w14:paraId="2B45AEF7" w14:textId="77777777" w:rsidR="00E0153A" w:rsidRPr="00E67BCF" w:rsidRDefault="00E0153A" w:rsidP="009C1BC3">
            <w:pPr>
              <w:pStyle w:val="TableTextRight"/>
              <w:rPr>
                <w:b/>
              </w:rPr>
            </w:pPr>
            <w:r>
              <w:t>3.7</w:t>
            </w:r>
          </w:p>
        </w:tc>
        <w:tc>
          <w:tcPr>
            <w:tcW w:w="793" w:type="dxa"/>
            <w:shd w:val="clear" w:color="auto" w:fill="auto"/>
          </w:tcPr>
          <w:p w14:paraId="2B5613A5" w14:textId="77777777" w:rsidR="00E0153A" w:rsidRPr="00E67BCF" w:rsidRDefault="00E0153A" w:rsidP="009C1BC3">
            <w:pPr>
              <w:pStyle w:val="TableTextRight"/>
              <w:rPr>
                <w:b/>
              </w:rPr>
            </w:pPr>
            <w:r>
              <w:t>7</w:t>
            </w:r>
            <w:r w:rsidRPr="00E67BCF">
              <w:t>.4</w:t>
            </w:r>
          </w:p>
        </w:tc>
      </w:tr>
      <w:tr w:rsidR="00E0153A" w14:paraId="551051A8" w14:textId="77777777" w:rsidTr="009C1BC3">
        <w:tc>
          <w:tcPr>
            <w:tcW w:w="6521" w:type="dxa"/>
            <w:tcBorders>
              <w:bottom w:val="single" w:sz="4" w:space="0" w:color="3A6FAF" w:themeColor="accent2"/>
            </w:tcBorders>
            <w:shd w:val="clear" w:color="auto" w:fill="auto"/>
          </w:tcPr>
          <w:p w14:paraId="4B111E66" w14:textId="77777777" w:rsidR="00E0153A" w:rsidRPr="009C372D" w:rsidRDefault="00E0153A" w:rsidP="009C1BC3">
            <w:pPr>
              <w:pStyle w:val="TableTextLeft"/>
            </w:pPr>
            <w:r w:rsidRPr="009C372D">
              <w:t>JobKeeper disbursed within sample</w:t>
            </w:r>
          </w:p>
        </w:tc>
        <w:tc>
          <w:tcPr>
            <w:tcW w:w="992" w:type="dxa"/>
            <w:tcBorders>
              <w:bottom w:val="single" w:sz="4" w:space="0" w:color="3A6FAF" w:themeColor="accent2"/>
            </w:tcBorders>
            <w:shd w:val="clear" w:color="auto" w:fill="auto"/>
          </w:tcPr>
          <w:p w14:paraId="6AC7FDA7" w14:textId="77777777" w:rsidR="00E0153A" w:rsidRPr="00E67BCF" w:rsidRDefault="00E0153A" w:rsidP="009C1BC3">
            <w:pPr>
              <w:pStyle w:val="TableTextRight"/>
              <w:rPr>
                <w:b/>
              </w:rPr>
            </w:pPr>
            <w:r w:rsidRPr="00E67BCF">
              <w:t>20.9</w:t>
            </w:r>
          </w:p>
        </w:tc>
        <w:tc>
          <w:tcPr>
            <w:tcW w:w="992" w:type="dxa"/>
            <w:tcBorders>
              <w:bottom w:val="single" w:sz="4" w:space="0" w:color="3A6FAF" w:themeColor="accent2"/>
            </w:tcBorders>
            <w:shd w:val="clear" w:color="auto" w:fill="auto"/>
          </w:tcPr>
          <w:p w14:paraId="155ADE44" w14:textId="77777777" w:rsidR="00E0153A" w:rsidRPr="00E67BCF" w:rsidRDefault="00E0153A" w:rsidP="009C1BC3">
            <w:pPr>
              <w:pStyle w:val="TableTextRight"/>
              <w:rPr>
                <w:b/>
              </w:rPr>
            </w:pPr>
            <w:r w:rsidRPr="00E67BCF">
              <w:t>26.7</w:t>
            </w:r>
          </w:p>
        </w:tc>
        <w:tc>
          <w:tcPr>
            <w:tcW w:w="793" w:type="dxa"/>
            <w:tcBorders>
              <w:bottom w:val="single" w:sz="4" w:space="0" w:color="3A6FAF" w:themeColor="accent2"/>
            </w:tcBorders>
            <w:shd w:val="clear" w:color="auto" w:fill="auto"/>
          </w:tcPr>
          <w:p w14:paraId="5A0D8E13" w14:textId="77777777" w:rsidR="00E0153A" w:rsidRPr="00E67BCF" w:rsidRDefault="00E0153A" w:rsidP="009C1BC3">
            <w:pPr>
              <w:pStyle w:val="TableTextRight"/>
              <w:rPr>
                <w:b/>
              </w:rPr>
            </w:pPr>
            <w:r w:rsidRPr="00E67BCF">
              <w:t>47.6</w:t>
            </w:r>
          </w:p>
        </w:tc>
      </w:tr>
      <w:tr w:rsidR="00E0153A" w14:paraId="6987EEC4" w14:textId="77777777" w:rsidTr="009C1BC3">
        <w:tc>
          <w:tcPr>
            <w:tcW w:w="6521" w:type="dxa"/>
            <w:tcBorders>
              <w:top w:val="single" w:sz="4" w:space="0" w:color="3A6FAF" w:themeColor="accent2"/>
            </w:tcBorders>
            <w:shd w:val="clear" w:color="auto" w:fill="auto"/>
          </w:tcPr>
          <w:p w14:paraId="6E19834E" w14:textId="77777777" w:rsidR="00E0153A" w:rsidRPr="009C372D" w:rsidRDefault="00E0153A" w:rsidP="009C1BC3">
            <w:pPr>
              <w:pStyle w:val="TableTextLeft"/>
            </w:pPr>
            <w:r w:rsidRPr="009C372D">
              <w:t xml:space="preserve">Total JobKeeper entities </w:t>
            </w:r>
          </w:p>
        </w:tc>
        <w:tc>
          <w:tcPr>
            <w:tcW w:w="992" w:type="dxa"/>
            <w:tcBorders>
              <w:top w:val="single" w:sz="4" w:space="0" w:color="3A6FAF" w:themeColor="accent2"/>
            </w:tcBorders>
            <w:shd w:val="clear" w:color="auto" w:fill="auto"/>
          </w:tcPr>
          <w:p w14:paraId="63CF290A" w14:textId="77777777" w:rsidR="00E0153A" w:rsidRPr="00E67BCF" w:rsidRDefault="00E0153A" w:rsidP="009C1BC3">
            <w:pPr>
              <w:pStyle w:val="TableTextRight"/>
              <w:rPr>
                <w:b/>
              </w:rPr>
            </w:pPr>
            <w:r w:rsidRPr="00E67BCF">
              <w:t>899,867</w:t>
            </w:r>
          </w:p>
        </w:tc>
        <w:tc>
          <w:tcPr>
            <w:tcW w:w="992" w:type="dxa"/>
            <w:tcBorders>
              <w:top w:val="single" w:sz="4" w:space="0" w:color="3A6FAF" w:themeColor="accent2"/>
            </w:tcBorders>
            <w:shd w:val="clear" w:color="auto" w:fill="auto"/>
          </w:tcPr>
          <w:p w14:paraId="1D665F71" w14:textId="77777777" w:rsidR="00E0153A" w:rsidRPr="00E67BCF" w:rsidRDefault="00E0153A" w:rsidP="009C1BC3">
            <w:pPr>
              <w:pStyle w:val="TableTextRight"/>
              <w:rPr>
                <w:b/>
              </w:rPr>
            </w:pPr>
            <w:r w:rsidRPr="00E67BCF">
              <w:t>950,187</w:t>
            </w:r>
          </w:p>
        </w:tc>
        <w:tc>
          <w:tcPr>
            <w:tcW w:w="793" w:type="dxa"/>
            <w:tcBorders>
              <w:top w:val="single" w:sz="4" w:space="0" w:color="3A6FAF" w:themeColor="accent2"/>
            </w:tcBorders>
            <w:shd w:val="clear" w:color="auto" w:fill="auto"/>
          </w:tcPr>
          <w:p w14:paraId="7B6840B9" w14:textId="77777777" w:rsidR="00E0153A" w:rsidRPr="00E67BCF" w:rsidRDefault="00E0153A" w:rsidP="009C1BC3">
            <w:pPr>
              <w:pStyle w:val="TableTextRight"/>
              <w:rPr>
                <w:b/>
              </w:rPr>
            </w:pPr>
          </w:p>
        </w:tc>
      </w:tr>
      <w:tr w:rsidR="00E0153A" w14:paraId="77ACB1DD" w14:textId="77777777" w:rsidTr="009C1BC3">
        <w:tc>
          <w:tcPr>
            <w:tcW w:w="6521" w:type="dxa"/>
            <w:tcBorders>
              <w:bottom w:val="single" w:sz="4" w:space="0" w:color="3A6FAF" w:themeColor="accent2"/>
            </w:tcBorders>
            <w:shd w:val="clear" w:color="auto" w:fill="auto"/>
          </w:tcPr>
          <w:p w14:paraId="1EDFD542" w14:textId="77777777" w:rsidR="00E0153A" w:rsidRPr="009C372D" w:rsidRDefault="00E0153A" w:rsidP="009C1BC3">
            <w:pPr>
              <w:pStyle w:val="TableTextLeft"/>
            </w:pPr>
            <w:r w:rsidRPr="009C372D">
              <w:t xml:space="preserve">JobKeeper entities within sample </w:t>
            </w:r>
          </w:p>
        </w:tc>
        <w:tc>
          <w:tcPr>
            <w:tcW w:w="992" w:type="dxa"/>
            <w:tcBorders>
              <w:bottom w:val="single" w:sz="4" w:space="0" w:color="3A6FAF" w:themeColor="accent2"/>
            </w:tcBorders>
            <w:shd w:val="clear" w:color="auto" w:fill="auto"/>
          </w:tcPr>
          <w:p w14:paraId="0C0508B7" w14:textId="77777777" w:rsidR="00E0153A" w:rsidRPr="00E67BCF" w:rsidRDefault="00E0153A" w:rsidP="009C1BC3">
            <w:pPr>
              <w:pStyle w:val="TableTextRight"/>
              <w:rPr>
                <w:b/>
              </w:rPr>
            </w:pPr>
            <w:r w:rsidRPr="00E67BCF">
              <w:t>606,608</w:t>
            </w:r>
          </w:p>
        </w:tc>
        <w:tc>
          <w:tcPr>
            <w:tcW w:w="992" w:type="dxa"/>
            <w:tcBorders>
              <w:bottom w:val="single" w:sz="4" w:space="0" w:color="3A6FAF" w:themeColor="accent2"/>
            </w:tcBorders>
            <w:shd w:val="clear" w:color="auto" w:fill="auto"/>
          </w:tcPr>
          <w:p w14:paraId="382C0FC0" w14:textId="77777777" w:rsidR="00E0153A" w:rsidRPr="00E67BCF" w:rsidRDefault="00E0153A" w:rsidP="009C1BC3">
            <w:pPr>
              <w:pStyle w:val="TableTextRight"/>
              <w:rPr>
                <w:b/>
              </w:rPr>
            </w:pPr>
            <w:r w:rsidRPr="00E67BCF">
              <w:t>661,224</w:t>
            </w:r>
          </w:p>
        </w:tc>
        <w:tc>
          <w:tcPr>
            <w:tcW w:w="793" w:type="dxa"/>
            <w:tcBorders>
              <w:bottom w:val="single" w:sz="4" w:space="0" w:color="3A6FAF" w:themeColor="accent2"/>
            </w:tcBorders>
            <w:shd w:val="clear" w:color="auto" w:fill="auto"/>
          </w:tcPr>
          <w:p w14:paraId="0D65063B" w14:textId="77777777" w:rsidR="00E0153A" w:rsidRPr="00E67BCF" w:rsidRDefault="00E0153A" w:rsidP="009C1BC3">
            <w:pPr>
              <w:pStyle w:val="TableTextRight"/>
              <w:rPr>
                <w:b/>
              </w:rPr>
            </w:pPr>
          </w:p>
        </w:tc>
      </w:tr>
    </w:tbl>
    <w:p w14:paraId="37306079" w14:textId="09208484" w:rsidR="00E0153A" w:rsidRDefault="00E0153A" w:rsidP="00E0153A">
      <w:pPr>
        <w:pStyle w:val="ChartorTableNote"/>
      </w:pPr>
      <w:r w:rsidRPr="009446BE">
        <w:t xml:space="preserve">Source: </w:t>
      </w:r>
      <w:r w:rsidRPr="00875784">
        <w:rPr>
          <w:lang w:val="en-US"/>
        </w:rPr>
        <w:t>Treasury analysis of de</w:t>
      </w:r>
      <w:r w:rsidR="0038520A">
        <w:rPr>
          <w:lang w:val="en-US"/>
        </w:rPr>
        <w:noBreakHyphen/>
      </w:r>
      <w:r w:rsidRPr="00875784">
        <w:rPr>
          <w:lang w:val="en-US"/>
        </w:rPr>
        <w:t>identified administrative data (</w:t>
      </w:r>
      <w:r>
        <w:rPr>
          <w:lang w:val="en-US"/>
        </w:rPr>
        <w:t>BAS</w:t>
      </w:r>
      <w:r w:rsidRPr="00875784">
        <w:rPr>
          <w:lang w:val="en-US"/>
        </w:rPr>
        <w:t xml:space="preserve"> data linked to JobKeeper status).</w:t>
      </w:r>
    </w:p>
    <w:p w14:paraId="4EEF2B86" w14:textId="77777777" w:rsidR="00CE3649" w:rsidRDefault="00CE3649" w:rsidP="00B808A2">
      <w:pPr>
        <w:pStyle w:val="SingleParagraph"/>
      </w:pPr>
    </w:p>
    <w:p w14:paraId="3B086D17" w14:textId="38C74001" w:rsidR="00E0153A" w:rsidRDefault="008A4943" w:rsidP="00E0153A">
      <w:r>
        <w:t>The</w:t>
      </w:r>
      <w:r w:rsidR="00AD48FB">
        <w:t xml:space="preserve"> below analysis of turnover outcomes </w:t>
      </w:r>
      <w:r w:rsidR="00DE2B2B">
        <w:t xml:space="preserve">has </w:t>
      </w:r>
      <w:r w:rsidR="00E0153A">
        <w:t xml:space="preserve">limitations in assessing whether </w:t>
      </w:r>
      <w:r w:rsidR="00FD5A18">
        <w:t xml:space="preserve">the first phase of </w:t>
      </w:r>
      <w:r w:rsidR="00E0153A">
        <w:t xml:space="preserve">JobKeeper was effectively targeted at the </w:t>
      </w:r>
      <w:r w:rsidR="00B807EE">
        <w:t xml:space="preserve">individual business </w:t>
      </w:r>
      <w:r w:rsidR="00E0153A">
        <w:t>level. This is because:</w:t>
      </w:r>
    </w:p>
    <w:p w14:paraId="41DFAF82" w14:textId="2D2B28E0" w:rsidR="00E0153A" w:rsidRDefault="008679A2" w:rsidP="00E0153A">
      <w:pPr>
        <w:pStyle w:val="Bullet"/>
      </w:pPr>
      <w:r>
        <w:t>O</w:t>
      </w:r>
      <w:r w:rsidR="00E0153A">
        <w:t xml:space="preserve">utcomes cannot be compared with hypotheticals – what might have happened – had JobKeeper not been introduced or had it been designed differently. To be eligible for JobKeeper in the first </w:t>
      </w:r>
      <w:r w:rsidR="00F32CEA">
        <w:t>six</w:t>
      </w:r>
      <w:r w:rsidR="00E0153A">
        <w:t xml:space="preserve"> months of the program, a </w:t>
      </w:r>
      <w:r w:rsidR="00D632E7">
        <w:t>business</w:t>
      </w:r>
      <w:r w:rsidR="00E0153A">
        <w:t xml:space="preserve"> had to have a reasonable expectation of facing the specified decline in turnover in </w:t>
      </w:r>
      <w:r w:rsidR="00957F72" w:rsidRPr="00957F72">
        <w:t>either the month or the quarter</w:t>
      </w:r>
      <w:r w:rsidR="00957F72">
        <w:t xml:space="preserve"> </w:t>
      </w:r>
      <w:r w:rsidR="00E0153A">
        <w:t xml:space="preserve">in the absence of </w:t>
      </w:r>
      <w:r>
        <w:t xml:space="preserve">JobKeeper </w:t>
      </w:r>
      <w:r w:rsidR="00E0153A">
        <w:t>support and given the health and economic outlook at the time.</w:t>
      </w:r>
    </w:p>
    <w:p w14:paraId="5E66AD3C" w14:textId="04C9A1DB" w:rsidR="008679A2" w:rsidRDefault="008679A2" w:rsidP="008679A2">
      <w:pPr>
        <w:pStyle w:val="Bullet"/>
      </w:pPr>
      <w:r>
        <w:t xml:space="preserve">For some businesses – such as </w:t>
      </w:r>
      <w:r w:rsidDel="00194DF4">
        <w:t>fast</w:t>
      </w:r>
      <w:r w:rsidR="0038520A">
        <w:noBreakHyphen/>
      </w:r>
      <w:r>
        <w:t>growing young businesses or businesses that had merged or re</w:t>
      </w:r>
      <w:r w:rsidR="0038520A">
        <w:noBreakHyphen/>
      </w:r>
      <w:r>
        <w:t xml:space="preserve">structured – it </w:t>
      </w:r>
      <w:r w:rsidR="00CC72D4">
        <w:t>is</w:t>
      </w:r>
      <w:r>
        <w:t xml:space="preserve"> not reasonable to compare </w:t>
      </w:r>
      <w:r w:rsidR="00CC72D4">
        <w:t>turnover</w:t>
      </w:r>
      <w:r>
        <w:t xml:space="preserve"> in the same quarter in the previous year to assess the impact of COVID</w:t>
      </w:r>
      <w:r w:rsidR="0038520A">
        <w:noBreakHyphen/>
      </w:r>
      <w:r>
        <w:t>19 on their operations. These businesses were generally able to determine their eligibility using alternative tests (</w:t>
      </w:r>
      <w:r w:rsidRPr="00247796">
        <w:t>see Section 1, Box 2).</w:t>
      </w:r>
    </w:p>
    <w:p w14:paraId="2DE9C0C0" w14:textId="17744582" w:rsidR="00E0153A" w:rsidRDefault="00E0153A" w:rsidP="00E0153A">
      <w:pPr>
        <w:pStyle w:val="Bullet"/>
      </w:pPr>
      <w:r>
        <w:lastRenderedPageBreak/>
        <w:t>For some businesses, turnover in Business Activity Statements does not align with the definition of turnover used for JobKeeper. For example, the sale and liquidation of assets are included in Business Activity Statement measure</w:t>
      </w:r>
      <w:r w:rsidR="00CC72D4">
        <w:t>s</w:t>
      </w:r>
      <w:r>
        <w:t xml:space="preserve"> of turnover, but were not included in the JobKeeper turnover test.</w:t>
      </w:r>
    </w:p>
    <w:p w14:paraId="76BA913F" w14:textId="636A52A7" w:rsidR="00C42947" w:rsidRDefault="00C42947" w:rsidP="00C42947">
      <w:r w:rsidRPr="00C42947">
        <w:t>This analysis also does not suggest any of these businesses were ineligible for the JobKeeper Payment. Businesses’ eligibility was based on a prospective test</w:t>
      </w:r>
      <w:r w:rsidR="00EF7CE6">
        <w:t>;</w:t>
      </w:r>
      <w:r w:rsidRPr="00C42947">
        <w:t xml:space="preserve"> businesses were allowed to choose whether to establish their eligibility on a monthly or quarterly basis</w:t>
      </w:r>
      <w:r w:rsidR="007E3E41">
        <w:t>;</w:t>
      </w:r>
      <w:r w:rsidRPr="00C42947">
        <w:t xml:space="preserve"> and alternative tests were allowed for businesses in different situations. The Australian Taxation Office (ATO) set out guidance on how to undertake the decline in turnover test/s and the relevant evidence to support the turnover decline estimate, including where using an alternative test. The ATO has established that the vast majority of JobKeeper businesses reasonably estimated their projected decline in turnover.</w:t>
      </w:r>
      <w:r w:rsidRPr="009B71B0">
        <w:t xml:space="preserve"> </w:t>
      </w:r>
    </w:p>
    <w:p w14:paraId="6E63128C" w14:textId="77777777" w:rsidR="00C42947" w:rsidRDefault="00C42947" w:rsidP="00C42947">
      <w:r w:rsidRPr="00C42947">
        <w:t>Nonetheless, analysing turnover outcomes provides some insights.</w:t>
      </w:r>
    </w:p>
    <w:p w14:paraId="24CFB434" w14:textId="63B2EF12" w:rsidR="00234C6C" w:rsidRDefault="00234C6C" w:rsidP="00FD7800">
      <w:pPr>
        <w:pStyle w:val="Heading4"/>
      </w:pPr>
      <w:r w:rsidRPr="00234C6C">
        <w:t>Most JobKeeper recipients were businesses with significant turnover declines</w:t>
      </w:r>
    </w:p>
    <w:p w14:paraId="0C9E8777" w14:textId="5514B9FB" w:rsidR="00163B52" w:rsidRDefault="00163B52" w:rsidP="00163B52">
      <w:r>
        <w:t>JobKeeper businesses</w:t>
      </w:r>
      <w:r w:rsidDel="008D3152">
        <w:t xml:space="preserve"> </w:t>
      </w:r>
      <w:r>
        <w:t>had significantly worse outcomes in terms of turnover than non</w:t>
      </w:r>
      <w:r w:rsidR="0038520A">
        <w:noBreakHyphen/>
      </w:r>
      <w:r>
        <w:t xml:space="preserve">JobKeeper businesses. This is consistent with the early analysis in the </w:t>
      </w:r>
      <w:r w:rsidRPr="001F5E93">
        <w:rPr>
          <w:i/>
        </w:rPr>
        <w:t xml:space="preserve">JobKeeper </w:t>
      </w:r>
      <w:r w:rsidR="00253CEE">
        <w:rPr>
          <w:i/>
        </w:rPr>
        <w:t>r</w:t>
      </w:r>
      <w:r w:rsidRPr="001F5E93">
        <w:rPr>
          <w:i/>
        </w:rPr>
        <w:t>eview</w:t>
      </w:r>
      <w:r>
        <w:t>. The median through</w:t>
      </w:r>
      <w:r w:rsidR="0038520A">
        <w:noBreakHyphen/>
      </w:r>
      <w:r>
        <w:t>the</w:t>
      </w:r>
      <w:r w:rsidR="0038520A">
        <w:noBreakHyphen/>
      </w:r>
      <w:r>
        <w:t>year turnover decline for JobKeeper recipient businesses was 28 per cent in the June</w:t>
      </w:r>
      <w:r w:rsidR="00763CC5">
        <w:t> </w:t>
      </w:r>
      <w:r>
        <w:t xml:space="preserve">quarter and 23 per cent in the September quarter 2020, compared with no decline for other businesses (Table </w:t>
      </w:r>
      <w:r w:rsidR="00077884">
        <w:t>2</w:t>
      </w:r>
      <w:r>
        <w:t xml:space="preserve">). </w:t>
      </w:r>
    </w:p>
    <w:p w14:paraId="38BFA6AA" w14:textId="697A673E" w:rsidR="00163B52" w:rsidRPr="003F5268" w:rsidRDefault="00163B52" w:rsidP="00163B52">
      <w:pPr>
        <w:pStyle w:val="TableMainHeading"/>
      </w:pPr>
      <w:bookmarkStart w:id="172" w:name="_Toc84842586"/>
      <w:r w:rsidRPr="003F5268">
        <w:t>Turnover decline</w:t>
      </w:r>
      <w:r w:rsidR="007A204F">
        <w:t xml:space="preserve">, </w:t>
      </w:r>
      <w:r w:rsidRPr="003F5268">
        <w:t>%, by JobKeeper recipient status</w:t>
      </w:r>
      <w:bookmarkEnd w:id="172"/>
    </w:p>
    <w:tbl>
      <w:tblPr>
        <w:tblStyle w:val="TableGrid"/>
        <w:tblW w:w="5000" w:type="pct"/>
        <w:tblLook w:val="04A0" w:firstRow="1" w:lastRow="0" w:firstColumn="1" w:lastColumn="0" w:noHBand="0" w:noVBand="1"/>
      </w:tblPr>
      <w:tblGrid>
        <w:gridCol w:w="5070"/>
        <w:gridCol w:w="979"/>
        <w:gridCol w:w="987"/>
        <w:gridCol w:w="974"/>
        <w:gridCol w:w="1061"/>
      </w:tblGrid>
      <w:tr w:rsidR="00163B52" w14:paraId="5F3E90D2" w14:textId="77777777" w:rsidTr="00D81DED">
        <w:tc>
          <w:tcPr>
            <w:tcW w:w="5245" w:type="dxa"/>
            <w:tcBorders>
              <w:top w:val="single" w:sz="4" w:space="0" w:color="3A6FAF" w:themeColor="accent2"/>
            </w:tcBorders>
            <w:shd w:val="clear" w:color="auto" w:fill="auto"/>
          </w:tcPr>
          <w:p w14:paraId="2B6997B5" w14:textId="77777777" w:rsidR="00163B52" w:rsidRPr="003C1694" w:rsidRDefault="00163B52" w:rsidP="00D81DED">
            <w:pPr>
              <w:pStyle w:val="TableColumnHeadingCentred"/>
            </w:pPr>
          </w:p>
        </w:tc>
        <w:tc>
          <w:tcPr>
            <w:tcW w:w="1985" w:type="dxa"/>
            <w:gridSpan w:val="2"/>
            <w:tcBorders>
              <w:top w:val="single" w:sz="4" w:space="0" w:color="3A6FAF" w:themeColor="accent2"/>
            </w:tcBorders>
            <w:shd w:val="clear" w:color="auto" w:fill="auto"/>
          </w:tcPr>
          <w:p w14:paraId="0CEDCD54" w14:textId="77777777" w:rsidR="00163B52" w:rsidRPr="003C1694" w:rsidRDefault="00163B52" w:rsidP="00D81DED">
            <w:pPr>
              <w:pStyle w:val="TableColumnHeadingCentred"/>
            </w:pPr>
            <w:r w:rsidRPr="003C1694">
              <w:t>June</w:t>
            </w:r>
            <w:r>
              <w:t xml:space="preserve"> Q</w:t>
            </w:r>
          </w:p>
        </w:tc>
        <w:tc>
          <w:tcPr>
            <w:tcW w:w="2058" w:type="dxa"/>
            <w:gridSpan w:val="2"/>
            <w:tcBorders>
              <w:top w:val="single" w:sz="4" w:space="0" w:color="3A6FAF" w:themeColor="accent2"/>
            </w:tcBorders>
            <w:shd w:val="clear" w:color="auto" w:fill="auto"/>
          </w:tcPr>
          <w:p w14:paraId="19EAC970" w14:textId="77777777" w:rsidR="00163B52" w:rsidRPr="003C1694" w:rsidRDefault="00163B52" w:rsidP="00D81DED">
            <w:pPr>
              <w:pStyle w:val="TableColumnHeadingCentred"/>
            </w:pPr>
            <w:r w:rsidRPr="003C1694">
              <w:t>Sept</w:t>
            </w:r>
            <w:r>
              <w:t xml:space="preserve"> Q</w:t>
            </w:r>
          </w:p>
        </w:tc>
      </w:tr>
      <w:tr w:rsidR="00163B52" w14:paraId="4581AFED" w14:textId="77777777" w:rsidTr="00D81DED">
        <w:tc>
          <w:tcPr>
            <w:tcW w:w="5245" w:type="dxa"/>
            <w:tcBorders>
              <w:bottom w:val="single" w:sz="4" w:space="0" w:color="3A6FAF" w:themeColor="accent2"/>
            </w:tcBorders>
            <w:shd w:val="clear" w:color="auto" w:fill="auto"/>
          </w:tcPr>
          <w:p w14:paraId="7E46BEE6" w14:textId="77777777" w:rsidR="00163B52" w:rsidRPr="003C1694" w:rsidRDefault="00163B52" w:rsidP="00D81DED">
            <w:pPr>
              <w:pStyle w:val="TableColumnHeadingRight"/>
              <w:tabs>
                <w:tab w:val="left" w:pos="1206"/>
              </w:tabs>
              <w:jc w:val="left"/>
            </w:pPr>
            <w:r>
              <w:tab/>
            </w:r>
          </w:p>
        </w:tc>
        <w:tc>
          <w:tcPr>
            <w:tcW w:w="992" w:type="dxa"/>
            <w:tcBorders>
              <w:bottom w:val="single" w:sz="4" w:space="0" w:color="3A6FAF" w:themeColor="accent2"/>
            </w:tcBorders>
            <w:shd w:val="clear" w:color="auto" w:fill="auto"/>
          </w:tcPr>
          <w:p w14:paraId="7B166BFF" w14:textId="77777777" w:rsidR="00163B52" w:rsidRPr="003C1694" w:rsidRDefault="00163B52" w:rsidP="00D81DED">
            <w:pPr>
              <w:pStyle w:val="TableColumnHeadingRight"/>
            </w:pPr>
            <w:r w:rsidRPr="003C1694">
              <w:t>Mean</w:t>
            </w:r>
          </w:p>
        </w:tc>
        <w:tc>
          <w:tcPr>
            <w:tcW w:w="993" w:type="dxa"/>
            <w:tcBorders>
              <w:bottom w:val="single" w:sz="4" w:space="0" w:color="3A6FAF" w:themeColor="accent2"/>
            </w:tcBorders>
            <w:shd w:val="clear" w:color="auto" w:fill="auto"/>
          </w:tcPr>
          <w:p w14:paraId="263A0BF3" w14:textId="77777777" w:rsidR="00163B52" w:rsidRPr="003C1694" w:rsidRDefault="00163B52" w:rsidP="00D81DED">
            <w:pPr>
              <w:pStyle w:val="TableColumnHeadingRight"/>
            </w:pPr>
            <w:r w:rsidRPr="003C1694">
              <w:t>Median</w:t>
            </w:r>
          </w:p>
        </w:tc>
        <w:tc>
          <w:tcPr>
            <w:tcW w:w="987" w:type="dxa"/>
            <w:tcBorders>
              <w:bottom w:val="single" w:sz="4" w:space="0" w:color="3A6FAF" w:themeColor="accent2"/>
            </w:tcBorders>
            <w:shd w:val="clear" w:color="auto" w:fill="auto"/>
          </w:tcPr>
          <w:p w14:paraId="1BE93BED" w14:textId="77777777" w:rsidR="00163B52" w:rsidRPr="003C1694" w:rsidRDefault="00163B52" w:rsidP="00D81DED">
            <w:pPr>
              <w:pStyle w:val="TableColumnHeadingRight"/>
            </w:pPr>
            <w:r w:rsidRPr="003C1694">
              <w:t>Mean</w:t>
            </w:r>
          </w:p>
        </w:tc>
        <w:tc>
          <w:tcPr>
            <w:tcW w:w="1071" w:type="dxa"/>
            <w:tcBorders>
              <w:bottom w:val="single" w:sz="4" w:space="0" w:color="3A6FAF" w:themeColor="accent2"/>
            </w:tcBorders>
            <w:shd w:val="clear" w:color="auto" w:fill="auto"/>
          </w:tcPr>
          <w:p w14:paraId="5DACB3FC" w14:textId="77777777" w:rsidR="00163B52" w:rsidRPr="003C1694" w:rsidRDefault="00163B52" w:rsidP="00D81DED">
            <w:pPr>
              <w:pStyle w:val="TableColumnHeadingRight"/>
            </w:pPr>
            <w:r w:rsidRPr="003C1694">
              <w:t>Median</w:t>
            </w:r>
          </w:p>
        </w:tc>
      </w:tr>
      <w:tr w:rsidR="00163B52" w14:paraId="20F71DB4" w14:textId="77777777" w:rsidTr="00D81DED">
        <w:tc>
          <w:tcPr>
            <w:tcW w:w="5245" w:type="dxa"/>
            <w:tcBorders>
              <w:top w:val="single" w:sz="4" w:space="0" w:color="3A6FAF" w:themeColor="accent2"/>
            </w:tcBorders>
            <w:shd w:val="clear" w:color="auto" w:fill="auto"/>
          </w:tcPr>
          <w:p w14:paraId="1B46E7B9" w14:textId="6624FC4B" w:rsidR="00163B52" w:rsidRPr="003C1694" w:rsidRDefault="00163B52" w:rsidP="00D81DED">
            <w:pPr>
              <w:pStyle w:val="TableTextLeft"/>
            </w:pPr>
            <w:r w:rsidRPr="003C1694">
              <w:t>JobKeeper</w:t>
            </w:r>
            <w:r w:rsidR="00E33CEE">
              <w:t xml:space="preserve"> businesses</w:t>
            </w:r>
          </w:p>
        </w:tc>
        <w:tc>
          <w:tcPr>
            <w:tcW w:w="992" w:type="dxa"/>
            <w:tcBorders>
              <w:top w:val="single" w:sz="4" w:space="0" w:color="3A6FAF" w:themeColor="accent2"/>
            </w:tcBorders>
            <w:shd w:val="clear" w:color="auto" w:fill="auto"/>
          </w:tcPr>
          <w:p w14:paraId="0A3468C5" w14:textId="514730B1" w:rsidR="00163B52" w:rsidRPr="003C1694" w:rsidRDefault="0038520A" w:rsidP="00D81DED">
            <w:pPr>
              <w:pStyle w:val="TableTextRight"/>
            </w:pPr>
            <w:r>
              <w:noBreakHyphen/>
            </w:r>
            <w:r w:rsidR="00163B52" w:rsidRPr="003C1694">
              <w:t>21.</w:t>
            </w:r>
            <w:r w:rsidR="00163B52">
              <w:t>7</w:t>
            </w:r>
          </w:p>
        </w:tc>
        <w:tc>
          <w:tcPr>
            <w:tcW w:w="993" w:type="dxa"/>
            <w:tcBorders>
              <w:top w:val="single" w:sz="4" w:space="0" w:color="3A6FAF" w:themeColor="accent2"/>
            </w:tcBorders>
            <w:shd w:val="clear" w:color="auto" w:fill="auto"/>
          </w:tcPr>
          <w:p w14:paraId="17A408C3" w14:textId="7FA44A5E" w:rsidR="00163B52" w:rsidRPr="003C1694" w:rsidRDefault="0038520A" w:rsidP="00D81DED">
            <w:pPr>
              <w:pStyle w:val="TableTextRight"/>
            </w:pPr>
            <w:r>
              <w:noBreakHyphen/>
            </w:r>
            <w:r w:rsidR="00163B52" w:rsidRPr="003C1694">
              <w:t>27.9</w:t>
            </w:r>
          </w:p>
        </w:tc>
        <w:tc>
          <w:tcPr>
            <w:tcW w:w="987" w:type="dxa"/>
            <w:tcBorders>
              <w:top w:val="single" w:sz="4" w:space="0" w:color="3A6FAF" w:themeColor="accent2"/>
            </w:tcBorders>
            <w:shd w:val="clear" w:color="auto" w:fill="auto"/>
          </w:tcPr>
          <w:p w14:paraId="0AF0E75A" w14:textId="31CFA6B4" w:rsidR="00163B52" w:rsidRPr="003C1694" w:rsidRDefault="0038520A" w:rsidP="00D81DED">
            <w:pPr>
              <w:pStyle w:val="TableTextRight"/>
            </w:pPr>
            <w:r>
              <w:noBreakHyphen/>
            </w:r>
            <w:r w:rsidR="00163B52" w:rsidRPr="003C1694">
              <w:t>14.8</w:t>
            </w:r>
          </w:p>
        </w:tc>
        <w:tc>
          <w:tcPr>
            <w:tcW w:w="1071" w:type="dxa"/>
            <w:tcBorders>
              <w:top w:val="single" w:sz="4" w:space="0" w:color="3A6FAF" w:themeColor="accent2"/>
            </w:tcBorders>
            <w:shd w:val="clear" w:color="auto" w:fill="auto"/>
          </w:tcPr>
          <w:p w14:paraId="56E8183F" w14:textId="21ED2ED8" w:rsidR="00163B52" w:rsidRPr="003C1694" w:rsidRDefault="0038520A" w:rsidP="00D81DED">
            <w:pPr>
              <w:pStyle w:val="TableTextRight"/>
            </w:pPr>
            <w:r>
              <w:noBreakHyphen/>
            </w:r>
            <w:r w:rsidR="00163B52" w:rsidRPr="003C1694">
              <w:t>22.7</w:t>
            </w:r>
          </w:p>
        </w:tc>
      </w:tr>
      <w:tr w:rsidR="00163B52" w14:paraId="4DF9A403" w14:textId="77777777" w:rsidTr="00D81DED">
        <w:tc>
          <w:tcPr>
            <w:tcW w:w="5245" w:type="dxa"/>
            <w:tcBorders>
              <w:bottom w:val="single" w:sz="4" w:space="0" w:color="3A6FAF" w:themeColor="accent2"/>
            </w:tcBorders>
            <w:shd w:val="clear" w:color="auto" w:fill="auto"/>
          </w:tcPr>
          <w:p w14:paraId="433B3CAF" w14:textId="3B177E8B" w:rsidR="00163B52" w:rsidRPr="003C1694" w:rsidRDefault="00163B52" w:rsidP="00D81DED">
            <w:pPr>
              <w:pStyle w:val="TableTextLeft"/>
            </w:pPr>
            <w:r w:rsidRPr="003C1694">
              <w:t>Non</w:t>
            </w:r>
            <w:r w:rsidR="0038520A">
              <w:noBreakHyphen/>
            </w:r>
            <w:r w:rsidRPr="003C1694">
              <w:t>JobKeeper</w:t>
            </w:r>
            <w:r w:rsidR="00E33CEE">
              <w:t xml:space="preserve"> businesses</w:t>
            </w:r>
          </w:p>
        </w:tc>
        <w:tc>
          <w:tcPr>
            <w:tcW w:w="992" w:type="dxa"/>
            <w:tcBorders>
              <w:bottom w:val="single" w:sz="4" w:space="0" w:color="3A6FAF" w:themeColor="accent2"/>
            </w:tcBorders>
            <w:shd w:val="clear" w:color="auto" w:fill="auto"/>
          </w:tcPr>
          <w:p w14:paraId="5293EB8D" w14:textId="09C6B91A" w:rsidR="00163B52" w:rsidRPr="003C1694" w:rsidRDefault="0038520A" w:rsidP="00D81DED">
            <w:pPr>
              <w:pStyle w:val="TableTextRight"/>
            </w:pPr>
            <w:r>
              <w:noBreakHyphen/>
            </w:r>
            <w:r w:rsidR="00163B52" w:rsidRPr="003C1694">
              <w:t>1.5</w:t>
            </w:r>
          </w:p>
        </w:tc>
        <w:tc>
          <w:tcPr>
            <w:tcW w:w="993" w:type="dxa"/>
            <w:tcBorders>
              <w:bottom w:val="single" w:sz="4" w:space="0" w:color="3A6FAF" w:themeColor="accent2"/>
            </w:tcBorders>
            <w:shd w:val="clear" w:color="auto" w:fill="auto"/>
          </w:tcPr>
          <w:p w14:paraId="0FC0623B" w14:textId="77777777" w:rsidR="00163B52" w:rsidRPr="003C1694" w:rsidRDefault="00163B52" w:rsidP="00D81DED">
            <w:pPr>
              <w:pStyle w:val="TableTextRight"/>
            </w:pPr>
            <w:r w:rsidRPr="003C1694">
              <w:t>0.0</w:t>
            </w:r>
          </w:p>
        </w:tc>
        <w:tc>
          <w:tcPr>
            <w:tcW w:w="987" w:type="dxa"/>
            <w:tcBorders>
              <w:bottom w:val="single" w:sz="4" w:space="0" w:color="3A6FAF" w:themeColor="accent2"/>
            </w:tcBorders>
            <w:shd w:val="clear" w:color="auto" w:fill="auto"/>
          </w:tcPr>
          <w:p w14:paraId="62853B63" w14:textId="50415578" w:rsidR="00163B52" w:rsidRPr="003C1694" w:rsidRDefault="0038520A" w:rsidP="00D81DED">
            <w:pPr>
              <w:pStyle w:val="TableTextRight"/>
            </w:pPr>
            <w:r>
              <w:noBreakHyphen/>
            </w:r>
            <w:r w:rsidR="00163B52" w:rsidRPr="003C1694">
              <w:t>0.2</w:t>
            </w:r>
          </w:p>
        </w:tc>
        <w:tc>
          <w:tcPr>
            <w:tcW w:w="1071" w:type="dxa"/>
            <w:tcBorders>
              <w:bottom w:val="single" w:sz="4" w:space="0" w:color="3A6FAF" w:themeColor="accent2"/>
            </w:tcBorders>
            <w:shd w:val="clear" w:color="auto" w:fill="auto"/>
          </w:tcPr>
          <w:p w14:paraId="2C442985" w14:textId="5D5C4CC2" w:rsidR="00163B52" w:rsidRPr="003C1694" w:rsidRDefault="00163B52" w:rsidP="00D81DED">
            <w:pPr>
              <w:pStyle w:val="TableTextRight"/>
            </w:pPr>
            <w:r w:rsidRPr="003C1694">
              <w:t>0.0</w:t>
            </w:r>
          </w:p>
        </w:tc>
      </w:tr>
    </w:tbl>
    <w:p w14:paraId="7D15F8FA" w14:textId="63FCB210" w:rsidR="00163B52" w:rsidRPr="00492B71" w:rsidRDefault="00163B52" w:rsidP="00163B52">
      <w:pPr>
        <w:pStyle w:val="ChartorTableNote"/>
      </w:pPr>
      <w:r w:rsidRPr="00492B71">
        <w:t xml:space="preserve">Note: </w:t>
      </w:r>
      <w:r w:rsidR="003831A5">
        <w:t>Turnover change calculated over the year to specified quarter.</w:t>
      </w:r>
      <w:r w:rsidR="003831A5" w:rsidRPr="00492B71">
        <w:t xml:space="preserve"> </w:t>
      </w:r>
      <w:r w:rsidRPr="00492B71">
        <w:t xml:space="preserve">Sales growth above 100 per cent is winsorised. </w:t>
      </w:r>
    </w:p>
    <w:p w14:paraId="4EFD929E" w14:textId="320CFCBB" w:rsidR="00163B52" w:rsidRDefault="00163B52" w:rsidP="00163B52">
      <w:pPr>
        <w:pStyle w:val="ChartorTableNote"/>
        <w:rPr>
          <w:lang w:val="en-US"/>
        </w:rPr>
      </w:pPr>
      <w:r w:rsidRPr="009446BE">
        <w:t xml:space="preserve">Source: </w:t>
      </w:r>
      <w:r w:rsidRPr="00875784">
        <w:rPr>
          <w:lang w:val="en-US"/>
        </w:rPr>
        <w:t>Treasury analysis of de</w:t>
      </w:r>
      <w:r w:rsidR="0038520A">
        <w:rPr>
          <w:lang w:val="en-US"/>
        </w:rPr>
        <w:noBreakHyphen/>
      </w:r>
      <w:r w:rsidRPr="00875784">
        <w:rPr>
          <w:lang w:val="en-US"/>
        </w:rPr>
        <w:t>identified administrative data (</w:t>
      </w:r>
      <w:r>
        <w:rPr>
          <w:lang w:val="en-US"/>
        </w:rPr>
        <w:t>BAS</w:t>
      </w:r>
      <w:r w:rsidRPr="00875784">
        <w:rPr>
          <w:lang w:val="en-US"/>
        </w:rPr>
        <w:t xml:space="preserve"> data linked to JobKeeper status).</w:t>
      </w:r>
    </w:p>
    <w:p w14:paraId="70EEA4B7" w14:textId="77777777" w:rsidR="00163B52" w:rsidRPr="00353172" w:rsidRDefault="00163B52" w:rsidP="00163B52">
      <w:pPr>
        <w:pStyle w:val="SingleParagraph"/>
        <w:rPr>
          <w:lang w:val="en-US"/>
        </w:rPr>
      </w:pPr>
    </w:p>
    <w:p w14:paraId="0E320136" w14:textId="6C2D4D4F" w:rsidR="00163B52" w:rsidRDefault="00163B52" w:rsidP="00163B52">
      <w:r>
        <w:t>Figure</w:t>
      </w:r>
      <w:r w:rsidDel="00B15FD2">
        <w:t xml:space="preserve"> </w:t>
      </w:r>
      <w:r w:rsidR="00B15FD2">
        <w:t>23</w:t>
      </w:r>
      <w:r>
        <w:t xml:space="preserve"> shows the cumulative distribution of turnover outcomes for JobKeeper and non</w:t>
      </w:r>
      <w:r w:rsidR="0038520A">
        <w:noBreakHyphen/>
      </w:r>
      <w:r>
        <w:t>JobKeeper businesses. It shows that non</w:t>
      </w:r>
      <w:r w:rsidR="0038520A">
        <w:noBreakHyphen/>
      </w:r>
      <w:r>
        <w:t xml:space="preserve">JobKeeper businesses </w:t>
      </w:r>
      <w:r w:rsidR="00175822">
        <w:t>tended to have higher turnover growth</w:t>
      </w:r>
      <w:r>
        <w:t xml:space="preserve"> than JobKeeper businesses</w:t>
      </w:r>
      <w:r w:rsidR="007B7968">
        <w:t xml:space="preserve"> over the year to the June quarter 2020</w:t>
      </w:r>
      <w:r>
        <w:t xml:space="preserve">. For example, </w:t>
      </w:r>
      <w:r w:rsidR="001E69A8">
        <w:t>around half of non</w:t>
      </w:r>
      <w:r w:rsidR="0038520A">
        <w:noBreakHyphen/>
      </w:r>
      <w:r w:rsidR="001E69A8">
        <w:t xml:space="preserve">JobKeeper businesses </w:t>
      </w:r>
      <w:r w:rsidR="001E364B">
        <w:t xml:space="preserve">experienced an increase in turnover </w:t>
      </w:r>
      <w:r w:rsidR="00605DC1">
        <w:t>over this period</w:t>
      </w:r>
      <w:r w:rsidR="001E364B">
        <w:t>, compared with</w:t>
      </w:r>
      <w:r>
        <w:t xml:space="preserve"> </w:t>
      </w:r>
      <w:r w:rsidR="001E364B">
        <w:t xml:space="preserve">only </w:t>
      </w:r>
      <w:r w:rsidR="00175822">
        <w:t xml:space="preserve">around </w:t>
      </w:r>
      <w:r w:rsidR="006D56BA">
        <w:t>one</w:t>
      </w:r>
      <w:r w:rsidR="0038520A">
        <w:noBreakHyphen/>
      </w:r>
      <w:r w:rsidR="00F17B34">
        <w:t>quarter</w:t>
      </w:r>
      <w:r>
        <w:t xml:space="preserve"> of JobKeeper</w:t>
      </w:r>
      <w:r w:rsidR="003F7A49">
        <w:t xml:space="preserve"> </w:t>
      </w:r>
      <w:r>
        <w:t>businesses.</w:t>
      </w:r>
      <w:r w:rsidR="00F17B34">
        <w:t xml:space="preserve"> </w:t>
      </w:r>
      <w:r w:rsidR="001610B6">
        <w:t xml:space="preserve">Conversely, </w:t>
      </w:r>
      <w:r w:rsidR="00A3231B">
        <w:t xml:space="preserve">around </w:t>
      </w:r>
      <w:r w:rsidR="00F17B34">
        <w:t>half</w:t>
      </w:r>
      <w:r w:rsidR="00A3231B">
        <w:t xml:space="preserve"> of JobKeeper businesses faced a turnover decline </w:t>
      </w:r>
      <w:r w:rsidR="00F17B34">
        <w:t>of</w:t>
      </w:r>
      <w:r w:rsidR="00A3231B">
        <w:t xml:space="preserve"> more than 30 per cent, compared with </w:t>
      </w:r>
      <w:r w:rsidR="00175822">
        <w:t>around</w:t>
      </w:r>
      <w:r w:rsidR="00A3231B">
        <w:t xml:space="preserve"> </w:t>
      </w:r>
      <w:r w:rsidR="00F84C56">
        <w:t>one</w:t>
      </w:r>
      <w:r w:rsidR="0038520A">
        <w:noBreakHyphen/>
      </w:r>
      <w:r w:rsidR="00F17B34">
        <w:t>quarter</w:t>
      </w:r>
      <w:r w:rsidR="00A3231B">
        <w:t xml:space="preserve"> of </w:t>
      </w:r>
      <w:r w:rsidR="00F17B34">
        <w:t>non</w:t>
      </w:r>
      <w:r w:rsidR="0038520A">
        <w:noBreakHyphen/>
      </w:r>
      <w:r w:rsidR="00F17B34">
        <w:t xml:space="preserve">JobKeeper businesses. </w:t>
      </w:r>
    </w:p>
    <w:p w14:paraId="571BEE40" w14:textId="59814D33" w:rsidR="00163B52" w:rsidRDefault="00163B52" w:rsidP="00163B52">
      <w:r>
        <w:t>Figure</w:t>
      </w:r>
      <w:r w:rsidDel="00B15FD2">
        <w:t xml:space="preserve"> </w:t>
      </w:r>
      <w:r w:rsidR="00B15FD2">
        <w:t>23</w:t>
      </w:r>
      <w:r>
        <w:t xml:space="preserve"> also illustrates that analysis of turnover decline over the past year captures factors other than just COVID</w:t>
      </w:r>
      <w:r w:rsidR="0038520A">
        <w:noBreakHyphen/>
      </w:r>
      <w:r>
        <w:t>19 impacts. For both JobKeeper and non</w:t>
      </w:r>
      <w:r w:rsidR="0038520A">
        <w:noBreakHyphen/>
      </w:r>
      <w:r>
        <w:t xml:space="preserve">JobKeeper businesses, mergers, restructurings and other structural changes in business operations significantly affect measured turnover outcomes in any given year. Around </w:t>
      </w:r>
      <w:r w:rsidR="009D3CDA">
        <w:t>10</w:t>
      </w:r>
      <w:r>
        <w:t xml:space="preserve"> per cent of businesses across both JobKeeper and non</w:t>
      </w:r>
      <w:r w:rsidR="0038520A">
        <w:noBreakHyphen/>
      </w:r>
      <w:r>
        <w:t>JobKeeper businesses had a measured decline in turnover greater than 90 per cent or a measured increase in turnover was greater than 100 per cent.</w:t>
      </w:r>
      <w:r>
        <w:rPr>
          <w:rStyle w:val="FootnoteReference"/>
        </w:rPr>
        <w:footnoteReference w:id="30"/>
      </w:r>
      <w:r>
        <w:t xml:space="preserve"> </w:t>
      </w:r>
    </w:p>
    <w:p w14:paraId="658FFC38" w14:textId="1E3E74D9" w:rsidR="00163B52" w:rsidRDefault="00163B52" w:rsidP="00163B52">
      <w:pPr>
        <w:pStyle w:val="ChartMainHeading"/>
      </w:pPr>
      <w:bookmarkStart w:id="173" w:name="_Toc84842587"/>
      <w:r>
        <w:lastRenderedPageBreak/>
        <w:t>Cumulative d</w:t>
      </w:r>
      <w:r w:rsidRPr="005D3CFA">
        <w:t xml:space="preserve">istribution of turnover </w:t>
      </w:r>
      <w:r>
        <w:t>growth to June quarter</w:t>
      </w:r>
      <w:bookmarkEnd w:id="173"/>
      <w:r w:rsidRPr="00D50A40">
        <w:t xml:space="preserve"> </w:t>
      </w:r>
      <w:r w:rsidRPr="00C202CE">
        <w:t xml:space="preserve"> </w:t>
      </w:r>
    </w:p>
    <w:p w14:paraId="5FCBCA8E" w14:textId="095C05BA" w:rsidR="00163B52" w:rsidRPr="00A5261A" w:rsidRDefault="007D63C7" w:rsidP="00163B52">
      <w:pPr>
        <w:pStyle w:val="ChartGraphic"/>
        <w:rPr>
          <w:sz w:val="18"/>
          <w:szCs w:val="18"/>
        </w:rPr>
      </w:pPr>
      <w:r w:rsidRPr="007D63C7">
        <w:rPr>
          <w:noProof/>
        </w:rPr>
        <w:drawing>
          <wp:inline distT="0" distB="0" distL="0" distR="0" wp14:anchorId="507304B3" wp14:editId="5B296734">
            <wp:extent cx="5355772" cy="2701965"/>
            <wp:effectExtent l="0" t="0" r="0" b="0"/>
            <wp:docPr id="19" name="Picture 19" descr="This chart shows the cumulative distribution of through the year June turnover growth for JobKeeper-recipient firms compared to non-JobKeeper firms. It shows that JobKeeper-recipient firms experienced worse turnover outcomes, with 75 per cent of JobKeeper-recipient firms experiencing a decline in turnover (compared to 50% for non-recipients). The share of businesses with large turnover declines is also higher for JobKeeper recip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hart shows the cumulative distribution of through the year June turnover growth for JobKeeper-recipient firms compared to non-JobKeeper firms. It shows that JobKeeper-recipient firms experienced worse turnover outcomes, with 75 per cent of JobKeeper-recipient firms experiencing a decline in turnover (compared to 50% for non-recipients). The share of businesses with large turnover declines is also higher for JobKeeper recipient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68149" cy="2708209"/>
                    </a:xfrm>
                    <a:prstGeom prst="rect">
                      <a:avLst/>
                    </a:prstGeom>
                    <a:noFill/>
                    <a:ln>
                      <a:noFill/>
                    </a:ln>
                  </pic:spPr>
                </pic:pic>
              </a:graphicData>
            </a:graphic>
          </wp:inline>
        </w:drawing>
      </w:r>
    </w:p>
    <w:p w14:paraId="28269E1A" w14:textId="5833D256" w:rsidR="00163B52" w:rsidRDefault="00163B52" w:rsidP="00163B52">
      <w:pPr>
        <w:pStyle w:val="ChartorTableNote"/>
      </w:pPr>
      <w:r w:rsidRPr="00492B71">
        <w:t xml:space="preserve">Note: </w:t>
      </w:r>
      <w:r>
        <w:t>Data expressed as t</w:t>
      </w:r>
      <w:r w:rsidRPr="00492B71">
        <w:t>hrough</w:t>
      </w:r>
      <w:r w:rsidR="0038520A">
        <w:noBreakHyphen/>
      </w:r>
      <w:r w:rsidRPr="00492B71">
        <w:t>the</w:t>
      </w:r>
      <w:r w:rsidR="0038520A">
        <w:noBreakHyphen/>
      </w:r>
      <w:r w:rsidRPr="00492B71">
        <w:t>year turnover growth</w:t>
      </w:r>
      <w:r>
        <w:t>. Dotted lines are medians.</w:t>
      </w:r>
    </w:p>
    <w:p w14:paraId="6C8C103A" w14:textId="75096F9E" w:rsidR="00163B52" w:rsidRDefault="00163B52" w:rsidP="00163B52">
      <w:pPr>
        <w:pStyle w:val="ChartorTableNote"/>
        <w:rPr>
          <w:lang w:val="en-US"/>
        </w:rPr>
      </w:pPr>
      <w:r w:rsidRPr="009446BE">
        <w:t xml:space="preserve">Source: </w:t>
      </w:r>
      <w:r w:rsidRPr="00875784">
        <w:rPr>
          <w:lang w:val="en-US"/>
        </w:rPr>
        <w:t>Treasury analysis of de</w:t>
      </w:r>
      <w:r w:rsidR="0038520A">
        <w:rPr>
          <w:lang w:val="en-US"/>
        </w:rPr>
        <w:noBreakHyphen/>
      </w:r>
      <w:r w:rsidRPr="00875784">
        <w:rPr>
          <w:lang w:val="en-US"/>
        </w:rPr>
        <w:t>identified administrative data (</w:t>
      </w:r>
      <w:r>
        <w:rPr>
          <w:lang w:val="en-US"/>
        </w:rPr>
        <w:t>BAS</w:t>
      </w:r>
      <w:r w:rsidRPr="00875784">
        <w:rPr>
          <w:lang w:val="en-US"/>
        </w:rPr>
        <w:t xml:space="preserve"> data linked to JobKeeper status).</w:t>
      </w:r>
    </w:p>
    <w:p w14:paraId="27755BAB" w14:textId="0A04152B" w:rsidR="00512E8B" w:rsidRPr="00E2499E" w:rsidRDefault="00512E8B" w:rsidP="00512E8B">
      <w:pPr>
        <w:pStyle w:val="Heading3"/>
        <w:rPr>
          <w:szCs w:val="28"/>
        </w:rPr>
      </w:pPr>
      <w:bookmarkStart w:id="174" w:name="_Toc83215071"/>
      <w:bookmarkStart w:id="175" w:name="_Hlk83966398"/>
      <w:r w:rsidRPr="00843537">
        <w:rPr>
          <w:szCs w:val="28"/>
        </w:rPr>
        <w:t>Some</w:t>
      </w:r>
      <w:r w:rsidR="007211E3" w:rsidRPr="00843537">
        <w:rPr>
          <w:szCs w:val="28"/>
        </w:rPr>
        <w:t xml:space="preserve"> </w:t>
      </w:r>
      <w:r w:rsidR="00BC34E5" w:rsidRPr="00843537">
        <w:rPr>
          <w:szCs w:val="28"/>
        </w:rPr>
        <w:t xml:space="preserve">JobKeeper businesses </w:t>
      </w:r>
      <w:r w:rsidR="00605C1E" w:rsidRPr="00843537">
        <w:rPr>
          <w:szCs w:val="28"/>
        </w:rPr>
        <w:t>ha</w:t>
      </w:r>
      <w:r w:rsidR="00346136" w:rsidRPr="00843537">
        <w:rPr>
          <w:szCs w:val="28"/>
        </w:rPr>
        <w:t xml:space="preserve">d </w:t>
      </w:r>
      <w:r w:rsidR="007E3E41">
        <w:rPr>
          <w:szCs w:val="28"/>
        </w:rPr>
        <w:t>annual</w:t>
      </w:r>
      <w:r w:rsidR="007E3E41" w:rsidRPr="00843537">
        <w:rPr>
          <w:szCs w:val="28"/>
        </w:rPr>
        <w:t xml:space="preserve"> </w:t>
      </w:r>
      <w:r w:rsidR="000F189C" w:rsidRPr="00843537">
        <w:rPr>
          <w:szCs w:val="28"/>
        </w:rPr>
        <w:t xml:space="preserve">turnover </w:t>
      </w:r>
      <w:r w:rsidR="006E15A6" w:rsidRPr="00843537">
        <w:rPr>
          <w:szCs w:val="28"/>
        </w:rPr>
        <w:t>declines</w:t>
      </w:r>
      <w:bookmarkEnd w:id="174"/>
      <w:r w:rsidR="00346136" w:rsidRPr="00843537">
        <w:rPr>
          <w:szCs w:val="28"/>
        </w:rPr>
        <w:t xml:space="preserve"> less than </w:t>
      </w:r>
      <w:r w:rsidR="00EF7CE6">
        <w:rPr>
          <w:szCs w:val="28"/>
        </w:rPr>
        <w:t>30 per cent</w:t>
      </w:r>
    </w:p>
    <w:p w14:paraId="4970BEAB" w14:textId="20C38D9A" w:rsidR="006E15A6" w:rsidRDefault="004243D6" w:rsidP="004A1369">
      <w:pPr>
        <w:spacing w:before="0" w:after="200" w:line="276" w:lineRule="auto"/>
      </w:pPr>
      <w:r>
        <w:t xml:space="preserve">This </w:t>
      </w:r>
      <w:r w:rsidR="005E4AED">
        <w:t>Business Activity Stat</w:t>
      </w:r>
      <w:r w:rsidR="005A2DA6">
        <w:t>e</w:t>
      </w:r>
      <w:r w:rsidR="005E4AED">
        <w:t>ment</w:t>
      </w:r>
      <w:r>
        <w:t xml:space="preserve"> </w:t>
      </w:r>
      <w:r w:rsidR="006E15A6">
        <w:t xml:space="preserve">analysis indicates that (Table </w:t>
      </w:r>
      <w:r w:rsidR="00BE01EB">
        <w:t>3</w:t>
      </w:r>
      <w:r w:rsidR="006E15A6">
        <w:t>):</w:t>
      </w:r>
    </w:p>
    <w:p w14:paraId="054F941F" w14:textId="07562E4F" w:rsidR="006E15A6" w:rsidRDefault="006E15A6" w:rsidP="006E15A6">
      <w:pPr>
        <w:pStyle w:val="Bullet"/>
      </w:pPr>
      <w:r>
        <w:t xml:space="preserve">Around </w:t>
      </w:r>
      <w:r w:rsidRPr="00473AF3" w:rsidDel="008D3152">
        <w:t>$</w:t>
      </w:r>
      <w:r w:rsidRPr="00473AF3">
        <w:t>11.</w:t>
      </w:r>
      <w:r>
        <w:t>4</w:t>
      </w:r>
      <w:r w:rsidR="006758B8">
        <w:t xml:space="preserve"> </w:t>
      </w:r>
      <w:r w:rsidRPr="00473AF3">
        <w:t>b</w:t>
      </w:r>
      <w:r w:rsidR="006758B8">
        <w:t>illion</w:t>
      </w:r>
      <w:r w:rsidRPr="00473AF3">
        <w:t xml:space="preserve"> and $15.</w:t>
      </w:r>
      <w:r>
        <w:t>6</w:t>
      </w:r>
      <w:r w:rsidR="006758B8">
        <w:t xml:space="preserve"> </w:t>
      </w:r>
      <w:r w:rsidRPr="00473AF3">
        <w:t>b</w:t>
      </w:r>
      <w:r w:rsidR="006758B8">
        <w:t>illion</w:t>
      </w:r>
      <w:r>
        <w:t xml:space="preserve"> in the June and September quarters </w:t>
      </w:r>
      <w:r w:rsidR="00EB3D47">
        <w:t>2020</w:t>
      </w:r>
      <w:r w:rsidR="002E5950">
        <w:t>,</w:t>
      </w:r>
      <w:r w:rsidR="00EB3D47">
        <w:t xml:space="preserve"> </w:t>
      </w:r>
      <w:r w:rsidR="008D3152">
        <w:t xml:space="preserve">was paid to businesses with </w:t>
      </w:r>
      <w:r w:rsidR="00EF7CE6">
        <w:t>a</w:t>
      </w:r>
      <w:r w:rsidR="00E57274">
        <w:t xml:space="preserve"> </w:t>
      </w:r>
      <w:r w:rsidR="008D3152">
        <w:t xml:space="preserve">turnover decline </w:t>
      </w:r>
      <w:r w:rsidR="00E57274">
        <w:t xml:space="preserve">over the year </w:t>
      </w:r>
      <w:r w:rsidR="008D3152" w:rsidDel="00E57274">
        <w:t xml:space="preserve">that </w:t>
      </w:r>
      <w:r w:rsidR="008D3152">
        <w:t xml:space="preserve">was less </w:t>
      </w:r>
      <w:r w:rsidR="00D10ADA">
        <w:t>than 30 per cent (or 50 per cent)</w:t>
      </w:r>
      <w:r w:rsidR="005F2561">
        <w:t>.</w:t>
      </w:r>
    </w:p>
    <w:p w14:paraId="7B980B45" w14:textId="64156D26" w:rsidR="00EF7CE6" w:rsidRPr="00EF7CE6" w:rsidRDefault="00EF7CE6" w:rsidP="00EF7CE6">
      <w:pPr>
        <w:pStyle w:val="Bullet"/>
      </w:pPr>
      <w:r w:rsidRPr="00EF7CE6">
        <w:t xml:space="preserve">Around </w:t>
      </w:r>
      <w:r w:rsidRPr="00EF7CE6" w:rsidDel="008D3152">
        <w:t>$</w:t>
      </w:r>
      <w:r w:rsidRPr="00EF7CE6">
        <w:t>6.8 billion and $6.4 billion in the June and September quarters 2020, was paid to businesses with a</w:t>
      </w:r>
      <w:r w:rsidR="00E57274">
        <w:t xml:space="preserve"> </w:t>
      </w:r>
      <w:r w:rsidRPr="00EF7CE6">
        <w:t xml:space="preserve">turnover decline </w:t>
      </w:r>
      <w:r w:rsidR="00E57274">
        <w:t xml:space="preserve">over the year </w:t>
      </w:r>
      <w:r w:rsidRPr="00EF7CE6">
        <w:t>that was between zero and 30</w:t>
      </w:r>
      <w:r w:rsidR="00A8248F">
        <w:t xml:space="preserve"> </w:t>
      </w:r>
      <w:r w:rsidR="00EA47D6">
        <w:t xml:space="preserve">per cent </w:t>
      </w:r>
      <w:r w:rsidRPr="00EF7CE6">
        <w:t>(</w:t>
      </w:r>
      <w:r w:rsidR="00EA47D6">
        <w:t xml:space="preserve">or </w:t>
      </w:r>
      <w:r w:rsidRPr="00EF7CE6">
        <w:t>50</w:t>
      </w:r>
      <w:r w:rsidR="00803350">
        <w:t> </w:t>
      </w:r>
      <w:r w:rsidRPr="00EF7CE6">
        <w:t>per cent</w:t>
      </w:r>
      <w:r w:rsidR="00EA47D6">
        <w:t>)</w:t>
      </w:r>
      <w:r w:rsidRPr="00EF7CE6">
        <w:t>.</w:t>
      </w:r>
      <w:r w:rsidR="00755309" w:rsidRPr="00EF7CE6" w:rsidDel="00755309">
        <w:rPr>
          <w:vertAlign w:val="superscript"/>
        </w:rPr>
        <w:t xml:space="preserve"> </w:t>
      </w:r>
    </w:p>
    <w:p w14:paraId="58F20F40" w14:textId="14E93F25" w:rsidR="006E15A6" w:rsidRDefault="006E15A6" w:rsidP="006E15A6">
      <w:pPr>
        <w:pStyle w:val="Bullet"/>
      </w:pPr>
      <w:r w:rsidRPr="00473AF3">
        <w:t>Around $4.6</w:t>
      </w:r>
      <w:r>
        <w:t> </w:t>
      </w:r>
      <w:r w:rsidRPr="00473AF3">
        <w:t>b</w:t>
      </w:r>
      <w:r>
        <w:t>illion</w:t>
      </w:r>
      <w:r w:rsidRPr="00473AF3">
        <w:t xml:space="preserve"> and $9.2</w:t>
      </w:r>
      <w:r>
        <w:t xml:space="preserve"> </w:t>
      </w:r>
      <w:r w:rsidRPr="00473AF3">
        <w:t>b</w:t>
      </w:r>
      <w:r>
        <w:t>illion</w:t>
      </w:r>
      <w:r w:rsidRPr="00473AF3">
        <w:t xml:space="preserve"> in the June and September quarters</w:t>
      </w:r>
      <w:r w:rsidR="00E94DD5">
        <w:t xml:space="preserve"> 2020</w:t>
      </w:r>
      <w:r w:rsidR="002E5950">
        <w:t>,</w:t>
      </w:r>
      <w:r w:rsidR="00EB3D47">
        <w:t xml:space="preserve"> was paid to businesses with a</w:t>
      </w:r>
      <w:r w:rsidR="00EB3D47" w:rsidDel="007E3E41">
        <w:t xml:space="preserve"> </w:t>
      </w:r>
      <w:r w:rsidR="00EB3D47">
        <w:t>turnover increase</w:t>
      </w:r>
      <w:r w:rsidR="00E57274">
        <w:t xml:space="preserve"> over the year</w:t>
      </w:r>
      <w:r w:rsidRPr="00473AF3">
        <w:t>.</w:t>
      </w:r>
    </w:p>
    <w:p w14:paraId="03A531F4" w14:textId="4FE4B421" w:rsidR="006E15A6" w:rsidRDefault="006E15A6" w:rsidP="00F47CDD">
      <w:pPr>
        <w:pStyle w:val="TableMainHeading"/>
      </w:pPr>
      <w:bookmarkStart w:id="176" w:name="_Toc84842588"/>
      <w:r w:rsidRPr="00DF63C4">
        <w:t xml:space="preserve">JobKeeper </w:t>
      </w:r>
      <w:r w:rsidR="00EF7CE6" w:rsidRPr="00DF63C4">
        <w:t>payment</w:t>
      </w:r>
      <w:r w:rsidR="00DB622A" w:rsidRPr="00DF63C4">
        <w:t>s</w:t>
      </w:r>
      <w:r w:rsidR="00495F77" w:rsidRPr="00DF63C4">
        <w:t xml:space="preserve"> and </w:t>
      </w:r>
      <w:r w:rsidR="00E44901">
        <w:t>individuals</w:t>
      </w:r>
      <w:r w:rsidR="00495F77" w:rsidRPr="00DF63C4">
        <w:t xml:space="preserve"> supported</w:t>
      </w:r>
      <w:bookmarkEnd w:id="176"/>
    </w:p>
    <w:tbl>
      <w:tblPr>
        <w:tblStyle w:val="TableGrid11"/>
        <w:tblW w:w="5000" w:type="pct"/>
        <w:tblLook w:val="04A0" w:firstRow="1" w:lastRow="0" w:firstColumn="1" w:lastColumn="0" w:noHBand="0" w:noVBand="1"/>
      </w:tblPr>
      <w:tblGrid>
        <w:gridCol w:w="4416"/>
        <w:gridCol w:w="945"/>
        <w:gridCol w:w="976"/>
        <w:gridCol w:w="786"/>
        <w:gridCol w:w="1207"/>
        <w:gridCol w:w="741"/>
      </w:tblGrid>
      <w:tr w:rsidR="00C44440" w:rsidRPr="005806CE" w14:paraId="0D96ACAC" w14:textId="77777777" w:rsidTr="008A77BC">
        <w:tc>
          <w:tcPr>
            <w:tcW w:w="4416" w:type="dxa"/>
            <w:tcBorders>
              <w:top w:val="single" w:sz="4" w:space="0" w:color="3A6FAF"/>
              <w:bottom w:val="single" w:sz="4" w:space="0" w:color="3A6FAF"/>
            </w:tcBorders>
            <w:shd w:val="clear" w:color="auto" w:fill="auto"/>
          </w:tcPr>
          <w:p w14:paraId="2F64F05D" w14:textId="77777777" w:rsidR="00C44440" w:rsidRPr="005806CE" w:rsidRDefault="00C44440" w:rsidP="008A77BC">
            <w:pPr>
              <w:spacing w:before="40" w:after="40"/>
              <w:jc w:val="right"/>
              <w:rPr>
                <w:b/>
                <w:color w:val="002C47"/>
              </w:rPr>
            </w:pPr>
          </w:p>
        </w:tc>
        <w:tc>
          <w:tcPr>
            <w:tcW w:w="2707" w:type="dxa"/>
            <w:gridSpan w:val="3"/>
            <w:tcBorders>
              <w:top w:val="single" w:sz="4" w:space="0" w:color="3A6FAF"/>
              <w:bottom w:val="single" w:sz="4" w:space="0" w:color="3A6FAF"/>
            </w:tcBorders>
            <w:shd w:val="clear" w:color="auto" w:fill="auto"/>
          </w:tcPr>
          <w:p w14:paraId="57004AED" w14:textId="77777777" w:rsidR="00852EA9" w:rsidRDefault="00C44440" w:rsidP="00207393">
            <w:pPr>
              <w:pStyle w:val="TableColumnHeadingCentred"/>
              <w:rPr>
                <w:b w:val="0"/>
                <w:color w:val="002C47"/>
              </w:rPr>
            </w:pPr>
            <w:r w:rsidRPr="005806CE">
              <w:t>Pa</w:t>
            </w:r>
            <w:r w:rsidRPr="005806CE">
              <w:rPr>
                <w:b w:val="0"/>
                <w:color w:val="002C47"/>
              </w:rPr>
              <w:t>yments to businesses</w:t>
            </w:r>
            <w:r>
              <w:rPr>
                <w:b w:val="0"/>
                <w:color w:val="002C47"/>
              </w:rPr>
              <w:t xml:space="preserve"> </w:t>
            </w:r>
          </w:p>
          <w:p w14:paraId="4E65F773" w14:textId="1B3B8F97" w:rsidR="00C44440" w:rsidRPr="005806CE" w:rsidRDefault="00C44440" w:rsidP="00207393">
            <w:pPr>
              <w:pStyle w:val="TableColumnHeadingCentred"/>
            </w:pPr>
            <w:r>
              <w:t>(</w:t>
            </w:r>
            <w:r w:rsidRPr="005806CE">
              <w:t>$</w:t>
            </w:r>
            <w:r w:rsidR="00852EA9">
              <w:t xml:space="preserve"> </w:t>
            </w:r>
            <w:r w:rsidRPr="005806CE">
              <w:t>b</w:t>
            </w:r>
            <w:r w:rsidR="00852EA9">
              <w:t>illion</w:t>
            </w:r>
            <w:r>
              <w:t>)</w:t>
            </w:r>
          </w:p>
        </w:tc>
        <w:tc>
          <w:tcPr>
            <w:tcW w:w="1948" w:type="dxa"/>
            <w:gridSpan w:val="2"/>
            <w:tcBorders>
              <w:top w:val="single" w:sz="4" w:space="0" w:color="3A6FAF"/>
              <w:bottom w:val="single" w:sz="4" w:space="0" w:color="3A6FAF"/>
            </w:tcBorders>
            <w:shd w:val="clear" w:color="auto" w:fill="auto"/>
          </w:tcPr>
          <w:p w14:paraId="38D2E48C" w14:textId="77777777" w:rsidR="00C44440" w:rsidRPr="005806CE" w:rsidRDefault="00C44440" w:rsidP="00207393">
            <w:pPr>
              <w:pStyle w:val="TableColumnHeadingCentred"/>
            </w:pPr>
            <w:r w:rsidRPr="005806CE">
              <w:t>Individuals supported in businesses (million)</w:t>
            </w:r>
          </w:p>
        </w:tc>
      </w:tr>
      <w:tr w:rsidR="00C44440" w:rsidRPr="005806CE" w14:paraId="75AFA7FA" w14:textId="77777777" w:rsidTr="008A77BC">
        <w:tc>
          <w:tcPr>
            <w:tcW w:w="4416" w:type="dxa"/>
            <w:tcBorders>
              <w:top w:val="single" w:sz="4" w:space="0" w:color="3A6FAF"/>
              <w:bottom w:val="single" w:sz="4" w:space="0" w:color="3A6FAF"/>
            </w:tcBorders>
            <w:shd w:val="clear" w:color="auto" w:fill="auto"/>
          </w:tcPr>
          <w:p w14:paraId="686B05D8" w14:textId="77777777" w:rsidR="00C44440" w:rsidRPr="005806CE" w:rsidRDefault="00C44440" w:rsidP="008A77BC">
            <w:pPr>
              <w:spacing w:before="40" w:after="40"/>
              <w:jc w:val="right"/>
              <w:rPr>
                <w:b/>
                <w:color w:val="002C47"/>
              </w:rPr>
            </w:pPr>
          </w:p>
        </w:tc>
        <w:tc>
          <w:tcPr>
            <w:tcW w:w="945" w:type="dxa"/>
            <w:tcBorders>
              <w:top w:val="single" w:sz="4" w:space="0" w:color="3A6FAF"/>
              <w:bottom w:val="single" w:sz="4" w:space="0" w:color="3A6FAF"/>
            </w:tcBorders>
            <w:shd w:val="clear" w:color="auto" w:fill="auto"/>
          </w:tcPr>
          <w:p w14:paraId="6CCC149F" w14:textId="77777777" w:rsidR="00C44440" w:rsidRPr="005806CE" w:rsidRDefault="00C44440" w:rsidP="00207393">
            <w:pPr>
              <w:pStyle w:val="TableColumnHeadingRight"/>
            </w:pPr>
            <w:r w:rsidRPr="005806CE">
              <w:t>Jun Q</w:t>
            </w:r>
          </w:p>
        </w:tc>
        <w:tc>
          <w:tcPr>
            <w:tcW w:w="976" w:type="dxa"/>
            <w:tcBorders>
              <w:top w:val="single" w:sz="4" w:space="0" w:color="3A6FAF"/>
              <w:bottom w:val="single" w:sz="4" w:space="0" w:color="3A6FAF"/>
            </w:tcBorders>
            <w:shd w:val="clear" w:color="auto" w:fill="FFFFFF"/>
          </w:tcPr>
          <w:p w14:paraId="6C3FF9D7" w14:textId="77777777" w:rsidR="00C44440" w:rsidRPr="005806CE" w:rsidRDefault="00C44440" w:rsidP="00207393">
            <w:pPr>
              <w:pStyle w:val="TableColumnHeadingRight"/>
            </w:pPr>
            <w:r w:rsidRPr="005806CE">
              <w:t>Sep Q</w:t>
            </w:r>
          </w:p>
        </w:tc>
        <w:tc>
          <w:tcPr>
            <w:tcW w:w="786" w:type="dxa"/>
            <w:tcBorders>
              <w:top w:val="single" w:sz="4" w:space="0" w:color="3A6FAF"/>
              <w:bottom w:val="single" w:sz="4" w:space="0" w:color="3A6FAF"/>
            </w:tcBorders>
            <w:shd w:val="clear" w:color="auto" w:fill="FFFFFF"/>
          </w:tcPr>
          <w:p w14:paraId="6D60A477" w14:textId="77777777" w:rsidR="00C44440" w:rsidRPr="005806CE" w:rsidRDefault="00C44440" w:rsidP="00207393">
            <w:pPr>
              <w:pStyle w:val="TableColumnHeadingRight"/>
            </w:pPr>
            <w:r w:rsidRPr="005806CE">
              <w:t>Total</w:t>
            </w:r>
          </w:p>
        </w:tc>
        <w:tc>
          <w:tcPr>
            <w:tcW w:w="1207" w:type="dxa"/>
            <w:tcBorders>
              <w:top w:val="single" w:sz="4" w:space="0" w:color="3A6FAF"/>
              <w:bottom w:val="single" w:sz="4" w:space="0" w:color="3A6FAF"/>
            </w:tcBorders>
            <w:shd w:val="clear" w:color="auto" w:fill="auto"/>
          </w:tcPr>
          <w:p w14:paraId="2F9250B5" w14:textId="77777777" w:rsidR="00C44440" w:rsidRPr="005806CE" w:rsidRDefault="00C44440" w:rsidP="00207393">
            <w:pPr>
              <w:pStyle w:val="TableColumnHeadingRight"/>
            </w:pPr>
            <w:r w:rsidRPr="005806CE">
              <w:t>Jun Q</w:t>
            </w:r>
          </w:p>
        </w:tc>
        <w:tc>
          <w:tcPr>
            <w:tcW w:w="741" w:type="dxa"/>
            <w:tcBorders>
              <w:top w:val="single" w:sz="4" w:space="0" w:color="3A6FAF"/>
              <w:bottom w:val="single" w:sz="4" w:space="0" w:color="3A6FAF"/>
            </w:tcBorders>
            <w:shd w:val="clear" w:color="auto" w:fill="auto"/>
          </w:tcPr>
          <w:p w14:paraId="1B2F03C0" w14:textId="77777777" w:rsidR="00C44440" w:rsidRPr="005806CE" w:rsidRDefault="00C44440" w:rsidP="00207393">
            <w:pPr>
              <w:pStyle w:val="TableColumnHeadingRight"/>
            </w:pPr>
            <w:r w:rsidRPr="005806CE">
              <w:t>Sep Q</w:t>
            </w:r>
          </w:p>
        </w:tc>
      </w:tr>
      <w:tr w:rsidR="00C44440" w:rsidRPr="005806CE" w14:paraId="33D5F6D8" w14:textId="77777777" w:rsidTr="008A77BC">
        <w:tc>
          <w:tcPr>
            <w:tcW w:w="4416" w:type="dxa"/>
            <w:tcBorders>
              <w:top w:val="single" w:sz="4" w:space="0" w:color="3A6FAF"/>
            </w:tcBorders>
            <w:shd w:val="clear" w:color="auto" w:fill="auto"/>
          </w:tcPr>
          <w:p w14:paraId="6ECC09BE" w14:textId="77777777" w:rsidR="00C44440" w:rsidRPr="005806CE" w:rsidRDefault="00C44440" w:rsidP="00207393">
            <w:pPr>
              <w:pStyle w:val="TableTextLeft"/>
            </w:pPr>
            <w:r w:rsidRPr="005806CE">
              <w:t>Annual turnover decline less than 30% (or 50%)</w:t>
            </w:r>
          </w:p>
        </w:tc>
        <w:tc>
          <w:tcPr>
            <w:tcW w:w="945" w:type="dxa"/>
            <w:tcBorders>
              <w:top w:val="single" w:sz="4" w:space="0" w:color="3A6FAF"/>
            </w:tcBorders>
            <w:shd w:val="clear" w:color="auto" w:fill="auto"/>
          </w:tcPr>
          <w:p w14:paraId="249EBBD4" w14:textId="77777777" w:rsidR="00C44440" w:rsidRPr="005806CE" w:rsidRDefault="00C44440" w:rsidP="008A77BC">
            <w:pPr>
              <w:spacing w:before="40" w:after="40"/>
              <w:jc w:val="right"/>
              <w:rPr>
                <w:color w:val="000000"/>
                <w:sz w:val="18"/>
              </w:rPr>
            </w:pPr>
            <w:r w:rsidRPr="005806CE">
              <w:rPr>
                <w:color w:val="000000"/>
                <w:sz w:val="18"/>
              </w:rPr>
              <w:t>11.4</w:t>
            </w:r>
          </w:p>
        </w:tc>
        <w:tc>
          <w:tcPr>
            <w:tcW w:w="976" w:type="dxa"/>
            <w:tcBorders>
              <w:top w:val="single" w:sz="4" w:space="0" w:color="3A6FAF"/>
            </w:tcBorders>
            <w:shd w:val="clear" w:color="auto" w:fill="FFFFFF"/>
          </w:tcPr>
          <w:p w14:paraId="78988CF4" w14:textId="77777777" w:rsidR="00C44440" w:rsidRPr="00235F5D" w:rsidRDefault="00C44440" w:rsidP="008A77BC">
            <w:pPr>
              <w:spacing w:before="40" w:after="40"/>
              <w:jc w:val="right"/>
              <w:rPr>
                <w:color w:val="000000"/>
                <w:sz w:val="18"/>
              </w:rPr>
            </w:pPr>
            <w:r w:rsidRPr="00235F5D">
              <w:rPr>
                <w:color w:val="000000"/>
                <w:sz w:val="18"/>
              </w:rPr>
              <w:t>15.6</w:t>
            </w:r>
          </w:p>
        </w:tc>
        <w:tc>
          <w:tcPr>
            <w:tcW w:w="786" w:type="dxa"/>
            <w:tcBorders>
              <w:top w:val="single" w:sz="4" w:space="0" w:color="3A6FAF"/>
            </w:tcBorders>
            <w:shd w:val="clear" w:color="auto" w:fill="FFFFFF"/>
          </w:tcPr>
          <w:p w14:paraId="0F645DC9" w14:textId="77777777" w:rsidR="00C44440" w:rsidRPr="00235F5D" w:rsidRDefault="00C44440" w:rsidP="008A77BC">
            <w:pPr>
              <w:spacing w:before="40" w:after="40"/>
              <w:jc w:val="right"/>
              <w:rPr>
                <w:b/>
                <w:bCs/>
                <w:color w:val="000000"/>
                <w:sz w:val="18"/>
              </w:rPr>
            </w:pPr>
            <w:r w:rsidRPr="00235F5D">
              <w:rPr>
                <w:b/>
                <w:bCs/>
                <w:color w:val="000000"/>
                <w:sz w:val="18"/>
              </w:rPr>
              <w:t>27.0</w:t>
            </w:r>
          </w:p>
        </w:tc>
        <w:tc>
          <w:tcPr>
            <w:tcW w:w="1207" w:type="dxa"/>
            <w:tcBorders>
              <w:top w:val="single" w:sz="4" w:space="0" w:color="3A6FAF"/>
            </w:tcBorders>
            <w:shd w:val="clear" w:color="auto" w:fill="auto"/>
          </w:tcPr>
          <w:p w14:paraId="186EA64A" w14:textId="77777777" w:rsidR="00C44440" w:rsidRPr="005806CE" w:rsidRDefault="00C44440" w:rsidP="008A77BC">
            <w:pPr>
              <w:spacing w:before="40" w:after="40"/>
              <w:jc w:val="right"/>
              <w:rPr>
                <w:color w:val="000000"/>
                <w:sz w:val="18"/>
              </w:rPr>
            </w:pPr>
            <w:r w:rsidRPr="005806CE">
              <w:rPr>
                <w:color w:val="000000"/>
                <w:sz w:val="18"/>
              </w:rPr>
              <w:t>1.4</w:t>
            </w:r>
          </w:p>
        </w:tc>
        <w:tc>
          <w:tcPr>
            <w:tcW w:w="741" w:type="dxa"/>
            <w:tcBorders>
              <w:top w:val="single" w:sz="4" w:space="0" w:color="3A6FAF"/>
            </w:tcBorders>
            <w:shd w:val="clear" w:color="auto" w:fill="auto"/>
          </w:tcPr>
          <w:p w14:paraId="67EE162F" w14:textId="77777777" w:rsidR="00C44440" w:rsidRPr="005806CE" w:rsidRDefault="00C44440" w:rsidP="008A77BC">
            <w:pPr>
              <w:spacing w:before="40" w:after="40"/>
              <w:jc w:val="right"/>
              <w:rPr>
                <w:color w:val="000000"/>
                <w:sz w:val="18"/>
              </w:rPr>
            </w:pPr>
            <w:r w:rsidRPr="005806CE">
              <w:rPr>
                <w:color w:val="000000"/>
                <w:sz w:val="18"/>
              </w:rPr>
              <w:t>1.5</w:t>
            </w:r>
          </w:p>
        </w:tc>
      </w:tr>
      <w:tr w:rsidR="00C44440" w:rsidRPr="005806CE" w14:paraId="08CBAE26" w14:textId="77777777" w:rsidTr="008A77BC">
        <w:tc>
          <w:tcPr>
            <w:tcW w:w="4416" w:type="dxa"/>
            <w:shd w:val="clear" w:color="auto" w:fill="auto"/>
          </w:tcPr>
          <w:p w14:paraId="326B9A48" w14:textId="4FBC8AE3" w:rsidR="00C44440" w:rsidRPr="005806CE" w:rsidRDefault="00C44440" w:rsidP="00B808A2">
            <w:pPr>
              <w:spacing w:before="40" w:after="40"/>
              <w:ind w:left="510"/>
              <w:rPr>
                <w:color w:val="000000"/>
                <w:sz w:val="18"/>
              </w:rPr>
            </w:pPr>
            <w:r w:rsidRPr="005806CE">
              <w:rPr>
                <w:color w:val="000000"/>
                <w:sz w:val="18"/>
              </w:rPr>
              <w:t>Annual turnover decline between 0 – 30% (or 50%)</w:t>
            </w:r>
          </w:p>
        </w:tc>
        <w:tc>
          <w:tcPr>
            <w:tcW w:w="945" w:type="dxa"/>
            <w:shd w:val="clear" w:color="auto" w:fill="auto"/>
          </w:tcPr>
          <w:p w14:paraId="650A7F84" w14:textId="77777777" w:rsidR="00C44440" w:rsidRPr="005806CE" w:rsidRDefault="00C44440" w:rsidP="008A77BC">
            <w:pPr>
              <w:spacing w:before="40" w:after="40"/>
              <w:jc w:val="right"/>
              <w:rPr>
                <w:color w:val="000000"/>
                <w:sz w:val="18"/>
              </w:rPr>
            </w:pPr>
            <w:r w:rsidRPr="005806CE">
              <w:rPr>
                <w:color w:val="000000"/>
                <w:sz w:val="18"/>
              </w:rPr>
              <w:t>6.8</w:t>
            </w:r>
          </w:p>
        </w:tc>
        <w:tc>
          <w:tcPr>
            <w:tcW w:w="976" w:type="dxa"/>
            <w:shd w:val="clear" w:color="auto" w:fill="FFFFFF"/>
          </w:tcPr>
          <w:p w14:paraId="5ECAD01B" w14:textId="77777777" w:rsidR="00C44440" w:rsidRPr="00235F5D" w:rsidRDefault="00C44440" w:rsidP="008A77BC">
            <w:pPr>
              <w:spacing w:before="40" w:after="40"/>
              <w:jc w:val="right"/>
              <w:rPr>
                <w:color w:val="000000"/>
                <w:sz w:val="18"/>
              </w:rPr>
            </w:pPr>
            <w:r w:rsidRPr="00235F5D">
              <w:rPr>
                <w:color w:val="000000"/>
                <w:sz w:val="18"/>
              </w:rPr>
              <w:t>6.4</w:t>
            </w:r>
          </w:p>
        </w:tc>
        <w:tc>
          <w:tcPr>
            <w:tcW w:w="786" w:type="dxa"/>
            <w:shd w:val="clear" w:color="auto" w:fill="FFFFFF"/>
          </w:tcPr>
          <w:p w14:paraId="259E7DE4" w14:textId="77777777" w:rsidR="00C44440" w:rsidRPr="00235F5D" w:rsidRDefault="00C44440" w:rsidP="008A77BC">
            <w:pPr>
              <w:spacing w:before="40" w:after="40"/>
              <w:jc w:val="right"/>
              <w:rPr>
                <w:b/>
                <w:bCs/>
                <w:color w:val="000000"/>
                <w:sz w:val="18"/>
              </w:rPr>
            </w:pPr>
            <w:r w:rsidRPr="00235F5D">
              <w:rPr>
                <w:b/>
                <w:bCs/>
                <w:color w:val="000000"/>
                <w:sz w:val="18"/>
              </w:rPr>
              <w:t>13.2</w:t>
            </w:r>
          </w:p>
        </w:tc>
        <w:tc>
          <w:tcPr>
            <w:tcW w:w="1207" w:type="dxa"/>
            <w:shd w:val="clear" w:color="auto" w:fill="auto"/>
          </w:tcPr>
          <w:p w14:paraId="4C5064C0" w14:textId="77777777" w:rsidR="00C44440" w:rsidRPr="005806CE" w:rsidRDefault="00C44440" w:rsidP="008A77BC">
            <w:pPr>
              <w:spacing w:before="40" w:after="40"/>
              <w:jc w:val="right"/>
              <w:rPr>
                <w:color w:val="000000"/>
                <w:sz w:val="18"/>
              </w:rPr>
            </w:pPr>
            <w:r w:rsidRPr="005806CE">
              <w:rPr>
                <w:color w:val="000000"/>
                <w:sz w:val="18"/>
              </w:rPr>
              <w:t>0.8</w:t>
            </w:r>
          </w:p>
        </w:tc>
        <w:tc>
          <w:tcPr>
            <w:tcW w:w="741" w:type="dxa"/>
            <w:shd w:val="clear" w:color="auto" w:fill="auto"/>
          </w:tcPr>
          <w:p w14:paraId="4335FA2F" w14:textId="77777777" w:rsidR="00C44440" w:rsidRPr="005806CE" w:rsidRDefault="00C44440" w:rsidP="008A77BC">
            <w:pPr>
              <w:spacing w:before="40" w:after="40"/>
              <w:jc w:val="right"/>
              <w:rPr>
                <w:color w:val="000000"/>
                <w:sz w:val="18"/>
              </w:rPr>
            </w:pPr>
            <w:r w:rsidRPr="005806CE">
              <w:rPr>
                <w:color w:val="000000"/>
                <w:sz w:val="18"/>
              </w:rPr>
              <w:t>0.6</w:t>
            </w:r>
          </w:p>
        </w:tc>
      </w:tr>
      <w:tr w:rsidR="00C44440" w:rsidRPr="005806CE" w14:paraId="10F13C79" w14:textId="77777777" w:rsidTr="00207393">
        <w:tc>
          <w:tcPr>
            <w:tcW w:w="4416" w:type="dxa"/>
            <w:shd w:val="clear" w:color="auto" w:fill="auto"/>
            <w:vAlign w:val="center"/>
          </w:tcPr>
          <w:p w14:paraId="08E4AFD1" w14:textId="51BA0EE8" w:rsidR="00C44440" w:rsidRPr="005806CE" w:rsidRDefault="00C44440" w:rsidP="00207393">
            <w:pPr>
              <w:tabs>
                <w:tab w:val="num" w:pos="1004"/>
              </w:tabs>
              <w:spacing w:before="0" w:after="0"/>
              <w:ind w:left="510"/>
              <w:jc w:val="left"/>
              <w:rPr>
                <w:color w:val="000000"/>
                <w:sz w:val="18"/>
              </w:rPr>
            </w:pPr>
            <w:r w:rsidRPr="005806CE">
              <w:rPr>
                <w:sz w:val="18"/>
              </w:rPr>
              <w:t>Annual turnover increase</w:t>
            </w:r>
          </w:p>
        </w:tc>
        <w:tc>
          <w:tcPr>
            <w:tcW w:w="945" w:type="dxa"/>
            <w:shd w:val="clear" w:color="auto" w:fill="auto"/>
          </w:tcPr>
          <w:p w14:paraId="48398765" w14:textId="77777777" w:rsidR="00C44440" w:rsidRPr="005806CE" w:rsidRDefault="00C44440" w:rsidP="00EF72E9">
            <w:pPr>
              <w:spacing w:before="0" w:after="40"/>
              <w:jc w:val="right"/>
              <w:rPr>
                <w:color w:val="000000"/>
                <w:sz w:val="18"/>
              </w:rPr>
            </w:pPr>
            <w:r>
              <w:rPr>
                <w:color w:val="000000"/>
                <w:sz w:val="18"/>
              </w:rPr>
              <w:t>4.6</w:t>
            </w:r>
          </w:p>
        </w:tc>
        <w:tc>
          <w:tcPr>
            <w:tcW w:w="976" w:type="dxa"/>
            <w:shd w:val="clear" w:color="auto" w:fill="FFFFFF"/>
          </w:tcPr>
          <w:p w14:paraId="620BF672" w14:textId="77777777" w:rsidR="00C44440" w:rsidRPr="00235F5D" w:rsidRDefault="00C44440" w:rsidP="00EF72E9">
            <w:pPr>
              <w:spacing w:before="0" w:after="40"/>
              <w:jc w:val="right"/>
              <w:rPr>
                <w:color w:val="000000"/>
                <w:sz w:val="18"/>
              </w:rPr>
            </w:pPr>
            <w:r>
              <w:rPr>
                <w:color w:val="000000"/>
                <w:sz w:val="18"/>
              </w:rPr>
              <w:t>9.2</w:t>
            </w:r>
          </w:p>
        </w:tc>
        <w:tc>
          <w:tcPr>
            <w:tcW w:w="786" w:type="dxa"/>
            <w:shd w:val="clear" w:color="auto" w:fill="FFFFFF"/>
          </w:tcPr>
          <w:p w14:paraId="7FFA5B90" w14:textId="77777777" w:rsidR="00C44440" w:rsidRPr="00235F5D" w:rsidRDefault="00C44440" w:rsidP="00EF72E9">
            <w:pPr>
              <w:spacing w:before="0" w:after="40"/>
              <w:jc w:val="right"/>
              <w:rPr>
                <w:b/>
                <w:bCs/>
                <w:color w:val="000000"/>
                <w:sz w:val="18"/>
              </w:rPr>
            </w:pPr>
            <w:r>
              <w:rPr>
                <w:b/>
                <w:bCs/>
                <w:color w:val="000000"/>
                <w:sz w:val="18"/>
              </w:rPr>
              <w:t>13.8</w:t>
            </w:r>
          </w:p>
        </w:tc>
        <w:tc>
          <w:tcPr>
            <w:tcW w:w="1207" w:type="dxa"/>
            <w:shd w:val="clear" w:color="auto" w:fill="auto"/>
          </w:tcPr>
          <w:p w14:paraId="42978F96" w14:textId="77777777" w:rsidR="00C44440" w:rsidRPr="005806CE" w:rsidRDefault="00C44440" w:rsidP="00EF72E9">
            <w:pPr>
              <w:spacing w:before="0" w:after="40"/>
              <w:jc w:val="right"/>
              <w:rPr>
                <w:color w:val="000000"/>
                <w:sz w:val="18"/>
              </w:rPr>
            </w:pPr>
            <w:r>
              <w:rPr>
                <w:color w:val="000000"/>
                <w:sz w:val="18"/>
              </w:rPr>
              <w:t>0.6</w:t>
            </w:r>
          </w:p>
        </w:tc>
        <w:tc>
          <w:tcPr>
            <w:tcW w:w="741" w:type="dxa"/>
            <w:shd w:val="clear" w:color="auto" w:fill="auto"/>
          </w:tcPr>
          <w:p w14:paraId="4B6C331A" w14:textId="77777777" w:rsidR="00C44440" w:rsidRPr="005806CE" w:rsidRDefault="00C44440" w:rsidP="00EF72E9">
            <w:pPr>
              <w:spacing w:before="0" w:after="40"/>
              <w:jc w:val="right"/>
              <w:rPr>
                <w:color w:val="000000"/>
                <w:sz w:val="18"/>
              </w:rPr>
            </w:pPr>
            <w:r>
              <w:rPr>
                <w:color w:val="000000"/>
                <w:sz w:val="18"/>
              </w:rPr>
              <w:t>0.9</w:t>
            </w:r>
          </w:p>
        </w:tc>
      </w:tr>
      <w:tr w:rsidR="00C44440" w:rsidRPr="005806CE" w14:paraId="1EE5FB9F" w14:textId="77777777" w:rsidTr="00C44440">
        <w:tc>
          <w:tcPr>
            <w:tcW w:w="4416" w:type="dxa"/>
            <w:shd w:val="clear" w:color="auto" w:fill="auto"/>
          </w:tcPr>
          <w:p w14:paraId="11A9A123" w14:textId="5F54C1E9" w:rsidR="00C44440" w:rsidRPr="005806CE" w:rsidRDefault="00C44440" w:rsidP="00B808A2">
            <w:pPr>
              <w:spacing w:before="40" w:after="0"/>
              <w:ind w:left="794"/>
              <w:rPr>
                <w:color w:val="000000"/>
                <w:sz w:val="18"/>
              </w:rPr>
            </w:pPr>
            <w:r w:rsidRPr="005806CE">
              <w:rPr>
                <w:sz w:val="18"/>
              </w:rPr>
              <w:t xml:space="preserve">Annual turnover increase, excluding those </w:t>
            </w:r>
          </w:p>
        </w:tc>
        <w:tc>
          <w:tcPr>
            <w:tcW w:w="945" w:type="dxa"/>
            <w:shd w:val="clear" w:color="auto" w:fill="auto"/>
          </w:tcPr>
          <w:p w14:paraId="33977184" w14:textId="77777777" w:rsidR="00C44440" w:rsidRPr="005806CE" w:rsidRDefault="00C44440" w:rsidP="008A77BC">
            <w:pPr>
              <w:spacing w:before="40" w:after="0"/>
              <w:jc w:val="right"/>
              <w:rPr>
                <w:color w:val="000000"/>
                <w:sz w:val="18"/>
              </w:rPr>
            </w:pPr>
            <w:r>
              <w:rPr>
                <w:color w:val="000000"/>
                <w:sz w:val="18"/>
              </w:rPr>
              <w:t>2.7</w:t>
            </w:r>
          </w:p>
        </w:tc>
        <w:tc>
          <w:tcPr>
            <w:tcW w:w="976" w:type="dxa"/>
            <w:shd w:val="clear" w:color="auto" w:fill="FFFFFF"/>
          </w:tcPr>
          <w:p w14:paraId="53EA9876" w14:textId="77777777" w:rsidR="00C44440" w:rsidRPr="00235F5D" w:rsidRDefault="00C44440" w:rsidP="008A77BC">
            <w:pPr>
              <w:spacing w:before="40" w:after="0"/>
              <w:jc w:val="right"/>
              <w:rPr>
                <w:color w:val="000000"/>
                <w:sz w:val="18"/>
              </w:rPr>
            </w:pPr>
            <w:r>
              <w:rPr>
                <w:color w:val="000000"/>
                <w:sz w:val="18"/>
              </w:rPr>
              <w:t>6.2</w:t>
            </w:r>
          </w:p>
        </w:tc>
        <w:tc>
          <w:tcPr>
            <w:tcW w:w="786" w:type="dxa"/>
            <w:shd w:val="clear" w:color="auto" w:fill="FFFFFF"/>
          </w:tcPr>
          <w:p w14:paraId="69E7D9F4" w14:textId="77777777" w:rsidR="00C44440" w:rsidRPr="00235F5D" w:rsidRDefault="00C44440" w:rsidP="008A77BC">
            <w:pPr>
              <w:spacing w:before="40" w:after="0"/>
              <w:jc w:val="right"/>
              <w:rPr>
                <w:b/>
                <w:bCs/>
                <w:color w:val="000000"/>
                <w:sz w:val="18"/>
              </w:rPr>
            </w:pPr>
            <w:r>
              <w:rPr>
                <w:b/>
                <w:bCs/>
                <w:color w:val="000000"/>
                <w:sz w:val="18"/>
              </w:rPr>
              <w:t>8.9</w:t>
            </w:r>
          </w:p>
        </w:tc>
        <w:tc>
          <w:tcPr>
            <w:tcW w:w="1207" w:type="dxa"/>
            <w:shd w:val="clear" w:color="auto" w:fill="auto"/>
          </w:tcPr>
          <w:p w14:paraId="7EA165D7" w14:textId="77777777" w:rsidR="00C44440" w:rsidRPr="005806CE" w:rsidRDefault="00C44440" w:rsidP="008A77BC">
            <w:pPr>
              <w:spacing w:before="40" w:after="0"/>
              <w:jc w:val="right"/>
              <w:rPr>
                <w:color w:val="000000"/>
                <w:sz w:val="18"/>
              </w:rPr>
            </w:pPr>
            <w:r>
              <w:rPr>
                <w:color w:val="000000"/>
                <w:sz w:val="18"/>
              </w:rPr>
              <w:t>0.4</w:t>
            </w:r>
          </w:p>
        </w:tc>
        <w:tc>
          <w:tcPr>
            <w:tcW w:w="741" w:type="dxa"/>
            <w:shd w:val="clear" w:color="auto" w:fill="auto"/>
          </w:tcPr>
          <w:p w14:paraId="10CCE125" w14:textId="77777777" w:rsidR="00C44440" w:rsidRPr="005806CE" w:rsidRDefault="00C44440" w:rsidP="008A77BC">
            <w:pPr>
              <w:spacing w:before="40" w:after="0"/>
              <w:jc w:val="right"/>
              <w:rPr>
                <w:color w:val="000000"/>
                <w:sz w:val="18"/>
              </w:rPr>
            </w:pPr>
            <w:r>
              <w:rPr>
                <w:color w:val="000000"/>
                <w:sz w:val="18"/>
              </w:rPr>
              <w:t>0.6</w:t>
            </w:r>
          </w:p>
        </w:tc>
      </w:tr>
      <w:tr w:rsidR="00C44440" w:rsidRPr="005806CE" w14:paraId="17F70687" w14:textId="77777777" w:rsidTr="008A77BC">
        <w:tc>
          <w:tcPr>
            <w:tcW w:w="4416" w:type="dxa"/>
            <w:tcBorders>
              <w:bottom w:val="single" w:sz="4" w:space="0" w:color="3A6FAF"/>
            </w:tcBorders>
            <w:shd w:val="clear" w:color="auto" w:fill="auto"/>
          </w:tcPr>
          <w:p w14:paraId="63208C52" w14:textId="3CDF6B46" w:rsidR="00C44440" w:rsidRDefault="00C44440" w:rsidP="00B808A2">
            <w:pPr>
              <w:spacing w:before="0" w:after="40"/>
              <w:ind w:left="907"/>
              <w:rPr>
                <w:sz w:val="18"/>
              </w:rPr>
            </w:pPr>
            <w:r w:rsidRPr="005806CE">
              <w:rPr>
                <w:sz w:val="18"/>
              </w:rPr>
              <w:t>whose growth fell in the quarter</w:t>
            </w:r>
          </w:p>
        </w:tc>
        <w:tc>
          <w:tcPr>
            <w:tcW w:w="945" w:type="dxa"/>
            <w:tcBorders>
              <w:bottom w:val="single" w:sz="4" w:space="0" w:color="3A6FAF"/>
            </w:tcBorders>
            <w:shd w:val="clear" w:color="auto" w:fill="auto"/>
          </w:tcPr>
          <w:p w14:paraId="72B40EE9" w14:textId="77777777" w:rsidR="00C44440" w:rsidRDefault="00C44440" w:rsidP="008A77BC">
            <w:pPr>
              <w:spacing w:before="0" w:after="40"/>
              <w:jc w:val="right"/>
              <w:rPr>
                <w:color w:val="000000"/>
                <w:sz w:val="18"/>
              </w:rPr>
            </w:pPr>
          </w:p>
        </w:tc>
        <w:tc>
          <w:tcPr>
            <w:tcW w:w="976" w:type="dxa"/>
            <w:tcBorders>
              <w:bottom w:val="single" w:sz="4" w:space="0" w:color="3A6FAF"/>
            </w:tcBorders>
            <w:shd w:val="clear" w:color="auto" w:fill="FFFFFF"/>
          </w:tcPr>
          <w:p w14:paraId="00ACFAC8" w14:textId="77777777" w:rsidR="00C44440" w:rsidRDefault="00C44440" w:rsidP="008A77BC">
            <w:pPr>
              <w:spacing w:before="0" w:after="40"/>
              <w:jc w:val="right"/>
              <w:rPr>
                <w:color w:val="000000"/>
                <w:sz w:val="18"/>
              </w:rPr>
            </w:pPr>
          </w:p>
        </w:tc>
        <w:tc>
          <w:tcPr>
            <w:tcW w:w="786" w:type="dxa"/>
            <w:tcBorders>
              <w:bottom w:val="single" w:sz="4" w:space="0" w:color="3A6FAF"/>
            </w:tcBorders>
            <w:shd w:val="clear" w:color="auto" w:fill="FFFFFF"/>
          </w:tcPr>
          <w:p w14:paraId="071D8122" w14:textId="77777777" w:rsidR="00C44440" w:rsidRDefault="00C44440" w:rsidP="008A77BC">
            <w:pPr>
              <w:spacing w:before="0" w:after="40"/>
              <w:jc w:val="right"/>
              <w:rPr>
                <w:b/>
                <w:bCs/>
                <w:color w:val="000000"/>
                <w:sz w:val="18"/>
              </w:rPr>
            </w:pPr>
          </w:p>
        </w:tc>
        <w:tc>
          <w:tcPr>
            <w:tcW w:w="1207" w:type="dxa"/>
            <w:tcBorders>
              <w:bottom w:val="single" w:sz="4" w:space="0" w:color="3A6FAF"/>
            </w:tcBorders>
            <w:shd w:val="clear" w:color="auto" w:fill="auto"/>
          </w:tcPr>
          <w:p w14:paraId="11EFAADB" w14:textId="77777777" w:rsidR="00C44440" w:rsidRDefault="00C44440" w:rsidP="008A77BC">
            <w:pPr>
              <w:spacing w:before="0" w:after="40"/>
              <w:jc w:val="right"/>
              <w:rPr>
                <w:color w:val="000000"/>
                <w:sz w:val="18"/>
              </w:rPr>
            </w:pPr>
          </w:p>
        </w:tc>
        <w:tc>
          <w:tcPr>
            <w:tcW w:w="741" w:type="dxa"/>
            <w:tcBorders>
              <w:bottom w:val="single" w:sz="4" w:space="0" w:color="3A6FAF"/>
            </w:tcBorders>
            <w:shd w:val="clear" w:color="auto" w:fill="auto"/>
          </w:tcPr>
          <w:p w14:paraId="327A46B3" w14:textId="77777777" w:rsidR="00C44440" w:rsidRDefault="00C44440" w:rsidP="008A77BC">
            <w:pPr>
              <w:spacing w:before="0" w:after="40"/>
              <w:jc w:val="right"/>
              <w:rPr>
                <w:color w:val="000000"/>
                <w:sz w:val="18"/>
              </w:rPr>
            </w:pPr>
          </w:p>
        </w:tc>
      </w:tr>
    </w:tbl>
    <w:p w14:paraId="46960A67" w14:textId="5441848F" w:rsidR="003F57D7" w:rsidRPr="003F57D7" w:rsidRDefault="00AA152A">
      <w:pPr>
        <w:pStyle w:val="ChartorTableNote"/>
      </w:pPr>
      <w:r w:rsidRPr="00492B71">
        <w:t xml:space="preserve">Note: </w:t>
      </w:r>
      <w:r w:rsidR="00507716">
        <w:t>Turnover change calculated over the year</w:t>
      </w:r>
      <w:r w:rsidR="00616F15">
        <w:t xml:space="preserve"> to specified </w:t>
      </w:r>
      <w:r w:rsidR="00616F15" w:rsidRPr="00DF63C4">
        <w:t>quarter</w:t>
      </w:r>
      <w:r w:rsidRPr="00DF63C4">
        <w:t xml:space="preserve">. </w:t>
      </w:r>
      <w:r w:rsidR="00E84B56" w:rsidRPr="00DF63C4">
        <w:t>Change</w:t>
      </w:r>
      <w:r w:rsidR="00E84B56">
        <w:t xml:space="preserve"> in turnover growth defined as growth from June or September 2019 to comparative period in 2020, less growth from March 2019 to March 2020. </w:t>
      </w:r>
      <w:r w:rsidR="003900D8">
        <w:t xml:space="preserve">Change in </w:t>
      </w:r>
      <w:r w:rsidR="002B10EB">
        <w:t xml:space="preserve">turnover growth </w:t>
      </w:r>
      <w:r w:rsidR="003900D8">
        <w:t>cannot be calculated for all firms with increased turnover</w:t>
      </w:r>
      <w:r w:rsidR="002B10EB">
        <w:t xml:space="preserve"> (e.g. due to firms not existing in March 2019). As such, numbers based on applying share for available sample to the full $4.6 and $9.2 billion figures</w:t>
      </w:r>
      <w:r w:rsidR="003900D8">
        <w:t>.</w:t>
      </w:r>
      <w:r w:rsidR="00E84B56">
        <w:t xml:space="preserve"> </w:t>
      </w:r>
    </w:p>
    <w:p w14:paraId="35F85FFF" w14:textId="4DB871BD" w:rsidR="006E15A6" w:rsidRDefault="006E15A6" w:rsidP="006E15A6">
      <w:pPr>
        <w:pStyle w:val="ChartorTableNote"/>
        <w:rPr>
          <w:lang w:val="en-US"/>
        </w:rPr>
      </w:pPr>
      <w:r w:rsidRPr="009446BE">
        <w:t xml:space="preserve">Source: </w:t>
      </w:r>
      <w:r w:rsidRPr="00875784">
        <w:rPr>
          <w:lang w:val="en-US"/>
        </w:rPr>
        <w:t>Treasury analysis of de</w:t>
      </w:r>
      <w:r w:rsidR="0038520A">
        <w:rPr>
          <w:lang w:val="en-US"/>
        </w:rPr>
        <w:noBreakHyphen/>
      </w:r>
      <w:r w:rsidRPr="00875784">
        <w:rPr>
          <w:lang w:val="en-US"/>
        </w:rPr>
        <w:t>identified administrative data (</w:t>
      </w:r>
      <w:r>
        <w:rPr>
          <w:lang w:val="en-US"/>
        </w:rPr>
        <w:t>BAS</w:t>
      </w:r>
      <w:r w:rsidRPr="00875784">
        <w:rPr>
          <w:lang w:val="en-US"/>
        </w:rPr>
        <w:t xml:space="preserve"> data linked to JobKeeper status).</w:t>
      </w:r>
    </w:p>
    <w:p w14:paraId="4DA18646" w14:textId="353C296B" w:rsidR="00207393" w:rsidRPr="00207393" w:rsidRDefault="0067623F">
      <w:pPr>
        <w:spacing w:before="0" w:after="200" w:line="276" w:lineRule="auto"/>
        <w:rPr>
          <w:lang w:val="en-US"/>
        </w:rPr>
      </w:pPr>
      <w:r>
        <w:rPr>
          <w:lang w:val="en-US"/>
        </w:rPr>
        <w:br w:type="page"/>
      </w:r>
    </w:p>
    <w:p w14:paraId="30F21854" w14:textId="47B39E67" w:rsidR="006E15A6" w:rsidRDefault="006E15A6" w:rsidP="006E15A6">
      <w:r>
        <w:lastRenderedPageBreak/>
        <w:t>The vast majority of these payments went to small businesses. Small businesses with revenue below $50</w:t>
      </w:r>
      <w:r w:rsidR="00922BF1">
        <w:t xml:space="preserve"> </w:t>
      </w:r>
      <w:r>
        <w:t>m</w:t>
      </w:r>
      <w:r w:rsidR="00922BF1">
        <w:t>illion</w:t>
      </w:r>
      <w:r>
        <w:t xml:space="preserve"> accounted for </w:t>
      </w:r>
      <w:r w:rsidR="00392431">
        <w:t>$</w:t>
      </w:r>
      <w:r w:rsidR="0043571F">
        <w:t>22.5</w:t>
      </w:r>
      <w:r w:rsidR="00392431">
        <w:t xml:space="preserve"> billion (</w:t>
      </w:r>
      <w:r>
        <w:t>83 per cent</w:t>
      </w:r>
      <w:r w:rsidR="00392431">
        <w:t>)</w:t>
      </w:r>
      <w:r>
        <w:t xml:space="preserve"> of the payments to businesses </w:t>
      </w:r>
      <w:r w:rsidR="00922BF1">
        <w:t>that</w:t>
      </w:r>
      <w:r>
        <w:t xml:space="preserve"> did</w:t>
      </w:r>
      <w:r w:rsidR="00831D2D">
        <w:t xml:space="preserve"> </w:t>
      </w:r>
      <w:r>
        <w:t>n</w:t>
      </w:r>
      <w:r w:rsidR="00831D2D">
        <w:t>o</w:t>
      </w:r>
      <w:r>
        <w:t xml:space="preserve">t </w:t>
      </w:r>
      <w:r w:rsidR="007F26D0">
        <w:t xml:space="preserve">report </w:t>
      </w:r>
      <w:r>
        <w:t>the expected declines in turnover</w:t>
      </w:r>
      <w:r w:rsidR="00143F05">
        <w:t xml:space="preserve"> </w:t>
      </w:r>
      <w:r w:rsidR="00EB3D47">
        <w:t>in both quarters</w:t>
      </w:r>
      <w:r w:rsidR="00C72502">
        <w:t>, a</w:t>
      </w:r>
      <w:r>
        <w:t>nd</w:t>
      </w:r>
      <w:r w:rsidR="00C1681D">
        <w:t xml:space="preserve"> </w:t>
      </w:r>
      <w:r w:rsidR="00392431">
        <w:t>$12.</w:t>
      </w:r>
      <w:r w:rsidR="0043571F">
        <w:t xml:space="preserve">1 </w:t>
      </w:r>
      <w:r w:rsidR="00392431">
        <w:t>billion (</w:t>
      </w:r>
      <w:r>
        <w:t>88 per cent</w:t>
      </w:r>
      <w:r w:rsidR="00392431">
        <w:t>)</w:t>
      </w:r>
      <w:r>
        <w:t xml:space="preserve"> of the payments to businesses with turnover increases</w:t>
      </w:r>
      <w:r w:rsidR="00485B6C">
        <w:t xml:space="preserve"> (Figure 24)</w:t>
      </w:r>
      <w:r>
        <w:t xml:space="preserve">. In terms of the number of </w:t>
      </w:r>
      <w:r w:rsidR="007B77CB">
        <w:t>businesses</w:t>
      </w:r>
      <w:r>
        <w:t xml:space="preserve">, they account for over 99 per cent </w:t>
      </w:r>
      <w:r w:rsidR="00922BF1">
        <w:t xml:space="preserve">of all recipients </w:t>
      </w:r>
      <w:r>
        <w:t xml:space="preserve">in both cases. The average </w:t>
      </w:r>
      <w:r w:rsidR="00D632E7">
        <w:t xml:space="preserve">business </w:t>
      </w:r>
      <w:r>
        <w:t xml:space="preserve">that did not have </w:t>
      </w:r>
      <w:r w:rsidR="003D0F7F">
        <w:t>a</w:t>
      </w:r>
      <w:r>
        <w:t xml:space="preserve"> decline </w:t>
      </w:r>
      <w:r w:rsidR="003D0F7F">
        <w:t xml:space="preserve">in turnover of 30 per cent (or 50 per cent) </w:t>
      </w:r>
      <w:r>
        <w:t xml:space="preserve">had around </w:t>
      </w:r>
      <w:r w:rsidR="006F0DC3">
        <w:t>four</w:t>
      </w:r>
      <w:r w:rsidR="000C67B1">
        <w:t xml:space="preserve"> </w:t>
      </w:r>
      <w:r>
        <w:t>supported individuals (employees or business participants).</w:t>
      </w:r>
    </w:p>
    <w:p w14:paraId="529C2056" w14:textId="6FA3F995" w:rsidR="006E15A6" w:rsidRDefault="006E15A6" w:rsidP="00DA48B5">
      <w:pPr>
        <w:pStyle w:val="ChartMainHeading"/>
      </w:pPr>
      <w:bookmarkStart w:id="177" w:name="_Hlk83220153"/>
      <w:bookmarkStart w:id="178" w:name="_Toc84842589"/>
      <w:r>
        <w:t xml:space="preserve">JobKeeper </w:t>
      </w:r>
      <w:r w:rsidR="00CA19F4">
        <w:t>payments</w:t>
      </w:r>
      <w:r>
        <w:t xml:space="preserve"> by </w:t>
      </w:r>
      <w:r w:rsidR="00D632E7">
        <w:t>business</w:t>
      </w:r>
      <w:r>
        <w:t xml:space="preserve"> size and turnover category</w:t>
      </w:r>
      <w:bookmarkEnd w:id="177"/>
      <w:r>
        <w:t>, $b</w:t>
      </w:r>
      <w:bookmarkEnd w:id="178"/>
    </w:p>
    <w:tbl>
      <w:tblPr>
        <w:tblStyle w:val="TableGrid"/>
        <w:tblW w:w="5000" w:type="pct"/>
        <w:tblLook w:val="04A0" w:firstRow="1" w:lastRow="0" w:firstColumn="1" w:lastColumn="0" w:noHBand="0" w:noVBand="1"/>
      </w:tblPr>
      <w:tblGrid>
        <w:gridCol w:w="4515"/>
        <w:gridCol w:w="4556"/>
      </w:tblGrid>
      <w:tr w:rsidR="006E15A6" w14:paraId="18DC97AF" w14:textId="77777777" w:rsidTr="006E15A6">
        <w:tc>
          <w:tcPr>
            <w:tcW w:w="4649" w:type="dxa"/>
            <w:shd w:val="clear" w:color="auto" w:fill="auto"/>
          </w:tcPr>
          <w:p w14:paraId="4A916A91" w14:textId="57571543" w:rsidR="006E15A6" w:rsidRPr="00F225D6" w:rsidRDefault="00F53A7C" w:rsidP="006E15A6">
            <w:pPr>
              <w:pStyle w:val="ChartSecondHeading"/>
            </w:pPr>
            <w:r>
              <w:t>a</w:t>
            </w:r>
            <w:r w:rsidR="006E15A6" w:rsidRPr="00F225D6">
              <w:t xml:space="preserve">: Businesses without </w:t>
            </w:r>
            <w:r w:rsidR="006E15A6">
              <w:t>30 (or 50) per cent</w:t>
            </w:r>
            <w:r w:rsidR="006E15A6" w:rsidRPr="00F225D6">
              <w:t xml:space="preserve"> turnover decline</w:t>
            </w:r>
            <w:r w:rsidR="00EB3D47">
              <w:t xml:space="preserve"> in the June and September quarters</w:t>
            </w:r>
          </w:p>
        </w:tc>
        <w:tc>
          <w:tcPr>
            <w:tcW w:w="4649" w:type="dxa"/>
            <w:shd w:val="clear" w:color="auto" w:fill="auto"/>
          </w:tcPr>
          <w:p w14:paraId="47B22906" w14:textId="68468609" w:rsidR="006E15A6" w:rsidRPr="00F225D6" w:rsidRDefault="00F53A7C" w:rsidP="006E15A6">
            <w:pPr>
              <w:pStyle w:val="ChartSecondHeading"/>
            </w:pPr>
            <w:r>
              <w:t>b</w:t>
            </w:r>
            <w:r w:rsidR="006E15A6" w:rsidRPr="00F225D6">
              <w:t xml:space="preserve">: Businesses with </w:t>
            </w:r>
            <w:r w:rsidR="00EB3D47">
              <w:t xml:space="preserve">a </w:t>
            </w:r>
            <w:r w:rsidR="006E15A6" w:rsidRPr="00F225D6">
              <w:t>turnover increase</w:t>
            </w:r>
            <w:r w:rsidR="00AF4A1C">
              <w:t xml:space="preserve"> in the June and September quarters</w:t>
            </w:r>
          </w:p>
        </w:tc>
      </w:tr>
      <w:tr w:rsidR="006E15A6" w14:paraId="2777989B" w14:textId="77777777" w:rsidTr="006E15A6">
        <w:tc>
          <w:tcPr>
            <w:tcW w:w="4649" w:type="dxa"/>
            <w:shd w:val="clear" w:color="auto" w:fill="auto"/>
          </w:tcPr>
          <w:p w14:paraId="61B3D982" w14:textId="0EA90BFC" w:rsidR="006E15A6" w:rsidRDefault="004733CE" w:rsidP="00922BF1">
            <w:pPr>
              <w:pStyle w:val="ChartGraphic"/>
              <w:ind w:left="-57"/>
              <w:rPr>
                <w:b/>
                <w:bCs/>
              </w:rPr>
            </w:pPr>
            <w:r>
              <w:rPr>
                <w:b/>
                <w:bCs/>
                <w:noProof/>
              </w:rPr>
              <w:t xml:space="preserve"> </w:t>
            </w:r>
            <w:r>
              <w:rPr>
                <w:b/>
                <w:bCs/>
                <w:noProof/>
              </w:rPr>
              <w:drawing>
                <wp:inline distT="0" distB="0" distL="0" distR="0" wp14:anchorId="77AF0A3A" wp14:editId="167A1E51">
                  <wp:extent cx="2811145" cy="3423986"/>
                  <wp:effectExtent l="0" t="0" r="8255" b="5080"/>
                  <wp:docPr id="484" name="Picture 484" descr="Panel A shows a pie chart of JobKeeper payments in the June and September quarters that went to businesses who did not have turnover declines larger than 30 (or 50) per cent, separated by firm size. It shows that the majority of these payments (83%) that went to firms who did not have the expected turnover decline were small businesses (defined as sales less than $50 million). Data underlying Panel A can be found in Tables 12 and 15 in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anel A shows a pie chart of JobKeeper payments in the June and September quarters that went to businesses who did not have turnover declines larger than 30 (or 50) per cent, separated by firm size. It shows that the majority of these payments (83%) that went to firms who did not have the expected turnover decline were small businesses (defined as sales less than $50 million). Data underlying Panel A can be found in Tables 12 and 15 in Appendix 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811145" cy="3423986"/>
                          </a:xfrm>
                          <a:prstGeom prst="rect">
                            <a:avLst/>
                          </a:prstGeom>
                          <a:noFill/>
                          <a:ln>
                            <a:noFill/>
                          </a:ln>
                        </pic:spPr>
                      </pic:pic>
                    </a:graphicData>
                  </a:graphic>
                </wp:inline>
              </w:drawing>
            </w:r>
          </w:p>
        </w:tc>
        <w:tc>
          <w:tcPr>
            <w:tcW w:w="4649" w:type="dxa"/>
            <w:shd w:val="clear" w:color="auto" w:fill="auto"/>
          </w:tcPr>
          <w:p w14:paraId="4BAC2E43" w14:textId="30026FD8" w:rsidR="006E15A6" w:rsidRDefault="00B002C0" w:rsidP="006E15A6">
            <w:pPr>
              <w:pStyle w:val="ChartGraphic"/>
              <w:rPr>
                <w:b/>
                <w:bCs/>
              </w:rPr>
            </w:pPr>
            <w:r>
              <w:rPr>
                <w:noProof/>
              </w:rPr>
              <w:t xml:space="preserve"> </w:t>
            </w:r>
            <w:r>
              <w:rPr>
                <w:noProof/>
              </w:rPr>
              <w:drawing>
                <wp:inline distT="0" distB="0" distL="0" distR="0" wp14:anchorId="5735DF3A" wp14:editId="32956AC2">
                  <wp:extent cx="2809893" cy="3422462"/>
                  <wp:effectExtent l="0" t="0" r="0" b="6985"/>
                  <wp:docPr id="483" name="Picture 483" descr="Panel B shows a similar pie chart of JobKeeper payments in the June and September quarters that went to businesses who had turnover increases, separated by firm size. It shows that the vast majority of these payments (88%) were small businesses (defined as sales less than $50 million). Data underlying Panel B can be found in Tables 12 and 15 in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anel B shows a similar pie chart of JobKeeper payments in the June and September quarters that went to businesses who had turnover increases, separated by firm size. It shows that the vast majority of these payments (88%) were small businesses (defined as sales less than $50 million). Data underlying Panel B can be found in Tables 12 and 15 in Appendix 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809893" cy="3422462"/>
                          </a:xfrm>
                          <a:prstGeom prst="rect">
                            <a:avLst/>
                          </a:prstGeom>
                          <a:noFill/>
                          <a:ln>
                            <a:noFill/>
                          </a:ln>
                        </pic:spPr>
                      </pic:pic>
                    </a:graphicData>
                  </a:graphic>
                </wp:inline>
              </w:drawing>
            </w:r>
          </w:p>
        </w:tc>
      </w:tr>
    </w:tbl>
    <w:p w14:paraId="32264B1A" w14:textId="4168D7DD" w:rsidR="006E15A6" w:rsidRDefault="006E15A6" w:rsidP="006E15A6">
      <w:pPr>
        <w:pStyle w:val="ChartorTableNote"/>
        <w:rPr>
          <w:lang w:val="en-US"/>
        </w:rPr>
      </w:pPr>
      <w:r w:rsidRPr="009446BE">
        <w:t xml:space="preserve">Source: </w:t>
      </w:r>
      <w:r w:rsidRPr="00875784">
        <w:rPr>
          <w:lang w:val="en-US"/>
        </w:rPr>
        <w:t>Treasury analysis of de</w:t>
      </w:r>
      <w:r w:rsidR="0038520A">
        <w:rPr>
          <w:lang w:val="en-US"/>
        </w:rPr>
        <w:noBreakHyphen/>
      </w:r>
      <w:r w:rsidRPr="00875784">
        <w:rPr>
          <w:lang w:val="en-US"/>
        </w:rPr>
        <w:t>identified administrative data (</w:t>
      </w:r>
      <w:r>
        <w:rPr>
          <w:lang w:val="en-US"/>
        </w:rPr>
        <w:t>BAS</w:t>
      </w:r>
      <w:r w:rsidRPr="00875784">
        <w:rPr>
          <w:lang w:val="en-US"/>
        </w:rPr>
        <w:t xml:space="preserve"> data linked to JobKeeper status).</w:t>
      </w:r>
    </w:p>
    <w:p w14:paraId="504CC4D0" w14:textId="77777777" w:rsidR="00207393" w:rsidRPr="00207393" w:rsidRDefault="00207393" w:rsidP="00207393">
      <w:pPr>
        <w:pStyle w:val="SingleParagraph"/>
        <w:rPr>
          <w:lang w:val="en-US"/>
        </w:rPr>
      </w:pPr>
    </w:p>
    <w:p w14:paraId="029E9A3F" w14:textId="36279C2E" w:rsidR="006E15A6" w:rsidRDefault="006E15A6" w:rsidP="006E15A6">
      <w:r>
        <w:t>In the June quarter</w:t>
      </w:r>
      <w:r w:rsidR="00E94DD5">
        <w:t xml:space="preserve"> 2020</w:t>
      </w:r>
      <w:r>
        <w:t xml:space="preserve">, shares of </w:t>
      </w:r>
      <w:r w:rsidR="00D63D03">
        <w:t>businesses</w:t>
      </w:r>
      <w:r>
        <w:t xml:space="preserve"> with </w:t>
      </w:r>
      <w:r w:rsidR="00905363">
        <w:t>through-the-year</w:t>
      </w:r>
      <w:r w:rsidR="004243D6">
        <w:t xml:space="preserve"> </w:t>
      </w:r>
      <w:r>
        <w:t xml:space="preserve">turnover declines larger than </w:t>
      </w:r>
      <w:r w:rsidR="005D3935">
        <w:t>30 per cent (or 50</w:t>
      </w:r>
      <w:r w:rsidR="00B5520F">
        <w:t> </w:t>
      </w:r>
      <w:r w:rsidR="005D3935">
        <w:t>per cent)</w:t>
      </w:r>
      <w:r>
        <w:t xml:space="preserve"> were quite similar across states. However, in the September quarter a larger share of </w:t>
      </w:r>
      <w:r w:rsidR="00D63D03">
        <w:t>businesses</w:t>
      </w:r>
      <w:r>
        <w:t xml:space="preserve"> in Victoria had </w:t>
      </w:r>
      <w:r w:rsidR="00142F1E">
        <w:t xml:space="preserve">more significant </w:t>
      </w:r>
      <w:r>
        <w:t xml:space="preserve">turnover declines (see Tables </w:t>
      </w:r>
      <w:r w:rsidR="00947EEF">
        <w:t>1</w:t>
      </w:r>
      <w:r w:rsidR="00156486">
        <w:t>4</w:t>
      </w:r>
      <w:r w:rsidR="00947EEF">
        <w:t xml:space="preserve"> and </w:t>
      </w:r>
      <w:r w:rsidR="003570DD">
        <w:t>1</w:t>
      </w:r>
      <w:r w:rsidR="00156486">
        <w:t>7</w:t>
      </w:r>
      <w:r>
        <w:t>).</w:t>
      </w:r>
    </w:p>
    <w:p w14:paraId="19900582" w14:textId="37F2B8B6" w:rsidR="006E15A6" w:rsidRDefault="000D71E1" w:rsidP="006E15A6">
      <w:r>
        <w:t>Across industries, t</w:t>
      </w:r>
      <w:r w:rsidR="008877EF">
        <w:t xml:space="preserve">he </w:t>
      </w:r>
      <w:r w:rsidR="004527C2">
        <w:t>analysis</w:t>
      </w:r>
      <w:r w:rsidR="008877EF">
        <w:t xml:space="preserve"> </w:t>
      </w:r>
      <w:r w:rsidR="00BC6B69">
        <w:t>suggests</w:t>
      </w:r>
      <w:r w:rsidR="008877EF">
        <w:t xml:space="preserve"> that </w:t>
      </w:r>
      <w:r w:rsidR="008D2A80">
        <w:t>businesses in</w:t>
      </w:r>
      <w:r>
        <w:t xml:space="preserve"> </w:t>
      </w:r>
      <w:r w:rsidR="00357E83">
        <w:t xml:space="preserve">accommodation and food, and arts and recreation </w:t>
      </w:r>
      <w:r w:rsidR="008D2A80">
        <w:t xml:space="preserve">were most likely to experience </w:t>
      </w:r>
      <w:r w:rsidR="00B5687F">
        <w:t xml:space="preserve">a </w:t>
      </w:r>
      <w:r w:rsidR="008D2A80">
        <w:t>turnover decline</w:t>
      </w:r>
      <w:r w:rsidR="00082BDA">
        <w:t xml:space="preserve"> </w:t>
      </w:r>
      <w:r w:rsidR="000F7788">
        <w:t>of 30 per cent (or 50</w:t>
      </w:r>
      <w:r w:rsidR="005A2DA6">
        <w:t> </w:t>
      </w:r>
      <w:r w:rsidR="000F7788">
        <w:t xml:space="preserve">per cent) </w:t>
      </w:r>
      <w:r w:rsidR="00F050C3">
        <w:t xml:space="preserve">compared </w:t>
      </w:r>
      <w:r w:rsidR="00160434">
        <w:t>with</w:t>
      </w:r>
      <w:r w:rsidR="00F050C3">
        <w:t xml:space="preserve"> a year earlier</w:t>
      </w:r>
      <w:r w:rsidR="00B5687F">
        <w:t xml:space="preserve"> </w:t>
      </w:r>
      <w:r w:rsidR="00082BDA">
        <w:t>(Tables 1</w:t>
      </w:r>
      <w:r w:rsidR="00156486">
        <w:t>3</w:t>
      </w:r>
      <w:r w:rsidR="00082BDA">
        <w:t xml:space="preserve"> and 1</w:t>
      </w:r>
      <w:r w:rsidR="00156486">
        <w:t>6</w:t>
      </w:r>
      <w:r w:rsidR="00082BDA">
        <w:t>)</w:t>
      </w:r>
      <w:r w:rsidR="008D2A80">
        <w:t xml:space="preserve">. In contrast, </w:t>
      </w:r>
      <w:r w:rsidR="009B47B9">
        <w:t xml:space="preserve">of the industries that </w:t>
      </w:r>
      <w:r w:rsidR="00EF3D27">
        <w:t>received substantial</w:t>
      </w:r>
      <w:r w:rsidR="009B47B9">
        <w:t xml:space="preserve"> JobKeeper payments</w:t>
      </w:r>
      <w:r w:rsidR="008D2A80">
        <w:t>, businesses in</w:t>
      </w:r>
      <w:r w:rsidR="00357E83" w:rsidDel="008D2A80">
        <w:t xml:space="preserve"> </w:t>
      </w:r>
      <w:r w:rsidR="00357E83">
        <w:t xml:space="preserve">construction, manufacturing, </w:t>
      </w:r>
      <w:r w:rsidR="00AB25A6">
        <w:t xml:space="preserve">and </w:t>
      </w:r>
      <w:r w:rsidR="00357E83">
        <w:t xml:space="preserve">wholesale and retail trade </w:t>
      </w:r>
      <w:r w:rsidR="008D2A80">
        <w:t xml:space="preserve">were less likely to experience </w:t>
      </w:r>
      <w:r w:rsidR="00905363">
        <w:t xml:space="preserve">a </w:t>
      </w:r>
      <w:r w:rsidR="008D2A80">
        <w:t>turnover decline</w:t>
      </w:r>
      <w:r w:rsidR="000F7788">
        <w:t xml:space="preserve"> of 30 per cent (or 50 per cent)</w:t>
      </w:r>
      <w:r w:rsidR="00F050C3">
        <w:t xml:space="preserve"> compared </w:t>
      </w:r>
      <w:r w:rsidR="00160434">
        <w:t>with</w:t>
      </w:r>
      <w:r w:rsidR="00F050C3">
        <w:t xml:space="preserve"> a year earlier</w:t>
      </w:r>
      <w:r w:rsidR="006E15A6">
        <w:t>.</w:t>
      </w:r>
      <w:r w:rsidR="008D2A80">
        <w:t xml:space="preserve"> </w:t>
      </w:r>
      <w:r w:rsidR="00605721">
        <w:t xml:space="preserve">Detailed data on JobKeeper recipients by turnover are </w:t>
      </w:r>
      <w:r w:rsidR="00752DE4">
        <w:t>available</w:t>
      </w:r>
      <w:r w:rsidR="00605721">
        <w:t xml:space="preserve"> in Appendix 2.</w:t>
      </w:r>
    </w:p>
    <w:bookmarkEnd w:id="175"/>
    <w:p w14:paraId="52AEC909" w14:textId="77777777" w:rsidR="00D34D98" w:rsidRPr="009543F1" w:rsidRDefault="00D34D98" w:rsidP="00D34D98">
      <w:pPr>
        <w:rPr>
          <w:rFonts w:cs="Arial"/>
          <w:color w:val="3A6FAF" w:themeColor="accent2"/>
          <w:kern w:val="32"/>
          <w:sz w:val="28"/>
          <w:szCs w:val="28"/>
        </w:rPr>
      </w:pPr>
      <w:r>
        <w:rPr>
          <w:rFonts w:cs="Arial"/>
          <w:color w:val="3A6FAF" w:themeColor="accent2"/>
          <w:kern w:val="32"/>
          <w:sz w:val="28"/>
          <w:szCs w:val="28"/>
        </w:rPr>
        <w:t>B</w:t>
      </w:r>
      <w:r w:rsidRPr="009543F1">
        <w:rPr>
          <w:rFonts w:cs="Arial"/>
          <w:color w:val="3A6FAF" w:themeColor="accent2"/>
          <w:kern w:val="32"/>
          <w:sz w:val="28"/>
          <w:szCs w:val="28"/>
        </w:rPr>
        <w:t xml:space="preserve">ut many </w:t>
      </w:r>
      <w:r>
        <w:rPr>
          <w:rFonts w:cs="Arial"/>
          <w:color w:val="3A6FAF" w:themeColor="accent2"/>
          <w:kern w:val="32"/>
          <w:sz w:val="28"/>
          <w:szCs w:val="28"/>
        </w:rPr>
        <w:t xml:space="preserve">businesses </w:t>
      </w:r>
      <w:r w:rsidRPr="009543F1">
        <w:rPr>
          <w:rFonts w:cs="Arial"/>
          <w:color w:val="3A6FAF" w:themeColor="accent2"/>
          <w:kern w:val="32"/>
          <w:sz w:val="28"/>
          <w:szCs w:val="28"/>
        </w:rPr>
        <w:t>that appear not to have had large turnover declines were still significantly affected by COVID-19 restrictions</w:t>
      </w:r>
    </w:p>
    <w:p w14:paraId="496439CF" w14:textId="77777777" w:rsidR="001B758F" w:rsidRDefault="006E15A6" w:rsidP="00484F42">
      <w:r>
        <w:t xml:space="preserve">For </w:t>
      </w:r>
      <w:r w:rsidR="009064E1">
        <w:t xml:space="preserve">some </w:t>
      </w:r>
      <w:r w:rsidR="007B77CB">
        <w:t>businesses</w:t>
      </w:r>
      <w:r>
        <w:t>, the same quarter in the previous year did not represent a reasonable comparison period to assess the impact of COVID</w:t>
      </w:r>
      <w:r w:rsidR="0038520A">
        <w:noBreakHyphen/>
      </w:r>
      <w:r w:rsidR="007B77CB" w:rsidRPr="007B77CB">
        <w:t>19</w:t>
      </w:r>
      <w:r>
        <w:t xml:space="preserve">. For example, young and growing </w:t>
      </w:r>
      <w:r w:rsidR="007B77CB">
        <w:t>businesses</w:t>
      </w:r>
      <w:r>
        <w:t xml:space="preserve"> may have experienced substantial growth over the year to </w:t>
      </w:r>
      <w:r w:rsidR="00297680">
        <w:t xml:space="preserve">the </w:t>
      </w:r>
      <w:r>
        <w:t xml:space="preserve">March </w:t>
      </w:r>
      <w:r w:rsidR="00297680">
        <w:t>quarter</w:t>
      </w:r>
      <w:r>
        <w:t xml:space="preserve"> 2020 and then been </w:t>
      </w:r>
      <w:r>
        <w:lastRenderedPageBreak/>
        <w:t>significantly impacted in the June quarter</w:t>
      </w:r>
      <w:r w:rsidR="009F489D">
        <w:t>. These businesses may have</w:t>
      </w:r>
      <w:r w:rsidR="008364A9">
        <w:t xml:space="preserve"> experienc</w:t>
      </w:r>
      <w:r w:rsidR="009F489D">
        <w:t>ed</w:t>
      </w:r>
      <w:r w:rsidR="008364A9">
        <w:t xml:space="preserve"> a decline in turnover</w:t>
      </w:r>
      <w:r w:rsidR="00892B79">
        <w:t xml:space="preserve"> in the June quarter, but not over the year to </w:t>
      </w:r>
      <w:r w:rsidR="00297680">
        <w:t xml:space="preserve">the </w:t>
      </w:r>
      <w:r w:rsidR="00892B79">
        <w:t>June</w:t>
      </w:r>
      <w:r w:rsidR="00297680">
        <w:t xml:space="preserve"> quarter</w:t>
      </w:r>
      <w:r>
        <w:t xml:space="preserve">. These </w:t>
      </w:r>
      <w:r w:rsidR="007B77CB">
        <w:t>businesses</w:t>
      </w:r>
      <w:r>
        <w:t xml:space="preserve"> were able to use alternative turnover tests </w:t>
      </w:r>
      <w:r w:rsidR="009F489D">
        <w:t xml:space="preserve">to determine their eligibility </w:t>
      </w:r>
      <w:r>
        <w:t>with more appropriate reference periods.</w:t>
      </w:r>
    </w:p>
    <w:p w14:paraId="0DB1D022" w14:textId="4BA9FD12" w:rsidR="00484F42" w:rsidRPr="00D80FD9" w:rsidRDefault="002446F7" w:rsidP="00484F42">
      <w:r>
        <w:t>D</w:t>
      </w:r>
      <w:r w:rsidR="0061046F">
        <w:t>ata w</w:t>
      </w:r>
      <w:r w:rsidR="006B4069">
        <w:t>ere</w:t>
      </w:r>
      <w:r w:rsidR="0061046F">
        <w:t xml:space="preserve"> not systematically captured on the test that businesses used to determine their eligibility.</w:t>
      </w:r>
      <w:r w:rsidR="0061046F">
        <w:rPr>
          <w:rStyle w:val="FootnoteReference"/>
        </w:rPr>
        <w:footnoteReference w:id="31"/>
      </w:r>
      <w:r w:rsidR="0061046F">
        <w:t xml:space="preserve"> To examine the extent to which </w:t>
      </w:r>
      <w:r w:rsidR="00EB219A">
        <w:t xml:space="preserve">rapidly growing </w:t>
      </w:r>
      <w:r w:rsidR="00E83BA5" w:rsidRPr="00E83BA5">
        <w:t>businesses</w:t>
      </w:r>
      <w:r w:rsidR="00EB219A">
        <w:t xml:space="preserve"> were </w:t>
      </w:r>
      <w:r w:rsidR="007D67FE">
        <w:t>affected</w:t>
      </w:r>
      <w:r w:rsidR="00EB219A">
        <w:t xml:space="preserve"> by COVID</w:t>
      </w:r>
      <w:r w:rsidR="0038520A">
        <w:noBreakHyphen/>
      </w:r>
      <w:r w:rsidR="00EB219A">
        <w:t>19</w:t>
      </w:r>
      <w:r w:rsidR="007D67FE">
        <w:t xml:space="preserve"> restrictions</w:t>
      </w:r>
      <w:r w:rsidR="000C6501">
        <w:t>,</w:t>
      </w:r>
      <w:r w:rsidR="00EB219A">
        <w:t xml:space="preserve"> </w:t>
      </w:r>
      <w:r w:rsidR="0061046F">
        <w:t>Treasury examined the change in the through</w:t>
      </w:r>
      <w:r w:rsidR="0038520A">
        <w:noBreakHyphen/>
      </w:r>
      <w:r w:rsidR="0061046F">
        <w:t>the</w:t>
      </w:r>
      <w:r w:rsidR="0038520A">
        <w:noBreakHyphen/>
      </w:r>
      <w:r w:rsidR="0061046F">
        <w:t>year turnover growth rate from the March quarter.</w:t>
      </w:r>
      <w:r w:rsidR="00A86541">
        <w:rPr>
          <w:rStyle w:val="FootnoteReference"/>
        </w:rPr>
        <w:footnoteReference w:id="32"/>
      </w:r>
      <w:r w:rsidR="0061046F">
        <w:t xml:space="preserve"> The analysis shows that around $4.9 billion (35 per cent) of the $13.8</w:t>
      </w:r>
      <w:r w:rsidR="00297680">
        <w:t> </w:t>
      </w:r>
      <w:r w:rsidR="0061046F">
        <w:t xml:space="preserve">billion paid to </w:t>
      </w:r>
      <w:r w:rsidR="00E83BA5">
        <w:t>businesses</w:t>
      </w:r>
      <w:r w:rsidR="0061046F">
        <w:t xml:space="preserve"> with increases in turnover through the year was paid to </w:t>
      </w:r>
      <w:r w:rsidR="00E83BA5">
        <w:t>businesses</w:t>
      </w:r>
      <w:r w:rsidR="0061046F">
        <w:t xml:space="preserve"> that actually had a decline in </w:t>
      </w:r>
      <w:r w:rsidR="00A84C07">
        <w:t>through</w:t>
      </w:r>
      <w:r w:rsidR="0038520A">
        <w:noBreakHyphen/>
      </w:r>
      <w:r w:rsidR="00A84C07">
        <w:t>the</w:t>
      </w:r>
      <w:r w:rsidR="0038520A">
        <w:noBreakHyphen/>
      </w:r>
      <w:r w:rsidR="00A84C07">
        <w:t xml:space="preserve">year </w:t>
      </w:r>
      <w:r w:rsidR="0061046F" w:rsidRPr="00D80FD9">
        <w:t>turnover growth since the March quarter.</w:t>
      </w:r>
      <w:r w:rsidR="0061046F" w:rsidRPr="00D80FD9">
        <w:rPr>
          <w:rStyle w:val="FootnoteReference"/>
        </w:rPr>
        <w:footnoteReference w:id="33"/>
      </w:r>
      <w:r w:rsidR="0061046F" w:rsidRPr="00D80FD9">
        <w:t xml:space="preserve"> Th</w:t>
      </w:r>
      <w:r w:rsidR="00FD0EC0" w:rsidRPr="00D80FD9">
        <w:t>ese businesses are likely to have been eligible to use an alternative test</w:t>
      </w:r>
      <w:r w:rsidR="00266FC0" w:rsidRPr="00D80FD9">
        <w:t>, and their turnover looks to have declined in the June</w:t>
      </w:r>
      <w:r w:rsidR="00763CC5">
        <w:t> </w:t>
      </w:r>
      <w:r w:rsidR="00266FC0" w:rsidRPr="00D80FD9">
        <w:t>quarter 2020 (in seasonally adjusted terms)</w:t>
      </w:r>
      <w:r w:rsidR="00FD0EC0" w:rsidRPr="00D80FD9">
        <w:t xml:space="preserve">. </w:t>
      </w:r>
      <w:r w:rsidR="00484F42" w:rsidRPr="00D80FD9">
        <w:t xml:space="preserve">Abstracting from payments to </w:t>
      </w:r>
      <w:r w:rsidR="00262F42" w:rsidRPr="00D80FD9">
        <w:t xml:space="preserve">these </w:t>
      </w:r>
      <w:r w:rsidR="00484F42" w:rsidRPr="00D80FD9">
        <w:t xml:space="preserve">businesses, payments to businesses with </w:t>
      </w:r>
      <w:r w:rsidR="00262F42" w:rsidRPr="00D80FD9">
        <w:t>an increase in</w:t>
      </w:r>
      <w:r w:rsidR="00484F42" w:rsidRPr="00D80FD9">
        <w:t xml:space="preserve"> turnover amounted to around $8.9 billion.</w:t>
      </w:r>
    </w:p>
    <w:p w14:paraId="69EBC97C" w14:textId="55A4011F" w:rsidR="006E15A6" w:rsidRPr="00D80FD9" w:rsidRDefault="006E15A6" w:rsidP="006E15A6">
      <w:r w:rsidRPr="00D80FD9">
        <w:t xml:space="preserve">These types of dynamics appear to be particularly important for </w:t>
      </w:r>
      <w:r w:rsidR="007B77CB" w:rsidRPr="00D80FD9">
        <w:t>businesses</w:t>
      </w:r>
      <w:r w:rsidRPr="00D80FD9">
        <w:t xml:space="preserve"> that </w:t>
      </w:r>
      <w:r w:rsidR="00925272" w:rsidRPr="00D80FD9">
        <w:t>had</w:t>
      </w:r>
      <w:r w:rsidRPr="00D80FD9">
        <w:t xml:space="preserve"> large turnover increases. Around</w:t>
      </w:r>
      <w:r w:rsidRPr="00D80FD9" w:rsidDel="005C3BCF">
        <w:t xml:space="preserve"> </w:t>
      </w:r>
      <w:r w:rsidR="005C3BCF" w:rsidRPr="00D80FD9">
        <w:t>6</w:t>
      </w:r>
      <w:r w:rsidRPr="00D80FD9">
        <w:t xml:space="preserve"> per cent of businesses within the sample (approximately 35,000) had turnover increases of over 100 per cent </w:t>
      </w:r>
      <w:r w:rsidR="004B619A">
        <w:t>over</w:t>
      </w:r>
      <w:r w:rsidR="004B619A" w:rsidRPr="00D80FD9">
        <w:t xml:space="preserve"> </w:t>
      </w:r>
      <w:r w:rsidRPr="00D80FD9">
        <w:t xml:space="preserve">the </w:t>
      </w:r>
      <w:r w:rsidR="004B619A">
        <w:t xml:space="preserve">year to the </w:t>
      </w:r>
      <w:r w:rsidRPr="00D80FD9">
        <w:t>June quarter, accounting for around $6</w:t>
      </w:r>
      <w:r w:rsidR="00B85F66" w:rsidRPr="00D80FD9">
        <w:t>9</w:t>
      </w:r>
      <w:r w:rsidRPr="00D80FD9">
        <w:t>0</w:t>
      </w:r>
      <w:r w:rsidR="005A2DA6">
        <w:t> </w:t>
      </w:r>
      <w:r w:rsidRPr="00D80FD9">
        <w:t xml:space="preserve">million of JobKeeper payments. These </w:t>
      </w:r>
      <w:r w:rsidR="007B77CB" w:rsidRPr="00D80FD9">
        <w:t>businesses</w:t>
      </w:r>
      <w:r w:rsidRPr="00D80FD9">
        <w:t xml:space="preserve"> were very small, </w:t>
      </w:r>
      <w:r w:rsidR="004B7155" w:rsidRPr="00D80FD9">
        <w:t xml:space="preserve">with </w:t>
      </w:r>
      <w:r w:rsidRPr="00D80FD9">
        <w:t xml:space="preserve">around 77 per cent </w:t>
      </w:r>
      <w:r w:rsidR="004B7155" w:rsidRPr="00D80FD9">
        <w:t>having</w:t>
      </w:r>
      <w:r w:rsidRPr="00D80FD9">
        <w:t xml:space="preserve"> two or fewer JobKeeper</w:t>
      </w:r>
      <w:r w:rsidR="0038520A" w:rsidRPr="00D80FD9">
        <w:noBreakHyphen/>
      </w:r>
      <w:r w:rsidRPr="00D80FD9">
        <w:t xml:space="preserve">nominated </w:t>
      </w:r>
      <w:r w:rsidR="00557F31">
        <w:t>individuals</w:t>
      </w:r>
      <w:r w:rsidRPr="00D80FD9">
        <w:t>. Of the $6</w:t>
      </w:r>
      <w:r w:rsidR="00B85F66" w:rsidRPr="00D80FD9">
        <w:t>9</w:t>
      </w:r>
      <w:r w:rsidRPr="00D80FD9">
        <w:t xml:space="preserve">0 million paid to these </w:t>
      </w:r>
      <w:r w:rsidR="007B77CB" w:rsidRPr="00D80FD9">
        <w:t>businesses</w:t>
      </w:r>
      <w:r w:rsidRPr="00D80FD9">
        <w:t xml:space="preserve">, 75 per cent was paid to </w:t>
      </w:r>
      <w:r w:rsidR="007B77CB" w:rsidRPr="00D80FD9">
        <w:t>businesses</w:t>
      </w:r>
      <w:r w:rsidRPr="00D80FD9">
        <w:t xml:space="preserve"> that had </w:t>
      </w:r>
      <w:r w:rsidR="009841B4" w:rsidRPr="00D80FD9">
        <w:t>a decline in through</w:t>
      </w:r>
      <w:r w:rsidR="0038520A" w:rsidRPr="00D80FD9">
        <w:noBreakHyphen/>
      </w:r>
      <w:r w:rsidR="009841B4" w:rsidRPr="00D80FD9">
        <w:t>the</w:t>
      </w:r>
      <w:r w:rsidR="0038520A" w:rsidRPr="00D80FD9">
        <w:noBreakHyphen/>
      </w:r>
      <w:r w:rsidR="009841B4" w:rsidRPr="00D80FD9">
        <w:t>year growth</w:t>
      </w:r>
      <w:r w:rsidRPr="00D80FD9">
        <w:t xml:space="preserve"> in the June quarter</w:t>
      </w:r>
      <w:r w:rsidR="00722FB3" w:rsidRPr="00D80FD9">
        <w:t>.</w:t>
      </w:r>
    </w:p>
    <w:p w14:paraId="51067FA7" w14:textId="6E34F5A3" w:rsidR="009064E1" w:rsidRPr="00D80FD9" w:rsidRDefault="009064E1" w:rsidP="006E15A6">
      <w:bookmarkStart w:id="179" w:name="_Hlk84665858"/>
      <w:r w:rsidRPr="006949B5">
        <w:t xml:space="preserve">Other businesses that did not have </w:t>
      </w:r>
      <w:r w:rsidR="00811A55">
        <w:t>a</w:t>
      </w:r>
      <w:r w:rsidRPr="006949B5">
        <w:t xml:space="preserve"> turnover decline </w:t>
      </w:r>
      <w:r w:rsidR="00811A55">
        <w:t xml:space="preserve">of 30 per cent (or 50 per cent) </w:t>
      </w:r>
      <w:r w:rsidR="004B619A">
        <w:t xml:space="preserve">over the year to </w:t>
      </w:r>
      <w:r w:rsidRPr="006949B5">
        <w:t>the quarter did face significant declines in turnover in the early months of restrictions.</w:t>
      </w:r>
      <w:r w:rsidR="00DE62B2" w:rsidRPr="006949B5">
        <w:rPr>
          <w:rStyle w:val="FootnoteReference"/>
        </w:rPr>
        <w:footnoteReference w:id="34"/>
      </w:r>
      <w:r w:rsidRPr="006949B5">
        <w:t xml:space="preserve"> </w:t>
      </w:r>
      <w:r w:rsidR="00CF7E21" w:rsidRPr="006949B5">
        <w:t xml:space="preserve">Analysis of businesses that report their turnover on a monthly frequency shows that around </w:t>
      </w:r>
      <w:r w:rsidR="007A1349" w:rsidRPr="006949B5">
        <w:t>40</w:t>
      </w:r>
      <w:r w:rsidRPr="006949B5">
        <w:t xml:space="preserve"> per cent of businesses that did not have </w:t>
      </w:r>
      <w:r w:rsidR="00905363">
        <w:t>a through-the-year</w:t>
      </w:r>
      <w:r w:rsidR="00811A55">
        <w:t xml:space="preserve"> turnover</w:t>
      </w:r>
      <w:r w:rsidRPr="006949B5">
        <w:t xml:space="preserve"> decline </w:t>
      </w:r>
      <w:r w:rsidR="00811A55">
        <w:t xml:space="preserve">of 30 per cent (or 50 per cent) </w:t>
      </w:r>
      <w:r w:rsidRPr="006949B5">
        <w:t xml:space="preserve">in the June quarter overall did experience such a decline in the month of April. </w:t>
      </w:r>
      <w:r w:rsidR="00497744" w:rsidRPr="006949B5">
        <w:t>For these businesses, this outcome likely reflects the earlier</w:t>
      </w:r>
      <w:r w:rsidR="00B11E99" w:rsidRPr="006949B5">
        <w:t>-</w:t>
      </w:r>
      <w:r w:rsidR="00497744" w:rsidRPr="006949B5">
        <w:t>than</w:t>
      </w:r>
      <w:r w:rsidR="00B11E99" w:rsidRPr="006949B5">
        <w:t>-</w:t>
      </w:r>
      <w:r w:rsidR="00497744" w:rsidRPr="006949B5">
        <w:t xml:space="preserve">expected easing of restrictions and the surprisingly strong economic recovery. </w:t>
      </w:r>
    </w:p>
    <w:bookmarkEnd w:id="179"/>
    <w:p w14:paraId="3F6B8424" w14:textId="15C2D69D" w:rsidR="00EE4E4F" w:rsidRDefault="003B1221" w:rsidP="00EE4E4F">
      <w:r w:rsidRPr="00D80FD9">
        <w:t xml:space="preserve">The effect of the strong recovery was also evident in the quarterly outcomes. </w:t>
      </w:r>
      <w:r w:rsidR="00EE4E4F" w:rsidRPr="00D80FD9">
        <w:t>Of the $9.2 billion that went to businesses with a turnover increase</w:t>
      </w:r>
      <w:r w:rsidR="00EE4E4F" w:rsidRPr="00D80FD9" w:rsidDel="004B619A">
        <w:t xml:space="preserve"> </w:t>
      </w:r>
      <w:r w:rsidR="004B619A">
        <w:t>over the year to</w:t>
      </w:r>
      <w:r w:rsidR="00EE4E4F" w:rsidRPr="00D80FD9">
        <w:t xml:space="preserve"> the September quarter, $1.9 billion </w:t>
      </w:r>
      <w:r w:rsidR="000E1C4E">
        <w:t>went</w:t>
      </w:r>
      <w:r w:rsidR="00EE4E4F" w:rsidRPr="00D80FD9">
        <w:t xml:space="preserve"> to businesses that had a decline of more than 30 per cent </w:t>
      </w:r>
      <w:r w:rsidR="005A2DA6">
        <w:t>through the year to</w:t>
      </w:r>
      <w:r w:rsidR="005A2DA6" w:rsidRPr="00D80FD9">
        <w:t xml:space="preserve"> </w:t>
      </w:r>
      <w:r w:rsidR="00EE4E4F" w:rsidRPr="00D80FD9">
        <w:t>the June quarter</w:t>
      </w:r>
      <w:r w:rsidR="001055F6" w:rsidRPr="00D80FD9">
        <w:t xml:space="preserve">. </w:t>
      </w:r>
      <w:r w:rsidR="006A5392" w:rsidRPr="00D80FD9">
        <w:t>Of the $6.</w:t>
      </w:r>
      <w:r w:rsidR="001C3FCA" w:rsidRPr="00D80FD9">
        <w:t>4</w:t>
      </w:r>
      <w:r w:rsidR="005A2DA6">
        <w:t> </w:t>
      </w:r>
      <w:r w:rsidR="006A5392" w:rsidRPr="00D80FD9">
        <w:t xml:space="preserve">billion paid to firms with a decline </w:t>
      </w:r>
      <w:r w:rsidR="00641B0B">
        <w:t>between zero and</w:t>
      </w:r>
      <w:r w:rsidR="006A5392" w:rsidRPr="00D80FD9">
        <w:t xml:space="preserve"> 30 per cent</w:t>
      </w:r>
      <w:r w:rsidR="006A5392" w:rsidRPr="00D80FD9" w:rsidDel="004B619A">
        <w:t xml:space="preserve"> </w:t>
      </w:r>
      <w:r w:rsidR="004B619A">
        <w:t xml:space="preserve">over the year to </w:t>
      </w:r>
      <w:r w:rsidR="006A5392" w:rsidRPr="00D80FD9">
        <w:t xml:space="preserve">the September quarter, </w:t>
      </w:r>
      <w:r w:rsidR="00EE4E4F" w:rsidRPr="00D80FD9">
        <w:t>$2.0</w:t>
      </w:r>
      <w:r w:rsidR="003A1B28">
        <w:t> </w:t>
      </w:r>
      <w:r w:rsidR="00EE4E4F" w:rsidRPr="00D80FD9">
        <w:t xml:space="preserve">billion went to firms </w:t>
      </w:r>
      <w:r w:rsidR="001055F6" w:rsidRPr="00D80FD9">
        <w:t>that had</w:t>
      </w:r>
      <w:r w:rsidR="00EE4E4F" w:rsidRPr="00D80FD9">
        <w:t xml:space="preserve"> a turnover decline of </w:t>
      </w:r>
      <w:r w:rsidR="006A5392" w:rsidRPr="00D80FD9">
        <w:t xml:space="preserve">more </w:t>
      </w:r>
      <w:r w:rsidR="00EE4E4F" w:rsidRPr="00D80FD9">
        <w:t>than 30 per cent</w:t>
      </w:r>
      <w:r w:rsidR="001055F6" w:rsidRPr="00D80FD9">
        <w:t xml:space="preserve"> </w:t>
      </w:r>
      <w:r w:rsidR="005A2DA6">
        <w:t>through the year to</w:t>
      </w:r>
      <w:r w:rsidR="001055F6" w:rsidRPr="00D80FD9">
        <w:t xml:space="preserve"> the June quarter</w:t>
      </w:r>
      <w:r w:rsidR="00EE4E4F" w:rsidRPr="00D80FD9">
        <w:t>.</w:t>
      </w:r>
    </w:p>
    <w:p w14:paraId="0A6EFE80" w14:textId="236EEC6F" w:rsidR="009064E1" w:rsidRPr="001735BC" w:rsidRDefault="009064E1" w:rsidP="009064E1">
      <w:pPr>
        <w:rPr>
          <w:rFonts w:cs="Arial"/>
          <w:color w:val="3A6FAF" w:themeColor="accent2"/>
          <w:kern w:val="32"/>
          <w:sz w:val="28"/>
          <w:szCs w:val="28"/>
        </w:rPr>
      </w:pPr>
      <w:r w:rsidRPr="009543F1">
        <w:rPr>
          <w:rFonts w:cs="Arial"/>
          <w:color w:val="3A6FAF" w:themeColor="accent2"/>
          <w:kern w:val="32"/>
          <w:sz w:val="28"/>
          <w:szCs w:val="28"/>
        </w:rPr>
        <w:lastRenderedPageBreak/>
        <w:t xml:space="preserve">Businesses that did not have the expected turnover declines still displayed worse </w:t>
      </w:r>
      <w:r>
        <w:rPr>
          <w:rFonts w:cs="Arial"/>
          <w:color w:val="3A6FAF" w:themeColor="accent2"/>
          <w:kern w:val="32"/>
          <w:sz w:val="28"/>
          <w:szCs w:val="28"/>
        </w:rPr>
        <w:t xml:space="preserve">employment </w:t>
      </w:r>
      <w:r w:rsidRPr="009543F1">
        <w:rPr>
          <w:rFonts w:cs="Arial"/>
          <w:color w:val="3A6FAF" w:themeColor="accent2"/>
          <w:kern w:val="32"/>
          <w:sz w:val="28"/>
          <w:szCs w:val="28"/>
        </w:rPr>
        <w:t xml:space="preserve">outcomes </w:t>
      </w:r>
      <w:r>
        <w:rPr>
          <w:rFonts w:cs="Arial"/>
          <w:color w:val="3A6FAF" w:themeColor="accent2"/>
          <w:kern w:val="32"/>
          <w:sz w:val="28"/>
          <w:szCs w:val="28"/>
        </w:rPr>
        <w:t>than</w:t>
      </w:r>
      <w:r w:rsidRPr="009543F1">
        <w:rPr>
          <w:rFonts w:cs="Arial"/>
          <w:color w:val="3A6FAF" w:themeColor="accent2"/>
          <w:kern w:val="32"/>
          <w:sz w:val="28"/>
          <w:szCs w:val="28"/>
        </w:rPr>
        <w:t xml:space="preserve"> non</w:t>
      </w:r>
      <w:r w:rsidRPr="009543F1">
        <w:rPr>
          <w:rFonts w:cs="Arial"/>
          <w:color w:val="3A6FAF" w:themeColor="accent2"/>
          <w:kern w:val="32"/>
          <w:sz w:val="28"/>
          <w:szCs w:val="28"/>
        </w:rPr>
        <w:noBreakHyphen/>
        <w:t xml:space="preserve">JobKeeper businesses </w:t>
      </w:r>
      <w:r>
        <w:rPr>
          <w:rFonts w:cs="Arial"/>
          <w:color w:val="3A6FAF" w:themeColor="accent2"/>
          <w:kern w:val="32"/>
          <w:sz w:val="28"/>
          <w:szCs w:val="28"/>
        </w:rPr>
        <w:t xml:space="preserve"> </w:t>
      </w:r>
    </w:p>
    <w:p w14:paraId="795FAB1C" w14:textId="0AC9EED3" w:rsidR="005F063B" w:rsidRDefault="002D2057" w:rsidP="006E15A6">
      <w:r>
        <w:t>T</w:t>
      </w:r>
      <w:r w:rsidR="006E15A6">
        <w:t xml:space="preserve">he number of separations for </w:t>
      </w:r>
      <w:r>
        <w:t xml:space="preserve">JobKeeper </w:t>
      </w:r>
      <w:r w:rsidR="007B77CB">
        <w:t>businesses</w:t>
      </w:r>
      <w:r w:rsidR="006E15A6">
        <w:t xml:space="preserve"> </w:t>
      </w:r>
      <w:r>
        <w:t xml:space="preserve">that did not experience </w:t>
      </w:r>
      <w:r w:rsidR="00CA0716">
        <w:t>a</w:t>
      </w:r>
      <w:r>
        <w:t xml:space="preserve"> turnover decline</w:t>
      </w:r>
      <w:r w:rsidR="00CA0716">
        <w:t xml:space="preserve"> of 30</w:t>
      </w:r>
      <w:r w:rsidR="00FC0737">
        <w:t> </w:t>
      </w:r>
      <w:r w:rsidR="00CA0716">
        <w:t>per cent (or 50 per cent)</w:t>
      </w:r>
      <w:r>
        <w:t xml:space="preserve"> </w:t>
      </w:r>
      <w:r w:rsidR="000F77CF">
        <w:t xml:space="preserve">over the year </w:t>
      </w:r>
      <w:r w:rsidR="006E15A6">
        <w:t>increase</w:t>
      </w:r>
      <w:r w:rsidR="00993C4C">
        <w:t>d</w:t>
      </w:r>
      <w:r w:rsidR="006E15A6">
        <w:t xml:space="preserve"> by around </w:t>
      </w:r>
      <w:r w:rsidR="00175822">
        <w:t>60 </w:t>
      </w:r>
      <w:r w:rsidR="006E15A6">
        <w:t>per cent in late March, compared to almost no increase for non</w:t>
      </w:r>
      <w:r w:rsidR="0038520A">
        <w:noBreakHyphen/>
      </w:r>
      <w:r w:rsidR="006E15A6">
        <w:t xml:space="preserve">JobKeeper </w:t>
      </w:r>
      <w:r w:rsidR="007B77CB">
        <w:t>businesses</w:t>
      </w:r>
      <w:r w:rsidR="006E15A6">
        <w:t xml:space="preserve"> (Figure </w:t>
      </w:r>
      <w:r w:rsidR="001F416E">
        <w:t>25a</w:t>
      </w:r>
      <w:r w:rsidR="006E15A6">
        <w:t xml:space="preserve">). The number of jobs at these </w:t>
      </w:r>
      <w:r w:rsidR="007B77CB">
        <w:t>businesses</w:t>
      </w:r>
      <w:r w:rsidR="006E15A6">
        <w:t xml:space="preserve"> also declined sharply at the start of the </w:t>
      </w:r>
      <w:r w:rsidR="006E15A6" w:rsidDel="00864C61">
        <w:t>crisis</w:t>
      </w:r>
      <w:r w:rsidR="006E15A6">
        <w:t xml:space="preserve"> and remained below the level for non</w:t>
      </w:r>
      <w:r w:rsidR="0038520A">
        <w:noBreakHyphen/>
      </w:r>
      <w:r w:rsidR="006E15A6">
        <w:t xml:space="preserve">JobKeeper </w:t>
      </w:r>
      <w:r w:rsidR="007B77CB">
        <w:t>businesses</w:t>
      </w:r>
      <w:r w:rsidR="006E15A6">
        <w:t xml:space="preserve"> at the end of September (Figure </w:t>
      </w:r>
      <w:r w:rsidR="001F416E">
        <w:t>25b</w:t>
      </w:r>
      <w:r w:rsidR="006E15A6">
        <w:t>)</w:t>
      </w:r>
      <w:r w:rsidR="006E15A6" w:rsidDel="0041706C">
        <w:t>.</w:t>
      </w:r>
      <w:r w:rsidR="007D021F" w:rsidRPr="007D021F">
        <w:t xml:space="preserve"> </w:t>
      </w:r>
    </w:p>
    <w:p w14:paraId="480BF4DA" w14:textId="13E5284F" w:rsidR="005F063B" w:rsidRDefault="007D021F" w:rsidP="005F063B">
      <w:r>
        <w:t xml:space="preserve">There were also moderate declines in hours worked within these businesses, though to a lesser extent than businesses that did experience </w:t>
      </w:r>
      <w:r w:rsidR="00CA0716">
        <w:t>a</w:t>
      </w:r>
      <w:r>
        <w:t xml:space="preserve"> turnover decline</w:t>
      </w:r>
      <w:r w:rsidR="00CA0716">
        <w:t xml:space="preserve"> of 30 per cent (or 50 per cent)</w:t>
      </w:r>
      <w:r>
        <w:t>.</w:t>
      </w:r>
      <w:r w:rsidR="005F063B">
        <w:t xml:space="preserve"> In businesses that did not </w:t>
      </w:r>
      <w:r w:rsidR="00DF7BF7">
        <w:t xml:space="preserve">experience a </w:t>
      </w:r>
      <w:r w:rsidR="005F063B">
        <w:t>turnover</w:t>
      </w:r>
      <w:r w:rsidR="00DF7BF7">
        <w:t xml:space="preserve"> decline of 30 per cent (or 50 per cent)</w:t>
      </w:r>
      <w:r w:rsidR="005F063B">
        <w:t xml:space="preserve"> </w:t>
      </w:r>
      <w:r w:rsidR="000F77CF">
        <w:t>over the year to</w:t>
      </w:r>
      <w:r w:rsidR="005F063B">
        <w:t xml:space="preserve"> the June quarter, around 5 per cent of employees were stood down. This</w:t>
      </w:r>
      <w:r w:rsidR="005F063B" w:rsidDel="009612C8">
        <w:t xml:space="preserve"> </w:t>
      </w:r>
      <w:r w:rsidR="005F063B">
        <w:t>equates to around 85,000</w:t>
      </w:r>
      <w:r w:rsidR="00155994">
        <w:t> </w:t>
      </w:r>
      <w:r w:rsidR="005F063B">
        <w:t xml:space="preserve">workers who were stood down and working zero hours and who would likely have lost the connection to their employer without JobKeeper support. Income transfers for these businesses increased, suggesting they had still had to reduce the hours worked by their employees, though not by as much as businesses that faced higher reductions in turnover. </w:t>
      </w:r>
    </w:p>
    <w:p w14:paraId="2C2FB37B" w14:textId="283F33AA" w:rsidR="009A651C" w:rsidRPr="00595D2F" w:rsidRDefault="006E15A6" w:rsidP="00595D2F">
      <w:pPr>
        <w:pStyle w:val="ChartMainHeading"/>
      </w:pPr>
      <w:bookmarkStart w:id="180" w:name="_Toc84842590"/>
      <w:r w:rsidRPr="00595D2F">
        <w:t xml:space="preserve">Separations and </w:t>
      </w:r>
      <w:r w:rsidR="009A651C" w:rsidRPr="00595D2F">
        <w:t>jobs</w:t>
      </w:r>
      <w:r w:rsidRPr="00595D2F">
        <w:t>, by JobKeeper status and</w:t>
      </w:r>
      <w:r w:rsidR="00F47CDD" w:rsidRPr="00595D2F">
        <w:t> </w:t>
      </w:r>
      <w:r w:rsidRPr="00595D2F">
        <w:t>turnover</w:t>
      </w:r>
      <w:bookmarkEnd w:id="180"/>
    </w:p>
    <w:tbl>
      <w:tblPr>
        <w:tblW w:w="5000" w:type="pct"/>
        <w:tblLook w:val="01E0" w:firstRow="1" w:lastRow="1" w:firstColumn="1" w:lastColumn="1" w:noHBand="0" w:noVBand="0"/>
      </w:tblPr>
      <w:tblGrid>
        <w:gridCol w:w="4535"/>
        <w:gridCol w:w="4536"/>
      </w:tblGrid>
      <w:tr w:rsidR="00595D2F" w:rsidRPr="00E30CD7" w14:paraId="78435A48" w14:textId="77777777" w:rsidTr="008E2F8E">
        <w:trPr>
          <w:cantSplit/>
          <w:trHeight w:val="283"/>
        </w:trPr>
        <w:tc>
          <w:tcPr>
            <w:tcW w:w="2500" w:type="pct"/>
          </w:tcPr>
          <w:p w14:paraId="389E0818" w14:textId="5DF38DFB" w:rsidR="00595D2F" w:rsidRPr="00E30CD7" w:rsidRDefault="00595D2F" w:rsidP="00E30CD7">
            <w:pPr>
              <w:pStyle w:val="ChartSecondHeading"/>
            </w:pPr>
            <w:r w:rsidRPr="00E30CD7">
              <w:t>a. Separations</w:t>
            </w:r>
          </w:p>
        </w:tc>
        <w:tc>
          <w:tcPr>
            <w:tcW w:w="2500" w:type="pct"/>
          </w:tcPr>
          <w:p w14:paraId="21A9558A" w14:textId="422C472C" w:rsidR="00595D2F" w:rsidRPr="00E30CD7" w:rsidRDefault="00595D2F" w:rsidP="00E30CD7">
            <w:pPr>
              <w:pStyle w:val="ChartSecondHeading"/>
            </w:pPr>
            <w:r w:rsidRPr="00E30CD7">
              <w:t>b. Jobs</w:t>
            </w:r>
          </w:p>
        </w:tc>
      </w:tr>
      <w:tr w:rsidR="00E30CD7" w14:paraId="0A8D42E5" w14:textId="77777777" w:rsidTr="008E2F8E">
        <w:trPr>
          <w:cantSplit/>
          <w:trHeight w:val="4825"/>
        </w:trPr>
        <w:tc>
          <w:tcPr>
            <w:tcW w:w="5000" w:type="pct"/>
            <w:gridSpan w:val="2"/>
          </w:tcPr>
          <w:p w14:paraId="44DDC2F6" w14:textId="069A61F1" w:rsidR="00E30CD7" w:rsidRDefault="00113FA8" w:rsidP="002822D5">
            <w:pPr>
              <w:pStyle w:val="ChartGraphic"/>
              <w:jc w:val="left"/>
            </w:pPr>
            <w:r w:rsidRPr="00113FA8">
              <w:rPr>
                <w:noProof/>
              </w:rPr>
              <w:drawing>
                <wp:inline distT="0" distB="0" distL="0" distR="0" wp14:anchorId="57D1F1FD" wp14:editId="5A763C0E">
                  <wp:extent cx="5670550" cy="3324860"/>
                  <wp:effectExtent l="0" t="0" r="0" b="8890"/>
                  <wp:docPr id="448" name="Picture 448" descr="Panel A shows job separations, indexed to the fortnight ending 1 March 2020 for non-JobKeeper firms, and JobKeeper firms grouped based on their through the year turnover change – decline of 30 or more per cent, decline between 0 and 30 per cent, or increase. It shows that the peak in job separations was much higher at JobKeeper-recipient firms, particularly firms with higher through the year turnover declines. Non-recipient firms only had a small increase in separations. The rate of job separations decreased significantly after JobKeeper was announced.&#10;Panel B shows jobs, indexed to the fortnight ending 1 March 2020 for non-JobKeeper firms, and JobKeeper firms grouped based on their through the year turnover change – decline of 30 or more per cent, decline between 0 and 30 per cent, or increase. There was a larger fall in jobs at JobKeeper-recipient firms, particularly firms with larger through the year turnover declines, though firms with smaller declines or increased turnover also had falls in employment. Non-JobKeeper firms experienced very little changes in jobs. The number of jobs at JobKeeper-recipient firms remained below non-JobKeeper firms at the end of September, for all three turnov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Panel A shows job separations, indexed to the fortnight ending 1 March 2020 for non-JobKeeper firms, and JobKeeper firms grouped based on their through the year turnover change – decline of 30 or more per cent, decline between 0 and 30 per cent, or increase. It shows that the peak in job separations was much higher at JobKeeper-recipient firms, particularly firms with higher through the year turnover declines. Non-recipient firms only had a small increase in separations. The rate of job separations decreased significantly after JobKeeper was announced.&#10;Panel B shows jobs, indexed to the fortnight ending 1 March 2020 for non-JobKeeper firms, and JobKeeper firms grouped based on their through the year turnover change – decline of 30 or more per cent, decline between 0 and 30 per cent, or increase. There was a larger fall in jobs at JobKeeper-recipient firms, particularly firms with larger through the year turnover declines, though firms with smaller declines or increased turnover also had falls in employment. Non-JobKeeper firms experienced very little changes in jobs. The number of jobs at JobKeeper-recipient firms remained below non-JobKeeper firms at the end of September, for all three turnover group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0550" cy="3324860"/>
                          </a:xfrm>
                          <a:prstGeom prst="rect">
                            <a:avLst/>
                          </a:prstGeom>
                          <a:noFill/>
                          <a:ln>
                            <a:noFill/>
                          </a:ln>
                        </pic:spPr>
                      </pic:pic>
                    </a:graphicData>
                  </a:graphic>
                </wp:inline>
              </w:drawing>
            </w:r>
          </w:p>
        </w:tc>
      </w:tr>
    </w:tbl>
    <w:p w14:paraId="50E97445" w14:textId="128AA1A3" w:rsidR="006E15A6" w:rsidRDefault="006E15A6" w:rsidP="006E15A6">
      <w:pPr>
        <w:pStyle w:val="ChartorTableNote"/>
        <w:rPr>
          <w:lang w:val="en-US"/>
        </w:rPr>
      </w:pPr>
      <w:r w:rsidRPr="00350D40">
        <w:rPr>
          <w:lang w:val="en-US"/>
        </w:rPr>
        <w:t xml:space="preserve">Note: Figure presents fortnightly time series of </w:t>
      </w:r>
      <w:r>
        <w:rPr>
          <w:lang w:val="en-US"/>
        </w:rPr>
        <w:t>job separations</w:t>
      </w:r>
      <w:r w:rsidR="001945AA">
        <w:rPr>
          <w:lang w:val="en-US"/>
        </w:rPr>
        <w:t xml:space="preserve"> and payroll jobs</w:t>
      </w:r>
      <w:r w:rsidRPr="00350D40">
        <w:rPr>
          <w:lang w:val="en-US"/>
        </w:rPr>
        <w:t>, indexed to equal 100 in the fortnight ending 1</w:t>
      </w:r>
      <w:r w:rsidR="0048661D">
        <w:rPr>
          <w:lang w:val="en-US"/>
        </w:rPr>
        <w:t> </w:t>
      </w:r>
      <w:r w:rsidRPr="00350D40">
        <w:rPr>
          <w:lang w:val="en-US"/>
        </w:rPr>
        <w:t>March</w:t>
      </w:r>
      <w:r w:rsidR="0048661D">
        <w:rPr>
          <w:lang w:val="en-US"/>
        </w:rPr>
        <w:t> </w:t>
      </w:r>
      <w:r w:rsidRPr="00350D40">
        <w:rPr>
          <w:lang w:val="en-US"/>
        </w:rPr>
        <w:t xml:space="preserve">2020. </w:t>
      </w:r>
      <w:r w:rsidRPr="00F47CF1">
        <w:rPr>
          <w:lang w:val="en-US"/>
        </w:rPr>
        <w:t>Separations are based on cease dates for a worker</w:t>
      </w:r>
      <w:r w:rsidR="0038520A">
        <w:rPr>
          <w:lang w:val="en-US"/>
        </w:rPr>
        <w:t>’</w:t>
      </w:r>
      <w:r w:rsidRPr="00F47CF1">
        <w:rPr>
          <w:lang w:val="en-US"/>
        </w:rPr>
        <w:t xml:space="preserve">s employment relationship with a business (it can include workers who were on zero pay). </w:t>
      </w:r>
      <w:r>
        <w:rPr>
          <w:lang w:val="en-US"/>
        </w:rPr>
        <w:t>S</w:t>
      </w:r>
      <w:r w:rsidRPr="00F47CF1">
        <w:rPr>
          <w:lang w:val="en-US"/>
        </w:rPr>
        <w:t xml:space="preserve">eries exhibits volatility around end of financial year, which has been corrected. </w:t>
      </w:r>
      <w:r>
        <w:rPr>
          <w:lang w:val="en-US"/>
        </w:rPr>
        <w:t>Payroll jobs are based on employee</w:t>
      </w:r>
      <w:r w:rsidR="0038520A">
        <w:rPr>
          <w:lang w:val="en-US"/>
        </w:rPr>
        <w:noBreakHyphen/>
      </w:r>
      <w:r>
        <w:rPr>
          <w:lang w:val="en-US"/>
        </w:rPr>
        <w:t>employer relationships with pay, including any JobKeeper amounts.</w:t>
      </w:r>
      <w:r w:rsidRPr="00275311">
        <w:rPr>
          <w:lang w:val="en-US"/>
        </w:rPr>
        <w:t xml:space="preserve"> </w:t>
      </w:r>
      <w:r w:rsidRPr="00F47CF1">
        <w:rPr>
          <w:lang w:val="en-US"/>
        </w:rPr>
        <w:t>Dashed line</w:t>
      </w:r>
      <w:r>
        <w:rPr>
          <w:lang w:val="en-US"/>
        </w:rPr>
        <w:t xml:space="preserve"> indicates</w:t>
      </w:r>
      <w:r w:rsidRPr="00F47CF1">
        <w:rPr>
          <w:lang w:val="en-US"/>
        </w:rPr>
        <w:t xml:space="preserve"> start of JobKeeper.</w:t>
      </w:r>
      <w:r w:rsidRPr="00286567">
        <w:t xml:space="preserve"> </w:t>
      </w:r>
      <w:r w:rsidR="0005211A" w:rsidRPr="00664EA0">
        <w:t>Turnover a</w:t>
      </w:r>
      <w:r w:rsidR="0005211A" w:rsidRPr="00664EA0">
        <w:rPr>
          <w:szCs w:val="16"/>
        </w:rPr>
        <w:t xml:space="preserve">nalysis is based on </w:t>
      </w:r>
      <w:r w:rsidR="0005211A">
        <w:rPr>
          <w:szCs w:val="16"/>
        </w:rPr>
        <w:t xml:space="preserve">June </w:t>
      </w:r>
      <w:r w:rsidR="0005211A" w:rsidRPr="00664EA0">
        <w:rPr>
          <w:szCs w:val="16"/>
        </w:rPr>
        <w:t>quarter</w:t>
      </w:r>
      <w:r w:rsidR="0005211A">
        <w:rPr>
          <w:szCs w:val="16"/>
        </w:rPr>
        <w:t xml:space="preserve"> 2020</w:t>
      </w:r>
      <w:r w:rsidR="0005211A" w:rsidRPr="00664EA0">
        <w:rPr>
          <w:szCs w:val="16"/>
        </w:rPr>
        <w:t xml:space="preserve"> data compared to a year earlier</w:t>
      </w:r>
      <w:r w:rsidR="00A45E4A" w:rsidRPr="00664EA0">
        <w:rPr>
          <w:szCs w:val="16"/>
        </w:rPr>
        <w:t>.</w:t>
      </w:r>
    </w:p>
    <w:p w14:paraId="271E5176" w14:textId="57B6E913" w:rsidR="006E15A6" w:rsidRDefault="006E15A6" w:rsidP="006E15A6">
      <w:pPr>
        <w:pStyle w:val="ChartorTableNote"/>
        <w:rPr>
          <w:lang w:val="en-US"/>
        </w:rPr>
      </w:pPr>
      <w:r w:rsidRPr="00350D40">
        <w:rPr>
          <w:lang w:val="en-US"/>
        </w:rPr>
        <w:t xml:space="preserve">Source: </w:t>
      </w:r>
      <w:r w:rsidR="00B47D47">
        <w:rPr>
          <w:lang w:val="en-US"/>
        </w:rPr>
        <w:t>D</w:t>
      </w:r>
      <w:r w:rsidRPr="00350D40">
        <w:rPr>
          <w:lang w:val="en-US"/>
        </w:rPr>
        <w:t>e</w:t>
      </w:r>
      <w:r w:rsidR="0038520A">
        <w:rPr>
          <w:lang w:val="en-US"/>
        </w:rPr>
        <w:noBreakHyphen/>
      </w:r>
      <w:r w:rsidRPr="00350D40">
        <w:rPr>
          <w:lang w:val="en-US"/>
        </w:rPr>
        <w:t>identified administrative data (STP</w:t>
      </w:r>
      <w:r>
        <w:rPr>
          <w:lang w:val="en-US"/>
        </w:rPr>
        <w:t xml:space="preserve"> and BAS</w:t>
      </w:r>
      <w:r w:rsidRPr="00350D40">
        <w:rPr>
          <w:lang w:val="en-US"/>
        </w:rPr>
        <w:t xml:space="preserve"> data linked to JobKeeper status). </w:t>
      </w:r>
    </w:p>
    <w:p w14:paraId="7129A893" w14:textId="345B5DAD" w:rsidR="001F39F8" w:rsidRPr="001F39F8" w:rsidRDefault="00155994">
      <w:pPr>
        <w:spacing w:before="0" w:after="200" w:line="276" w:lineRule="auto"/>
        <w:rPr>
          <w:lang w:val="en-US"/>
        </w:rPr>
      </w:pPr>
      <w:r>
        <w:rPr>
          <w:lang w:val="en-US"/>
        </w:rPr>
        <w:br w:type="page"/>
      </w:r>
    </w:p>
    <w:p w14:paraId="07F17132" w14:textId="47E94F2A" w:rsidR="00E67E85" w:rsidRDefault="002D2057" w:rsidP="00BA2A87">
      <w:pPr>
        <w:spacing w:before="0"/>
        <w:rPr>
          <w:rFonts w:cs="Arial"/>
          <w:color w:val="002C47" w:themeColor="accent1"/>
          <w:kern w:val="32"/>
          <w:sz w:val="48"/>
          <w:szCs w:val="36"/>
        </w:rPr>
      </w:pPr>
      <w:r>
        <w:lastRenderedPageBreak/>
        <w:t>F</w:t>
      </w:r>
      <w:r w:rsidR="00B64A44" w:rsidRPr="00B64A44">
        <w:t>ollowing the introduction of JobKeeper</w:t>
      </w:r>
      <w:r w:rsidR="0094287A">
        <w:t>,</w:t>
      </w:r>
      <w:r w:rsidR="00B64A44" w:rsidRPr="00B64A44">
        <w:t xml:space="preserve"> job shedding declined sharply in these </w:t>
      </w:r>
      <w:r w:rsidR="00B807EE">
        <w:t>businesse</w:t>
      </w:r>
      <w:r w:rsidR="00B64A44" w:rsidRPr="00B64A44">
        <w:t>s. And employment outcomes substantially recovered, with estimates suggesting around 200,000 JobKeeper workers were brought back once the policy was introduced</w:t>
      </w:r>
      <w:r w:rsidR="00F87F68">
        <w:t xml:space="preserve"> (see Table 18 in Appendix 2)</w:t>
      </w:r>
      <w:r w:rsidR="00B64A44" w:rsidRPr="00B64A44">
        <w:t>.</w:t>
      </w:r>
      <w:r w:rsidR="00B64A44" w:rsidRPr="00B64A44">
        <w:rPr>
          <w:rStyle w:val="FootnoteReference"/>
        </w:rPr>
        <w:footnoteReference w:id="35"/>
      </w:r>
      <w:r w:rsidR="00B64A44" w:rsidRPr="00B64A44">
        <w:t xml:space="preserve"> As the economy recovered and these businesses expanded and pivoted production, hours worked for JobKeeper workers increased, as did employment of non</w:t>
      </w:r>
      <w:r w:rsidR="0038520A">
        <w:noBreakHyphen/>
      </w:r>
      <w:r w:rsidR="00B64A44" w:rsidRPr="00B64A44">
        <w:t xml:space="preserve">JobKeeper workers (by </w:t>
      </w:r>
      <w:r w:rsidR="00AE3C97">
        <w:t>an estimated</w:t>
      </w:r>
      <w:r w:rsidR="00B64A44" w:rsidRPr="00B64A44">
        <w:t xml:space="preserve"> 150,000).</w:t>
      </w:r>
      <w:r w:rsidR="00B64A44" w:rsidRPr="00B64A44">
        <w:rPr>
          <w:rStyle w:val="FootnoteReference"/>
        </w:rPr>
        <w:footnoteReference w:id="36"/>
      </w:r>
      <w:r w:rsidR="00B64A44">
        <w:t xml:space="preserve"> This analysis suggests that JobKeeper affected employment decisions even in JobKeeper businesses that experienced better outcomes than they had expected.</w:t>
      </w:r>
      <w:r w:rsidR="0038520A">
        <w:t xml:space="preserve"> </w:t>
      </w:r>
      <w:r w:rsidR="00E67E85">
        <w:br w:type="page"/>
      </w:r>
    </w:p>
    <w:p w14:paraId="78307930" w14:textId="1AACCC06" w:rsidR="00BF19C3" w:rsidRPr="0022090D" w:rsidRDefault="00514051" w:rsidP="00BD20C1">
      <w:pPr>
        <w:pStyle w:val="Heading1"/>
      </w:pPr>
      <w:bookmarkStart w:id="181" w:name="_Toc84842629"/>
      <w:r>
        <w:lastRenderedPageBreak/>
        <w:t xml:space="preserve">5. </w:t>
      </w:r>
      <w:bookmarkStart w:id="182" w:name="_Toc83215074"/>
      <w:r w:rsidR="00BF19C3" w:rsidRPr="0022090D">
        <w:t>Future work</w:t>
      </w:r>
      <w:bookmarkEnd w:id="182"/>
      <w:bookmarkEnd w:id="181"/>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1"/>
      </w:tblGrid>
      <w:tr w:rsidR="001273B0" w14:paraId="4BA56F43" w14:textId="77777777" w:rsidTr="00B32551">
        <w:tc>
          <w:tcPr>
            <w:tcW w:w="5000" w:type="pct"/>
            <w:shd w:val="clear" w:color="auto" w:fill="EAEAEA" w:themeFill="background2"/>
          </w:tcPr>
          <w:p w14:paraId="2B2B390E" w14:textId="27C1F83E" w:rsidR="00AD2A75" w:rsidRDefault="00AD2A75" w:rsidP="00AD2A75">
            <w:pPr>
              <w:pStyle w:val="BoxHeading"/>
            </w:pPr>
            <w:bookmarkStart w:id="183" w:name="_Toc83324982"/>
            <w:bookmarkStart w:id="184" w:name="_Toc83404440"/>
            <w:bookmarkStart w:id="185" w:name="_Toc83815103"/>
            <w:bookmarkStart w:id="186" w:name="_Toc84099873"/>
            <w:bookmarkStart w:id="187" w:name="_Toc84431359"/>
            <w:bookmarkStart w:id="188" w:name="_Toc84431687"/>
            <w:bookmarkStart w:id="189" w:name="_Toc84607869"/>
            <w:bookmarkStart w:id="190" w:name="_Toc84774152"/>
            <w:bookmarkStart w:id="191" w:name="_Toc84842591"/>
            <w:r>
              <w:t>Summary</w:t>
            </w:r>
            <w:bookmarkEnd w:id="183"/>
            <w:bookmarkEnd w:id="184"/>
            <w:bookmarkEnd w:id="185"/>
            <w:bookmarkEnd w:id="186"/>
            <w:bookmarkEnd w:id="187"/>
            <w:bookmarkEnd w:id="188"/>
            <w:bookmarkEnd w:id="189"/>
            <w:bookmarkEnd w:id="190"/>
            <w:bookmarkEnd w:id="191"/>
          </w:p>
          <w:p w14:paraId="53A455B6" w14:textId="5AFE44B5" w:rsidR="00576ADF" w:rsidRPr="004A1369" w:rsidRDefault="001273B0" w:rsidP="00B32551">
            <w:pPr>
              <w:pStyle w:val="BoxText"/>
              <w:rPr>
                <w:sz w:val="22"/>
                <w:szCs w:val="22"/>
              </w:rPr>
            </w:pPr>
            <w:r w:rsidRPr="00726AC3">
              <w:rPr>
                <w:sz w:val="22"/>
                <w:szCs w:val="22"/>
              </w:rPr>
              <w:t>A</w:t>
            </w:r>
            <w:r w:rsidR="000F3315" w:rsidRPr="00726AC3">
              <w:rPr>
                <w:sz w:val="22"/>
                <w:szCs w:val="22"/>
              </w:rPr>
              <w:t xml:space="preserve">n </w:t>
            </w:r>
            <w:r w:rsidRPr="00726AC3">
              <w:rPr>
                <w:sz w:val="22"/>
                <w:szCs w:val="22"/>
              </w:rPr>
              <w:t>evaluation</w:t>
            </w:r>
            <w:r w:rsidR="000F3315" w:rsidRPr="00726AC3">
              <w:rPr>
                <w:sz w:val="22"/>
                <w:szCs w:val="22"/>
              </w:rPr>
              <w:t xml:space="preserve"> </w:t>
            </w:r>
            <w:r w:rsidR="00460443" w:rsidRPr="00726AC3">
              <w:rPr>
                <w:sz w:val="22"/>
                <w:szCs w:val="22"/>
              </w:rPr>
              <w:t xml:space="preserve">will be completed in </w:t>
            </w:r>
            <w:r w:rsidR="00B36794" w:rsidRPr="00726AC3">
              <w:rPr>
                <w:sz w:val="22"/>
                <w:szCs w:val="22"/>
              </w:rPr>
              <w:t>2022</w:t>
            </w:r>
            <w:r w:rsidR="00460443" w:rsidRPr="00726AC3">
              <w:rPr>
                <w:sz w:val="22"/>
                <w:szCs w:val="22"/>
              </w:rPr>
              <w:t xml:space="preserve"> to provide a detailed assessment of JobKeeper against its policy objectives and lessons learned for future policy </w:t>
            </w:r>
            <w:r w:rsidR="00B36794" w:rsidRPr="00726AC3">
              <w:rPr>
                <w:sz w:val="22"/>
                <w:szCs w:val="22"/>
              </w:rPr>
              <w:t>makers</w:t>
            </w:r>
            <w:r w:rsidR="00576ADF" w:rsidRPr="00726AC3">
              <w:rPr>
                <w:sz w:val="22"/>
                <w:szCs w:val="22"/>
              </w:rPr>
              <w:t xml:space="preserve">. </w:t>
            </w:r>
          </w:p>
          <w:p w14:paraId="07FD1185" w14:textId="0069140A" w:rsidR="001273B0" w:rsidRPr="004A1369" w:rsidRDefault="00E522ED" w:rsidP="00B32551">
            <w:pPr>
              <w:pStyle w:val="BoxText"/>
              <w:rPr>
                <w:sz w:val="22"/>
                <w:szCs w:val="22"/>
              </w:rPr>
            </w:pPr>
            <w:r w:rsidRPr="00726AC3">
              <w:rPr>
                <w:sz w:val="22"/>
                <w:szCs w:val="22"/>
              </w:rPr>
              <w:t xml:space="preserve">The ANAO is currently undertaking an audit of the </w:t>
            </w:r>
            <w:r w:rsidRPr="00726AC3">
              <w:rPr>
                <w:i/>
                <w:sz w:val="22"/>
                <w:szCs w:val="22"/>
              </w:rPr>
              <w:t>ATO</w:t>
            </w:r>
            <w:r w:rsidR="0038520A">
              <w:rPr>
                <w:i/>
                <w:sz w:val="22"/>
                <w:szCs w:val="22"/>
              </w:rPr>
              <w:t>’</w:t>
            </w:r>
            <w:r w:rsidRPr="00726AC3">
              <w:rPr>
                <w:i/>
                <w:sz w:val="22"/>
                <w:szCs w:val="22"/>
              </w:rPr>
              <w:t>s Administration of the JobKeeper Scheme</w:t>
            </w:r>
            <w:r w:rsidRPr="00726AC3">
              <w:rPr>
                <w:sz w:val="22"/>
                <w:szCs w:val="22"/>
              </w:rPr>
              <w:t xml:space="preserve">, </w:t>
            </w:r>
            <w:r w:rsidR="00180F8F">
              <w:rPr>
                <w:sz w:val="22"/>
                <w:szCs w:val="22"/>
              </w:rPr>
              <w:t xml:space="preserve">which is </w:t>
            </w:r>
            <w:r w:rsidRPr="00726AC3">
              <w:rPr>
                <w:sz w:val="22"/>
                <w:szCs w:val="22"/>
              </w:rPr>
              <w:t xml:space="preserve">due to be tabled in December 2021. </w:t>
            </w:r>
          </w:p>
          <w:p w14:paraId="58FF0D13" w14:textId="742A8CC6" w:rsidR="001273B0" w:rsidRDefault="00F94F87" w:rsidP="00B32551">
            <w:pPr>
              <w:pStyle w:val="BoxText"/>
            </w:pPr>
            <w:r>
              <w:rPr>
                <w:sz w:val="22"/>
                <w:szCs w:val="22"/>
              </w:rPr>
              <w:t>Over the period ahead, a</w:t>
            </w:r>
            <w:r w:rsidR="00252792" w:rsidRPr="00726AC3">
              <w:rPr>
                <w:sz w:val="22"/>
                <w:szCs w:val="22"/>
              </w:rPr>
              <w:t>nalys</w:t>
            </w:r>
            <w:r>
              <w:rPr>
                <w:sz w:val="22"/>
                <w:szCs w:val="22"/>
              </w:rPr>
              <w:t>i</w:t>
            </w:r>
            <w:r w:rsidR="00252792" w:rsidRPr="00726AC3">
              <w:rPr>
                <w:sz w:val="22"/>
                <w:szCs w:val="22"/>
              </w:rPr>
              <w:t xml:space="preserve">s of </w:t>
            </w:r>
            <w:r>
              <w:rPr>
                <w:sz w:val="22"/>
                <w:szCs w:val="22"/>
              </w:rPr>
              <w:t xml:space="preserve">the </w:t>
            </w:r>
            <w:r w:rsidR="00252792" w:rsidRPr="00726AC3">
              <w:rPr>
                <w:sz w:val="22"/>
                <w:szCs w:val="22"/>
              </w:rPr>
              <w:t xml:space="preserve">JobKeeper </w:t>
            </w:r>
            <w:r>
              <w:rPr>
                <w:sz w:val="22"/>
                <w:szCs w:val="22"/>
              </w:rPr>
              <w:t xml:space="preserve">program is also expected to be undertaken by </w:t>
            </w:r>
            <w:r w:rsidR="00252792" w:rsidRPr="00726AC3">
              <w:rPr>
                <w:sz w:val="22"/>
                <w:szCs w:val="22"/>
              </w:rPr>
              <w:t>researchers and academics</w:t>
            </w:r>
            <w:r w:rsidR="00332B3E">
              <w:rPr>
                <w:sz w:val="22"/>
                <w:szCs w:val="22"/>
              </w:rPr>
              <w:t xml:space="preserve"> using the administrative data that is available through the ABS Data</w:t>
            </w:r>
            <w:r w:rsidR="00DB5ECC">
              <w:rPr>
                <w:sz w:val="22"/>
                <w:szCs w:val="22"/>
              </w:rPr>
              <w:t>L</w:t>
            </w:r>
            <w:r w:rsidR="00332B3E">
              <w:rPr>
                <w:sz w:val="22"/>
                <w:szCs w:val="22"/>
              </w:rPr>
              <w:t>ab</w:t>
            </w:r>
            <w:r w:rsidR="008E25CC" w:rsidRPr="00726AC3">
              <w:rPr>
                <w:sz w:val="22"/>
                <w:szCs w:val="22"/>
              </w:rPr>
              <w:t>.</w:t>
            </w:r>
          </w:p>
        </w:tc>
      </w:tr>
    </w:tbl>
    <w:p w14:paraId="6627556F" w14:textId="1B087530" w:rsidR="001273B0" w:rsidRDefault="00AD2A75" w:rsidP="00AD2A75">
      <w:pPr>
        <w:pStyle w:val="Heading2"/>
      </w:pPr>
      <w:bookmarkStart w:id="192" w:name="_Toc83215075"/>
      <w:bookmarkStart w:id="193" w:name="_Toc82787309"/>
      <w:bookmarkStart w:id="194" w:name="_Toc84842630"/>
      <w:r>
        <w:t>Evaluation of JobKeeper</w:t>
      </w:r>
      <w:bookmarkEnd w:id="192"/>
      <w:bookmarkEnd w:id="193"/>
      <w:bookmarkEnd w:id="194"/>
    </w:p>
    <w:p w14:paraId="4BEABE05" w14:textId="54508372" w:rsidR="003419AD" w:rsidRDefault="00165FCF" w:rsidP="00D849D8">
      <w:r>
        <w:t xml:space="preserve">This </w:t>
      </w:r>
      <w:r w:rsidR="00C32B36">
        <w:t>r</w:t>
      </w:r>
      <w:r w:rsidR="002337BE">
        <w:t xml:space="preserve">eport has focussed on the first </w:t>
      </w:r>
      <w:r w:rsidR="00640209">
        <w:t>six</w:t>
      </w:r>
      <w:r w:rsidR="006633A3">
        <w:t xml:space="preserve"> </w:t>
      </w:r>
      <w:r w:rsidR="002337BE">
        <w:t xml:space="preserve">months of JobKeeper, </w:t>
      </w:r>
      <w:r w:rsidR="006740D8">
        <w:t xml:space="preserve">drawing </w:t>
      </w:r>
      <w:r w:rsidR="003144C7">
        <w:t>on</w:t>
      </w:r>
      <w:r>
        <w:t xml:space="preserve"> </w:t>
      </w:r>
      <w:r w:rsidR="00CF1368">
        <w:t>administrative</w:t>
      </w:r>
      <w:r>
        <w:t xml:space="preserve"> and macroeconomic </w:t>
      </w:r>
      <w:r w:rsidR="006740D8">
        <w:t>data</w:t>
      </w:r>
      <w:r>
        <w:t xml:space="preserve">. </w:t>
      </w:r>
      <w:r w:rsidR="007044F8">
        <w:t>A</w:t>
      </w:r>
      <w:r w:rsidR="002337BE">
        <w:t>n</w:t>
      </w:r>
      <w:r w:rsidR="002337BE" w:rsidDel="0001239B">
        <w:t xml:space="preserve"> </w:t>
      </w:r>
      <w:r w:rsidR="002337BE">
        <w:t>evaluation of JobKeeper</w:t>
      </w:r>
      <w:r w:rsidR="002337BE" w:rsidRPr="004D24B0">
        <w:t xml:space="preserve"> </w:t>
      </w:r>
      <w:r w:rsidR="007044F8">
        <w:t xml:space="preserve">will be undertaken </w:t>
      </w:r>
      <w:r w:rsidR="002337BE">
        <w:t xml:space="preserve">to consider </w:t>
      </w:r>
      <w:r w:rsidR="002337BE" w:rsidDel="0001239B">
        <w:t xml:space="preserve">the </w:t>
      </w:r>
      <w:r w:rsidR="002337BE">
        <w:t>effectiveness of JobKeeper in achieving</w:t>
      </w:r>
      <w:r w:rsidR="002337BE" w:rsidDel="0001239B">
        <w:t xml:space="preserve"> </w:t>
      </w:r>
      <w:r w:rsidR="002337BE">
        <w:t xml:space="preserve">its </w:t>
      </w:r>
      <w:r>
        <w:t xml:space="preserve">policy </w:t>
      </w:r>
      <w:r w:rsidR="002337BE">
        <w:t>objectives</w:t>
      </w:r>
      <w:r w:rsidR="002337BE" w:rsidRPr="0001239B">
        <w:t xml:space="preserve"> </w:t>
      </w:r>
      <w:r w:rsidR="002337BE">
        <w:t xml:space="preserve">and lessons learned from the process to design and deliver JobKeeper. </w:t>
      </w:r>
      <w:r w:rsidR="002B0C4B">
        <w:t xml:space="preserve">Should economic circumstances ever again call for a program like JobKeeper, it will be important to have drawn from the experience of the program and to have considered how it could be improved. </w:t>
      </w:r>
      <w:r w:rsidR="002337BE">
        <w:t xml:space="preserve">The evaluation will consider the full program and draw on a broad range of relevant quantitative and qualitative data to carefully analyse the outcomes and impacts of </w:t>
      </w:r>
      <w:r w:rsidR="00DA1116">
        <w:t>JobKeeper</w:t>
      </w:r>
      <w:r w:rsidR="002337BE">
        <w:t>.</w:t>
      </w:r>
      <w:r w:rsidR="00394E61">
        <w:rPr>
          <w:rStyle w:val="FootnoteReference"/>
        </w:rPr>
        <w:footnoteReference w:id="37"/>
      </w:r>
      <w:r w:rsidR="002337BE">
        <w:t xml:space="preserve"> </w:t>
      </w:r>
    </w:p>
    <w:p w14:paraId="41A46E0E" w14:textId="066C5AA6" w:rsidR="002337BE" w:rsidRDefault="002337BE" w:rsidP="00D849D8">
      <w:r>
        <w:t>The evaluation will consider</w:t>
      </w:r>
      <w:r w:rsidR="003144C7">
        <w:t xml:space="preserve"> the following issues.</w:t>
      </w:r>
      <w:r>
        <w:t xml:space="preserve"> </w:t>
      </w:r>
    </w:p>
    <w:p w14:paraId="5C1ED5BE" w14:textId="26010A12" w:rsidR="002337BE" w:rsidRDefault="003144C7" w:rsidP="001511FD">
      <w:pPr>
        <w:pStyle w:val="Bullet"/>
      </w:pPr>
      <w:r>
        <w:t>T</w:t>
      </w:r>
      <w:r w:rsidR="002337BE">
        <w:t xml:space="preserve">he extent to which JobKeeper achieved </w:t>
      </w:r>
      <w:r w:rsidR="002337BE" w:rsidRPr="00A32718">
        <w:t>its</w:t>
      </w:r>
      <w:r w:rsidR="002337BE">
        <w:t xml:space="preserve"> stated</w:t>
      </w:r>
      <w:r w:rsidR="002337BE" w:rsidRPr="00A32718">
        <w:t xml:space="preserve"> </w:t>
      </w:r>
      <w:r w:rsidR="002337BE">
        <w:t xml:space="preserve">policy </w:t>
      </w:r>
      <w:r w:rsidR="002337BE" w:rsidRPr="00A32718">
        <w:t>objective</w:t>
      </w:r>
      <w:r w:rsidR="002337BE">
        <w:t xml:space="preserve">s: </w:t>
      </w:r>
      <w:r w:rsidR="002337BE" w:rsidRPr="00385398">
        <w:t xml:space="preserve">to support business </w:t>
      </w:r>
      <w:r w:rsidR="002337BE">
        <w:t xml:space="preserve">and </w:t>
      </w:r>
      <w:r w:rsidR="002337BE" w:rsidRPr="00385398">
        <w:t>job survival</w:t>
      </w:r>
      <w:r w:rsidR="002337BE">
        <w:t>; to preserve the employment relationship (between employees and employers)</w:t>
      </w:r>
      <w:r w:rsidR="00D8612C">
        <w:t xml:space="preserve">, and to </w:t>
      </w:r>
      <w:r w:rsidR="002337BE">
        <w:t>provide needed income support; and to decrease uncertainty</w:t>
      </w:r>
      <w:r>
        <w:t>.</w:t>
      </w:r>
      <w:r w:rsidR="002337BE">
        <w:t xml:space="preserve"> </w:t>
      </w:r>
    </w:p>
    <w:p w14:paraId="25FABEE1" w14:textId="64B64A79" w:rsidR="002337BE" w:rsidRDefault="003144C7" w:rsidP="001511FD">
      <w:pPr>
        <w:pStyle w:val="Bullet"/>
      </w:pPr>
      <w:r>
        <w:t>T</w:t>
      </w:r>
      <w:r w:rsidR="002337BE">
        <w:t>he broader outcomes and unintended consequences of JobKeeper, including the impact of JobKeeper directly in supporting recipients</w:t>
      </w:r>
      <w:r w:rsidR="002337BE" w:rsidRPr="00C5434B">
        <w:t xml:space="preserve"> </w:t>
      </w:r>
      <w:r w:rsidR="002337BE">
        <w:t xml:space="preserve">and indirectly on the </w:t>
      </w:r>
      <w:r w:rsidR="002337BE" w:rsidRPr="00895CAA">
        <w:t>economy</w:t>
      </w:r>
      <w:r w:rsidR="002337BE">
        <w:t xml:space="preserve"> and </w:t>
      </w:r>
      <w:r w:rsidR="002337BE" w:rsidRPr="00895CAA">
        <w:t>society</w:t>
      </w:r>
      <w:r>
        <w:t>.</w:t>
      </w:r>
      <w:r w:rsidR="002337BE">
        <w:t xml:space="preserve"> </w:t>
      </w:r>
    </w:p>
    <w:p w14:paraId="1F7983F3" w14:textId="4C22A29B" w:rsidR="002337BE" w:rsidRDefault="003144C7" w:rsidP="001511FD">
      <w:pPr>
        <w:pStyle w:val="Bullet"/>
      </w:pPr>
      <w:r>
        <w:t>L</w:t>
      </w:r>
      <w:r w:rsidR="002337BE" w:rsidRPr="00B373F5">
        <w:t>essons learned from the design and implementation of JobKeeper, including to inform any future policy responses.</w:t>
      </w:r>
    </w:p>
    <w:p w14:paraId="5A87F52A" w14:textId="74734ECF" w:rsidR="00B32551" w:rsidRDefault="007A5AFA" w:rsidP="008B71B7">
      <w:r>
        <w:t>T</w:t>
      </w:r>
      <w:r w:rsidR="0006611F">
        <w:t xml:space="preserve">he evaluation will </w:t>
      </w:r>
      <w:r>
        <w:t xml:space="preserve">consider JobKeeper as part of </w:t>
      </w:r>
      <w:r w:rsidR="00737EC7">
        <w:t xml:space="preserve">the </w:t>
      </w:r>
      <w:r>
        <w:t xml:space="preserve">suite of economic measures </w:t>
      </w:r>
      <w:r w:rsidR="00737EC7">
        <w:t xml:space="preserve">introduced </w:t>
      </w:r>
      <w:r>
        <w:t>in response to COVID</w:t>
      </w:r>
      <w:r w:rsidR="0038520A">
        <w:noBreakHyphen/>
      </w:r>
      <w:r>
        <w:t>19, including how it</w:t>
      </w:r>
      <w:r w:rsidR="00FD2D04">
        <w:t xml:space="preserve"> </w:t>
      </w:r>
      <w:r>
        <w:t xml:space="preserve">interacted with other policies. </w:t>
      </w:r>
      <w:r w:rsidR="000C7C69">
        <w:t>In time, it will be</w:t>
      </w:r>
      <w:r w:rsidR="00B32551" w:rsidDel="00252792">
        <w:t xml:space="preserve"> </w:t>
      </w:r>
      <w:r w:rsidR="00252792">
        <w:t>important</w:t>
      </w:r>
      <w:r w:rsidR="00B32551">
        <w:t xml:space="preserve"> to </w:t>
      </w:r>
      <w:r w:rsidR="00D21EAE">
        <w:t>examine</w:t>
      </w:r>
      <w:r w:rsidR="0026127E">
        <w:t xml:space="preserve"> </w:t>
      </w:r>
      <w:r w:rsidR="00B32551">
        <w:t xml:space="preserve">the broader macroeconomic response </w:t>
      </w:r>
      <w:r w:rsidR="000C7C69">
        <w:t xml:space="preserve">for lessons </w:t>
      </w:r>
      <w:r w:rsidR="00FD2D04">
        <w:t>it</w:t>
      </w:r>
      <w:r w:rsidR="000C7C69">
        <w:t xml:space="preserve"> might offer future policy makers. </w:t>
      </w:r>
      <w:r w:rsidR="00586AD5">
        <w:t>Similar</w:t>
      </w:r>
      <w:r w:rsidR="00D1064F">
        <w:t xml:space="preserve"> reflection </w:t>
      </w:r>
      <w:r w:rsidR="00586AD5">
        <w:t>processes</w:t>
      </w:r>
      <w:r w:rsidR="00D1064F">
        <w:t xml:space="preserve"> followed the </w:t>
      </w:r>
      <w:r w:rsidR="00586AD5">
        <w:t>Global Financial Crisis</w:t>
      </w:r>
      <w:r w:rsidR="00D1064F">
        <w:t xml:space="preserve">, </w:t>
      </w:r>
      <w:hyperlink r:id="rId67" w:history="1">
        <w:r w:rsidR="00FD2D04" w:rsidRPr="008B71B7">
          <w:rPr>
            <w:rStyle w:val="Hyperlink"/>
            <w:color w:val="000000" w:themeColor="text1"/>
          </w:rPr>
          <w:t xml:space="preserve">including </w:t>
        </w:r>
        <w:r w:rsidR="00D1064F" w:rsidRPr="008B71B7">
          <w:rPr>
            <w:rStyle w:val="Hyperlink"/>
            <w:color w:val="000000" w:themeColor="text1"/>
          </w:rPr>
          <w:t>papers</w:t>
        </w:r>
        <w:r w:rsidR="00FD2D04" w:rsidRPr="008B71B7">
          <w:rPr>
            <w:rStyle w:val="Hyperlink"/>
            <w:color w:val="000000" w:themeColor="text1"/>
          </w:rPr>
          <w:t xml:space="preserve"> published </w:t>
        </w:r>
        <w:r w:rsidR="00FD2D04">
          <w:rPr>
            <w:rStyle w:val="Hyperlink"/>
            <w:color w:val="000000" w:themeColor="text1"/>
          </w:rPr>
          <w:t xml:space="preserve">in May 2021 </w:t>
        </w:r>
        <w:r w:rsidR="00D1064F" w:rsidRPr="008B71B7">
          <w:rPr>
            <w:rStyle w:val="Hyperlink"/>
            <w:color w:val="000000" w:themeColor="text1"/>
          </w:rPr>
          <w:t>by</w:t>
        </w:r>
        <w:r w:rsidR="00B67CCC" w:rsidRPr="008B71B7">
          <w:rPr>
            <w:rStyle w:val="Hyperlink"/>
            <w:color w:val="000000" w:themeColor="text1"/>
          </w:rPr>
          <w:t xml:space="preserve"> the Institute of Public Administration Australia</w:t>
        </w:r>
      </w:hyperlink>
      <w:r w:rsidR="00D1064F">
        <w:t>.</w:t>
      </w:r>
      <w:r w:rsidR="00E76B7F">
        <w:rPr>
          <w:rStyle w:val="FootnoteReference"/>
        </w:rPr>
        <w:footnoteReference w:id="38"/>
      </w:r>
      <w:r w:rsidR="00FD2D04">
        <w:t xml:space="preserve"> </w:t>
      </w:r>
    </w:p>
    <w:p w14:paraId="2429A724" w14:textId="3E67E77A" w:rsidR="002337BE" w:rsidRDefault="006740D8" w:rsidP="00D849D8">
      <w:r>
        <w:t xml:space="preserve">Given the size of </w:t>
      </w:r>
      <w:r w:rsidR="00285D21">
        <w:t>JobKeeper</w:t>
      </w:r>
      <w:r w:rsidR="002337BE">
        <w:t>, it is appropriate for academics, researchers and others to conduct</w:t>
      </w:r>
      <w:r w:rsidR="002337BE" w:rsidRPr="004E6FCB">
        <w:t xml:space="preserve"> analysis</w:t>
      </w:r>
      <w:r w:rsidR="002337BE">
        <w:t xml:space="preserve"> of JobKeeper and consider its impacts</w:t>
      </w:r>
      <w:r w:rsidR="002337BE" w:rsidRPr="004E6FCB">
        <w:t>.</w:t>
      </w:r>
      <w:r w:rsidR="002337BE">
        <w:t xml:space="preserve"> </w:t>
      </w:r>
      <w:r w:rsidR="002337BE" w:rsidRPr="00653660">
        <w:t>The</w:t>
      </w:r>
      <w:r w:rsidR="0085736F">
        <w:t xml:space="preserve"> </w:t>
      </w:r>
      <w:r w:rsidR="001F5E93" w:rsidRPr="001F5E93">
        <w:rPr>
          <w:i/>
          <w:iCs/>
        </w:rPr>
        <w:t>JobKeeper</w:t>
      </w:r>
      <w:r w:rsidR="001F5E93" w:rsidRPr="001F5E93" w:rsidDel="006C354D">
        <w:rPr>
          <w:i/>
          <w:iCs/>
        </w:rPr>
        <w:t xml:space="preserve"> </w:t>
      </w:r>
      <w:r w:rsidR="00253CEE">
        <w:rPr>
          <w:i/>
          <w:iCs/>
        </w:rPr>
        <w:t>r</w:t>
      </w:r>
      <w:r w:rsidR="001F5E93" w:rsidRPr="001F5E93">
        <w:rPr>
          <w:i/>
          <w:iCs/>
        </w:rPr>
        <w:t>eview</w:t>
      </w:r>
      <w:r w:rsidR="002337BE" w:rsidRPr="004E6FCB">
        <w:t xml:space="preserve"> </w:t>
      </w:r>
      <w:r w:rsidR="002337BE">
        <w:t>indicated</w:t>
      </w:r>
      <w:r w:rsidR="002337BE" w:rsidRPr="004E6FCB">
        <w:t xml:space="preserve"> that Treasury would work with the ATO and the ABS to make JobKeeper administrative data available for research </w:t>
      </w:r>
      <w:r w:rsidR="002337BE" w:rsidRPr="004E6FCB">
        <w:lastRenderedPageBreak/>
        <w:t>purposes.</w:t>
      </w:r>
      <w:r w:rsidR="002337BE">
        <w:t xml:space="preserve"> </w:t>
      </w:r>
      <w:r w:rsidR="0085736F">
        <w:t>Since</w:t>
      </w:r>
      <w:r w:rsidR="007477F6">
        <w:t xml:space="preserve"> </w:t>
      </w:r>
      <w:r w:rsidR="00624CFD">
        <w:t xml:space="preserve">November </w:t>
      </w:r>
      <w:r w:rsidR="007477F6">
        <w:t>202</w:t>
      </w:r>
      <w:r w:rsidR="00624CFD">
        <w:t>0</w:t>
      </w:r>
      <w:r w:rsidR="007477F6">
        <w:t xml:space="preserve"> d</w:t>
      </w:r>
      <w:r w:rsidR="002337BE">
        <w:t xml:space="preserve">eidentified JobKeeper microdata </w:t>
      </w:r>
      <w:r w:rsidR="007477F6">
        <w:t>has been made</w:t>
      </w:r>
      <w:r w:rsidR="002337BE">
        <w:t xml:space="preserve"> available to government researchers, academics and public policy institutes through the ABS DataLab. To access this data</w:t>
      </w:r>
      <w:r w:rsidR="00BE67D8">
        <w:t>set</w:t>
      </w:r>
      <w:r w:rsidR="002337BE">
        <w:t>, researchers are required to register and request access through the ABS DataLab and provide the necessary documentation, including a research project proposal. Access to ABS microdata is carefully managed to protect privacy and confidentiality</w:t>
      </w:r>
      <w:r w:rsidR="003144C7">
        <w:t>. It can</w:t>
      </w:r>
      <w:r w:rsidR="002337BE">
        <w:t xml:space="preserve"> only </w:t>
      </w:r>
      <w:r w:rsidR="003144C7">
        <w:t xml:space="preserve">be accessed </w:t>
      </w:r>
      <w:r w:rsidR="002337BE">
        <w:t xml:space="preserve">for research, policy and statistical purposes. The data </w:t>
      </w:r>
      <w:r w:rsidR="00BE67D8">
        <w:t>are</w:t>
      </w:r>
      <w:r w:rsidR="002337BE">
        <w:t xml:space="preserve"> never used for compliance purposes.</w:t>
      </w:r>
      <w:r w:rsidR="002337BE" w:rsidRPr="004B6BBF">
        <w:t xml:space="preserve"> </w:t>
      </w:r>
      <w:r w:rsidR="002337BE">
        <w:t>Treasury welcomes research</w:t>
      </w:r>
      <w:r w:rsidR="008A77EC">
        <w:t xml:space="preserve"> projects using this data</w:t>
      </w:r>
      <w:r w:rsidR="00BE67D8">
        <w:t>set</w:t>
      </w:r>
      <w:r w:rsidR="002337BE">
        <w:t xml:space="preserve"> and ongoing collaboration with the research community</w:t>
      </w:r>
      <w:r>
        <w:t xml:space="preserve">, which will examine the effectiveness and impact of JobKeeper from a range of different </w:t>
      </w:r>
      <w:r w:rsidR="008A52C3">
        <w:t>perspectives</w:t>
      </w:r>
      <w:r w:rsidR="002337BE">
        <w:t>.</w:t>
      </w:r>
    </w:p>
    <w:p w14:paraId="1F1220E3" w14:textId="1F47416F" w:rsidR="002337BE" w:rsidRDefault="002337BE" w:rsidP="00165FCF">
      <w:r>
        <w:t xml:space="preserve">The ANAO is currently undertaking an audit into the </w:t>
      </w:r>
      <w:r w:rsidRPr="004E1F00">
        <w:rPr>
          <w:i/>
          <w:iCs/>
        </w:rPr>
        <w:t>ATO</w:t>
      </w:r>
      <w:r w:rsidR="0038520A">
        <w:rPr>
          <w:i/>
          <w:iCs/>
        </w:rPr>
        <w:t>’</w:t>
      </w:r>
      <w:r w:rsidRPr="004E1F00">
        <w:rPr>
          <w:i/>
          <w:iCs/>
        </w:rPr>
        <w:t xml:space="preserve">s </w:t>
      </w:r>
      <w:r w:rsidRPr="00E8255E">
        <w:rPr>
          <w:i/>
          <w:iCs/>
        </w:rPr>
        <w:t>Administration of the JobKeeper Scheme</w:t>
      </w:r>
      <w:r>
        <w:t xml:space="preserve">, due to be tabled in December 2021. The report will consider the </w:t>
      </w:r>
      <w:r w:rsidR="00653660">
        <w:t xml:space="preserve">effectiveness of </w:t>
      </w:r>
      <w:r>
        <w:t xml:space="preserve">the </w:t>
      </w:r>
      <w:r w:rsidR="00653660">
        <w:t>ATO</w:t>
      </w:r>
      <w:r w:rsidR="0038520A">
        <w:t>’</w:t>
      </w:r>
      <w:r w:rsidR="00653660">
        <w:t>s administration of JobKeeper, implementation of</w:t>
      </w:r>
      <w:r>
        <w:t xml:space="preserve"> effective measures to protect the integrity of JobKeeper payments and </w:t>
      </w:r>
      <w:r w:rsidR="00653660">
        <w:t>the effective</w:t>
      </w:r>
      <w:r w:rsidR="0074372F">
        <w:t>ness</w:t>
      </w:r>
      <w:r w:rsidR="00653660">
        <w:t xml:space="preserve"> of moni</w:t>
      </w:r>
      <w:r w:rsidR="0074372F">
        <w:t>t</w:t>
      </w:r>
      <w:r w:rsidR="00653660">
        <w:t>oring, reporting and</w:t>
      </w:r>
      <w:r>
        <w:t xml:space="preserve"> operational performance</w:t>
      </w:r>
      <w:r w:rsidR="0074372F">
        <w:t xml:space="preserve">. </w:t>
      </w:r>
    </w:p>
    <w:p w14:paraId="158458FE" w14:textId="6085C96B" w:rsidR="002337BE" w:rsidRDefault="002337BE" w:rsidP="002337BE">
      <w:r>
        <w:t>The</w:t>
      </w:r>
      <w:r w:rsidR="006F1891">
        <w:t xml:space="preserve"> JobKeeper</w:t>
      </w:r>
      <w:r w:rsidR="006740D8">
        <w:t xml:space="preserve"> </w:t>
      </w:r>
      <w:r>
        <w:t>evaluation will consider and integrate any relevant findings from the ANAO audit process</w:t>
      </w:r>
      <w:r w:rsidR="00160DFA">
        <w:t>,</w:t>
      </w:r>
      <w:r w:rsidR="006F1891">
        <w:t xml:space="preserve"> </w:t>
      </w:r>
      <w:r w:rsidR="003E3983">
        <w:t>analysis presented by</w:t>
      </w:r>
      <w:r w:rsidR="006F1891">
        <w:t xml:space="preserve"> </w:t>
      </w:r>
      <w:r w:rsidR="00C73C71">
        <w:t>researchers and academics,</w:t>
      </w:r>
      <w:r>
        <w:t xml:space="preserve"> and final JobKeeper </w:t>
      </w:r>
      <w:r w:rsidR="00E677E1">
        <w:t xml:space="preserve">program </w:t>
      </w:r>
      <w:r>
        <w:t>data</w:t>
      </w:r>
      <w:r w:rsidR="00AD5DAD">
        <w:t>,</w:t>
      </w:r>
      <w:r>
        <w:t xml:space="preserve"> and is expected to be finalised </w:t>
      </w:r>
      <w:r w:rsidR="006B7363">
        <w:t xml:space="preserve">in </w:t>
      </w:r>
      <w:r>
        <w:t>2022.</w:t>
      </w:r>
    </w:p>
    <w:p w14:paraId="3ED83F23" w14:textId="77777777" w:rsidR="00F012EA" w:rsidRDefault="00F012EA" w:rsidP="008627B1"/>
    <w:p w14:paraId="1BA233D6" w14:textId="77777777" w:rsidR="00F012EA" w:rsidRDefault="00F012EA" w:rsidP="008627B1">
      <w:pPr>
        <w:sectPr w:rsidR="00F012EA" w:rsidSect="00B93F12">
          <w:headerReference w:type="default" r:id="rId68"/>
          <w:headerReference w:type="first" r:id="rId69"/>
          <w:footerReference w:type="first" r:id="rId70"/>
          <w:pgSz w:w="11907" w:h="16840" w:code="9"/>
          <w:pgMar w:top="1418" w:right="1418" w:bottom="1418" w:left="1418" w:header="907" w:footer="737" w:gutter="0"/>
          <w:pgNumType w:start="1"/>
          <w:cols w:space="708"/>
          <w:titlePg/>
          <w:docGrid w:linePitch="360"/>
        </w:sectPr>
      </w:pPr>
    </w:p>
    <w:p w14:paraId="4466475A" w14:textId="6D80FB5D" w:rsidR="009C3607" w:rsidRPr="003E0037" w:rsidRDefault="00BD479B" w:rsidP="003E0037">
      <w:pPr>
        <w:pStyle w:val="Heading1"/>
      </w:pPr>
      <w:bookmarkStart w:id="195" w:name="_Toc84842631"/>
      <w:r>
        <w:lastRenderedPageBreak/>
        <w:t xml:space="preserve">Appendix 1: </w:t>
      </w:r>
      <w:bookmarkStart w:id="196" w:name="_Toc83215077"/>
      <w:r w:rsidR="003219AF">
        <w:t xml:space="preserve">JobKeeper </w:t>
      </w:r>
      <w:r w:rsidR="00A42C45">
        <w:t>p</w:t>
      </w:r>
      <w:r w:rsidR="003219AF">
        <w:t xml:space="preserve">rogram </w:t>
      </w:r>
      <w:r w:rsidR="00A42C45">
        <w:t>d</w:t>
      </w:r>
      <w:r w:rsidR="003219AF">
        <w:t>ata</w:t>
      </w:r>
      <w:bookmarkEnd w:id="196"/>
      <w:bookmarkEnd w:id="195"/>
    </w:p>
    <w:p w14:paraId="127B9D36" w14:textId="33A89D91" w:rsidR="001113AC" w:rsidRPr="001113AC" w:rsidRDefault="001113AC" w:rsidP="003E7BD1">
      <w:r>
        <w:t xml:space="preserve">This appendix provides </w:t>
      </w:r>
      <w:r w:rsidR="00EF5D69">
        <w:t>detailed</w:t>
      </w:r>
      <w:r>
        <w:t xml:space="preserve"> data for all phases of the JobKeeper program and the underlying data for figures in Section 2 </w:t>
      </w:r>
      <w:r w:rsidR="0038520A">
        <w:t>‘</w:t>
      </w:r>
      <w:r>
        <w:t>JobKeeper program data</w:t>
      </w:r>
      <w:r w:rsidR="0038520A">
        <w:t>’</w:t>
      </w:r>
      <w:r>
        <w:t xml:space="preserve">. </w:t>
      </w:r>
    </w:p>
    <w:p w14:paraId="6B1DA09B" w14:textId="2341AF72" w:rsidR="00AF1810" w:rsidRPr="00823671" w:rsidRDefault="00AF1810" w:rsidP="00F47CDD">
      <w:pPr>
        <w:pStyle w:val="TableMainHeading"/>
      </w:pPr>
      <w:bookmarkStart w:id="197" w:name="_Toc84842592"/>
      <w:bookmarkStart w:id="198" w:name="_Hlk83205747"/>
      <w:r w:rsidRPr="00823671">
        <w:t xml:space="preserve">JobKeeper </w:t>
      </w:r>
      <w:r w:rsidR="00DE3F97">
        <w:t>take up</w:t>
      </w:r>
      <w:r w:rsidR="00EF5D69">
        <w:t xml:space="preserve"> </w:t>
      </w:r>
      <w:r w:rsidRPr="00823671">
        <w:t xml:space="preserve">– all phases of the </w:t>
      </w:r>
      <w:r w:rsidR="00A42C45">
        <w:t>p</w:t>
      </w:r>
      <w:r w:rsidRPr="00823671">
        <w:t>rogram (April</w:t>
      </w:r>
      <w:r w:rsidR="001D6173" w:rsidRPr="00823671">
        <w:t> </w:t>
      </w:r>
      <w:r w:rsidRPr="00823671">
        <w:t>2020</w:t>
      </w:r>
      <w:r w:rsidR="00F47CDD">
        <w:t> </w:t>
      </w:r>
      <w:r w:rsidRPr="00823671">
        <w:t>to March</w:t>
      </w:r>
      <w:r w:rsidR="00595D2F">
        <w:t> </w:t>
      </w:r>
      <w:r w:rsidRPr="00823671">
        <w:t>2021)</w:t>
      </w:r>
      <w:bookmarkEnd w:id="197"/>
    </w:p>
    <w:tbl>
      <w:tblPr>
        <w:tblStyle w:val="TableGrid2"/>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1145"/>
        <w:gridCol w:w="1145"/>
        <w:gridCol w:w="1145"/>
        <w:gridCol w:w="1145"/>
        <w:gridCol w:w="1145"/>
        <w:gridCol w:w="1145"/>
      </w:tblGrid>
      <w:tr w:rsidR="0033436D" w:rsidRPr="00C72357" w14:paraId="5F1A526F" w14:textId="77777777" w:rsidTr="0033436D">
        <w:trPr>
          <w:trHeight w:val="454"/>
        </w:trPr>
        <w:tc>
          <w:tcPr>
            <w:tcW w:w="9082" w:type="dxa"/>
            <w:gridSpan w:val="7"/>
            <w:tcBorders>
              <w:top w:val="single" w:sz="4" w:space="0" w:color="3A6FAF" w:themeColor="accent2"/>
            </w:tcBorders>
            <w:shd w:val="clear" w:color="auto" w:fill="auto"/>
            <w:vAlign w:val="center"/>
          </w:tcPr>
          <w:p w14:paraId="483973BF" w14:textId="7CD4196D" w:rsidR="0033436D" w:rsidRPr="00823671" w:rsidRDefault="00B03E19" w:rsidP="0033436D">
            <w:pPr>
              <w:pStyle w:val="TableColumnHeadingCentred"/>
              <w:rPr>
                <w:rFonts w:eastAsia="Calibri"/>
                <w:lang w:eastAsia="en-US"/>
              </w:rPr>
            </w:pPr>
            <w:r>
              <w:rPr>
                <w:rFonts w:eastAsia="Calibri"/>
                <w:lang w:eastAsia="en-US"/>
              </w:rPr>
              <w:t xml:space="preserve">First phase of </w:t>
            </w:r>
            <w:r w:rsidR="0033436D" w:rsidRPr="00823671">
              <w:rPr>
                <w:rFonts w:eastAsia="Calibri"/>
                <w:lang w:eastAsia="en-US"/>
              </w:rPr>
              <w:t xml:space="preserve">JobKeeper – </w:t>
            </w:r>
            <w:r w:rsidR="0033436D" w:rsidRPr="00BE61FE">
              <w:rPr>
                <w:rFonts w:asciiTheme="minorHAnsi" w:eastAsia="Calibri" w:hAnsiTheme="minorHAnsi"/>
                <w:lang w:eastAsia="en-US"/>
              </w:rPr>
              <w:t>April to September 2020</w:t>
            </w:r>
          </w:p>
        </w:tc>
      </w:tr>
      <w:tr w:rsidR="0033436D" w:rsidRPr="00C72357" w14:paraId="64AEDA2D" w14:textId="77777777" w:rsidTr="000708A3">
        <w:trPr>
          <w:trHeight w:val="278"/>
        </w:trPr>
        <w:tc>
          <w:tcPr>
            <w:tcW w:w="2212" w:type="dxa"/>
            <w:tcBorders>
              <w:bottom w:val="single" w:sz="4" w:space="0" w:color="3A6FAF" w:themeColor="accent2"/>
            </w:tcBorders>
            <w:shd w:val="clear" w:color="auto" w:fill="auto"/>
          </w:tcPr>
          <w:p w14:paraId="0FD94352" w14:textId="77777777" w:rsidR="0033436D" w:rsidRPr="00BE61FE" w:rsidRDefault="0033436D" w:rsidP="0033436D">
            <w:pPr>
              <w:pStyle w:val="TableColumnHeadingCentred"/>
              <w:rPr>
                <w:rFonts w:eastAsia="Calibri"/>
                <w:lang w:eastAsia="en-US"/>
              </w:rPr>
            </w:pPr>
          </w:p>
        </w:tc>
        <w:tc>
          <w:tcPr>
            <w:tcW w:w="1145" w:type="dxa"/>
            <w:tcBorders>
              <w:bottom w:val="single" w:sz="4" w:space="0" w:color="3A6FAF" w:themeColor="accent2"/>
            </w:tcBorders>
            <w:shd w:val="clear" w:color="auto" w:fill="auto"/>
            <w:noWrap/>
          </w:tcPr>
          <w:p w14:paraId="1CF84FD9" w14:textId="26179292" w:rsidR="0033436D" w:rsidRPr="00BE61FE" w:rsidRDefault="0033436D" w:rsidP="0033436D">
            <w:pPr>
              <w:pStyle w:val="TableColumnHeadingRight"/>
              <w:rPr>
                <w:rFonts w:eastAsia="Calibri"/>
                <w:lang w:eastAsia="en-US"/>
              </w:rPr>
            </w:pPr>
            <w:r>
              <w:rPr>
                <w:rFonts w:eastAsia="Calibri"/>
                <w:lang w:eastAsia="en-US"/>
              </w:rPr>
              <w:t>Apr</w:t>
            </w:r>
            <w:r w:rsidRPr="00BE61FE">
              <w:rPr>
                <w:rFonts w:eastAsia="Calibri"/>
                <w:lang w:eastAsia="en-US"/>
              </w:rPr>
              <w:t xml:space="preserve"> 2020</w:t>
            </w:r>
          </w:p>
        </w:tc>
        <w:tc>
          <w:tcPr>
            <w:tcW w:w="1145" w:type="dxa"/>
            <w:tcBorders>
              <w:bottom w:val="single" w:sz="4" w:space="0" w:color="3A6FAF" w:themeColor="accent2"/>
            </w:tcBorders>
            <w:shd w:val="clear" w:color="auto" w:fill="auto"/>
            <w:noWrap/>
            <w:hideMark/>
          </w:tcPr>
          <w:p w14:paraId="7D1BEE00" w14:textId="608E7D91" w:rsidR="0033436D" w:rsidRPr="00BE61FE" w:rsidRDefault="0033436D" w:rsidP="0033436D">
            <w:pPr>
              <w:pStyle w:val="TableColumnHeadingRight"/>
              <w:rPr>
                <w:rFonts w:eastAsia="Calibri"/>
                <w:lang w:eastAsia="en-US"/>
              </w:rPr>
            </w:pPr>
            <w:r>
              <w:rPr>
                <w:rFonts w:eastAsia="Calibri"/>
                <w:lang w:eastAsia="en-US"/>
              </w:rPr>
              <w:t>May</w:t>
            </w:r>
            <w:r w:rsidRPr="00BE61FE">
              <w:rPr>
                <w:rFonts w:eastAsia="Calibri"/>
                <w:lang w:eastAsia="en-US"/>
              </w:rPr>
              <w:t xml:space="preserve"> 2020</w:t>
            </w:r>
          </w:p>
        </w:tc>
        <w:tc>
          <w:tcPr>
            <w:tcW w:w="1145" w:type="dxa"/>
            <w:tcBorders>
              <w:bottom w:val="single" w:sz="4" w:space="0" w:color="3A6FAF" w:themeColor="accent2"/>
            </w:tcBorders>
            <w:shd w:val="clear" w:color="auto" w:fill="auto"/>
            <w:noWrap/>
            <w:hideMark/>
          </w:tcPr>
          <w:p w14:paraId="338682B7" w14:textId="4632D4B6" w:rsidR="0033436D" w:rsidRPr="00BE61FE" w:rsidRDefault="0033436D" w:rsidP="0033436D">
            <w:pPr>
              <w:pStyle w:val="TableColumnHeadingRight"/>
              <w:rPr>
                <w:rFonts w:eastAsia="Calibri"/>
                <w:lang w:eastAsia="en-US"/>
              </w:rPr>
            </w:pPr>
            <w:r>
              <w:rPr>
                <w:rFonts w:eastAsia="Calibri"/>
                <w:lang w:eastAsia="en-US"/>
              </w:rPr>
              <w:t>Jun</w:t>
            </w:r>
            <w:r w:rsidRPr="00BE61FE">
              <w:rPr>
                <w:rFonts w:eastAsia="Calibri"/>
                <w:lang w:eastAsia="en-US"/>
              </w:rPr>
              <w:t xml:space="preserve"> 2020</w:t>
            </w:r>
          </w:p>
        </w:tc>
        <w:tc>
          <w:tcPr>
            <w:tcW w:w="1145" w:type="dxa"/>
            <w:tcBorders>
              <w:bottom w:val="single" w:sz="4" w:space="0" w:color="3A6FAF" w:themeColor="accent2"/>
            </w:tcBorders>
            <w:shd w:val="clear" w:color="auto" w:fill="auto"/>
            <w:noWrap/>
            <w:hideMark/>
          </w:tcPr>
          <w:p w14:paraId="4A51851D" w14:textId="4437C68C" w:rsidR="0033436D" w:rsidRPr="00BE61FE" w:rsidRDefault="0033436D" w:rsidP="0033436D">
            <w:pPr>
              <w:pStyle w:val="TableColumnHeadingRight"/>
              <w:rPr>
                <w:rFonts w:eastAsia="Calibri"/>
                <w:lang w:eastAsia="en-US"/>
              </w:rPr>
            </w:pPr>
            <w:r w:rsidRPr="00BE61FE">
              <w:rPr>
                <w:rFonts w:eastAsia="Calibri"/>
                <w:lang w:eastAsia="en-US"/>
              </w:rPr>
              <w:t>J</w:t>
            </w:r>
            <w:r>
              <w:rPr>
                <w:rFonts w:eastAsia="Calibri"/>
                <w:lang w:eastAsia="en-US"/>
              </w:rPr>
              <w:t>ul</w:t>
            </w:r>
            <w:r w:rsidRPr="00BE61FE">
              <w:rPr>
                <w:rFonts w:eastAsia="Calibri"/>
                <w:lang w:eastAsia="en-US"/>
              </w:rPr>
              <w:t xml:space="preserve"> 202</w:t>
            </w:r>
            <w:r>
              <w:rPr>
                <w:rFonts w:eastAsia="Calibri"/>
                <w:lang w:eastAsia="en-US"/>
              </w:rPr>
              <w:t>0</w:t>
            </w:r>
          </w:p>
        </w:tc>
        <w:tc>
          <w:tcPr>
            <w:tcW w:w="1145" w:type="dxa"/>
            <w:tcBorders>
              <w:bottom w:val="single" w:sz="4" w:space="0" w:color="3A6FAF" w:themeColor="accent2"/>
            </w:tcBorders>
            <w:shd w:val="clear" w:color="auto" w:fill="auto"/>
            <w:noWrap/>
            <w:hideMark/>
          </w:tcPr>
          <w:p w14:paraId="346C932F" w14:textId="07F14400" w:rsidR="0033436D" w:rsidRPr="00BE61FE" w:rsidRDefault="0033436D" w:rsidP="0033436D">
            <w:pPr>
              <w:pStyle w:val="TableColumnHeadingRight"/>
              <w:rPr>
                <w:rFonts w:eastAsia="Calibri"/>
                <w:lang w:eastAsia="en-US"/>
              </w:rPr>
            </w:pPr>
            <w:r>
              <w:rPr>
                <w:rFonts w:eastAsia="Calibri"/>
                <w:lang w:eastAsia="en-US"/>
              </w:rPr>
              <w:t>Aug</w:t>
            </w:r>
            <w:r w:rsidRPr="00BE61FE">
              <w:rPr>
                <w:rFonts w:eastAsia="Calibri"/>
                <w:lang w:eastAsia="en-US"/>
              </w:rPr>
              <w:t xml:space="preserve"> 202</w:t>
            </w:r>
            <w:r>
              <w:rPr>
                <w:rFonts w:eastAsia="Calibri"/>
                <w:lang w:eastAsia="en-US"/>
              </w:rPr>
              <w:t>0</w:t>
            </w:r>
          </w:p>
        </w:tc>
        <w:tc>
          <w:tcPr>
            <w:tcW w:w="1145" w:type="dxa"/>
            <w:tcBorders>
              <w:bottom w:val="single" w:sz="4" w:space="0" w:color="3A6FAF" w:themeColor="accent2"/>
            </w:tcBorders>
            <w:shd w:val="clear" w:color="auto" w:fill="auto"/>
            <w:noWrap/>
            <w:hideMark/>
          </w:tcPr>
          <w:p w14:paraId="44575042" w14:textId="0AD16EA3" w:rsidR="0033436D" w:rsidRPr="00BE61FE" w:rsidRDefault="0033436D" w:rsidP="0033436D">
            <w:pPr>
              <w:pStyle w:val="TableColumnHeadingRight"/>
              <w:rPr>
                <w:rFonts w:eastAsia="Calibri"/>
                <w:lang w:eastAsia="en-US"/>
              </w:rPr>
            </w:pPr>
            <w:r>
              <w:rPr>
                <w:rFonts w:eastAsia="Calibri"/>
                <w:lang w:eastAsia="en-US"/>
              </w:rPr>
              <w:t>Sep</w:t>
            </w:r>
            <w:r w:rsidRPr="00BE61FE">
              <w:rPr>
                <w:rFonts w:eastAsia="Calibri"/>
                <w:lang w:eastAsia="en-US"/>
              </w:rPr>
              <w:t xml:space="preserve"> 202</w:t>
            </w:r>
            <w:r>
              <w:rPr>
                <w:rFonts w:eastAsia="Calibri"/>
                <w:lang w:eastAsia="en-US"/>
              </w:rPr>
              <w:t>0</w:t>
            </w:r>
          </w:p>
        </w:tc>
      </w:tr>
      <w:tr w:rsidR="0033436D" w:rsidRPr="00C72357" w14:paraId="5AFF020A" w14:textId="77777777" w:rsidTr="0033436D">
        <w:trPr>
          <w:trHeight w:val="288"/>
        </w:trPr>
        <w:tc>
          <w:tcPr>
            <w:tcW w:w="2212" w:type="dxa"/>
            <w:tcBorders>
              <w:top w:val="single" w:sz="4" w:space="0" w:color="3A6FAF" w:themeColor="accent2"/>
              <w:bottom w:val="single" w:sz="4" w:space="0" w:color="3A6FAF" w:themeColor="accent2"/>
            </w:tcBorders>
            <w:shd w:val="clear" w:color="auto" w:fill="auto"/>
          </w:tcPr>
          <w:p w14:paraId="22F4E743" w14:textId="77777777" w:rsidR="0033436D" w:rsidRPr="00823671" w:rsidRDefault="0033436D" w:rsidP="0033436D">
            <w:pPr>
              <w:pStyle w:val="TableTextLeft"/>
              <w:rPr>
                <w:rFonts w:eastAsia="Calibri"/>
                <w:lang w:eastAsia="en-US"/>
              </w:rPr>
            </w:pPr>
            <w:r w:rsidRPr="00823671">
              <w:rPr>
                <w:rFonts w:eastAsia="Calibri"/>
                <w:lang w:eastAsia="en-US"/>
              </w:rPr>
              <w:t>JobKeeper fortnights</w:t>
            </w:r>
          </w:p>
        </w:tc>
        <w:tc>
          <w:tcPr>
            <w:tcW w:w="1145" w:type="dxa"/>
            <w:tcBorders>
              <w:top w:val="single" w:sz="4" w:space="0" w:color="3A6FAF" w:themeColor="accent2"/>
              <w:bottom w:val="single" w:sz="4" w:space="0" w:color="3A6FAF" w:themeColor="accent2"/>
            </w:tcBorders>
            <w:shd w:val="clear" w:color="auto" w:fill="auto"/>
            <w:noWrap/>
            <w:hideMark/>
          </w:tcPr>
          <w:p w14:paraId="2858B2EF" w14:textId="1829D031" w:rsidR="0033436D" w:rsidRPr="00823671" w:rsidRDefault="0033436D" w:rsidP="0033436D">
            <w:pPr>
              <w:pStyle w:val="TableTextRight"/>
              <w:rPr>
                <w:rFonts w:eastAsia="Calibri"/>
                <w:lang w:eastAsia="en-US"/>
              </w:rPr>
            </w:pPr>
            <w:r w:rsidRPr="001D6173">
              <w:rPr>
                <w:rFonts w:eastAsia="Calibri"/>
                <w:lang w:eastAsia="en-US"/>
              </w:rPr>
              <w:t>30 Mar–26</w:t>
            </w:r>
            <w:r>
              <w:rPr>
                <w:rFonts w:eastAsia="Calibri"/>
                <w:lang w:eastAsia="en-US"/>
              </w:rPr>
              <w:t> </w:t>
            </w:r>
            <w:r w:rsidRPr="001D6173">
              <w:rPr>
                <w:rFonts w:eastAsia="Calibri"/>
                <w:lang w:eastAsia="en-US"/>
              </w:rPr>
              <w:t>Apr</w:t>
            </w:r>
          </w:p>
        </w:tc>
        <w:tc>
          <w:tcPr>
            <w:tcW w:w="1145" w:type="dxa"/>
            <w:tcBorders>
              <w:top w:val="single" w:sz="4" w:space="0" w:color="3A6FAF" w:themeColor="accent2"/>
              <w:bottom w:val="single" w:sz="4" w:space="0" w:color="3A6FAF" w:themeColor="accent2"/>
            </w:tcBorders>
            <w:shd w:val="clear" w:color="auto" w:fill="auto"/>
            <w:noWrap/>
            <w:hideMark/>
          </w:tcPr>
          <w:p w14:paraId="28243D36" w14:textId="752EA464" w:rsidR="0033436D" w:rsidRPr="00823671" w:rsidRDefault="0033436D" w:rsidP="0033436D">
            <w:pPr>
              <w:pStyle w:val="TableTextRight"/>
              <w:rPr>
                <w:rFonts w:eastAsia="Calibri"/>
                <w:lang w:eastAsia="en-US"/>
              </w:rPr>
            </w:pPr>
            <w:r w:rsidRPr="001D6173">
              <w:rPr>
                <w:rFonts w:eastAsia="Calibri"/>
                <w:lang w:eastAsia="en-US"/>
              </w:rPr>
              <w:t>27 Apr–24</w:t>
            </w:r>
            <w:r>
              <w:rPr>
                <w:rFonts w:eastAsia="Calibri"/>
                <w:lang w:eastAsia="en-US"/>
              </w:rPr>
              <w:t> </w:t>
            </w:r>
            <w:r w:rsidRPr="001D6173">
              <w:rPr>
                <w:rFonts w:eastAsia="Calibri"/>
                <w:lang w:eastAsia="en-US"/>
              </w:rPr>
              <w:t>May</w:t>
            </w:r>
          </w:p>
        </w:tc>
        <w:tc>
          <w:tcPr>
            <w:tcW w:w="1145" w:type="dxa"/>
            <w:tcBorders>
              <w:top w:val="single" w:sz="4" w:space="0" w:color="3A6FAF" w:themeColor="accent2"/>
              <w:bottom w:val="single" w:sz="4" w:space="0" w:color="3A6FAF" w:themeColor="accent2"/>
            </w:tcBorders>
            <w:shd w:val="clear" w:color="auto" w:fill="auto"/>
            <w:noWrap/>
            <w:hideMark/>
          </w:tcPr>
          <w:p w14:paraId="64A66E59" w14:textId="77777777" w:rsidR="0033436D" w:rsidRPr="001D6173" w:rsidRDefault="0033436D" w:rsidP="0033436D">
            <w:pPr>
              <w:pStyle w:val="TableTextRight"/>
              <w:rPr>
                <w:rFonts w:eastAsia="Calibri"/>
                <w:lang w:eastAsia="en-US"/>
              </w:rPr>
            </w:pPr>
            <w:r w:rsidRPr="001D6173">
              <w:rPr>
                <w:rFonts w:eastAsia="Calibri"/>
                <w:lang w:eastAsia="en-US"/>
              </w:rPr>
              <w:t>25 May–</w:t>
            </w:r>
          </w:p>
          <w:p w14:paraId="5613CB24" w14:textId="5FE4280B" w:rsidR="0033436D" w:rsidRPr="00823671" w:rsidRDefault="0033436D" w:rsidP="0033436D">
            <w:pPr>
              <w:pStyle w:val="TableTextRight"/>
              <w:rPr>
                <w:rFonts w:eastAsia="Calibri"/>
                <w:lang w:eastAsia="en-US"/>
              </w:rPr>
            </w:pPr>
            <w:r w:rsidRPr="001D6173">
              <w:rPr>
                <w:rFonts w:eastAsia="Calibri"/>
                <w:lang w:eastAsia="en-US"/>
              </w:rPr>
              <w:t>21 Jun</w:t>
            </w:r>
          </w:p>
        </w:tc>
        <w:tc>
          <w:tcPr>
            <w:tcW w:w="1145" w:type="dxa"/>
            <w:tcBorders>
              <w:top w:val="single" w:sz="4" w:space="0" w:color="3A6FAF" w:themeColor="accent2"/>
              <w:bottom w:val="single" w:sz="4" w:space="0" w:color="3A6FAF" w:themeColor="accent2"/>
            </w:tcBorders>
            <w:shd w:val="clear" w:color="auto" w:fill="auto"/>
            <w:noWrap/>
            <w:hideMark/>
          </w:tcPr>
          <w:p w14:paraId="2BD958B0" w14:textId="32989D3F" w:rsidR="0033436D" w:rsidRDefault="0033436D" w:rsidP="0033436D">
            <w:pPr>
              <w:pStyle w:val="TableTextRight"/>
              <w:rPr>
                <w:rFonts w:eastAsia="Calibri"/>
                <w:lang w:eastAsia="en-US"/>
              </w:rPr>
            </w:pPr>
            <w:r w:rsidRPr="001D6173">
              <w:rPr>
                <w:rFonts w:eastAsia="Calibri"/>
                <w:lang w:eastAsia="en-US"/>
              </w:rPr>
              <w:t>22 Jun</w:t>
            </w:r>
            <w:r>
              <w:rPr>
                <w:rFonts w:eastAsia="Calibri"/>
                <w:lang w:eastAsia="en-US"/>
              </w:rPr>
              <w:t>–</w:t>
            </w:r>
          </w:p>
          <w:p w14:paraId="4E2BA982" w14:textId="4C2C2F87" w:rsidR="0033436D" w:rsidRPr="00823671" w:rsidRDefault="0033436D" w:rsidP="0033436D">
            <w:pPr>
              <w:pStyle w:val="TableTextRight"/>
              <w:rPr>
                <w:rFonts w:eastAsia="Calibri"/>
                <w:lang w:eastAsia="en-US"/>
              </w:rPr>
            </w:pPr>
            <w:r w:rsidRPr="001D6173">
              <w:rPr>
                <w:rFonts w:eastAsia="Calibri"/>
                <w:lang w:eastAsia="en-US"/>
              </w:rPr>
              <w:t>19 Jul</w:t>
            </w:r>
          </w:p>
        </w:tc>
        <w:tc>
          <w:tcPr>
            <w:tcW w:w="1145" w:type="dxa"/>
            <w:tcBorders>
              <w:top w:val="single" w:sz="4" w:space="0" w:color="3A6FAF" w:themeColor="accent2"/>
              <w:bottom w:val="single" w:sz="4" w:space="0" w:color="3A6FAF" w:themeColor="accent2"/>
            </w:tcBorders>
            <w:shd w:val="clear" w:color="auto" w:fill="auto"/>
            <w:noWrap/>
            <w:hideMark/>
          </w:tcPr>
          <w:p w14:paraId="5F802466" w14:textId="7B440D7C" w:rsidR="0033436D" w:rsidRDefault="0033436D" w:rsidP="0033436D">
            <w:pPr>
              <w:pStyle w:val="TableTextRight"/>
              <w:rPr>
                <w:rFonts w:eastAsia="Calibri"/>
                <w:lang w:eastAsia="en-US"/>
              </w:rPr>
            </w:pPr>
            <w:r w:rsidRPr="001D6173">
              <w:rPr>
                <w:rFonts w:eastAsia="Calibri"/>
                <w:lang w:eastAsia="en-US"/>
              </w:rPr>
              <w:t>20 Jul</w:t>
            </w:r>
            <w:r>
              <w:rPr>
                <w:rFonts w:eastAsia="Calibri"/>
                <w:lang w:eastAsia="en-US"/>
              </w:rPr>
              <w:t>–</w:t>
            </w:r>
          </w:p>
          <w:p w14:paraId="74E37692" w14:textId="52014667" w:rsidR="0033436D" w:rsidRPr="00823671" w:rsidRDefault="0033436D" w:rsidP="0033436D">
            <w:pPr>
              <w:pStyle w:val="TableTextRight"/>
              <w:rPr>
                <w:rFonts w:eastAsia="Calibri"/>
                <w:lang w:eastAsia="en-US"/>
              </w:rPr>
            </w:pPr>
            <w:r w:rsidRPr="001D6173">
              <w:rPr>
                <w:rFonts w:eastAsia="Calibri"/>
                <w:lang w:eastAsia="en-US"/>
              </w:rPr>
              <w:t>30 Aug</w:t>
            </w:r>
          </w:p>
        </w:tc>
        <w:tc>
          <w:tcPr>
            <w:tcW w:w="1145" w:type="dxa"/>
            <w:tcBorders>
              <w:top w:val="single" w:sz="4" w:space="0" w:color="3A6FAF" w:themeColor="accent2"/>
              <w:bottom w:val="single" w:sz="4" w:space="0" w:color="3A6FAF" w:themeColor="accent2"/>
            </w:tcBorders>
            <w:shd w:val="clear" w:color="auto" w:fill="auto"/>
            <w:noWrap/>
            <w:hideMark/>
          </w:tcPr>
          <w:p w14:paraId="371A570B" w14:textId="77777777" w:rsidR="0033436D" w:rsidRPr="001D6173" w:rsidRDefault="0033436D" w:rsidP="0033436D">
            <w:pPr>
              <w:pStyle w:val="TableTextRight"/>
              <w:rPr>
                <w:rFonts w:eastAsia="Calibri"/>
                <w:lang w:eastAsia="en-US"/>
              </w:rPr>
            </w:pPr>
            <w:r w:rsidRPr="001D6173">
              <w:rPr>
                <w:rFonts w:eastAsia="Calibri"/>
                <w:lang w:eastAsia="en-US"/>
              </w:rPr>
              <w:t>31 Aug–</w:t>
            </w:r>
          </w:p>
          <w:p w14:paraId="60709B34" w14:textId="088A100D" w:rsidR="0033436D" w:rsidRPr="00823671" w:rsidRDefault="0033436D" w:rsidP="0033436D">
            <w:pPr>
              <w:pStyle w:val="TableTextRight"/>
              <w:rPr>
                <w:rFonts w:eastAsia="Calibri"/>
                <w:lang w:eastAsia="en-US"/>
              </w:rPr>
            </w:pPr>
            <w:r w:rsidRPr="001D6173">
              <w:rPr>
                <w:rFonts w:eastAsia="Calibri"/>
                <w:lang w:eastAsia="en-US"/>
              </w:rPr>
              <w:t>27 Sept</w:t>
            </w:r>
          </w:p>
        </w:tc>
      </w:tr>
      <w:tr w:rsidR="0033436D" w:rsidRPr="00C72357" w14:paraId="545A486A" w14:textId="77777777" w:rsidTr="0033436D">
        <w:trPr>
          <w:trHeight w:val="288"/>
        </w:trPr>
        <w:tc>
          <w:tcPr>
            <w:tcW w:w="2212" w:type="dxa"/>
            <w:tcBorders>
              <w:top w:val="single" w:sz="4" w:space="0" w:color="3A6FAF" w:themeColor="accent2"/>
              <w:bottom w:val="single" w:sz="4" w:space="0" w:color="3A6FAF" w:themeColor="accent2"/>
            </w:tcBorders>
            <w:shd w:val="clear" w:color="auto" w:fill="auto"/>
          </w:tcPr>
          <w:p w14:paraId="03FE25E8" w14:textId="77777777" w:rsidR="0033436D" w:rsidRPr="00005867" w:rsidRDefault="0033436D" w:rsidP="0033436D">
            <w:pPr>
              <w:pStyle w:val="TableTextLeft"/>
              <w:rPr>
                <w:rFonts w:eastAsia="Calibri"/>
                <w:b/>
                <w:lang w:eastAsia="en-US"/>
              </w:rPr>
            </w:pPr>
            <w:r w:rsidRPr="00005867">
              <w:rPr>
                <w:rFonts w:eastAsia="Calibri"/>
                <w:b/>
                <w:lang w:eastAsia="en-US"/>
              </w:rPr>
              <w:t>Monthly Totals</w:t>
            </w:r>
          </w:p>
        </w:tc>
        <w:tc>
          <w:tcPr>
            <w:tcW w:w="1145" w:type="dxa"/>
            <w:tcBorders>
              <w:top w:val="single" w:sz="4" w:space="0" w:color="3A6FAF" w:themeColor="accent2"/>
              <w:bottom w:val="single" w:sz="4" w:space="0" w:color="3A6FAF" w:themeColor="accent2"/>
            </w:tcBorders>
            <w:shd w:val="clear" w:color="auto" w:fill="auto"/>
            <w:noWrap/>
            <w:hideMark/>
          </w:tcPr>
          <w:p w14:paraId="4800FAD1" w14:textId="77777777" w:rsidR="0033436D" w:rsidRPr="00005867" w:rsidRDefault="0033436D" w:rsidP="0033436D">
            <w:pPr>
              <w:pStyle w:val="TableTextLeft"/>
              <w:rPr>
                <w:rFonts w:eastAsia="Calibri"/>
                <w:b/>
                <w:lang w:eastAsia="en-US"/>
              </w:rPr>
            </w:pPr>
            <w:r w:rsidRPr="00005867">
              <w:rPr>
                <w:rFonts w:eastAsia="Calibri"/>
                <w:b/>
                <w:lang w:eastAsia="en-US"/>
              </w:rPr>
              <w:t> </w:t>
            </w:r>
          </w:p>
        </w:tc>
        <w:tc>
          <w:tcPr>
            <w:tcW w:w="1145" w:type="dxa"/>
            <w:tcBorders>
              <w:top w:val="single" w:sz="4" w:space="0" w:color="3A6FAF" w:themeColor="accent2"/>
              <w:bottom w:val="single" w:sz="4" w:space="0" w:color="3A6FAF" w:themeColor="accent2"/>
            </w:tcBorders>
            <w:shd w:val="clear" w:color="auto" w:fill="auto"/>
            <w:noWrap/>
            <w:hideMark/>
          </w:tcPr>
          <w:p w14:paraId="68A2ECFB" w14:textId="77777777" w:rsidR="0033436D" w:rsidRPr="00005867" w:rsidRDefault="0033436D" w:rsidP="0033436D">
            <w:pPr>
              <w:pStyle w:val="TableTextLeft"/>
              <w:rPr>
                <w:rFonts w:eastAsia="Calibri"/>
                <w:b/>
                <w:lang w:eastAsia="en-US"/>
              </w:rPr>
            </w:pPr>
            <w:r w:rsidRPr="00005867">
              <w:rPr>
                <w:rFonts w:eastAsia="Calibri"/>
                <w:b/>
                <w:lang w:eastAsia="en-US"/>
              </w:rPr>
              <w:t> </w:t>
            </w:r>
          </w:p>
        </w:tc>
        <w:tc>
          <w:tcPr>
            <w:tcW w:w="1145" w:type="dxa"/>
            <w:tcBorders>
              <w:top w:val="single" w:sz="4" w:space="0" w:color="3A6FAF" w:themeColor="accent2"/>
              <w:bottom w:val="single" w:sz="4" w:space="0" w:color="3A6FAF" w:themeColor="accent2"/>
            </w:tcBorders>
            <w:shd w:val="clear" w:color="auto" w:fill="auto"/>
            <w:noWrap/>
            <w:hideMark/>
          </w:tcPr>
          <w:p w14:paraId="4D6A36D8" w14:textId="77777777" w:rsidR="0033436D" w:rsidRPr="00005867" w:rsidRDefault="0033436D" w:rsidP="0033436D">
            <w:pPr>
              <w:pStyle w:val="TableTextLeft"/>
              <w:rPr>
                <w:rFonts w:eastAsia="Calibri"/>
                <w:b/>
                <w:lang w:eastAsia="en-US"/>
              </w:rPr>
            </w:pPr>
            <w:r w:rsidRPr="00005867">
              <w:rPr>
                <w:rFonts w:eastAsia="Calibri"/>
                <w:b/>
                <w:lang w:eastAsia="en-US"/>
              </w:rPr>
              <w:t> </w:t>
            </w:r>
          </w:p>
        </w:tc>
        <w:tc>
          <w:tcPr>
            <w:tcW w:w="1145" w:type="dxa"/>
            <w:tcBorders>
              <w:top w:val="single" w:sz="4" w:space="0" w:color="3A6FAF" w:themeColor="accent2"/>
              <w:bottom w:val="single" w:sz="4" w:space="0" w:color="3A6FAF" w:themeColor="accent2"/>
            </w:tcBorders>
            <w:shd w:val="clear" w:color="auto" w:fill="auto"/>
            <w:noWrap/>
            <w:hideMark/>
          </w:tcPr>
          <w:p w14:paraId="7EC6D841" w14:textId="77777777" w:rsidR="0033436D" w:rsidRPr="00005867" w:rsidRDefault="0033436D" w:rsidP="0033436D">
            <w:pPr>
              <w:pStyle w:val="TableTextLeft"/>
              <w:rPr>
                <w:rFonts w:eastAsia="Calibri"/>
                <w:b/>
                <w:lang w:eastAsia="en-US"/>
              </w:rPr>
            </w:pPr>
            <w:r w:rsidRPr="00005867">
              <w:rPr>
                <w:rFonts w:eastAsia="Calibri"/>
                <w:b/>
                <w:lang w:eastAsia="en-US"/>
              </w:rPr>
              <w:t> </w:t>
            </w:r>
          </w:p>
        </w:tc>
        <w:tc>
          <w:tcPr>
            <w:tcW w:w="1145" w:type="dxa"/>
            <w:tcBorders>
              <w:top w:val="single" w:sz="4" w:space="0" w:color="3A6FAF" w:themeColor="accent2"/>
              <w:bottom w:val="single" w:sz="4" w:space="0" w:color="3A6FAF" w:themeColor="accent2"/>
            </w:tcBorders>
            <w:shd w:val="clear" w:color="auto" w:fill="auto"/>
            <w:noWrap/>
            <w:hideMark/>
          </w:tcPr>
          <w:p w14:paraId="2D632303" w14:textId="77777777" w:rsidR="0033436D" w:rsidRPr="00005867" w:rsidRDefault="0033436D" w:rsidP="0033436D">
            <w:pPr>
              <w:pStyle w:val="TableTextLeft"/>
              <w:rPr>
                <w:rFonts w:eastAsia="Calibri"/>
                <w:b/>
                <w:lang w:eastAsia="en-US"/>
              </w:rPr>
            </w:pPr>
            <w:r w:rsidRPr="00005867">
              <w:rPr>
                <w:rFonts w:eastAsia="Calibri"/>
                <w:b/>
                <w:lang w:eastAsia="en-US"/>
              </w:rPr>
              <w:t> </w:t>
            </w:r>
          </w:p>
        </w:tc>
        <w:tc>
          <w:tcPr>
            <w:tcW w:w="1145" w:type="dxa"/>
            <w:tcBorders>
              <w:top w:val="single" w:sz="4" w:space="0" w:color="3A6FAF" w:themeColor="accent2"/>
              <w:bottom w:val="single" w:sz="4" w:space="0" w:color="3A6FAF" w:themeColor="accent2"/>
            </w:tcBorders>
            <w:shd w:val="clear" w:color="auto" w:fill="auto"/>
            <w:noWrap/>
            <w:hideMark/>
          </w:tcPr>
          <w:p w14:paraId="4F42E50F" w14:textId="77777777" w:rsidR="0033436D" w:rsidRPr="00005867" w:rsidRDefault="0033436D" w:rsidP="0033436D">
            <w:pPr>
              <w:pStyle w:val="TableTextLeft"/>
              <w:rPr>
                <w:rFonts w:eastAsia="Calibri"/>
                <w:b/>
                <w:lang w:eastAsia="en-US"/>
              </w:rPr>
            </w:pPr>
            <w:r w:rsidRPr="00005867">
              <w:rPr>
                <w:rFonts w:eastAsia="Calibri"/>
                <w:b/>
                <w:lang w:eastAsia="en-US"/>
              </w:rPr>
              <w:t> </w:t>
            </w:r>
          </w:p>
        </w:tc>
      </w:tr>
      <w:tr w:rsidR="00AC7755" w:rsidRPr="00C72357" w14:paraId="12297C05" w14:textId="77777777" w:rsidTr="0033436D">
        <w:trPr>
          <w:trHeight w:val="324"/>
        </w:trPr>
        <w:tc>
          <w:tcPr>
            <w:tcW w:w="2212" w:type="dxa"/>
            <w:tcBorders>
              <w:top w:val="single" w:sz="4" w:space="0" w:color="3A6FAF" w:themeColor="accent2"/>
            </w:tcBorders>
            <w:shd w:val="clear" w:color="auto" w:fill="auto"/>
          </w:tcPr>
          <w:p w14:paraId="2698EDCA" w14:textId="5D35F5A4" w:rsidR="00AC7755" w:rsidRPr="00823671" w:rsidRDefault="00AC7755" w:rsidP="00AC7755">
            <w:pPr>
              <w:pStyle w:val="TableTextLeft"/>
              <w:rPr>
                <w:rFonts w:eastAsia="Calibri"/>
                <w:lang w:eastAsia="en-US"/>
              </w:rPr>
            </w:pPr>
            <w:r w:rsidRPr="00823671">
              <w:rPr>
                <w:rFonts w:eastAsia="Calibri"/>
                <w:lang w:eastAsia="en-US"/>
              </w:rPr>
              <w:t>Number of entities</w:t>
            </w:r>
            <w:r w:rsidR="004F39F0">
              <w:rPr>
                <w:rFonts w:eastAsia="Calibri"/>
                <w:lang w:eastAsia="en-US"/>
              </w:rPr>
              <w:t xml:space="preserve"> </w:t>
            </w:r>
            <w:r w:rsidRPr="00823671">
              <w:rPr>
                <w:rFonts w:eastAsia="Calibri"/>
                <w:lang w:eastAsia="en-US"/>
              </w:rPr>
              <w:t>receiving payment</w:t>
            </w:r>
          </w:p>
        </w:tc>
        <w:tc>
          <w:tcPr>
            <w:tcW w:w="1145" w:type="dxa"/>
            <w:tcBorders>
              <w:top w:val="single" w:sz="4" w:space="0" w:color="3A6FAF" w:themeColor="accent2"/>
            </w:tcBorders>
            <w:shd w:val="clear" w:color="auto" w:fill="auto"/>
            <w:noWrap/>
            <w:hideMark/>
          </w:tcPr>
          <w:p w14:paraId="53E72BB5" w14:textId="5DB9D059" w:rsidR="00AC7755" w:rsidRPr="00823671" w:rsidRDefault="00AC7755" w:rsidP="00AC7755">
            <w:pPr>
              <w:pStyle w:val="TableTextRight"/>
              <w:rPr>
                <w:rFonts w:eastAsia="Calibri"/>
                <w:lang w:eastAsia="en-US"/>
              </w:rPr>
            </w:pPr>
            <w:r w:rsidRPr="001D6173">
              <w:rPr>
                <w:rFonts w:eastAsia="Calibri"/>
                <w:lang w:eastAsia="en-US"/>
              </w:rPr>
              <w:t>862,150</w:t>
            </w:r>
          </w:p>
        </w:tc>
        <w:tc>
          <w:tcPr>
            <w:tcW w:w="1145" w:type="dxa"/>
            <w:tcBorders>
              <w:top w:val="single" w:sz="4" w:space="0" w:color="3A6FAF" w:themeColor="accent2"/>
            </w:tcBorders>
            <w:shd w:val="clear" w:color="auto" w:fill="auto"/>
            <w:noWrap/>
            <w:hideMark/>
          </w:tcPr>
          <w:p w14:paraId="6684A9F9" w14:textId="501EFC22" w:rsidR="00AC7755" w:rsidRPr="00823671" w:rsidRDefault="00AC7755" w:rsidP="00AC7755">
            <w:pPr>
              <w:pStyle w:val="TableTextRight"/>
              <w:rPr>
                <w:rFonts w:eastAsia="Calibri"/>
                <w:lang w:eastAsia="en-US"/>
              </w:rPr>
            </w:pPr>
            <w:r w:rsidRPr="001D6173">
              <w:rPr>
                <w:rFonts w:eastAsia="Calibri"/>
                <w:lang w:eastAsia="en-US"/>
              </w:rPr>
              <w:t>908,992</w:t>
            </w:r>
          </w:p>
        </w:tc>
        <w:tc>
          <w:tcPr>
            <w:tcW w:w="1145" w:type="dxa"/>
            <w:tcBorders>
              <w:top w:val="single" w:sz="4" w:space="0" w:color="3A6FAF" w:themeColor="accent2"/>
            </w:tcBorders>
            <w:shd w:val="clear" w:color="auto" w:fill="auto"/>
            <w:noWrap/>
            <w:hideMark/>
          </w:tcPr>
          <w:p w14:paraId="0A79B2E4" w14:textId="67E7A3D5" w:rsidR="00AC7755" w:rsidRPr="00823671" w:rsidRDefault="00AC7755" w:rsidP="00AC7755">
            <w:pPr>
              <w:pStyle w:val="TableTextRight"/>
              <w:rPr>
                <w:rFonts w:eastAsia="Calibri"/>
                <w:lang w:eastAsia="en-US"/>
              </w:rPr>
            </w:pPr>
            <w:r w:rsidRPr="001D6173">
              <w:rPr>
                <w:rFonts w:eastAsia="Calibri"/>
                <w:lang w:eastAsia="en-US"/>
              </w:rPr>
              <w:t>928,459</w:t>
            </w:r>
          </w:p>
        </w:tc>
        <w:tc>
          <w:tcPr>
            <w:tcW w:w="1145" w:type="dxa"/>
            <w:tcBorders>
              <w:top w:val="single" w:sz="4" w:space="0" w:color="3A6FAF" w:themeColor="accent2"/>
            </w:tcBorders>
            <w:shd w:val="clear" w:color="auto" w:fill="auto"/>
            <w:noWrap/>
            <w:hideMark/>
          </w:tcPr>
          <w:p w14:paraId="79D08AD9" w14:textId="56A42CCE" w:rsidR="00AC7755" w:rsidRPr="00823671" w:rsidRDefault="00AC7755" w:rsidP="00AC7755">
            <w:pPr>
              <w:pStyle w:val="TableTextRight"/>
              <w:rPr>
                <w:rFonts w:eastAsia="Calibri"/>
                <w:lang w:eastAsia="en-US"/>
              </w:rPr>
            </w:pPr>
            <w:r w:rsidRPr="001D6173">
              <w:rPr>
                <w:rFonts w:eastAsia="Calibri"/>
                <w:lang w:eastAsia="en-US"/>
              </w:rPr>
              <w:t>943,287</w:t>
            </w:r>
          </w:p>
        </w:tc>
        <w:tc>
          <w:tcPr>
            <w:tcW w:w="1145" w:type="dxa"/>
            <w:tcBorders>
              <w:top w:val="single" w:sz="4" w:space="0" w:color="3A6FAF" w:themeColor="accent2"/>
            </w:tcBorders>
            <w:shd w:val="clear" w:color="auto" w:fill="auto"/>
            <w:noWrap/>
            <w:hideMark/>
          </w:tcPr>
          <w:p w14:paraId="506BA59C" w14:textId="08DD49F4" w:rsidR="00AC7755" w:rsidRPr="00823671" w:rsidRDefault="00AC7755" w:rsidP="00AC7755">
            <w:pPr>
              <w:pStyle w:val="TableTextRight"/>
              <w:rPr>
                <w:rFonts w:eastAsia="Calibri"/>
                <w:lang w:eastAsia="en-US"/>
              </w:rPr>
            </w:pPr>
            <w:r w:rsidRPr="001D6173">
              <w:rPr>
                <w:rFonts w:eastAsia="Calibri"/>
                <w:lang w:eastAsia="en-US"/>
              </w:rPr>
              <w:t>963,874</w:t>
            </w:r>
          </w:p>
        </w:tc>
        <w:tc>
          <w:tcPr>
            <w:tcW w:w="1145" w:type="dxa"/>
            <w:tcBorders>
              <w:top w:val="single" w:sz="4" w:space="0" w:color="3A6FAF" w:themeColor="accent2"/>
            </w:tcBorders>
            <w:shd w:val="clear" w:color="auto" w:fill="auto"/>
            <w:noWrap/>
            <w:hideMark/>
          </w:tcPr>
          <w:p w14:paraId="4CBD3866" w14:textId="15457182" w:rsidR="00AC7755" w:rsidRPr="00823671" w:rsidRDefault="00AC7755" w:rsidP="00AC7755">
            <w:pPr>
              <w:pStyle w:val="TableTextRight"/>
              <w:rPr>
                <w:rFonts w:eastAsia="Calibri"/>
                <w:lang w:eastAsia="en-US"/>
              </w:rPr>
            </w:pPr>
            <w:r w:rsidRPr="001D6173">
              <w:rPr>
                <w:rFonts w:eastAsia="Calibri"/>
                <w:lang w:eastAsia="en-US"/>
              </w:rPr>
              <w:t>943,399</w:t>
            </w:r>
          </w:p>
        </w:tc>
      </w:tr>
      <w:tr w:rsidR="00AC7755" w:rsidRPr="00C72357" w14:paraId="3BE0BD69" w14:textId="77777777" w:rsidTr="0033436D">
        <w:trPr>
          <w:trHeight w:val="288"/>
        </w:trPr>
        <w:tc>
          <w:tcPr>
            <w:tcW w:w="2212" w:type="dxa"/>
            <w:shd w:val="clear" w:color="auto" w:fill="auto"/>
          </w:tcPr>
          <w:p w14:paraId="5C8792EC" w14:textId="7C06353C" w:rsidR="00AC7755" w:rsidRPr="00823671" w:rsidRDefault="00AC7755" w:rsidP="00AC7755">
            <w:pPr>
              <w:pStyle w:val="TableTextLeft"/>
              <w:rPr>
                <w:rFonts w:eastAsia="Calibri"/>
                <w:lang w:eastAsia="en-US"/>
              </w:rPr>
            </w:pPr>
            <w:r w:rsidRPr="00823671">
              <w:rPr>
                <w:rFonts w:eastAsia="Calibri"/>
                <w:lang w:eastAsia="en-US"/>
              </w:rPr>
              <w:t xml:space="preserve">Number of </w:t>
            </w:r>
            <w:r w:rsidR="00FA2FBA">
              <w:rPr>
                <w:rFonts w:eastAsia="Calibri"/>
                <w:lang w:eastAsia="en-US"/>
              </w:rPr>
              <w:t>i</w:t>
            </w:r>
            <w:r w:rsidRPr="00823671">
              <w:rPr>
                <w:rFonts w:eastAsia="Calibri"/>
                <w:lang w:eastAsia="en-US"/>
              </w:rPr>
              <w:t>ndividuals</w:t>
            </w:r>
          </w:p>
        </w:tc>
        <w:tc>
          <w:tcPr>
            <w:tcW w:w="1145" w:type="dxa"/>
            <w:shd w:val="clear" w:color="auto" w:fill="auto"/>
            <w:noWrap/>
            <w:hideMark/>
          </w:tcPr>
          <w:p w14:paraId="581C5009" w14:textId="04B8ED64" w:rsidR="00AC7755" w:rsidRPr="00823671" w:rsidRDefault="00AC7755" w:rsidP="00AC7755">
            <w:pPr>
              <w:pStyle w:val="TableTextRight"/>
              <w:rPr>
                <w:rFonts w:eastAsia="Calibri"/>
                <w:lang w:eastAsia="en-US"/>
              </w:rPr>
            </w:pPr>
            <w:r w:rsidRPr="001D6173">
              <w:rPr>
                <w:rFonts w:eastAsia="Calibri"/>
                <w:lang w:eastAsia="en-US"/>
              </w:rPr>
              <w:t>3,368,680</w:t>
            </w:r>
          </w:p>
        </w:tc>
        <w:tc>
          <w:tcPr>
            <w:tcW w:w="1145" w:type="dxa"/>
            <w:shd w:val="clear" w:color="auto" w:fill="auto"/>
            <w:noWrap/>
            <w:hideMark/>
          </w:tcPr>
          <w:p w14:paraId="51373D1D" w14:textId="2205B9FD" w:rsidR="00AC7755" w:rsidRPr="00823671" w:rsidRDefault="00AC7755" w:rsidP="00AC7755">
            <w:pPr>
              <w:pStyle w:val="TableTextRight"/>
              <w:rPr>
                <w:rFonts w:eastAsia="Calibri"/>
                <w:lang w:eastAsia="en-US"/>
              </w:rPr>
            </w:pPr>
            <w:r w:rsidRPr="001D6173">
              <w:rPr>
                <w:rFonts w:eastAsia="Calibri"/>
                <w:lang w:eastAsia="en-US"/>
              </w:rPr>
              <w:t>3,580,365</w:t>
            </w:r>
          </w:p>
        </w:tc>
        <w:tc>
          <w:tcPr>
            <w:tcW w:w="1145" w:type="dxa"/>
            <w:shd w:val="clear" w:color="auto" w:fill="auto"/>
            <w:noWrap/>
            <w:hideMark/>
          </w:tcPr>
          <w:p w14:paraId="4F306530" w14:textId="7A890779" w:rsidR="00AC7755" w:rsidRPr="00823671" w:rsidRDefault="00AC7755" w:rsidP="00AC7755">
            <w:pPr>
              <w:pStyle w:val="TableTextRight"/>
              <w:rPr>
                <w:rFonts w:eastAsia="Calibri"/>
                <w:lang w:eastAsia="en-US"/>
              </w:rPr>
            </w:pPr>
            <w:r w:rsidRPr="001D6173">
              <w:rPr>
                <w:rFonts w:eastAsia="Calibri"/>
                <w:lang w:eastAsia="en-US"/>
              </w:rPr>
              <w:t>3,639,526</w:t>
            </w:r>
          </w:p>
        </w:tc>
        <w:tc>
          <w:tcPr>
            <w:tcW w:w="1145" w:type="dxa"/>
            <w:shd w:val="clear" w:color="auto" w:fill="auto"/>
            <w:noWrap/>
            <w:hideMark/>
          </w:tcPr>
          <w:p w14:paraId="0EA6D29C" w14:textId="2D01D1B6" w:rsidR="00AC7755" w:rsidRPr="00823671" w:rsidRDefault="00AC7755" w:rsidP="00AC7755">
            <w:pPr>
              <w:pStyle w:val="TableTextRight"/>
              <w:rPr>
                <w:rFonts w:eastAsia="Calibri"/>
                <w:lang w:eastAsia="en-US"/>
              </w:rPr>
            </w:pPr>
            <w:r w:rsidRPr="001D6173">
              <w:rPr>
                <w:rFonts w:eastAsia="Calibri"/>
                <w:lang w:eastAsia="en-US"/>
              </w:rPr>
              <w:t>3,659,934</w:t>
            </w:r>
          </w:p>
        </w:tc>
        <w:tc>
          <w:tcPr>
            <w:tcW w:w="1145" w:type="dxa"/>
            <w:shd w:val="clear" w:color="auto" w:fill="auto"/>
            <w:noWrap/>
            <w:hideMark/>
          </w:tcPr>
          <w:p w14:paraId="30EA5AED" w14:textId="0977EBEC" w:rsidR="00AC7755" w:rsidRPr="00823671" w:rsidRDefault="00AC7755" w:rsidP="00AC7755">
            <w:pPr>
              <w:pStyle w:val="TableTextRight"/>
              <w:rPr>
                <w:rFonts w:eastAsia="Calibri"/>
                <w:lang w:eastAsia="en-US"/>
              </w:rPr>
            </w:pPr>
            <w:r w:rsidRPr="001D6173">
              <w:rPr>
                <w:rFonts w:eastAsia="Calibri"/>
                <w:lang w:eastAsia="en-US"/>
              </w:rPr>
              <w:t>3,642,790</w:t>
            </w:r>
          </w:p>
        </w:tc>
        <w:tc>
          <w:tcPr>
            <w:tcW w:w="1145" w:type="dxa"/>
            <w:shd w:val="clear" w:color="auto" w:fill="auto"/>
            <w:noWrap/>
            <w:hideMark/>
          </w:tcPr>
          <w:p w14:paraId="29AF0F0A" w14:textId="6ABD5907" w:rsidR="00AC7755" w:rsidRPr="00823671" w:rsidRDefault="00AC7755" w:rsidP="00AC7755">
            <w:pPr>
              <w:pStyle w:val="TableTextRight"/>
              <w:rPr>
                <w:rFonts w:eastAsia="Calibri"/>
                <w:lang w:eastAsia="en-US"/>
              </w:rPr>
            </w:pPr>
            <w:r w:rsidRPr="001D6173">
              <w:rPr>
                <w:rFonts w:eastAsia="Calibri"/>
                <w:lang w:eastAsia="en-US"/>
              </w:rPr>
              <w:t>3,610,916</w:t>
            </w:r>
          </w:p>
        </w:tc>
      </w:tr>
      <w:tr w:rsidR="00AC7755" w:rsidRPr="00C72357" w14:paraId="5F120728" w14:textId="77777777" w:rsidTr="0033436D">
        <w:trPr>
          <w:trHeight w:val="324"/>
        </w:trPr>
        <w:tc>
          <w:tcPr>
            <w:tcW w:w="2212" w:type="dxa"/>
            <w:shd w:val="clear" w:color="auto" w:fill="auto"/>
          </w:tcPr>
          <w:p w14:paraId="37CF49A0" w14:textId="1535430C" w:rsidR="00AC7755" w:rsidRPr="00823671" w:rsidRDefault="00AC7755" w:rsidP="00AC7755">
            <w:pPr>
              <w:pStyle w:val="TableTextLeft"/>
              <w:rPr>
                <w:rFonts w:eastAsia="Calibri"/>
                <w:lang w:eastAsia="en-US"/>
              </w:rPr>
            </w:pPr>
            <w:r w:rsidRPr="00823671">
              <w:rPr>
                <w:rFonts w:eastAsia="Calibri"/>
                <w:lang w:eastAsia="en-US"/>
              </w:rPr>
              <w:t xml:space="preserve">Net </w:t>
            </w:r>
            <w:r>
              <w:rPr>
                <w:rFonts w:eastAsia="Calibri"/>
                <w:lang w:eastAsia="en-US"/>
              </w:rPr>
              <w:t xml:space="preserve">monthly </w:t>
            </w:r>
            <w:r w:rsidRPr="00823671">
              <w:rPr>
                <w:rFonts w:eastAsia="Calibri"/>
                <w:lang w:eastAsia="en-US"/>
              </w:rPr>
              <w:t>payments</w:t>
            </w:r>
          </w:p>
        </w:tc>
        <w:tc>
          <w:tcPr>
            <w:tcW w:w="1145" w:type="dxa"/>
            <w:shd w:val="clear" w:color="auto" w:fill="auto"/>
            <w:noWrap/>
            <w:hideMark/>
          </w:tcPr>
          <w:p w14:paraId="264848DB" w14:textId="260855ED" w:rsidR="00AC7755" w:rsidRPr="00823671" w:rsidRDefault="00AC7755" w:rsidP="00AC7755">
            <w:pPr>
              <w:pStyle w:val="TableTextRight"/>
              <w:rPr>
                <w:rFonts w:eastAsia="Calibri"/>
                <w:lang w:eastAsia="en-US"/>
              </w:rPr>
            </w:pPr>
            <w:r w:rsidRPr="001D6173">
              <w:rPr>
                <w:rFonts w:eastAsia="Calibri"/>
                <w:lang w:eastAsia="en-US"/>
              </w:rPr>
              <w:t>$10.</w:t>
            </w:r>
            <w:r w:rsidR="007B1865" w:rsidRPr="001D6173">
              <w:rPr>
                <w:rFonts w:eastAsia="Calibri"/>
                <w:lang w:eastAsia="en-US"/>
              </w:rPr>
              <w:t>1</w:t>
            </w:r>
            <w:r w:rsidR="007B1865">
              <w:rPr>
                <w:rFonts w:eastAsia="Calibri"/>
                <w:lang w:eastAsia="en-US"/>
              </w:rPr>
              <w:t>b</w:t>
            </w:r>
          </w:p>
        </w:tc>
        <w:tc>
          <w:tcPr>
            <w:tcW w:w="1145" w:type="dxa"/>
            <w:shd w:val="clear" w:color="auto" w:fill="auto"/>
            <w:noWrap/>
            <w:hideMark/>
          </w:tcPr>
          <w:p w14:paraId="3E1FC935" w14:textId="6F35FF8B" w:rsidR="00AC7755" w:rsidRPr="00823671" w:rsidRDefault="00AC7755" w:rsidP="00AC7755">
            <w:pPr>
              <w:pStyle w:val="TableTextRight"/>
              <w:rPr>
                <w:rFonts w:eastAsia="Calibri"/>
                <w:lang w:eastAsia="en-US"/>
              </w:rPr>
            </w:pPr>
            <w:r w:rsidRPr="001D6173">
              <w:rPr>
                <w:rFonts w:eastAsia="Calibri"/>
                <w:lang w:eastAsia="en-US"/>
              </w:rPr>
              <w:t>$10.</w:t>
            </w:r>
            <w:r w:rsidR="007B1865" w:rsidRPr="001D6173">
              <w:rPr>
                <w:rFonts w:eastAsia="Calibri"/>
                <w:lang w:eastAsia="en-US"/>
              </w:rPr>
              <w:t>7</w:t>
            </w:r>
            <w:r w:rsidR="007B1865">
              <w:rPr>
                <w:rFonts w:eastAsia="Calibri"/>
                <w:lang w:eastAsia="en-US"/>
              </w:rPr>
              <w:t>b</w:t>
            </w:r>
          </w:p>
        </w:tc>
        <w:tc>
          <w:tcPr>
            <w:tcW w:w="1145" w:type="dxa"/>
            <w:shd w:val="clear" w:color="auto" w:fill="auto"/>
            <w:noWrap/>
            <w:hideMark/>
          </w:tcPr>
          <w:p w14:paraId="6476D350" w14:textId="517BB505" w:rsidR="00AC7755" w:rsidRPr="00823671" w:rsidRDefault="00AC7755" w:rsidP="00AC7755">
            <w:pPr>
              <w:pStyle w:val="TableTextRight"/>
              <w:rPr>
                <w:rFonts w:eastAsia="Calibri"/>
                <w:lang w:eastAsia="en-US"/>
              </w:rPr>
            </w:pPr>
            <w:r w:rsidRPr="001D6173">
              <w:rPr>
                <w:rFonts w:eastAsia="Calibri"/>
                <w:lang w:eastAsia="en-US"/>
              </w:rPr>
              <w:t>$10.</w:t>
            </w:r>
            <w:r w:rsidR="007B1865" w:rsidRPr="001D6173">
              <w:rPr>
                <w:rFonts w:eastAsia="Calibri"/>
                <w:lang w:eastAsia="en-US"/>
              </w:rPr>
              <w:t>9</w:t>
            </w:r>
            <w:r w:rsidR="007B1865">
              <w:rPr>
                <w:rFonts w:eastAsia="Calibri"/>
                <w:lang w:eastAsia="en-US"/>
              </w:rPr>
              <w:t>b</w:t>
            </w:r>
          </w:p>
        </w:tc>
        <w:tc>
          <w:tcPr>
            <w:tcW w:w="1145" w:type="dxa"/>
            <w:shd w:val="clear" w:color="auto" w:fill="auto"/>
            <w:noWrap/>
            <w:hideMark/>
          </w:tcPr>
          <w:p w14:paraId="3D9594D4" w14:textId="6577CC17" w:rsidR="00AC7755" w:rsidRPr="00823671" w:rsidRDefault="00AC7755" w:rsidP="00AC7755">
            <w:pPr>
              <w:pStyle w:val="TableTextRight"/>
              <w:rPr>
                <w:rFonts w:eastAsia="Calibri"/>
                <w:lang w:eastAsia="en-US"/>
              </w:rPr>
            </w:pPr>
            <w:r w:rsidRPr="001D6173">
              <w:rPr>
                <w:rFonts w:eastAsia="Calibri"/>
                <w:lang w:eastAsia="en-US"/>
              </w:rPr>
              <w:t>$</w:t>
            </w:r>
            <w:r w:rsidR="007B1865" w:rsidRPr="001D6173">
              <w:rPr>
                <w:rFonts w:eastAsia="Calibri"/>
                <w:lang w:eastAsia="en-US"/>
              </w:rPr>
              <w:t>1</w:t>
            </w:r>
            <w:r w:rsidR="007B1865">
              <w:rPr>
                <w:rFonts w:eastAsia="Calibri"/>
                <w:lang w:eastAsia="en-US"/>
              </w:rPr>
              <w:t>1b</w:t>
            </w:r>
          </w:p>
        </w:tc>
        <w:tc>
          <w:tcPr>
            <w:tcW w:w="1145" w:type="dxa"/>
            <w:shd w:val="clear" w:color="auto" w:fill="auto"/>
            <w:noWrap/>
            <w:hideMark/>
          </w:tcPr>
          <w:p w14:paraId="2E7B7104" w14:textId="240ABA13" w:rsidR="00AC7755" w:rsidRPr="00823671" w:rsidRDefault="00AC7755" w:rsidP="00AC7755">
            <w:pPr>
              <w:pStyle w:val="TableTextRight"/>
              <w:rPr>
                <w:rFonts w:eastAsia="Calibri"/>
                <w:lang w:eastAsia="en-US"/>
              </w:rPr>
            </w:pPr>
            <w:r w:rsidRPr="001D6173">
              <w:rPr>
                <w:rFonts w:eastAsia="Calibri"/>
                <w:lang w:eastAsia="en-US"/>
              </w:rPr>
              <w:t>$16.</w:t>
            </w:r>
            <w:r w:rsidR="007B1865">
              <w:rPr>
                <w:rFonts w:eastAsia="Calibri"/>
                <w:lang w:eastAsia="en-US"/>
              </w:rPr>
              <w:t>4b</w:t>
            </w:r>
          </w:p>
        </w:tc>
        <w:tc>
          <w:tcPr>
            <w:tcW w:w="1145" w:type="dxa"/>
            <w:shd w:val="clear" w:color="auto" w:fill="auto"/>
            <w:noWrap/>
            <w:hideMark/>
          </w:tcPr>
          <w:p w14:paraId="50AB84CA" w14:textId="0D9B8016" w:rsidR="00AC7755" w:rsidRPr="00823671" w:rsidRDefault="00AC7755" w:rsidP="00AC7755">
            <w:pPr>
              <w:pStyle w:val="TableTextRight"/>
              <w:rPr>
                <w:rFonts w:eastAsia="Calibri"/>
                <w:lang w:eastAsia="en-US"/>
              </w:rPr>
            </w:pPr>
            <w:r w:rsidRPr="001D6173">
              <w:rPr>
                <w:rFonts w:eastAsia="Calibri"/>
                <w:lang w:eastAsia="en-US"/>
              </w:rPr>
              <w:t>$10.</w:t>
            </w:r>
            <w:r w:rsidR="007B1865" w:rsidRPr="001D6173">
              <w:rPr>
                <w:rFonts w:eastAsia="Calibri"/>
                <w:lang w:eastAsia="en-US"/>
              </w:rPr>
              <w:t>8</w:t>
            </w:r>
            <w:r w:rsidR="007B1865">
              <w:rPr>
                <w:rFonts w:eastAsia="Calibri"/>
                <w:lang w:eastAsia="en-US"/>
              </w:rPr>
              <w:t>b</w:t>
            </w:r>
          </w:p>
        </w:tc>
      </w:tr>
      <w:tr w:rsidR="00AC7755" w:rsidRPr="00C72357" w14:paraId="42A64531" w14:textId="77777777" w:rsidTr="0033436D">
        <w:trPr>
          <w:trHeight w:val="288"/>
        </w:trPr>
        <w:tc>
          <w:tcPr>
            <w:tcW w:w="2212" w:type="dxa"/>
            <w:tcBorders>
              <w:top w:val="single" w:sz="4" w:space="0" w:color="3A6FAF" w:themeColor="accent2"/>
              <w:bottom w:val="single" w:sz="4" w:space="0" w:color="3A6FAF" w:themeColor="accent2"/>
            </w:tcBorders>
            <w:shd w:val="clear" w:color="auto" w:fill="auto"/>
          </w:tcPr>
          <w:p w14:paraId="51A97833" w14:textId="77777777" w:rsidR="00AC7755" w:rsidRPr="00823671" w:rsidRDefault="00AC7755" w:rsidP="00AC7755">
            <w:pPr>
              <w:pStyle w:val="TableTextLeft"/>
              <w:rPr>
                <w:rFonts w:eastAsia="Calibri"/>
                <w:b/>
                <w:lang w:eastAsia="en-US"/>
              </w:rPr>
            </w:pPr>
            <w:r w:rsidRPr="00823671">
              <w:rPr>
                <w:rFonts w:eastAsia="Calibri"/>
                <w:b/>
                <w:lang w:eastAsia="en-US"/>
              </w:rPr>
              <w:t>Total cumulative net payments</w:t>
            </w:r>
            <w:r>
              <w:rPr>
                <w:rFonts w:eastAsia="Calibri"/>
                <w:b/>
                <w:lang w:eastAsia="en-US"/>
              </w:rPr>
              <w:t xml:space="preserve"> (all periods)</w:t>
            </w:r>
          </w:p>
        </w:tc>
        <w:tc>
          <w:tcPr>
            <w:tcW w:w="1145" w:type="dxa"/>
            <w:tcBorders>
              <w:top w:val="single" w:sz="4" w:space="0" w:color="3A6FAF" w:themeColor="accent2"/>
              <w:bottom w:val="single" w:sz="4" w:space="0" w:color="3A6FAF" w:themeColor="accent2"/>
            </w:tcBorders>
            <w:shd w:val="clear" w:color="auto" w:fill="auto"/>
            <w:noWrap/>
            <w:hideMark/>
          </w:tcPr>
          <w:p w14:paraId="6D75213B" w14:textId="6B462E57" w:rsidR="00AC7755" w:rsidRPr="00823671" w:rsidRDefault="00AC7755" w:rsidP="00AC7755">
            <w:pPr>
              <w:pStyle w:val="TableTextRight"/>
              <w:rPr>
                <w:rFonts w:eastAsia="Calibri"/>
                <w:b/>
                <w:lang w:eastAsia="en-US"/>
              </w:rPr>
            </w:pPr>
            <w:r w:rsidRPr="001D6173">
              <w:rPr>
                <w:rFonts w:eastAsia="Calibri"/>
                <w:b/>
                <w:lang w:eastAsia="en-US"/>
              </w:rPr>
              <w:t>$10.</w:t>
            </w:r>
            <w:r w:rsidR="007B1865" w:rsidRPr="001D6173">
              <w:rPr>
                <w:rFonts w:eastAsia="Calibri"/>
                <w:b/>
                <w:lang w:eastAsia="en-US"/>
              </w:rPr>
              <w:t>1</w:t>
            </w:r>
            <w:r w:rsidR="007B1865">
              <w:rPr>
                <w:rFonts w:eastAsia="Calibri"/>
                <w:b/>
                <w:lang w:eastAsia="en-US"/>
              </w:rPr>
              <w:t>b</w:t>
            </w:r>
          </w:p>
        </w:tc>
        <w:tc>
          <w:tcPr>
            <w:tcW w:w="1145" w:type="dxa"/>
            <w:tcBorders>
              <w:top w:val="single" w:sz="4" w:space="0" w:color="3A6FAF" w:themeColor="accent2"/>
              <w:bottom w:val="single" w:sz="4" w:space="0" w:color="3A6FAF" w:themeColor="accent2"/>
            </w:tcBorders>
            <w:shd w:val="clear" w:color="auto" w:fill="auto"/>
            <w:noWrap/>
            <w:hideMark/>
          </w:tcPr>
          <w:p w14:paraId="4188B311" w14:textId="405479AC" w:rsidR="00AC7755" w:rsidRPr="00823671" w:rsidRDefault="00AC7755" w:rsidP="00AC7755">
            <w:pPr>
              <w:pStyle w:val="TableTextRight"/>
              <w:rPr>
                <w:rFonts w:eastAsia="Calibri"/>
                <w:b/>
                <w:lang w:eastAsia="en-US"/>
              </w:rPr>
            </w:pPr>
            <w:r w:rsidRPr="001D6173">
              <w:rPr>
                <w:rFonts w:eastAsia="Calibri"/>
                <w:b/>
                <w:lang w:eastAsia="en-US"/>
              </w:rPr>
              <w:t>$20.</w:t>
            </w:r>
            <w:r w:rsidR="007B1865">
              <w:rPr>
                <w:rFonts w:eastAsia="Calibri"/>
                <w:b/>
                <w:lang w:eastAsia="en-US"/>
              </w:rPr>
              <w:t>9b</w:t>
            </w:r>
          </w:p>
        </w:tc>
        <w:tc>
          <w:tcPr>
            <w:tcW w:w="1145" w:type="dxa"/>
            <w:tcBorders>
              <w:top w:val="single" w:sz="4" w:space="0" w:color="3A6FAF" w:themeColor="accent2"/>
              <w:bottom w:val="single" w:sz="4" w:space="0" w:color="3A6FAF" w:themeColor="accent2"/>
            </w:tcBorders>
            <w:shd w:val="clear" w:color="auto" w:fill="auto"/>
            <w:noWrap/>
            <w:hideMark/>
          </w:tcPr>
          <w:p w14:paraId="344A7CE7" w14:textId="4980DA6F" w:rsidR="00AC7755" w:rsidRPr="00823671" w:rsidRDefault="00AC7755" w:rsidP="00AC7755">
            <w:pPr>
              <w:pStyle w:val="TableTextRight"/>
              <w:rPr>
                <w:rFonts w:eastAsia="Calibri"/>
                <w:b/>
                <w:lang w:eastAsia="en-US"/>
              </w:rPr>
            </w:pPr>
            <w:r w:rsidRPr="001D6173">
              <w:rPr>
                <w:rFonts w:eastAsia="Calibri"/>
                <w:b/>
                <w:lang w:eastAsia="en-US"/>
              </w:rPr>
              <w:t>$31.</w:t>
            </w:r>
            <w:r w:rsidR="007B1865">
              <w:rPr>
                <w:rFonts w:eastAsia="Calibri"/>
                <w:b/>
                <w:lang w:eastAsia="en-US"/>
              </w:rPr>
              <w:t>8b</w:t>
            </w:r>
          </w:p>
        </w:tc>
        <w:tc>
          <w:tcPr>
            <w:tcW w:w="1145" w:type="dxa"/>
            <w:tcBorders>
              <w:top w:val="single" w:sz="4" w:space="0" w:color="3A6FAF" w:themeColor="accent2"/>
              <w:bottom w:val="single" w:sz="4" w:space="0" w:color="3A6FAF" w:themeColor="accent2"/>
            </w:tcBorders>
            <w:shd w:val="clear" w:color="auto" w:fill="auto"/>
            <w:noWrap/>
            <w:hideMark/>
          </w:tcPr>
          <w:p w14:paraId="28A668B6" w14:textId="0114D3A9" w:rsidR="00AC7755" w:rsidRPr="00823671" w:rsidRDefault="00AC7755" w:rsidP="00AC7755">
            <w:pPr>
              <w:pStyle w:val="TableTextRight"/>
              <w:rPr>
                <w:rFonts w:eastAsia="Calibri"/>
                <w:b/>
                <w:lang w:eastAsia="en-US"/>
              </w:rPr>
            </w:pPr>
            <w:r w:rsidRPr="001D6173">
              <w:rPr>
                <w:rFonts w:eastAsia="Calibri"/>
                <w:b/>
                <w:lang w:eastAsia="en-US"/>
              </w:rPr>
              <w:t>$42.</w:t>
            </w:r>
            <w:r w:rsidR="007B1865">
              <w:rPr>
                <w:rFonts w:eastAsia="Calibri"/>
                <w:b/>
                <w:lang w:eastAsia="en-US"/>
              </w:rPr>
              <w:t>8b</w:t>
            </w:r>
          </w:p>
        </w:tc>
        <w:tc>
          <w:tcPr>
            <w:tcW w:w="1145" w:type="dxa"/>
            <w:tcBorders>
              <w:top w:val="single" w:sz="4" w:space="0" w:color="3A6FAF" w:themeColor="accent2"/>
              <w:bottom w:val="single" w:sz="4" w:space="0" w:color="3A6FAF" w:themeColor="accent2"/>
            </w:tcBorders>
            <w:shd w:val="clear" w:color="auto" w:fill="auto"/>
            <w:noWrap/>
            <w:hideMark/>
          </w:tcPr>
          <w:p w14:paraId="130BC9D7" w14:textId="66AFEC90" w:rsidR="00AC7755" w:rsidRPr="00823671" w:rsidRDefault="00AC7755" w:rsidP="00AC7755">
            <w:pPr>
              <w:pStyle w:val="TableTextRight"/>
              <w:rPr>
                <w:rFonts w:eastAsia="Calibri"/>
                <w:b/>
                <w:lang w:eastAsia="en-US"/>
              </w:rPr>
            </w:pPr>
            <w:r w:rsidRPr="001D6173">
              <w:rPr>
                <w:rFonts w:eastAsia="Calibri"/>
                <w:b/>
                <w:lang w:eastAsia="en-US"/>
              </w:rPr>
              <w:t>$59.</w:t>
            </w:r>
            <w:r w:rsidR="007B1865" w:rsidRPr="001D6173">
              <w:rPr>
                <w:rFonts w:eastAsia="Calibri"/>
                <w:b/>
                <w:lang w:eastAsia="en-US"/>
              </w:rPr>
              <w:t>1</w:t>
            </w:r>
            <w:r w:rsidR="007B1865">
              <w:rPr>
                <w:rFonts w:eastAsia="Calibri"/>
                <w:b/>
                <w:lang w:eastAsia="en-US"/>
              </w:rPr>
              <w:t>b</w:t>
            </w:r>
          </w:p>
        </w:tc>
        <w:tc>
          <w:tcPr>
            <w:tcW w:w="1145" w:type="dxa"/>
            <w:tcBorders>
              <w:top w:val="single" w:sz="4" w:space="0" w:color="3A6FAF" w:themeColor="accent2"/>
              <w:bottom w:val="single" w:sz="4" w:space="0" w:color="3A6FAF" w:themeColor="accent2"/>
            </w:tcBorders>
            <w:shd w:val="clear" w:color="auto" w:fill="auto"/>
            <w:noWrap/>
            <w:hideMark/>
          </w:tcPr>
          <w:p w14:paraId="464AE7AA" w14:textId="3AE1C283" w:rsidR="00AC7755" w:rsidRPr="00823671" w:rsidRDefault="00AC7755" w:rsidP="00AC7755">
            <w:pPr>
              <w:pStyle w:val="TableTextRight"/>
              <w:rPr>
                <w:rFonts w:eastAsia="Calibri"/>
                <w:b/>
                <w:lang w:eastAsia="en-US"/>
              </w:rPr>
            </w:pPr>
            <w:r w:rsidRPr="001D6173">
              <w:rPr>
                <w:rFonts w:eastAsia="Calibri"/>
                <w:b/>
                <w:lang w:eastAsia="en-US"/>
              </w:rPr>
              <w:t>$</w:t>
            </w:r>
            <w:r w:rsidR="007B1865">
              <w:rPr>
                <w:rFonts w:eastAsia="Calibri"/>
                <w:b/>
                <w:lang w:eastAsia="en-US"/>
              </w:rPr>
              <w:t>70b</w:t>
            </w:r>
          </w:p>
        </w:tc>
      </w:tr>
    </w:tbl>
    <w:p w14:paraId="60A98703" w14:textId="57DAA558" w:rsidR="0033436D" w:rsidRDefault="0033436D" w:rsidP="00F42045">
      <w:pPr>
        <w:pStyle w:val="SingleParagraph"/>
      </w:pPr>
    </w:p>
    <w:p w14:paraId="7A060119" w14:textId="77777777" w:rsidR="00F42045" w:rsidRPr="00C72357" w:rsidRDefault="00F42045" w:rsidP="00F42045">
      <w:pPr>
        <w:pStyle w:val="SingleParagraph"/>
      </w:pPr>
    </w:p>
    <w:tbl>
      <w:tblPr>
        <w:tblStyle w:val="TableGrid2"/>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1145"/>
        <w:gridCol w:w="1145"/>
        <w:gridCol w:w="1145"/>
        <w:gridCol w:w="1145"/>
        <w:gridCol w:w="1145"/>
        <w:gridCol w:w="1145"/>
      </w:tblGrid>
      <w:tr w:rsidR="00823671" w:rsidRPr="00C72357" w14:paraId="7469F1E4" w14:textId="77777777" w:rsidTr="00F42045">
        <w:trPr>
          <w:trHeight w:val="454"/>
        </w:trPr>
        <w:tc>
          <w:tcPr>
            <w:tcW w:w="9082" w:type="dxa"/>
            <w:gridSpan w:val="7"/>
            <w:tcBorders>
              <w:top w:val="single" w:sz="4" w:space="0" w:color="3A6FAF" w:themeColor="accent2"/>
            </w:tcBorders>
            <w:shd w:val="clear" w:color="auto" w:fill="auto"/>
            <w:vAlign w:val="center"/>
          </w:tcPr>
          <w:p w14:paraId="185492ED" w14:textId="7D07764E" w:rsidR="00C72357" w:rsidRPr="00823671" w:rsidRDefault="00B03E19" w:rsidP="00D844AE">
            <w:pPr>
              <w:pStyle w:val="TableColumnHeadingCentred"/>
              <w:rPr>
                <w:rFonts w:eastAsia="Calibri"/>
                <w:lang w:eastAsia="en-US"/>
              </w:rPr>
            </w:pPr>
            <w:r>
              <w:rPr>
                <w:rFonts w:eastAsia="Calibri"/>
                <w:lang w:eastAsia="en-US"/>
              </w:rPr>
              <w:t xml:space="preserve">Second phase of </w:t>
            </w:r>
            <w:r w:rsidR="00C72357" w:rsidRPr="00823671">
              <w:rPr>
                <w:rFonts w:eastAsia="Calibri"/>
                <w:lang w:eastAsia="en-US"/>
              </w:rPr>
              <w:t>JobKeeper – October 2020 to March 2021</w:t>
            </w:r>
          </w:p>
        </w:tc>
      </w:tr>
      <w:tr w:rsidR="004C0D61" w:rsidRPr="00C72357" w14:paraId="33D64F34" w14:textId="77777777" w:rsidTr="00F42045">
        <w:trPr>
          <w:trHeight w:val="288"/>
        </w:trPr>
        <w:tc>
          <w:tcPr>
            <w:tcW w:w="2212" w:type="dxa"/>
            <w:tcBorders>
              <w:bottom w:val="single" w:sz="4" w:space="0" w:color="3A6FAF" w:themeColor="accent2"/>
            </w:tcBorders>
            <w:shd w:val="clear" w:color="auto" w:fill="auto"/>
          </w:tcPr>
          <w:p w14:paraId="1F7C8DFC" w14:textId="77777777" w:rsidR="00C72357" w:rsidRPr="00BE61FE" w:rsidRDefault="00C72357" w:rsidP="00D844AE">
            <w:pPr>
              <w:pStyle w:val="TableColumnHeadingCentred"/>
              <w:rPr>
                <w:rFonts w:eastAsia="Calibri"/>
                <w:lang w:eastAsia="en-US"/>
              </w:rPr>
            </w:pPr>
          </w:p>
        </w:tc>
        <w:tc>
          <w:tcPr>
            <w:tcW w:w="1145" w:type="dxa"/>
            <w:tcBorders>
              <w:bottom w:val="single" w:sz="4" w:space="0" w:color="3A6FAF" w:themeColor="accent2"/>
            </w:tcBorders>
            <w:shd w:val="clear" w:color="auto" w:fill="auto"/>
            <w:noWrap/>
          </w:tcPr>
          <w:p w14:paraId="085FCA67" w14:textId="77777777" w:rsidR="00C72357" w:rsidRPr="00BE61FE" w:rsidRDefault="00C72357" w:rsidP="00D35008">
            <w:pPr>
              <w:pStyle w:val="TableColumnHeadingRight"/>
              <w:rPr>
                <w:rFonts w:eastAsia="Calibri"/>
                <w:lang w:eastAsia="en-US"/>
              </w:rPr>
            </w:pPr>
            <w:r w:rsidRPr="00BE61FE">
              <w:rPr>
                <w:rFonts w:eastAsia="Calibri"/>
                <w:lang w:eastAsia="en-US"/>
              </w:rPr>
              <w:t>Oct 2020</w:t>
            </w:r>
          </w:p>
        </w:tc>
        <w:tc>
          <w:tcPr>
            <w:tcW w:w="1145" w:type="dxa"/>
            <w:tcBorders>
              <w:bottom w:val="single" w:sz="4" w:space="0" w:color="3A6FAF" w:themeColor="accent2"/>
            </w:tcBorders>
            <w:shd w:val="clear" w:color="auto" w:fill="auto"/>
            <w:noWrap/>
            <w:hideMark/>
          </w:tcPr>
          <w:p w14:paraId="5DE47A54" w14:textId="77777777" w:rsidR="00C72357" w:rsidRPr="00BE61FE" w:rsidRDefault="00C72357" w:rsidP="00D35008">
            <w:pPr>
              <w:pStyle w:val="TableColumnHeadingRight"/>
              <w:rPr>
                <w:rFonts w:eastAsia="Calibri"/>
                <w:lang w:eastAsia="en-US"/>
              </w:rPr>
            </w:pPr>
            <w:r w:rsidRPr="00BE61FE">
              <w:rPr>
                <w:rFonts w:eastAsia="Calibri"/>
                <w:lang w:eastAsia="en-US"/>
              </w:rPr>
              <w:t>Nov 2020</w:t>
            </w:r>
          </w:p>
        </w:tc>
        <w:tc>
          <w:tcPr>
            <w:tcW w:w="1145" w:type="dxa"/>
            <w:tcBorders>
              <w:bottom w:val="single" w:sz="4" w:space="0" w:color="3A6FAF" w:themeColor="accent2"/>
            </w:tcBorders>
            <w:shd w:val="clear" w:color="auto" w:fill="auto"/>
            <w:noWrap/>
            <w:hideMark/>
          </w:tcPr>
          <w:p w14:paraId="2135C91A" w14:textId="77777777" w:rsidR="00C72357" w:rsidRPr="00BE61FE" w:rsidRDefault="00C72357" w:rsidP="00D35008">
            <w:pPr>
              <w:pStyle w:val="TableColumnHeadingRight"/>
              <w:rPr>
                <w:rFonts w:eastAsia="Calibri"/>
                <w:lang w:eastAsia="en-US"/>
              </w:rPr>
            </w:pPr>
            <w:r w:rsidRPr="00BE61FE">
              <w:rPr>
                <w:rFonts w:eastAsia="Calibri"/>
                <w:lang w:eastAsia="en-US"/>
              </w:rPr>
              <w:t>Dec 2020</w:t>
            </w:r>
          </w:p>
        </w:tc>
        <w:tc>
          <w:tcPr>
            <w:tcW w:w="1145" w:type="dxa"/>
            <w:tcBorders>
              <w:bottom w:val="single" w:sz="4" w:space="0" w:color="3A6FAF" w:themeColor="accent2"/>
            </w:tcBorders>
            <w:shd w:val="clear" w:color="auto" w:fill="auto"/>
            <w:noWrap/>
            <w:hideMark/>
          </w:tcPr>
          <w:p w14:paraId="2770A318" w14:textId="77777777" w:rsidR="00C72357" w:rsidRPr="00BE61FE" w:rsidRDefault="00C72357" w:rsidP="00D35008">
            <w:pPr>
              <w:pStyle w:val="TableColumnHeadingRight"/>
              <w:rPr>
                <w:rFonts w:eastAsia="Calibri"/>
                <w:lang w:eastAsia="en-US"/>
              </w:rPr>
            </w:pPr>
            <w:r w:rsidRPr="00BE61FE">
              <w:rPr>
                <w:rFonts w:eastAsia="Calibri"/>
                <w:lang w:eastAsia="en-US"/>
              </w:rPr>
              <w:t>Jan 2021</w:t>
            </w:r>
          </w:p>
        </w:tc>
        <w:tc>
          <w:tcPr>
            <w:tcW w:w="1145" w:type="dxa"/>
            <w:tcBorders>
              <w:bottom w:val="single" w:sz="4" w:space="0" w:color="3A6FAF" w:themeColor="accent2"/>
            </w:tcBorders>
            <w:shd w:val="clear" w:color="auto" w:fill="auto"/>
            <w:noWrap/>
            <w:hideMark/>
          </w:tcPr>
          <w:p w14:paraId="272D8F7C" w14:textId="77777777" w:rsidR="00C72357" w:rsidRPr="00BE61FE" w:rsidRDefault="00C72357" w:rsidP="00D35008">
            <w:pPr>
              <w:pStyle w:val="TableColumnHeadingRight"/>
              <w:rPr>
                <w:rFonts w:eastAsia="Calibri"/>
                <w:lang w:eastAsia="en-US"/>
              </w:rPr>
            </w:pPr>
            <w:r w:rsidRPr="00BE61FE">
              <w:rPr>
                <w:rFonts w:eastAsia="Calibri"/>
                <w:lang w:eastAsia="en-US"/>
              </w:rPr>
              <w:t>Feb 2021</w:t>
            </w:r>
          </w:p>
        </w:tc>
        <w:tc>
          <w:tcPr>
            <w:tcW w:w="1145" w:type="dxa"/>
            <w:tcBorders>
              <w:bottom w:val="single" w:sz="4" w:space="0" w:color="3A6FAF" w:themeColor="accent2"/>
            </w:tcBorders>
            <w:shd w:val="clear" w:color="auto" w:fill="auto"/>
            <w:noWrap/>
            <w:hideMark/>
          </w:tcPr>
          <w:p w14:paraId="19E651A1" w14:textId="77777777" w:rsidR="00C72357" w:rsidRPr="00BE61FE" w:rsidRDefault="00C72357" w:rsidP="00D35008">
            <w:pPr>
              <w:pStyle w:val="TableColumnHeadingRight"/>
              <w:rPr>
                <w:rFonts w:eastAsia="Calibri"/>
                <w:lang w:eastAsia="en-US"/>
              </w:rPr>
            </w:pPr>
            <w:r w:rsidRPr="00BE61FE">
              <w:rPr>
                <w:rFonts w:eastAsia="Calibri"/>
                <w:lang w:eastAsia="en-US"/>
              </w:rPr>
              <w:t>Mar 2021</w:t>
            </w:r>
          </w:p>
        </w:tc>
      </w:tr>
      <w:tr w:rsidR="00823671" w:rsidRPr="00C72357" w14:paraId="15E6C8F3" w14:textId="77777777" w:rsidTr="00F42045">
        <w:trPr>
          <w:trHeight w:val="288"/>
        </w:trPr>
        <w:tc>
          <w:tcPr>
            <w:tcW w:w="2212" w:type="dxa"/>
            <w:tcBorders>
              <w:top w:val="single" w:sz="4" w:space="0" w:color="3A6FAF" w:themeColor="accent2"/>
              <w:bottom w:val="single" w:sz="4" w:space="0" w:color="3A6FAF" w:themeColor="accent2"/>
            </w:tcBorders>
            <w:shd w:val="clear" w:color="auto" w:fill="auto"/>
          </w:tcPr>
          <w:p w14:paraId="3FA93CD5" w14:textId="77777777" w:rsidR="00C72357" w:rsidRPr="00823671" w:rsidRDefault="00C72357" w:rsidP="00D844AE">
            <w:pPr>
              <w:pStyle w:val="TableTextLeft"/>
              <w:rPr>
                <w:rFonts w:eastAsia="Calibri"/>
                <w:lang w:eastAsia="en-US"/>
              </w:rPr>
            </w:pPr>
            <w:r w:rsidRPr="00823671">
              <w:rPr>
                <w:rFonts w:eastAsia="Calibri"/>
                <w:lang w:eastAsia="en-US"/>
              </w:rPr>
              <w:t>JobKeeper fortnights</w:t>
            </w:r>
          </w:p>
        </w:tc>
        <w:tc>
          <w:tcPr>
            <w:tcW w:w="1145" w:type="dxa"/>
            <w:tcBorders>
              <w:top w:val="single" w:sz="4" w:space="0" w:color="3A6FAF" w:themeColor="accent2"/>
              <w:bottom w:val="single" w:sz="4" w:space="0" w:color="3A6FAF" w:themeColor="accent2"/>
            </w:tcBorders>
            <w:shd w:val="clear" w:color="auto" w:fill="auto"/>
            <w:noWrap/>
            <w:hideMark/>
          </w:tcPr>
          <w:p w14:paraId="5A8F8108" w14:textId="3CB60548" w:rsidR="00C72357" w:rsidRPr="00823671" w:rsidRDefault="00C72357" w:rsidP="00D844AE">
            <w:pPr>
              <w:pStyle w:val="TableTextRight"/>
              <w:rPr>
                <w:rFonts w:eastAsia="Calibri"/>
                <w:lang w:eastAsia="en-US"/>
              </w:rPr>
            </w:pPr>
            <w:r w:rsidRPr="00823671">
              <w:rPr>
                <w:rFonts w:eastAsia="Calibri"/>
                <w:lang w:eastAsia="en-US"/>
              </w:rPr>
              <w:t>28 Sept</w:t>
            </w:r>
            <w:r w:rsidR="00823671">
              <w:rPr>
                <w:rFonts w:eastAsia="Calibri"/>
                <w:lang w:eastAsia="en-US"/>
              </w:rPr>
              <w:t>–</w:t>
            </w:r>
            <w:r w:rsidR="00823671">
              <w:rPr>
                <w:rFonts w:eastAsia="Calibri"/>
                <w:lang w:eastAsia="en-US"/>
              </w:rPr>
              <w:br/>
            </w:r>
            <w:r w:rsidRPr="00823671">
              <w:rPr>
                <w:rFonts w:eastAsia="Calibri"/>
                <w:lang w:eastAsia="en-US"/>
              </w:rPr>
              <w:t>25 Oct</w:t>
            </w:r>
          </w:p>
        </w:tc>
        <w:tc>
          <w:tcPr>
            <w:tcW w:w="1145" w:type="dxa"/>
            <w:tcBorders>
              <w:top w:val="single" w:sz="4" w:space="0" w:color="3A6FAF" w:themeColor="accent2"/>
              <w:bottom w:val="single" w:sz="4" w:space="0" w:color="3A6FAF" w:themeColor="accent2"/>
            </w:tcBorders>
            <w:shd w:val="clear" w:color="auto" w:fill="auto"/>
            <w:noWrap/>
            <w:hideMark/>
          </w:tcPr>
          <w:p w14:paraId="4E55FEF3" w14:textId="2DF5743F" w:rsidR="00C72357" w:rsidRPr="00823671" w:rsidRDefault="00C72357" w:rsidP="00D844AE">
            <w:pPr>
              <w:pStyle w:val="TableTextRight"/>
              <w:rPr>
                <w:rFonts w:eastAsia="Calibri"/>
                <w:lang w:eastAsia="en-US"/>
              </w:rPr>
            </w:pPr>
            <w:r w:rsidRPr="00823671">
              <w:rPr>
                <w:rFonts w:eastAsia="Calibri"/>
                <w:lang w:eastAsia="en-US"/>
              </w:rPr>
              <w:t>28 Oc</w:t>
            </w:r>
            <w:r w:rsidR="00823671">
              <w:rPr>
                <w:rFonts w:eastAsia="Calibri"/>
                <w:lang w:eastAsia="en-US"/>
              </w:rPr>
              <w:t>t</w:t>
            </w:r>
            <w:r w:rsidRPr="00823671">
              <w:rPr>
                <w:rFonts w:eastAsia="Calibri"/>
                <w:lang w:eastAsia="en-US"/>
              </w:rPr>
              <w:t>–</w:t>
            </w:r>
          </w:p>
          <w:p w14:paraId="54229175" w14:textId="77777777" w:rsidR="00C72357" w:rsidRPr="00823671" w:rsidRDefault="00C72357" w:rsidP="00D844AE">
            <w:pPr>
              <w:pStyle w:val="TableTextRight"/>
              <w:rPr>
                <w:rFonts w:eastAsia="Calibri"/>
                <w:lang w:eastAsia="en-US"/>
              </w:rPr>
            </w:pPr>
            <w:r w:rsidRPr="00823671">
              <w:rPr>
                <w:rFonts w:eastAsia="Calibri"/>
                <w:lang w:eastAsia="en-US"/>
              </w:rPr>
              <w:t>22 Nov</w:t>
            </w:r>
          </w:p>
        </w:tc>
        <w:tc>
          <w:tcPr>
            <w:tcW w:w="1145" w:type="dxa"/>
            <w:tcBorders>
              <w:top w:val="single" w:sz="4" w:space="0" w:color="3A6FAF" w:themeColor="accent2"/>
              <w:bottom w:val="single" w:sz="4" w:space="0" w:color="3A6FAF" w:themeColor="accent2"/>
            </w:tcBorders>
            <w:shd w:val="clear" w:color="auto" w:fill="auto"/>
            <w:noWrap/>
            <w:hideMark/>
          </w:tcPr>
          <w:p w14:paraId="4D3325E5" w14:textId="3C796D9A" w:rsidR="00C72357" w:rsidRPr="00823671" w:rsidRDefault="00C72357" w:rsidP="00D844AE">
            <w:pPr>
              <w:pStyle w:val="TableTextRight"/>
              <w:rPr>
                <w:rFonts w:eastAsia="Calibri"/>
                <w:lang w:eastAsia="en-US"/>
              </w:rPr>
            </w:pPr>
            <w:r w:rsidRPr="00823671">
              <w:rPr>
                <w:rFonts w:eastAsia="Calibri"/>
                <w:lang w:eastAsia="en-US"/>
              </w:rPr>
              <w:t>23 Nov–</w:t>
            </w:r>
          </w:p>
          <w:p w14:paraId="3E41ADB7" w14:textId="77777777" w:rsidR="00C72357" w:rsidRPr="00823671" w:rsidRDefault="00C72357" w:rsidP="00D844AE">
            <w:pPr>
              <w:pStyle w:val="TableTextRight"/>
              <w:rPr>
                <w:rFonts w:eastAsia="Calibri"/>
                <w:lang w:eastAsia="en-US"/>
              </w:rPr>
            </w:pPr>
            <w:r w:rsidRPr="00823671">
              <w:rPr>
                <w:rFonts w:eastAsia="Calibri"/>
                <w:lang w:eastAsia="en-US"/>
              </w:rPr>
              <w:t>3 Jan</w:t>
            </w:r>
          </w:p>
        </w:tc>
        <w:tc>
          <w:tcPr>
            <w:tcW w:w="1145" w:type="dxa"/>
            <w:tcBorders>
              <w:top w:val="single" w:sz="4" w:space="0" w:color="3A6FAF" w:themeColor="accent2"/>
              <w:bottom w:val="single" w:sz="4" w:space="0" w:color="3A6FAF" w:themeColor="accent2"/>
            </w:tcBorders>
            <w:shd w:val="clear" w:color="auto" w:fill="auto"/>
            <w:noWrap/>
            <w:hideMark/>
          </w:tcPr>
          <w:p w14:paraId="78B2120E" w14:textId="196E892F" w:rsidR="00C72357" w:rsidRPr="00823671" w:rsidRDefault="00C72357" w:rsidP="00D844AE">
            <w:pPr>
              <w:pStyle w:val="TableTextRight"/>
              <w:rPr>
                <w:rFonts w:eastAsia="Calibri"/>
                <w:lang w:eastAsia="en-US"/>
              </w:rPr>
            </w:pPr>
            <w:r w:rsidRPr="00823671">
              <w:rPr>
                <w:rFonts w:eastAsia="Calibri"/>
                <w:lang w:eastAsia="en-US"/>
              </w:rPr>
              <w:t>4 Jan–</w:t>
            </w:r>
          </w:p>
          <w:p w14:paraId="626B955A" w14:textId="77777777" w:rsidR="00C72357" w:rsidRPr="00823671" w:rsidRDefault="00C72357" w:rsidP="00D844AE">
            <w:pPr>
              <w:pStyle w:val="TableTextRight"/>
              <w:rPr>
                <w:rFonts w:eastAsia="Calibri"/>
                <w:lang w:eastAsia="en-US"/>
              </w:rPr>
            </w:pPr>
            <w:r w:rsidRPr="00823671">
              <w:rPr>
                <w:rFonts w:eastAsia="Calibri"/>
                <w:lang w:eastAsia="en-US"/>
              </w:rPr>
              <w:t>31 Jan</w:t>
            </w:r>
          </w:p>
        </w:tc>
        <w:tc>
          <w:tcPr>
            <w:tcW w:w="1145" w:type="dxa"/>
            <w:tcBorders>
              <w:top w:val="single" w:sz="4" w:space="0" w:color="3A6FAF" w:themeColor="accent2"/>
              <w:bottom w:val="single" w:sz="4" w:space="0" w:color="3A6FAF" w:themeColor="accent2"/>
            </w:tcBorders>
            <w:shd w:val="clear" w:color="auto" w:fill="auto"/>
            <w:noWrap/>
            <w:hideMark/>
          </w:tcPr>
          <w:p w14:paraId="544D77AF" w14:textId="40919A8E" w:rsidR="00C72357" w:rsidRPr="00823671" w:rsidRDefault="00C72357" w:rsidP="00D844AE">
            <w:pPr>
              <w:pStyle w:val="TableTextRight"/>
              <w:rPr>
                <w:rFonts w:eastAsia="Calibri"/>
                <w:lang w:eastAsia="en-US"/>
              </w:rPr>
            </w:pPr>
            <w:r w:rsidRPr="00823671">
              <w:rPr>
                <w:rFonts w:eastAsia="Calibri"/>
                <w:lang w:eastAsia="en-US"/>
              </w:rPr>
              <w:t>1 Feb–</w:t>
            </w:r>
          </w:p>
          <w:p w14:paraId="3AF5542F" w14:textId="77777777" w:rsidR="00C72357" w:rsidRPr="00823671" w:rsidRDefault="00C72357" w:rsidP="00D844AE">
            <w:pPr>
              <w:pStyle w:val="TableTextRight"/>
              <w:rPr>
                <w:rFonts w:eastAsia="Calibri"/>
                <w:lang w:eastAsia="en-US"/>
              </w:rPr>
            </w:pPr>
            <w:r w:rsidRPr="00823671">
              <w:rPr>
                <w:rFonts w:eastAsia="Calibri"/>
                <w:lang w:eastAsia="en-US"/>
              </w:rPr>
              <w:t>28 Feb</w:t>
            </w:r>
          </w:p>
        </w:tc>
        <w:tc>
          <w:tcPr>
            <w:tcW w:w="1145" w:type="dxa"/>
            <w:tcBorders>
              <w:top w:val="single" w:sz="4" w:space="0" w:color="3A6FAF" w:themeColor="accent2"/>
              <w:bottom w:val="single" w:sz="4" w:space="0" w:color="3A6FAF" w:themeColor="accent2"/>
            </w:tcBorders>
            <w:shd w:val="clear" w:color="auto" w:fill="auto"/>
            <w:noWrap/>
            <w:hideMark/>
          </w:tcPr>
          <w:p w14:paraId="70AB6038" w14:textId="2CE30231" w:rsidR="00C72357" w:rsidRPr="00823671" w:rsidRDefault="00C72357" w:rsidP="00D844AE">
            <w:pPr>
              <w:pStyle w:val="TableTextRight"/>
              <w:rPr>
                <w:rFonts w:eastAsia="Calibri"/>
                <w:lang w:eastAsia="en-US"/>
              </w:rPr>
            </w:pPr>
            <w:r w:rsidRPr="00823671">
              <w:rPr>
                <w:rFonts w:eastAsia="Calibri"/>
                <w:lang w:eastAsia="en-US"/>
              </w:rPr>
              <w:t>1 Mar–</w:t>
            </w:r>
          </w:p>
          <w:p w14:paraId="799739AE" w14:textId="77777777" w:rsidR="00C72357" w:rsidRPr="00823671" w:rsidRDefault="00C72357" w:rsidP="00D844AE">
            <w:pPr>
              <w:pStyle w:val="TableTextRight"/>
              <w:rPr>
                <w:rFonts w:eastAsia="Calibri"/>
                <w:lang w:eastAsia="en-US"/>
              </w:rPr>
            </w:pPr>
            <w:r w:rsidRPr="00823671">
              <w:rPr>
                <w:rFonts w:eastAsia="Calibri"/>
                <w:lang w:eastAsia="en-US"/>
              </w:rPr>
              <w:t>28 Mar</w:t>
            </w:r>
          </w:p>
        </w:tc>
      </w:tr>
      <w:tr w:rsidR="004C0D61" w:rsidRPr="00C72357" w14:paraId="1AE9C7A8" w14:textId="77777777" w:rsidTr="00F42045">
        <w:trPr>
          <w:trHeight w:val="288"/>
        </w:trPr>
        <w:tc>
          <w:tcPr>
            <w:tcW w:w="2212" w:type="dxa"/>
            <w:tcBorders>
              <w:top w:val="single" w:sz="4" w:space="0" w:color="3A6FAF" w:themeColor="accent2"/>
              <w:bottom w:val="single" w:sz="4" w:space="0" w:color="3A6FAF" w:themeColor="accent2"/>
            </w:tcBorders>
            <w:shd w:val="clear" w:color="auto" w:fill="auto"/>
          </w:tcPr>
          <w:p w14:paraId="65CC8077" w14:textId="77777777" w:rsidR="00C72357" w:rsidRPr="00005867" w:rsidRDefault="00C72357" w:rsidP="00646190">
            <w:pPr>
              <w:pStyle w:val="TableTextLeft"/>
              <w:rPr>
                <w:rFonts w:eastAsia="Calibri"/>
                <w:b/>
                <w:lang w:eastAsia="en-US"/>
              </w:rPr>
            </w:pPr>
            <w:r w:rsidRPr="00005867">
              <w:rPr>
                <w:rFonts w:eastAsia="Calibri"/>
                <w:b/>
                <w:lang w:eastAsia="en-US"/>
              </w:rPr>
              <w:t>Monthly Totals</w:t>
            </w:r>
          </w:p>
        </w:tc>
        <w:tc>
          <w:tcPr>
            <w:tcW w:w="1145" w:type="dxa"/>
            <w:tcBorders>
              <w:top w:val="single" w:sz="4" w:space="0" w:color="3A6FAF" w:themeColor="accent2"/>
              <w:bottom w:val="single" w:sz="4" w:space="0" w:color="3A6FAF" w:themeColor="accent2"/>
            </w:tcBorders>
            <w:shd w:val="clear" w:color="auto" w:fill="auto"/>
            <w:noWrap/>
            <w:hideMark/>
          </w:tcPr>
          <w:p w14:paraId="71693895" w14:textId="77777777" w:rsidR="00C72357" w:rsidRPr="00005867" w:rsidRDefault="00C72357" w:rsidP="00646190">
            <w:pPr>
              <w:pStyle w:val="TableTextLeft"/>
              <w:rPr>
                <w:rFonts w:eastAsia="Calibri"/>
                <w:b/>
                <w:lang w:eastAsia="en-US"/>
              </w:rPr>
            </w:pPr>
            <w:r w:rsidRPr="00005867">
              <w:rPr>
                <w:rFonts w:eastAsia="Calibri"/>
                <w:b/>
                <w:lang w:eastAsia="en-US"/>
              </w:rPr>
              <w:t> </w:t>
            </w:r>
          </w:p>
        </w:tc>
        <w:tc>
          <w:tcPr>
            <w:tcW w:w="1145" w:type="dxa"/>
            <w:tcBorders>
              <w:top w:val="single" w:sz="4" w:space="0" w:color="3A6FAF" w:themeColor="accent2"/>
              <w:bottom w:val="single" w:sz="4" w:space="0" w:color="3A6FAF" w:themeColor="accent2"/>
            </w:tcBorders>
            <w:shd w:val="clear" w:color="auto" w:fill="auto"/>
            <w:noWrap/>
            <w:hideMark/>
          </w:tcPr>
          <w:p w14:paraId="6CACA6C9" w14:textId="77777777" w:rsidR="00C72357" w:rsidRPr="00005867" w:rsidRDefault="00C72357" w:rsidP="00646190">
            <w:pPr>
              <w:pStyle w:val="TableTextLeft"/>
              <w:rPr>
                <w:rFonts w:eastAsia="Calibri"/>
                <w:b/>
                <w:lang w:eastAsia="en-US"/>
              </w:rPr>
            </w:pPr>
            <w:r w:rsidRPr="00005867">
              <w:rPr>
                <w:rFonts w:eastAsia="Calibri"/>
                <w:b/>
                <w:lang w:eastAsia="en-US"/>
              </w:rPr>
              <w:t> </w:t>
            </w:r>
          </w:p>
        </w:tc>
        <w:tc>
          <w:tcPr>
            <w:tcW w:w="1145" w:type="dxa"/>
            <w:tcBorders>
              <w:top w:val="single" w:sz="4" w:space="0" w:color="3A6FAF" w:themeColor="accent2"/>
              <w:bottom w:val="single" w:sz="4" w:space="0" w:color="3A6FAF" w:themeColor="accent2"/>
            </w:tcBorders>
            <w:shd w:val="clear" w:color="auto" w:fill="auto"/>
            <w:noWrap/>
            <w:hideMark/>
          </w:tcPr>
          <w:p w14:paraId="36875432" w14:textId="77777777" w:rsidR="00C72357" w:rsidRPr="00005867" w:rsidRDefault="00C72357" w:rsidP="00646190">
            <w:pPr>
              <w:pStyle w:val="TableTextLeft"/>
              <w:rPr>
                <w:rFonts w:eastAsia="Calibri"/>
                <w:b/>
                <w:lang w:eastAsia="en-US"/>
              </w:rPr>
            </w:pPr>
            <w:r w:rsidRPr="00005867">
              <w:rPr>
                <w:rFonts w:eastAsia="Calibri"/>
                <w:b/>
                <w:lang w:eastAsia="en-US"/>
              </w:rPr>
              <w:t> </w:t>
            </w:r>
          </w:p>
        </w:tc>
        <w:tc>
          <w:tcPr>
            <w:tcW w:w="1145" w:type="dxa"/>
            <w:tcBorders>
              <w:top w:val="single" w:sz="4" w:space="0" w:color="3A6FAF" w:themeColor="accent2"/>
              <w:bottom w:val="single" w:sz="4" w:space="0" w:color="3A6FAF" w:themeColor="accent2"/>
            </w:tcBorders>
            <w:shd w:val="clear" w:color="auto" w:fill="auto"/>
            <w:noWrap/>
            <w:hideMark/>
          </w:tcPr>
          <w:p w14:paraId="00B5E0A7" w14:textId="77777777" w:rsidR="00C72357" w:rsidRPr="00005867" w:rsidRDefault="00C72357" w:rsidP="00646190">
            <w:pPr>
              <w:pStyle w:val="TableTextLeft"/>
              <w:rPr>
                <w:rFonts w:eastAsia="Calibri"/>
                <w:b/>
                <w:lang w:eastAsia="en-US"/>
              </w:rPr>
            </w:pPr>
            <w:r w:rsidRPr="00005867">
              <w:rPr>
                <w:rFonts w:eastAsia="Calibri"/>
                <w:b/>
                <w:lang w:eastAsia="en-US"/>
              </w:rPr>
              <w:t> </w:t>
            </w:r>
          </w:p>
        </w:tc>
        <w:tc>
          <w:tcPr>
            <w:tcW w:w="1145" w:type="dxa"/>
            <w:tcBorders>
              <w:top w:val="single" w:sz="4" w:space="0" w:color="3A6FAF" w:themeColor="accent2"/>
              <w:bottom w:val="single" w:sz="4" w:space="0" w:color="3A6FAF" w:themeColor="accent2"/>
            </w:tcBorders>
            <w:shd w:val="clear" w:color="auto" w:fill="auto"/>
            <w:noWrap/>
            <w:hideMark/>
          </w:tcPr>
          <w:p w14:paraId="5C781C04" w14:textId="77777777" w:rsidR="00C72357" w:rsidRPr="00005867" w:rsidRDefault="00C72357" w:rsidP="00646190">
            <w:pPr>
              <w:pStyle w:val="TableTextLeft"/>
              <w:rPr>
                <w:rFonts w:eastAsia="Calibri"/>
                <w:b/>
                <w:lang w:eastAsia="en-US"/>
              </w:rPr>
            </w:pPr>
            <w:r w:rsidRPr="00005867">
              <w:rPr>
                <w:rFonts w:eastAsia="Calibri"/>
                <w:b/>
                <w:lang w:eastAsia="en-US"/>
              </w:rPr>
              <w:t> </w:t>
            </w:r>
          </w:p>
        </w:tc>
        <w:tc>
          <w:tcPr>
            <w:tcW w:w="1145" w:type="dxa"/>
            <w:tcBorders>
              <w:top w:val="single" w:sz="4" w:space="0" w:color="3A6FAF" w:themeColor="accent2"/>
              <w:bottom w:val="single" w:sz="4" w:space="0" w:color="3A6FAF" w:themeColor="accent2"/>
            </w:tcBorders>
            <w:shd w:val="clear" w:color="auto" w:fill="auto"/>
            <w:noWrap/>
            <w:hideMark/>
          </w:tcPr>
          <w:p w14:paraId="06D7ABE3" w14:textId="77777777" w:rsidR="00C72357" w:rsidRPr="00005867" w:rsidRDefault="00C72357" w:rsidP="00646190">
            <w:pPr>
              <w:pStyle w:val="TableTextLeft"/>
              <w:rPr>
                <w:rFonts w:eastAsia="Calibri"/>
                <w:b/>
                <w:lang w:eastAsia="en-US"/>
              </w:rPr>
            </w:pPr>
            <w:r w:rsidRPr="00005867">
              <w:rPr>
                <w:rFonts w:eastAsia="Calibri"/>
                <w:b/>
                <w:lang w:eastAsia="en-US"/>
              </w:rPr>
              <w:t> </w:t>
            </w:r>
          </w:p>
        </w:tc>
      </w:tr>
      <w:tr w:rsidR="00823671" w:rsidRPr="00C72357" w14:paraId="2554519B" w14:textId="77777777" w:rsidTr="00F42045">
        <w:trPr>
          <w:trHeight w:val="324"/>
        </w:trPr>
        <w:tc>
          <w:tcPr>
            <w:tcW w:w="2212" w:type="dxa"/>
            <w:tcBorders>
              <w:top w:val="single" w:sz="4" w:space="0" w:color="3A6FAF" w:themeColor="accent2"/>
            </w:tcBorders>
            <w:shd w:val="clear" w:color="auto" w:fill="auto"/>
          </w:tcPr>
          <w:p w14:paraId="159D479C" w14:textId="3759EDC4" w:rsidR="00C72357" w:rsidRPr="00823671" w:rsidRDefault="00C72357" w:rsidP="00646190">
            <w:pPr>
              <w:pStyle w:val="TableTextLeft"/>
              <w:rPr>
                <w:rFonts w:eastAsia="Calibri"/>
                <w:lang w:eastAsia="en-US"/>
              </w:rPr>
            </w:pPr>
            <w:r w:rsidRPr="00823671">
              <w:rPr>
                <w:rFonts w:eastAsia="Calibri"/>
                <w:lang w:eastAsia="en-US"/>
              </w:rPr>
              <w:t>Number of entities receiving payment</w:t>
            </w:r>
          </w:p>
        </w:tc>
        <w:tc>
          <w:tcPr>
            <w:tcW w:w="1145" w:type="dxa"/>
            <w:tcBorders>
              <w:top w:val="single" w:sz="4" w:space="0" w:color="3A6FAF" w:themeColor="accent2"/>
            </w:tcBorders>
            <w:shd w:val="clear" w:color="auto" w:fill="auto"/>
            <w:noWrap/>
            <w:hideMark/>
          </w:tcPr>
          <w:p w14:paraId="4DD0DB67" w14:textId="77777777" w:rsidR="00C72357" w:rsidRPr="00823671" w:rsidRDefault="00C72357" w:rsidP="00646190">
            <w:pPr>
              <w:pStyle w:val="TableTextRight"/>
              <w:rPr>
                <w:rFonts w:eastAsia="Calibri"/>
                <w:lang w:eastAsia="en-US"/>
              </w:rPr>
            </w:pPr>
            <w:r w:rsidRPr="00823671">
              <w:rPr>
                <w:rFonts w:eastAsia="Calibri"/>
                <w:lang w:eastAsia="en-US"/>
              </w:rPr>
              <w:t>511,334</w:t>
            </w:r>
          </w:p>
        </w:tc>
        <w:tc>
          <w:tcPr>
            <w:tcW w:w="1145" w:type="dxa"/>
            <w:tcBorders>
              <w:top w:val="single" w:sz="4" w:space="0" w:color="3A6FAF" w:themeColor="accent2"/>
            </w:tcBorders>
            <w:shd w:val="clear" w:color="auto" w:fill="auto"/>
            <w:noWrap/>
            <w:hideMark/>
          </w:tcPr>
          <w:p w14:paraId="607DCCF1" w14:textId="77777777" w:rsidR="00C72357" w:rsidRPr="00823671" w:rsidRDefault="00C72357" w:rsidP="00646190">
            <w:pPr>
              <w:pStyle w:val="TableTextRight"/>
              <w:rPr>
                <w:rFonts w:eastAsia="Calibri"/>
                <w:lang w:eastAsia="en-US"/>
              </w:rPr>
            </w:pPr>
            <w:r w:rsidRPr="00823671">
              <w:rPr>
                <w:rFonts w:eastAsia="Calibri"/>
                <w:lang w:eastAsia="en-US"/>
              </w:rPr>
              <w:t>506,903</w:t>
            </w:r>
          </w:p>
        </w:tc>
        <w:tc>
          <w:tcPr>
            <w:tcW w:w="1145" w:type="dxa"/>
            <w:tcBorders>
              <w:top w:val="single" w:sz="4" w:space="0" w:color="3A6FAF" w:themeColor="accent2"/>
            </w:tcBorders>
            <w:shd w:val="clear" w:color="auto" w:fill="auto"/>
            <w:noWrap/>
            <w:hideMark/>
          </w:tcPr>
          <w:p w14:paraId="552C212D" w14:textId="77777777" w:rsidR="00C72357" w:rsidRPr="00823671" w:rsidRDefault="00C72357" w:rsidP="00646190">
            <w:pPr>
              <w:pStyle w:val="TableTextRight"/>
              <w:rPr>
                <w:rFonts w:eastAsia="Calibri"/>
                <w:lang w:eastAsia="en-US"/>
              </w:rPr>
            </w:pPr>
            <w:r w:rsidRPr="00823671">
              <w:rPr>
                <w:rFonts w:eastAsia="Calibri"/>
                <w:lang w:eastAsia="en-US"/>
              </w:rPr>
              <w:t>497,308</w:t>
            </w:r>
          </w:p>
        </w:tc>
        <w:tc>
          <w:tcPr>
            <w:tcW w:w="1145" w:type="dxa"/>
            <w:tcBorders>
              <w:top w:val="single" w:sz="4" w:space="0" w:color="3A6FAF" w:themeColor="accent2"/>
            </w:tcBorders>
            <w:shd w:val="clear" w:color="auto" w:fill="auto"/>
            <w:noWrap/>
            <w:hideMark/>
          </w:tcPr>
          <w:p w14:paraId="19019D35" w14:textId="77777777" w:rsidR="00C72357" w:rsidRPr="00823671" w:rsidRDefault="00C72357" w:rsidP="00646190">
            <w:pPr>
              <w:pStyle w:val="TableTextRight"/>
              <w:rPr>
                <w:rFonts w:eastAsia="Calibri"/>
                <w:lang w:eastAsia="en-US"/>
              </w:rPr>
            </w:pPr>
            <w:r w:rsidRPr="00823671">
              <w:rPr>
                <w:rFonts w:eastAsia="Calibri"/>
                <w:lang w:eastAsia="en-US"/>
              </w:rPr>
              <w:t>375,026</w:t>
            </w:r>
          </w:p>
        </w:tc>
        <w:tc>
          <w:tcPr>
            <w:tcW w:w="1145" w:type="dxa"/>
            <w:tcBorders>
              <w:top w:val="single" w:sz="4" w:space="0" w:color="3A6FAF" w:themeColor="accent2"/>
            </w:tcBorders>
            <w:shd w:val="clear" w:color="auto" w:fill="auto"/>
            <w:noWrap/>
            <w:hideMark/>
          </w:tcPr>
          <w:p w14:paraId="6DF8B645" w14:textId="77777777" w:rsidR="00C72357" w:rsidRPr="00823671" w:rsidRDefault="00C72357" w:rsidP="00646190">
            <w:pPr>
              <w:pStyle w:val="TableTextRight"/>
              <w:rPr>
                <w:rFonts w:eastAsia="Calibri"/>
                <w:lang w:eastAsia="en-US"/>
              </w:rPr>
            </w:pPr>
            <w:r w:rsidRPr="00823671">
              <w:rPr>
                <w:rFonts w:eastAsia="Calibri"/>
                <w:lang w:eastAsia="en-US"/>
              </w:rPr>
              <w:t>373,440</w:t>
            </w:r>
          </w:p>
        </w:tc>
        <w:tc>
          <w:tcPr>
            <w:tcW w:w="1145" w:type="dxa"/>
            <w:tcBorders>
              <w:top w:val="single" w:sz="4" w:space="0" w:color="3A6FAF" w:themeColor="accent2"/>
            </w:tcBorders>
            <w:shd w:val="clear" w:color="auto" w:fill="auto"/>
            <w:noWrap/>
            <w:hideMark/>
          </w:tcPr>
          <w:p w14:paraId="797561DC" w14:textId="77777777" w:rsidR="00C72357" w:rsidRPr="00823671" w:rsidRDefault="00C72357" w:rsidP="00646190">
            <w:pPr>
              <w:pStyle w:val="TableTextRight"/>
              <w:rPr>
                <w:rFonts w:eastAsia="Calibri"/>
                <w:lang w:eastAsia="en-US"/>
              </w:rPr>
            </w:pPr>
            <w:r w:rsidRPr="00823671">
              <w:rPr>
                <w:rFonts w:eastAsia="Calibri"/>
                <w:lang w:eastAsia="en-US"/>
              </w:rPr>
              <w:t>355,051</w:t>
            </w:r>
          </w:p>
        </w:tc>
      </w:tr>
      <w:tr w:rsidR="00823671" w:rsidRPr="00C72357" w14:paraId="4F20C8F2" w14:textId="77777777" w:rsidTr="00F42045">
        <w:trPr>
          <w:trHeight w:val="288"/>
        </w:trPr>
        <w:tc>
          <w:tcPr>
            <w:tcW w:w="2212" w:type="dxa"/>
            <w:shd w:val="clear" w:color="auto" w:fill="auto"/>
          </w:tcPr>
          <w:p w14:paraId="30DF6F72" w14:textId="100339D8" w:rsidR="00C72357" w:rsidRPr="00823671" w:rsidRDefault="00C72357" w:rsidP="00646190">
            <w:pPr>
              <w:pStyle w:val="TableTextLeft"/>
              <w:rPr>
                <w:rFonts w:eastAsia="Calibri"/>
                <w:lang w:eastAsia="en-US"/>
              </w:rPr>
            </w:pPr>
            <w:r w:rsidRPr="00823671">
              <w:rPr>
                <w:rFonts w:eastAsia="Calibri"/>
                <w:lang w:eastAsia="en-US"/>
              </w:rPr>
              <w:t xml:space="preserve">Number of </w:t>
            </w:r>
            <w:r w:rsidR="00FA2FBA">
              <w:rPr>
                <w:rFonts w:eastAsia="Calibri"/>
                <w:lang w:eastAsia="en-US"/>
              </w:rPr>
              <w:t>i</w:t>
            </w:r>
            <w:r w:rsidRPr="00823671">
              <w:rPr>
                <w:rFonts w:eastAsia="Calibri"/>
                <w:lang w:eastAsia="en-US"/>
              </w:rPr>
              <w:t xml:space="preserve">ndividuals </w:t>
            </w:r>
          </w:p>
        </w:tc>
        <w:tc>
          <w:tcPr>
            <w:tcW w:w="1145" w:type="dxa"/>
            <w:shd w:val="clear" w:color="auto" w:fill="auto"/>
            <w:noWrap/>
            <w:hideMark/>
          </w:tcPr>
          <w:p w14:paraId="06C3294E" w14:textId="77777777" w:rsidR="00C72357" w:rsidRPr="00823671" w:rsidRDefault="00C72357" w:rsidP="00646190">
            <w:pPr>
              <w:pStyle w:val="TableTextRight"/>
              <w:rPr>
                <w:rFonts w:eastAsia="Calibri"/>
                <w:lang w:eastAsia="en-US"/>
              </w:rPr>
            </w:pPr>
            <w:r w:rsidRPr="00823671">
              <w:rPr>
                <w:rFonts w:eastAsia="Calibri"/>
                <w:lang w:eastAsia="en-US"/>
              </w:rPr>
              <w:t>1,633,406</w:t>
            </w:r>
          </w:p>
        </w:tc>
        <w:tc>
          <w:tcPr>
            <w:tcW w:w="1145" w:type="dxa"/>
            <w:shd w:val="clear" w:color="auto" w:fill="auto"/>
            <w:noWrap/>
            <w:hideMark/>
          </w:tcPr>
          <w:p w14:paraId="0814545B" w14:textId="77777777" w:rsidR="00C72357" w:rsidRPr="00823671" w:rsidRDefault="00C72357" w:rsidP="00646190">
            <w:pPr>
              <w:pStyle w:val="TableTextRight"/>
              <w:rPr>
                <w:rFonts w:eastAsia="Calibri"/>
                <w:lang w:eastAsia="en-US"/>
              </w:rPr>
            </w:pPr>
            <w:r w:rsidRPr="00823671">
              <w:rPr>
                <w:rFonts w:eastAsia="Calibri"/>
                <w:lang w:eastAsia="en-US"/>
              </w:rPr>
              <w:t>1,606,673</w:t>
            </w:r>
          </w:p>
        </w:tc>
        <w:tc>
          <w:tcPr>
            <w:tcW w:w="1145" w:type="dxa"/>
            <w:shd w:val="clear" w:color="auto" w:fill="auto"/>
            <w:noWrap/>
            <w:hideMark/>
          </w:tcPr>
          <w:p w14:paraId="0EF4D152" w14:textId="77777777" w:rsidR="00C72357" w:rsidRPr="00823671" w:rsidRDefault="00C72357" w:rsidP="00646190">
            <w:pPr>
              <w:pStyle w:val="TableTextRight"/>
              <w:rPr>
                <w:rFonts w:eastAsia="Calibri"/>
                <w:lang w:eastAsia="en-US"/>
              </w:rPr>
            </w:pPr>
            <w:r w:rsidRPr="00823671">
              <w:rPr>
                <w:rFonts w:eastAsia="Calibri"/>
                <w:lang w:eastAsia="en-US"/>
              </w:rPr>
              <w:t>1,569,009</w:t>
            </w:r>
          </w:p>
        </w:tc>
        <w:tc>
          <w:tcPr>
            <w:tcW w:w="1145" w:type="dxa"/>
            <w:shd w:val="clear" w:color="auto" w:fill="auto"/>
            <w:noWrap/>
            <w:hideMark/>
          </w:tcPr>
          <w:p w14:paraId="610EFB59" w14:textId="77777777" w:rsidR="00C72357" w:rsidRPr="00823671" w:rsidRDefault="00C72357" w:rsidP="00646190">
            <w:pPr>
              <w:pStyle w:val="TableTextRight"/>
              <w:rPr>
                <w:rFonts w:eastAsia="Calibri"/>
                <w:lang w:eastAsia="en-US"/>
              </w:rPr>
            </w:pPr>
            <w:r w:rsidRPr="00823671">
              <w:rPr>
                <w:rFonts w:eastAsia="Calibri"/>
                <w:lang w:eastAsia="en-US"/>
              </w:rPr>
              <w:t>1,087,037</w:t>
            </w:r>
          </w:p>
        </w:tc>
        <w:tc>
          <w:tcPr>
            <w:tcW w:w="1145" w:type="dxa"/>
            <w:shd w:val="clear" w:color="auto" w:fill="auto"/>
            <w:noWrap/>
            <w:hideMark/>
          </w:tcPr>
          <w:p w14:paraId="16CD66E4" w14:textId="77777777" w:rsidR="00C72357" w:rsidRPr="00823671" w:rsidRDefault="00C72357" w:rsidP="00646190">
            <w:pPr>
              <w:pStyle w:val="TableTextRight"/>
              <w:rPr>
                <w:rFonts w:eastAsia="Calibri"/>
                <w:lang w:eastAsia="en-US"/>
              </w:rPr>
            </w:pPr>
            <w:r w:rsidRPr="00823671">
              <w:rPr>
                <w:rFonts w:eastAsia="Calibri"/>
                <w:lang w:eastAsia="en-US"/>
              </w:rPr>
              <w:t>1,072,520</w:t>
            </w:r>
          </w:p>
        </w:tc>
        <w:tc>
          <w:tcPr>
            <w:tcW w:w="1145" w:type="dxa"/>
            <w:shd w:val="clear" w:color="auto" w:fill="auto"/>
            <w:noWrap/>
            <w:hideMark/>
          </w:tcPr>
          <w:p w14:paraId="60F0FF55" w14:textId="77777777" w:rsidR="00C72357" w:rsidRPr="00823671" w:rsidRDefault="00C72357" w:rsidP="00646190">
            <w:pPr>
              <w:pStyle w:val="TableTextRight"/>
              <w:rPr>
                <w:rFonts w:eastAsia="Calibri"/>
                <w:lang w:eastAsia="en-US"/>
              </w:rPr>
            </w:pPr>
            <w:r w:rsidRPr="00823671">
              <w:rPr>
                <w:rFonts w:eastAsia="Calibri"/>
                <w:lang w:eastAsia="en-US"/>
              </w:rPr>
              <w:t>1,031,848</w:t>
            </w:r>
          </w:p>
        </w:tc>
      </w:tr>
      <w:tr w:rsidR="00823671" w:rsidRPr="00C72357" w14:paraId="0C9C2176" w14:textId="77777777" w:rsidTr="00F42045">
        <w:trPr>
          <w:trHeight w:val="324"/>
        </w:trPr>
        <w:tc>
          <w:tcPr>
            <w:tcW w:w="2212" w:type="dxa"/>
            <w:shd w:val="clear" w:color="auto" w:fill="auto"/>
          </w:tcPr>
          <w:p w14:paraId="21916452" w14:textId="66CECB70" w:rsidR="00C72357" w:rsidRPr="00823671" w:rsidRDefault="00C72357" w:rsidP="00646190">
            <w:pPr>
              <w:pStyle w:val="TableTextLeft"/>
              <w:rPr>
                <w:rFonts w:eastAsia="Calibri"/>
                <w:lang w:eastAsia="en-US"/>
              </w:rPr>
            </w:pPr>
            <w:r w:rsidRPr="00823671">
              <w:rPr>
                <w:rFonts w:eastAsia="Calibri"/>
                <w:lang w:eastAsia="en-US"/>
              </w:rPr>
              <w:t xml:space="preserve">Net </w:t>
            </w:r>
            <w:r w:rsidR="008A6F3B">
              <w:rPr>
                <w:rFonts w:eastAsia="Calibri"/>
                <w:lang w:eastAsia="en-US"/>
              </w:rPr>
              <w:t xml:space="preserve">monthly </w:t>
            </w:r>
            <w:r w:rsidRPr="00823671">
              <w:rPr>
                <w:rFonts w:eastAsia="Calibri"/>
                <w:lang w:eastAsia="en-US"/>
              </w:rPr>
              <w:t>payments</w:t>
            </w:r>
          </w:p>
        </w:tc>
        <w:tc>
          <w:tcPr>
            <w:tcW w:w="1145" w:type="dxa"/>
            <w:shd w:val="clear" w:color="auto" w:fill="auto"/>
            <w:noWrap/>
            <w:hideMark/>
          </w:tcPr>
          <w:p w14:paraId="61C2735B" w14:textId="0C8490FB" w:rsidR="00C72357" w:rsidRPr="00823671" w:rsidRDefault="00C72357" w:rsidP="00646190">
            <w:pPr>
              <w:pStyle w:val="TableTextRight"/>
              <w:rPr>
                <w:rFonts w:eastAsia="Calibri"/>
                <w:lang w:eastAsia="en-US"/>
              </w:rPr>
            </w:pPr>
            <w:r w:rsidRPr="00823671">
              <w:rPr>
                <w:rFonts w:eastAsia="Calibri"/>
                <w:lang w:eastAsia="en-US"/>
              </w:rPr>
              <w:t>$3.7</w:t>
            </w:r>
            <w:r w:rsidR="007B1865">
              <w:rPr>
                <w:rFonts w:eastAsia="Calibri"/>
                <w:lang w:eastAsia="en-US"/>
              </w:rPr>
              <w:t>b</w:t>
            </w:r>
          </w:p>
        </w:tc>
        <w:tc>
          <w:tcPr>
            <w:tcW w:w="1145" w:type="dxa"/>
            <w:shd w:val="clear" w:color="auto" w:fill="auto"/>
            <w:noWrap/>
            <w:hideMark/>
          </w:tcPr>
          <w:p w14:paraId="7BD05487" w14:textId="2E5CC239" w:rsidR="00C72357" w:rsidRPr="00823671" w:rsidRDefault="00C72357" w:rsidP="00646190">
            <w:pPr>
              <w:pStyle w:val="TableTextRight"/>
              <w:rPr>
                <w:rFonts w:eastAsia="Calibri"/>
                <w:lang w:eastAsia="en-US"/>
              </w:rPr>
            </w:pPr>
            <w:r w:rsidRPr="00823671">
              <w:rPr>
                <w:rFonts w:eastAsia="Calibri"/>
                <w:lang w:eastAsia="en-US"/>
              </w:rPr>
              <w:t>$3.</w:t>
            </w:r>
            <w:r w:rsidR="00A80986">
              <w:rPr>
                <w:rFonts w:eastAsia="Calibri"/>
                <w:lang w:eastAsia="en-US"/>
              </w:rPr>
              <w:t>7</w:t>
            </w:r>
            <w:r w:rsidR="007B1865">
              <w:rPr>
                <w:rFonts w:eastAsia="Calibri"/>
                <w:lang w:eastAsia="en-US"/>
              </w:rPr>
              <w:t>b</w:t>
            </w:r>
          </w:p>
        </w:tc>
        <w:tc>
          <w:tcPr>
            <w:tcW w:w="1145" w:type="dxa"/>
            <w:shd w:val="clear" w:color="auto" w:fill="auto"/>
            <w:noWrap/>
            <w:hideMark/>
          </w:tcPr>
          <w:p w14:paraId="0247C385" w14:textId="4380A4C5" w:rsidR="00C72357" w:rsidRPr="00823671" w:rsidRDefault="00C72357" w:rsidP="00646190">
            <w:pPr>
              <w:pStyle w:val="TableTextRight"/>
              <w:rPr>
                <w:rFonts w:eastAsia="Calibri"/>
                <w:lang w:eastAsia="en-US"/>
              </w:rPr>
            </w:pPr>
            <w:r w:rsidRPr="00823671">
              <w:rPr>
                <w:rFonts w:eastAsia="Calibri"/>
                <w:lang w:eastAsia="en-US"/>
              </w:rPr>
              <w:t>$5.</w:t>
            </w:r>
            <w:r w:rsidR="00B94C2B">
              <w:rPr>
                <w:rFonts w:eastAsia="Calibri"/>
                <w:lang w:eastAsia="en-US"/>
              </w:rPr>
              <w:t>4</w:t>
            </w:r>
            <w:r w:rsidR="007B1865">
              <w:rPr>
                <w:rFonts w:eastAsia="Calibri"/>
                <w:lang w:eastAsia="en-US"/>
              </w:rPr>
              <w:t>b</w:t>
            </w:r>
          </w:p>
        </w:tc>
        <w:tc>
          <w:tcPr>
            <w:tcW w:w="1145" w:type="dxa"/>
            <w:shd w:val="clear" w:color="auto" w:fill="auto"/>
            <w:noWrap/>
            <w:hideMark/>
          </w:tcPr>
          <w:p w14:paraId="16247E31" w14:textId="3472FA87" w:rsidR="00C72357" w:rsidRPr="00823671" w:rsidRDefault="00C72357" w:rsidP="00646190">
            <w:pPr>
              <w:pStyle w:val="TableTextRight"/>
              <w:rPr>
                <w:rFonts w:eastAsia="Calibri"/>
                <w:lang w:eastAsia="en-US"/>
              </w:rPr>
            </w:pPr>
            <w:r w:rsidRPr="00823671">
              <w:rPr>
                <w:rFonts w:eastAsia="Calibri"/>
                <w:lang w:eastAsia="en-US"/>
              </w:rPr>
              <w:t>$2.</w:t>
            </w:r>
            <w:r w:rsidR="00B94C2B">
              <w:rPr>
                <w:rFonts w:eastAsia="Calibri"/>
                <w:lang w:eastAsia="en-US"/>
              </w:rPr>
              <w:t>1</w:t>
            </w:r>
            <w:r w:rsidR="007B1865">
              <w:rPr>
                <w:rFonts w:eastAsia="Calibri"/>
                <w:lang w:eastAsia="en-US"/>
              </w:rPr>
              <w:t>b</w:t>
            </w:r>
          </w:p>
        </w:tc>
        <w:tc>
          <w:tcPr>
            <w:tcW w:w="1145" w:type="dxa"/>
            <w:shd w:val="clear" w:color="auto" w:fill="auto"/>
            <w:noWrap/>
            <w:hideMark/>
          </w:tcPr>
          <w:p w14:paraId="1109CC1D" w14:textId="7086556F" w:rsidR="00C72357" w:rsidRPr="00823671" w:rsidRDefault="00C72357" w:rsidP="00646190">
            <w:pPr>
              <w:pStyle w:val="TableTextRight"/>
              <w:rPr>
                <w:rFonts w:eastAsia="Calibri"/>
                <w:lang w:eastAsia="en-US"/>
              </w:rPr>
            </w:pPr>
            <w:r w:rsidRPr="00823671">
              <w:rPr>
                <w:rFonts w:eastAsia="Calibri"/>
                <w:lang w:eastAsia="en-US"/>
              </w:rPr>
              <w:t>$2.</w:t>
            </w:r>
            <w:r w:rsidR="00B94C2B">
              <w:rPr>
                <w:rFonts w:eastAsia="Calibri"/>
                <w:lang w:eastAsia="en-US"/>
              </w:rPr>
              <w:t>1</w:t>
            </w:r>
            <w:r w:rsidR="007B1865">
              <w:rPr>
                <w:rFonts w:eastAsia="Calibri"/>
                <w:lang w:eastAsia="en-US"/>
              </w:rPr>
              <w:t>b</w:t>
            </w:r>
          </w:p>
        </w:tc>
        <w:tc>
          <w:tcPr>
            <w:tcW w:w="1145" w:type="dxa"/>
            <w:shd w:val="clear" w:color="auto" w:fill="auto"/>
            <w:noWrap/>
            <w:hideMark/>
          </w:tcPr>
          <w:p w14:paraId="3FE82264" w14:textId="73E2A5B6" w:rsidR="00C72357" w:rsidRPr="00823671" w:rsidRDefault="00C72357" w:rsidP="00646190">
            <w:pPr>
              <w:pStyle w:val="TableTextRight"/>
              <w:rPr>
                <w:rFonts w:eastAsia="Calibri"/>
                <w:lang w:eastAsia="en-US"/>
              </w:rPr>
            </w:pPr>
            <w:r w:rsidRPr="00823671">
              <w:rPr>
                <w:rFonts w:eastAsia="Calibri"/>
                <w:lang w:eastAsia="en-US"/>
              </w:rPr>
              <w:t>$</w:t>
            </w:r>
            <w:r w:rsidR="00B94C2B">
              <w:rPr>
                <w:rFonts w:eastAsia="Calibri"/>
                <w:lang w:eastAsia="en-US"/>
              </w:rPr>
              <w:t>2</w:t>
            </w:r>
            <w:r w:rsidR="007B1865">
              <w:rPr>
                <w:rFonts w:eastAsia="Calibri"/>
                <w:lang w:eastAsia="en-US"/>
              </w:rPr>
              <w:t>b</w:t>
            </w:r>
          </w:p>
        </w:tc>
      </w:tr>
      <w:tr w:rsidR="00823671" w:rsidRPr="00C72357" w14:paraId="554263FA" w14:textId="77777777" w:rsidTr="00F42045">
        <w:trPr>
          <w:trHeight w:val="288"/>
        </w:trPr>
        <w:tc>
          <w:tcPr>
            <w:tcW w:w="2212" w:type="dxa"/>
            <w:tcBorders>
              <w:top w:val="single" w:sz="4" w:space="0" w:color="3A6FAF" w:themeColor="accent2"/>
              <w:bottom w:val="single" w:sz="4" w:space="0" w:color="3A6FAF" w:themeColor="accent2"/>
            </w:tcBorders>
            <w:shd w:val="clear" w:color="auto" w:fill="auto"/>
          </w:tcPr>
          <w:p w14:paraId="2E3895C1" w14:textId="1E940EA9" w:rsidR="00C72357" w:rsidRPr="00823671" w:rsidRDefault="00C72357" w:rsidP="00D844AE">
            <w:pPr>
              <w:pStyle w:val="TableTextLeft"/>
              <w:rPr>
                <w:rFonts w:eastAsia="Calibri"/>
                <w:b/>
                <w:lang w:eastAsia="en-US"/>
              </w:rPr>
            </w:pPr>
            <w:r w:rsidRPr="00823671">
              <w:rPr>
                <w:rFonts w:eastAsia="Calibri"/>
                <w:b/>
                <w:lang w:eastAsia="en-US"/>
              </w:rPr>
              <w:t>Total cumulative net payments</w:t>
            </w:r>
            <w:r w:rsidR="00996844">
              <w:rPr>
                <w:rFonts w:eastAsia="Calibri"/>
                <w:b/>
                <w:lang w:eastAsia="en-US"/>
              </w:rPr>
              <w:t xml:space="preserve"> (all periods)</w:t>
            </w:r>
          </w:p>
        </w:tc>
        <w:tc>
          <w:tcPr>
            <w:tcW w:w="1145" w:type="dxa"/>
            <w:tcBorders>
              <w:top w:val="single" w:sz="4" w:space="0" w:color="3A6FAF" w:themeColor="accent2"/>
              <w:bottom w:val="single" w:sz="4" w:space="0" w:color="3A6FAF" w:themeColor="accent2"/>
            </w:tcBorders>
            <w:shd w:val="clear" w:color="auto" w:fill="auto"/>
            <w:noWrap/>
            <w:hideMark/>
          </w:tcPr>
          <w:p w14:paraId="4BD5EB4C" w14:textId="17D1F7E3" w:rsidR="00C72357" w:rsidRPr="00823671" w:rsidRDefault="00C72357" w:rsidP="00D844AE">
            <w:pPr>
              <w:pStyle w:val="TableTextRight"/>
              <w:rPr>
                <w:rFonts w:eastAsia="Calibri"/>
                <w:b/>
                <w:lang w:eastAsia="en-US"/>
              </w:rPr>
            </w:pPr>
            <w:r w:rsidRPr="00823671">
              <w:rPr>
                <w:rFonts w:eastAsia="Calibri"/>
                <w:b/>
                <w:lang w:eastAsia="en-US"/>
              </w:rPr>
              <w:t>$73.7</w:t>
            </w:r>
            <w:r w:rsidR="007B1865">
              <w:rPr>
                <w:rFonts w:eastAsia="Calibri"/>
                <w:b/>
                <w:lang w:eastAsia="en-US"/>
              </w:rPr>
              <w:t>b</w:t>
            </w:r>
          </w:p>
        </w:tc>
        <w:tc>
          <w:tcPr>
            <w:tcW w:w="1145" w:type="dxa"/>
            <w:tcBorders>
              <w:top w:val="single" w:sz="4" w:space="0" w:color="3A6FAF" w:themeColor="accent2"/>
              <w:bottom w:val="single" w:sz="4" w:space="0" w:color="3A6FAF" w:themeColor="accent2"/>
            </w:tcBorders>
            <w:shd w:val="clear" w:color="auto" w:fill="auto"/>
            <w:noWrap/>
            <w:hideMark/>
          </w:tcPr>
          <w:p w14:paraId="68B0A8CF" w14:textId="1B12E35E" w:rsidR="00C72357" w:rsidRPr="00823671" w:rsidRDefault="00C72357" w:rsidP="00D844AE">
            <w:pPr>
              <w:pStyle w:val="TableTextRight"/>
              <w:rPr>
                <w:rFonts w:eastAsia="Calibri"/>
                <w:b/>
                <w:lang w:eastAsia="en-US"/>
              </w:rPr>
            </w:pPr>
            <w:r w:rsidRPr="00823671">
              <w:rPr>
                <w:rFonts w:eastAsia="Calibri"/>
                <w:b/>
                <w:lang w:eastAsia="en-US"/>
              </w:rPr>
              <w:t>$77.</w:t>
            </w:r>
            <w:r w:rsidR="00B94C2B">
              <w:rPr>
                <w:rFonts w:eastAsia="Calibri"/>
                <w:b/>
                <w:lang w:eastAsia="en-US"/>
              </w:rPr>
              <w:t>4</w:t>
            </w:r>
            <w:r w:rsidR="007B1865">
              <w:rPr>
                <w:rFonts w:eastAsia="Calibri"/>
                <w:b/>
                <w:lang w:eastAsia="en-US"/>
              </w:rPr>
              <w:t>b</w:t>
            </w:r>
          </w:p>
        </w:tc>
        <w:tc>
          <w:tcPr>
            <w:tcW w:w="1145" w:type="dxa"/>
            <w:tcBorders>
              <w:top w:val="single" w:sz="4" w:space="0" w:color="3A6FAF" w:themeColor="accent2"/>
              <w:bottom w:val="single" w:sz="4" w:space="0" w:color="3A6FAF" w:themeColor="accent2"/>
            </w:tcBorders>
            <w:shd w:val="clear" w:color="auto" w:fill="auto"/>
            <w:noWrap/>
            <w:hideMark/>
          </w:tcPr>
          <w:p w14:paraId="5C49041C" w14:textId="0F6C9DAC" w:rsidR="00C72357" w:rsidRPr="00823671" w:rsidRDefault="00C72357" w:rsidP="00D844AE">
            <w:pPr>
              <w:pStyle w:val="TableTextRight"/>
              <w:rPr>
                <w:rFonts w:eastAsia="Calibri"/>
                <w:b/>
                <w:lang w:eastAsia="en-US"/>
              </w:rPr>
            </w:pPr>
            <w:r w:rsidRPr="00823671">
              <w:rPr>
                <w:rFonts w:eastAsia="Calibri"/>
                <w:b/>
                <w:lang w:eastAsia="en-US"/>
              </w:rPr>
              <w:t>$82.7</w:t>
            </w:r>
            <w:r w:rsidR="007B1865">
              <w:rPr>
                <w:rFonts w:eastAsia="Calibri"/>
                <w:b/>
                <w:lang w:eastAsia="en-US"/>
              </w:rPr>
              <w:t>b</w:t>
            </w:r>
          </w:p>
        </w:tc>
        <w:tc>
          <w:tcPr>
            <w:tcW w:w="1145" w:type="dxa"/>
            <w:tcBorders>
              <w:top w:val="single" w:sz="4" w:space="0" w:color="3A6FAF" w:themeColor="accent2"/>
              <w:bottom w:val="single" w:sz="4" w:space="0" w:color="3A6FAF" w:themeColor="accent2"/>
            </w:tcBorders>
            <w:shd w:val="clear" w:color="auto" w:fill="auto"/>
            <w:noWrap/>
            <w:hideMark/>
          </w:tcPr>
          <w:p w14:paraId="782F8A20" w14:textId="7D6D42B5" w:rsidR="00C72357" w:rsidRPr="00823671" w:rsidRDefault="00C72357" w:rsidP="00D844AE">
            <w:pPr>
              <w:pStyle w:val="TableTextRight"/>
              <w:rPr>
                <w:rFonts w:eastAsia="Calibri"/>
                <w:b/>
                <w:lang w:eastAsia="en-US"/>
              </w:rPr>
            </w:pPr>
            <w:r w:rsidRPr="00823671">
              <w:rPr>
                <w:rFonts w:eastAsia="Calibri"/>
                <w:b/>
                <w:lang w:eastAsia="en-US"/>
              </w:rPr>
              <w:t>$84.8</w:t>
            </w:r>
            <w:r w:rsidR="007B1865">
              <w:rPr>
                <w:rFonts w:eastAsia="Calibri"/>
                <w:b/>
                <w:lang w:eastAsia="en-US"/>
              </w:rPr>
              <w:t>b</w:t>
            </w:r>
          </w:p>
        </w:tc>
        <w:tc>
          <w:tcPr>
            <w:tcW w:w="1145" w:type="dxa"/>
            <w:tcBorders>
              <w:top w:val="single" w:sz="4" w:space="0" w:color="3A6FAF" w:themeColor="accent2"/>
              <w:bottom w:val="single" w:sz="4" w:space="0" w:color="3A6FAF" w:themeColor="accent2"/>
            </w:tcBorders>
            <w:shd w:val="clear" w:color="auto" w:fill="auto"/>
            <w:noWrap/>
            <w:hideMark/>
          </w:tcPr>
          <w:p w14:paraId="52D2D34D" w14:textId="35471D12" w:rsidR="00C72357" w:rsidRPr="00823671" w:rsidRDefault="00C72357" w:rsidP="00D844AE">
            <w:pPr>
              <w:pStyle w:val="TableTextRight"/>
              <w:rPr>
                <w:rFonts w:eastAsia="Calibri"/>
                <w:b/>
                <w:lang w:eastAsia="en-US"/>
              </w:rPr>
            </w:pPr>
            <w:r w:rsidRPr="00823671">
              <w:rPr>
                <w:rFonts w:eastAsia="Calibri"/>
                <w:b/>
                <w:lang w:eastAsia="en-US"/>
              </w:rPr>
              <w:t>$86.</w:t>
            </w:r>
            <w:r w:rsidR="00B94C2B">
              <w:rPr>
                <w:rFonts w:eastAsia="Calibri"/>
                <w:b/>
                <w:lang w:eastAsia="en-US"/>
              </w:rPr>
              <w:t>9</w:t>
            </w:r>
            <w:r w:rsidR="007B1865">
              <w:rPr>
                <w:rFonts w:eastAsia="Calibri"/>
                <w:b/>
                <w:lang w:eastAsia="en-US"/>
              </w:rPr>
              <w:t>b</w:t>
            </w:r>
          </w:p>
        </w:tc>
        <w:tc>
          <w:tcPr>
            <w:tcW w:w="1145" w:type="dxa"/>
            <w:tcBorders>
              <w:top w:val="single" w:sz="4" w:space="0" w:color="3A6FAF" w:themeColor="accent2"/>
              <w:bottom w:val="single" w:sz="4" w:space="0" w:color="3A6FAF" w:themeColor="accent2"/>
            </w:tcBorders>
            <w:shd w:val="clear" w:color="auto" w:fill="auto"/>
            <w:noWrap/>
            <w:hideMark/>
          </w:tcPr>
          <w:p w14:paraId="7D011D8A" w14:textId="40723FD8" w:rsidR="00C72357" w:rsidRPr="00823671" w:rsidRDefault="00C72357" w:rsidP="00D844AE">
            <w:pPr>
              <w:pStyle w:val="TableTextRight"/>
              <w:rPr>
                <w:rFonts w:eastAsia="Calibri"/>
                <w:b/>
                <w:lang w:eastAsia="en-US"/>
              </w:rPr>
            </w:pPr>
            <w:r w:rsidRPr="00823671">
              <w:rPr>
                <w:rFonts w:eastAsia="Calibri"/>
                <w:b/>
                <w:lang w:eastAsia="en-US"/>
              </w:rPr>
              <w:t>$88.8</w:t>
            </w:r>
            <w:r w:rsidR="007B1865">
              <w:rPr>
                <w:rFonts w:eastAsia="Calibri"/>
                <w:b/>
                <w:lang w:eastAsia="en-US"/>
              </w:rPr>
              <w:t>b</w:t>
            </w:r>
          </w:p>
        </w:tc>
      </w:tr>
    </w:tbl>
    <w:p w14:paraId="4A0C9D0B" w14:textId="5D5C5142" w:rsidR="00C72357" w:rsidRPr="00C72357" w:rsidRDefault="00815E0E" w:rsidP="00815E0E">
      <w:pPr>
        <w:pStyle w:val="ChartorTableNote"/>
      </w:pPr>
      <w:r>
        <w:t>N</w:t>
      </w:r>
      <w:r w:rsidR="008A6F3B">
        <w:t>ote</w:t>
      </w:r>
      <w:r w:rsidR="00C72357" w:rsidRPr="00C72357">
        <w:t>:</w:t>
      </w:r>
      <w:r>
        <w:t xml:space="preserve"> </w:t>
      </w:r>
      <w:r w:rsidR="00C72357" w:rsidRPr="00C72357">
        <w:t>Entity counts are based on unique ABNs. Entities include employers and eligible business participants with a processed application. An eligible business participant is an individual who is actively engaged in the</w:t>
      </w:r>
      <w:r w:rsidR="00A201D5">
        <w:t xml:space="preserve"> </w:t>
      </w:r>
      <w:r w:rsidR="00C72357" w:rsidRPr="00C72357">
        <w:t>operation of the business and is not an employee of the business. There can only be one eligible business participant claimed for the entity.</w:t>
      </w:r>
      <w:r>
        <w:t xml:space="preserve"> </w:t>
      </w:r>
      <w:r w:rsidR="00C72357" w:rsidRPr="00C72357">
        <w:t>Individuals include employees and eligible business participants. Net payments is the payment disbursements after repayments from entities, excluding voluntary repayments. Totals for all periods may not balance due to rounding. August 2020 and December 2020 net payments are higher due to having three fortnights (all other months are two fortnights).</w:t>
      </w:r>
    </w:p>
    <w:p w14:paraId="4B976401" w14:textId="5C88CCE5" w:rsidR="00DA22F3" w:rsidRDefault="006C5BDC" w:rsidP="00815E0E">
      <w:pPr>
        <w:spacing w:before="0"/>
        <w:rPr>
          <w:rFonts w:asciiTheme="minorHAnsi" w:hAnsiTheme="minorHAnsi" w:cstheme="minorHAnsi"/>
          <w:sz w:val="20"/>
        </w:rPr>
      </w:pPr>
      <w:r w:rsidRPr="003E7BD1">
        <w:rPr>
          <w:sz w:val="18"/>
          <w:szCs w:val="16"/>
        </w:rPr>
        <w:t>Source: ATO administrative data</w:t>
      </w:r>
      <w:r w:rsidR="00FA5B38">
        <w:rPr>
          <w:sz w:val="18"/>
          <w:szCs w:val="16"/>
        </w:rPr>
        <w:t xml:space="preserve"> as at 15 August 2021</w:t>
      </w:r>
      <w:r w:rsidR="004133D6">
        <w:rPr>
          <w:sz w:val="18"/>
          <w:szCs w:val="16"/>
        </w:rPr>
        <w:t>.</w:t>
      </w:r>
      <w:r w:rsidR="00823671">
        <w:rPr>
          <w:rFonts w:asciiTheme="minorHAnsi" w:hAnsiTheme="minorHAnsi" w:cstheme="minorHAnsi"/>
        </w:rPr>
        <w:br w:type="page"/>
      </w:r>
    </w:p>
    <w:p w14:paraId="098F1AA5" w14:textId="7E1DD616" w:rsidR="004B25FE" w:rsidRDefault="006C129B" w:rsidP="00330ADA">
      <w:pPr>
        <w:pStyle w:val="TableMainHeading"/>
        <w:numPr>
          <w:ilvl w:val="0"/>
          <w:numId w:val="0"/>
        </w:numPr>
      </w:pPr>
      <w:bookmarkStart w:id="199" w:name="_Toc84842593"/>
      <w:r w:rsidRPr="00C16AE4">
        <w:lastRenderedPageBreak/>
        <w:t xml:space="preserve">Tables </w:t>
      </w:r>
      <w:r w:rsidR="00330ADA">
        <w:t>5</w:t>
      </w:r>
      <w:r w:rsidRPr="00C16AE4">
        <w:t>a</w:t>
      </w:r>
      <w:r w:rsidR="0038520A">
        <w:noBreakHyphen/>
      </w:r>
      <w:r w:rsidRPr="00C16AE4">
        <w:t>c</w:t>
      </w:r>
      <w:r w:rsidR="00001040">
        <w:t>:</w:t>
      </w:r>
      <w:r w:rsidRPr="00C16AE4">
        <w:t xml:space="preserve"> Distribution of </w:t>
      </w:r>
      <w:r w:rsidR="00AC0721">
        <w:t xml:space="preserve">JobKeeper </w:t>
      </w:r>
      <w:r w:rsidRPr="00C16AE4">
        <w:t>entities and payments</w:t>
      </w:r>
      <w:bookmarkEnd w:id="199"/>
    </w:p>
    <w:p w14:paraId="4C01D114" w14:textId="77777777" w:rsidR="000B133A" w:rsidRPr="000B133A" w:rsidRDefault="000B133A" w:rsidP="000B133A"/>
    <w:p w14:paraId="6C49390D" w14:textId="76D60957" w:rsidR="003327D0" w:rsidRPr="00F91EA9" w:rsidRDefault="008E791F" w:rsidP="0001403C">
      <w:pPr>
        <w:pStyle w:val="TableSecondHeading"/>
      </w:pPr>
      <w:bookmarkStart w:id="200" w:name="_Toc84607872"/>
      <w:bookmarkStart w:id="201" w:name="_Toc84774155"/>
      <w:bookmarkStart w:id="202" w:name="_Toc84842594"/>
      <w:r>
        <w:t xml:space="preserve">a. </w:t>
      </w:r>
      <w:r w:rsidR="00AC0721">
        <w:t>T</w:t>
      </w:r>
      <w:r w:rsidR="003327D0" w:rsidRPr="00AE61AF">
        <w:t>urnover size</w:t>
      </w:r>
      <w:bookmarkEnd w:id="200"/>
      <w:bookmarkEnd w:id="201"/>
      <w:bookmarkEnd w:id="202"/>
    </w:p>
    <w:tbl>
      <w:tblPr>
        <w:tblW w:w="5000" w:type="pct"/>
        <w:tblInd w:w="5" w:type="dxa"/>
        <w:tblLayout w:type="fixed"/>
        <w:tblLook w:val="04A0" w:firstRow="1" w:lastRow="0" w:firstColumn="1" w:lastColumn="0" w:noHBand="0" w:noVBand="1"/>
      </w:tblPr>
      <w:tblGrid>
        <w:gridCol w:w="1639"/>
        <w:gridCol w:w="1858"/>
        <w:gridCol w:w="1858"/>
        <w:gridCol w:w="1858"/>
        <w:gridCol w:w="1858"/>
      </w:tblGrid>
      <w:tr w:rsidR="003327D0" w:rsidRPr="007277C5" w14:paraId="5749E105" w14:textId="77777777" w:rsidTr="003327D0">
        <w:trPr>
          <w:trHeight w:val="315"/>
        </w:trPr>
        <w:tc>
          <w:tcPr>
            <w:tcW w:w="1639" w:type="dxa"/>
            <w:tcBorders>
              <w:top w:val="single" w:sz="4" w:space="0" w:color="3A6FAF" w:themeColor="accent2"/>
            </w:tcBorders>
            <w:vAlign w:val="center"/>
          </w:tcPr>
          <w:p w14:paraId="501EA2C1" w14:textId="77777777" w:rsidR="003327D0" w:rsidRPr="007277C5" w:rsidRDefault="003327D0" w:rsidP="003327D0">
            <w:pPr>
              <w:pStyle w:val="TableColumnHeadingCentred"/>
            </w:pPr>
          </w:p>
        </w:tc>
        <w:tc>
          <w:tcPr>
            <w:tcW w:w="3716" w:type="dxa"/>
            <w:gridSpan w:val="2"/>
            <w:tcBorders>
              <w:top w:val="single" w:sz="4" w:space="0" w:color="3A6FAF" w:themeColor="accent2"/>
            </w:tcBorders>
            <w:shd w:val="clear" w:color="auto" w:fill="auto"/>
            <w:vAlign w:val="center"/>
          </w:tcPr>
          <w:p w14:paraId="4256A9D8" w14:textId="77777777" w:rsidR="003327D0" w:rsidRPr="007277C5" w:rsidRDefault="003327D0" w:rsidP="003327D0">
            <w:pPr>
              <w:pStyle w:val="TableColumnHeadingCentred"/>
            </w:pPr>
            <w:r>
              <w:t>Entities</w:t>
            </w:r>
          </w:p>
        </w:tc>
        <w:tc>
          <w:tcPr>
            <w:tcW w:w="3716" w:type="dxa"/>
            <w:gridSpan w:val="2"/>
            <w:tcBorders>
              <w:top w:val="single" w:sz="4" w:space="0" w:color="3A6FAF" w:themeColor="accent2"/>
            </w:tcBorders>
          </w:tcPr>
          <w:p w14:paraId="11BE943F" w14:textId="77777777" w:rsidR="003327D0" w:rsidRPr="007277C5" w:rsidRDefault="003327D0" w:rsidP="003327D0">
            <w:pPr>
              <w:pStyle w:val="TableColumnHeadingCentred"/>
            </w:pPr>
            <w:r>
              <w:t>Net Cash Payments</w:t>
            </w:r>
          </w:p>
        </w:tc>
      </w:tr>
      <w:tr w:rsidR="003327D0" w:rsidRPr="007277C5" w14:paraId="7535BA30" w14:textId="77777777" w:rsidTr="003327D0">
        <w:trPr>
          <w:trHeight w:val="315"/>
        </w:trPr>
        <w:tc>
          <w:tcPr>
            <w:tcW w:w="1639" w:type="dxa"/>
            <w:tcBorders>
              <w:bottom w:val="single" w:sz="4" w:space="0" w:color="3A6FAF" w:themeColor="accent2"/>
            </w:tcBorders>
            <w:vAlign w:val="center"/>
            <w:hideMark/>
          </w:tcPr>
          <w:p w14:paraId="484A5621" w14:textId="57451400" w:rsidR="003327D0" w:rsidRPr="00C25C42" w:rsidRDefault="00511945" w:rsidP="003327D0">
            <w:pPr>
              <w:pStyle w:val="TableTextLeft"/>
              <w:rPr>
                <w:b/>
                <w:color w:val="002C47" w:themeColor="accent1"/>
                <w:sz w:val="20"/>
                <w:szCs w:val="24"/>
              </w:rPr>
            </w:pPr>
            <w:r>
              <w:rPr>
                <w:rFonts w:asciiTheme="minorHAnsi" w:hAnsiTheme="minorHAnsi" w:cstheme="minorHAnsi"/>
                <w:b/>
                <w:color w:val="002C47" w:themeColor="accent1"/>
                <w:sz w:val="20"/>
                <w:szCs w:val="24"/>
              </w:rPr>
              <w:t>Annual t</w:t>
            </w:r>
            <w:r w:rsidR="003327D0" w:rsidRPr="00C25C42">
              <w:rPr>
                <w:rFonts w:asciiTheme="minorHAnsi" w:hAnsiTheme="minorHAnsi" w:cstheme="minorHAnsi"/>
                <w:b/>
                <w:color w:val="002C47" w:themeColor="accent1"/>
                <w:sz w:val="20"/>
                <w:szCs w:val="24"/>
              </w:rPr>
              <w:t xml:space="preserve">urnover </w:t>
            </w:r>
          </w:p>
        </w:tc>
        <w:tc>
          <w:tcPr>
            <w:tcW w:w="1858" w:type="dxa"/>
            <w:tcBorders>
              <w:bottom w:val="single" w:sz="4" w:space="0" w:color="3A6FAF" w:themeColor="accent2"/>
            </w:tcBorders>
            <w:shd w:val="clear" w:color="auto" w:fill="auto"/>
            <w:vAlign w:val="center"/>
            <w:hideMark/>
          </w:tcPr>
          <w:p w14:paraId="66D71D9B" w14:textId="101D354B" w:rsidR="003327D0" w:rsidRPr="007277C5" w:rsidRDefault="008E791F" w:rsidP="003327D0">
            <w:pPr>
              <w:pStyle w:val="TableColumnHeadingRight"/>
            </w:pPr>
            <w:r>
              <w:t>No.</w:t>
            </w:r>
          </w:p>
        </w:tc>
        <w:tc>
          <w:tcPr>
            <w:tcW w:w="1858" w:type="dxa"/>
            <w:tcBorders>
              <w:bottom w:val="single" w:sz="4" w:space="0" w:color="3A6FAF" w:themeColor="accent2"/>
            </w:tcBorders>
            <w:shd w:val="clear" w:color="auto" w:fill="auto"/>
            <w:vAlign w:val="center"/>
            <w:hideMark/>
          </w:tcPr>
          <w:p w14:paraId="6597B98B" w14:textId="77777777" w:rsidR="003327D0" w:rsidRPr="007277C5" w:rsidRDefault="003327D0" w:rsidP="003327D0">
            <w:pPr>
              <w:pStyle w:val="TableColumnHeadingRight"/>
            </w:pPr>
            <w:r w:rsidRPr="007277C5">
              <w:t>Share (%)</w:t>
            </w:r>
          </w:p>
        </w:tc>
        <w:tc>
          <w:tcPr>
            <w:tcW w:w="1858" w:type="dxa"/>
            <w:tcBorders>
              <w:bottom w:val="single" w:sz="4" w:space="0" w:color="3A6FAF" w:themeColor="accent2"/>
            </w:tcBorders>
          </w:tcPr>
          <w:p w14:paraId="08B5FB77" w14:textId="77777777" w:rsidR="003327D0" w:rsidRPr="007277C5" w:rsidRDefault="003327D0" w:rsidP="003327D0">
            <w:pPr>
              <w:pStyle w:val="TableColumnHeadingRight"/>
            </w:pPr>
            <w:r w:rsidRPr="007277C5">
              <w:t>($b)</w:t>
            </w:r>
          </w:p>
        </w:tc>
        <w:tc>
          <w:tcPr>
            <w:tcW w:w="1858" w:type="dxa"/>
            <w:tcBorders>
              <w:bottom w:val="single" w:sz="4" w:space="0" w:color="3A6FAF" w:themeColor="accent2"/>
            </w:tcBorders>
            <w:shd w:val="clear" w:color="auto" w:fill="auto"/>
            <w:vAlign w:val="center"/>
          </w:tcPr>
          <w:p w14:paraId="487CC245" w14:textId="77777777" w:rsidR="003327D0" w:rsidRPr="007277C5" w:rsidRDefault="003327D0" w:rsidP="003327D0">
            <w:pPr>
              <w:pStyle w:val="TableColumnHeadingRight"/>
            </w:pPr>
            <w:r w:rsidRPr="007277C5">
              <w:t>Share (%)</w:t>
            </w:r>
          </w:p>
        </w:tc>
      </w:tr>
      <w:tr w:rsidR="003327D0" w:rsidRPr="007277C5" w14:paraId="0542E706" w14:textId="77777777" w:rsidTr="003327D0">
        <w:trPr>
          <w:trHeight w:val="315"/>
        </w:trPr>
        <w:tc>
          <w:tcPr>
            <w:tcW w:w="1639" w:type="dxa"/>
            <w:tcBorders>
              <w:top w:val="single" w:sz="4" w:space="0" w:color="3A6FAF" w:themeColor="accent2"/>
            </w:tcBorders>
            <w:shd w:val="clear" w:color="auto" w:fill="auto"/>
            <w:noWrap/>
            <w:vAlign w:val="center"/>
            <w:hideMark/>
          </w:tcPr>
          <w:p w14:paraId="2934BD93" w14:textId="77777777" w:rsidR="003327D0" w:rsidRPr="007277C5" w:rsidRDefault="003327D0" w:rsidP="003327D0">
            <w:pPr>
              <w:pStyle w:val="TableTextLeft"/>
            </w:pPr>
            <w:r w:rsidRPr="007277C5">
              <w:t>Below $2m</w:t>
            </w:r>
          </w:p>
        </w:tc>
        <w:tc>
          <w:tcPr>
            <w:tcW w:w="1858" w:type="dxa"/>
            <w:tcBorders>
              <w:top w:val="single" w:sz="4" w:space="0" w:color="3A6FAF" w:themeColor="accent2"/>
            </w:tcBorders>
            <w:shd w:val="clear" w:color="auto" w:fill="auto"/>
            <w:noWrap/>
            <w:vAlign w:val="center"/>
            <w:hideMark/>
          </w:tcPr>
          <w:p w14:paraId="675966E0" w14:textId="77777777" w:rsidR="003327D0" w:rsidRPr="007277C5" w:rsidRDefault="003327D0" w:rsidP="003327D0">
            <w:pPr>
              <w:pStyle w:val="TableTextRight"/>
            </w:pPr>
            <w:r w:rsidRPr="007277C5">
              <w:t>935,921</w:t>
            </w:r>
          </w:p>
        </w:tc>
        <w:tc>
          <w:tcPr>
            <w:tcW w:w="1858" w:type="dxa"/>
            <w:tcBorders>
              <w:top w:val="single" w:sz="4" w:space="0" w:color="3A6FAF" w:themeColor="accent2"/>
            </w:tcBorders>
            <w:shd w:val="clear" w:color="auto" w:fill="auto"/>
            <w:noWrap/>
            <w:vAlign w:val="center"/>
            <w:hideMark/>
          </w:tcPr>
          <w:p w14:paraId="6BCC7B3C" w14:textId="77777777" w:rsidR="003327D0" w:rsidRPr="007277C5" w:rsidRDefault="003327D0" w:rsidP="003327D0">
            <w:pPr>
              <w:pStyle w:val="TableTextRight"/>
            </w:pPr>
            <w:r w:rsidRPr="007277C5">
              <w:t>89.4</w:t>
            </w:r>
          </w:p>
        </w:tc>
        <w:tc>
          <w:tcPr>
            <w:tcW w:w="1858" w:type="dxa"/>
            <w:tcBorders>
              <w:top w:val="single" w:sz="4" w:space="0" w:color="3A6FAF" w:themeColor="accent2"/>
            </w:tcBorders>
            <w:shd w:val="clear" w:color="auto" w:fill="auto"/>
            <w:noWrap/>
            <w:vAlign w:val="center"/>
            <w:hideMark/>
          </w:tcPr>
          <w:p w14:paraId="1EA0A12A" w14:textId="77777777" w:rsidR="003327D0" w:rsidRPr="007277C5" w:rsidRDefault="003327D0" w:rsidP="003327D0">
            <w:pPr>
              <w:pStyle w:val="TableTextRight"/>
            </w:pPr>
            <w:r w:rsidRPr="007277C5">
              <w:t>29.9</w:t>
            </w:r>
          </w:p>
        </w:tc>
        <w:tc>
          <w:tcPr>
            <w:tcW w:w="1858" w:type="dxa"/>
            <w:tcBorders>
              <w:top w:val="single" w:sz="4" w:space="0" w:color="3A6FAF" w:themeColor="accent2"/>
            </w:tcBorders>
            <w:shd w:val="clear" w:color="auto" w:fill="auto"/>
            <w:noWrap/>
            <w:vAlign w:val="center"/>
            <w:hideMark/>
          </w:tcPr>
          <w:p w14:paraId="13537F2F" w14:textId="77777777" w:rsidR="003327D0" w:rsidRPr="007277C5" w:rsidRDefault="003327D0" w:rsidP="003327D0">
            <w:pPr>
              <w:pStyle w:val="TableTextRight"/>
            </w:pPr>
            <w:r w:rsidRPr="007277C5">
              <w:t>42.7</w:t>
            </w:r>
          </w:p>
        </w:tc>
      </w:tr>
      <w:tr w:rsidR="003327D0" w:rsidRPr="007277C5" w14:paraId="30620AB3" w14:textId="77777777" w:rsidTr="003327D0">
        <w:trPr>
          <w:trHeight w:val="315"/>
        </w:trPr>
        <w:tc>
          <w:tcPr>
            <w:tcW w:w="1639" w:type="dxa"/>
            <w:shd w:val="clear" w:color="auto" w:fill="auto"/>
            <w:noWrap/>
            <w:vAlign w:val="center"/>
            <w:hideMark/>
          </w:tcPr>
          <w:p w14:paraId="72A58673" w14:textId="525D388E" w:rsidR="003327D0" w:rsidRPr="007277C5" w:rsidRDefault="003327D0" w:rsidP="003327D0">
            <w:pPr>
              <w:pStyle w:val="TableTextLeft"/>
            </w:pPr>
            <w:r w:rsidRPr="007277C5">
              <w:t>$2m</w:t>
            </w:r>
            <w:r w:rsidR="0038520A">
              <w:t xml:space="preserve"> – </w:t>
            </w:r>
            <w:r w:rsidRPr="007277C5">
              <w:t>$10m</w:t>
            </w:r>
          </w:p>
        </w:tc>
        <w:tc>
          <w:tcPr>
            <w:tcW w:w="1858" w:type="dxa"/>
            <w:shd w:val="clear" w:color="auto" w:fill="auto"/>
            <w:noWrap/>
            <w:vAlign w:val="center"/>
            <w:hideMark/>
          </w:tcPr>
          <w:p w14:paraId="5323EF99" w14:textId="77777777" w:rsidR="003327D0" w:rsidRPr="007277C5" w:rsidRDefault="003327D0" w:rsidP="003327D0">
            <w:pPr>
              <w:pStyle w:val="TableTextRight"/>
            </w:pPr>
            <w:r w:rsidRPr="007277C5">
              <w:t>65,188</w:t>
            </w:r>
          </w:p>
        </w:tc>
        <w:tc>
          <w:tcPr>
            <w:tcW w:w="1858" w:type="dxa"/>
            <w:shd w:val="clear" w:color="auto" w:fill="auto"/>
            <w:noWrap/>
            <w:vAlign w:val="center"/>
            <w:hideMark/>
          </w:tcPr>
          <w:p w14:paraId="24ABAA4F" w14:textId="77777777" w:rsidR="003327D0" w:rsidRPr="007277C5" w:rsidRDefault="003327D0" w:rsidP="003327D0">
            <w:pPr>
              <w:pStyle w:val="TableTextRight"/>
            </w:pPr>
            <w:r w:rsidRPr="007277C5">
              <w:t>6.2</w:t>
            </w:r>
          </w:p>
        </w:tc>
        <w:tc>
          <w:tcPr>
            <w:tcW w:w="1858" w:type="dxa"/>
            <w:shd w:val="clear" w:color="auto" w:fill="auto"/>
            <w:noWrap/>
            <w:vAlign w:val="center"/>
            <w:hideMark/>
          </w:tcPr>
          <w:p w14:paraId="68B1577D" w14:textId="77777777" w:rsidR="003327D0" w:rsidRPr="007277C5" w:rsidRDefault="003327D0" w:rsidP="003327D0">
            <w:pPr>
              <w:pStyle w:val="TableTextRight"/>
            </w:pPr>
            <w:r w:rsidRPr="007277C5">
              <w:t>12.2</w:t>
            </w:r>
          </w:p>
        </w:tc>
        <w:tc>
          <w:tcPr>
            <w:tcW w:w="1858" w:type="dxa"/>
            <w:shd w:val="clear" w:color="auto" w:fill="auto"/>
            <w:noWrap/>
            <w:vAlign w:val="center"/>
            <w:hideMark/>
          </w:tcPr>
          <w:p w14:paraId="7676387D" w14:textId="77777777" w:rsidR="003327D0" w:rsidRPr="007277C5" w:rsidRDefault="003327D0" w:rsidP="003327D0">
            <w:pPr>
              <w:pStyle w:val="TableTextRight"/>
            </w:pPr>
            <w:r w:rsidRPr="007277C5">
              <w:t>17.4</w:t>
            </w:r>
          </w:p>
        </w:tc>
      </w:tr>
      <w:tr w:rsidR="003327D0" w:rsidRPr="007277C5" w14:paraId="2B423046" w14:textId="77777777" w:rsidTr="003327D0">
        <w:trPr>
          <w:trHeight w:val="315"/>
        </w:trPr>
        <w:tc>
          <w:tcPr>
            <w:tcW w:w="1639" w:type="dxa"/>
            <w:shd w:val="clear" w:color="auto" w:fill="auto"/>
            <w:noWrap/>
            <w:vAlign w:val="center"/>
            <w:hideMark/>
          </w:tcPr>
          <w:p w14:paraId="3C412F19" w14:textId="4DB5937A" w:rsidR="003327D0" w:rsidRPr="007277C5" w:rsidRDefault="003327D0" w:rsidP="003327D0">
            <w:pPr>
              <w:pStyle w:val="TableTextLeft"/>
            </w:pPr>
            <w:r w:rsidRPr="007277C5">
              <w:t>$10m</w:t>
            </w:r>
            <w:r w:rsidR="0038520A">
              <w:t xml:space="preserve"> – </w:t>
            </w:r>
            <w:r w:rsidRPr="007277C5">
              <w:t>$50m</w:t>
            </w:r>
          </w:p>
        </w:tc>
        <w:tc>
          <w:tcPr>
            <w:tcW w:w="1858" w:type="dxa"/>
            <w:shd w:val="clear" w:color="auto" w:fill="auto"/>
            <w:noWrap/>
            <w:vAlign w:val="center"/>
            <w:hideMark/>
          </w:tcPr>
          <w:p w14:paraId="2BB8A328" w14:textId="77777777" w:rsidR="003327D0" w:rsidRPr="007277C5" w:rsidRDefault="003327D0" w:rsidP="003327D0">
            <w:pPr>
              <w:pStyle w:val="TableTextRight"/>
            </w:pPr>
            <w:r w:rsidRPr="007277C5">
              <w:t>14,389</w:t>
            </w:r>
          </w:p>
        </w:tc>
        <w:tc>
          <w:tcPr>
            <w:tcW w:w="1858" w:type="dxa"/>
            <w:shd w:val="clear" w:color="auto" w:fill="auto"/>
            <w:noWrap/>
            <w:vAlign w:val="center"/>
            <w:hideMark/>
          </w:tcPr>
          <w:p w14:paraId="6557FD89" w14:textId="77777777" w:rsidR="003327D0" w:rsidRPr="007277C5" w:rsidRDefault="003327D0" w:rsidP="003327D0">
            <w:pPr>
              <w:pStyle w:val="TableTextRight"/>
            </w:pPr>
            <w:r w:rsidRPr="007277C5">
              <w:t>1.4</w:t>
            </w:r>
          </w:p>
        </w:tc>
        <w:tc>
          <w:tcPr>
            <w:tcW w:w="1858" w:type="dxa"/>
            <w:shd w:val="clear" w:color="auto" w:fill="auto"/>
            <w:noWrap/>
            <w:vAlign w:val="center"/>
            <w:hideMark/>
          </w:tcPr>
          <w:p w14:paraId="7BA65FF6" w14:textId="77777777" w:rsidR="003327D0" w:rsidRPr="007277C5" w:rsidRDefault="003327D0" w:rsidP="003327D0">
            <w:pPr>
              <w:pStyle w:val="TableTextRight"/>
            </w:pPr>
            <w:r w:rsidRPr="007277C5">
              <w:t>7.4</w:t>
            </w:r>
          </w:p>
        </w:tc>
        <w:tc>
          <w:tcPr>
            <w:tcW w:w="1858" w:type="dxa"/>
            <w:shd w:val="clear" w:color="auto" w:fill="auto"/>
            <w:noWrap/>
            <w:vAlign w:val="center"/>
            <w:hideMark/>
          </w:tcPr>
          <w:p w14:paraId="38BC4F7D" w14:textId="77777777" w:rsidR="003327D0" w:rsidRPr="007277C5" w:rsidRDefault="003327D0" w:rsidP="003327D0">
            <w:pPr>
              <w:pStyle w:val="TableTextRight"/>
            </w:pPr>
            <w:r w:rsidRPr="007277C5">
              <w:t>10.6</w:t>
            </w:r>
          </w:p>
        </w:tc>
      </w:tr>
      <w:tr w:rsidR="003327D0" w:rsidRPr="007277C5" w14:paraId="6F4FE537" w14:textId="77777777" w:rsidTr="003327D0">
        <w:trPr>
          <w:trHeight w:val="315"/>
        </w:trPr>
        <w:tc>
          <w:tcPr>
            <w:tcW w:w="1639" w:type="dxa"/>
            <w:shd w:val="clear" w:color="auto" w:fill="auto"/>
            <w:noWrap/>
            <w:vAlign w:val="center"/>
            <w:hideMark/>
          </w:tcPr>
          <w:p w14:paraId="2542BA4F" w14:textId="50B41084" w:rsidR="003327D0" w:rsidRPr="007277C5" w:rsidRDefault="003327D0" w:rsidP="003327D0">
            <w:pPr>
              <w:pStyle w:val="TableTextLeft"/>
            </w:pPr>
            <w:r w:rsidRPr="007277C5">
              <w:t>$50m</w:t>
            </w:r>
            <w:r w:rsidR="0038520A">
              <w:t xml:space="preserve"> – </w:t>
            </w:r>
            <w:r w:rsidRPr="007277C5">
              <w:t>$250m</w:t>
            </w:r>
          </w:p>
        </w:tc>
        <w:tc>
          <w:tcPr>
            <w:tcW w:w="1858" w:type="dxa"/>
            <w:shd w:val="clear" w:color="auto" w:fill="auto"/>
            <w:noWrap/>
            <w:vAlign w:val="center"/>
            <w:hideMark/>
          </w:tcPr>
          <w:p w14:paraId="0BF22A1D" w14:textId="77777777" w:rsidR="003327D0" w:rsidRPr="007277C5" w:rsidRDefault="003327D0" w:rsidP="003327D0">
            <w:pPr>
              <w:pStyle w:val="TableTextRight"/>
            </w:pPr>
            <w:r w:rsidRPr="007277C5">
              <w:t>3,790</w:t>
            </w:r>
          </w:p>
        </w:tc>
        <w:tc>
          <w:tcPr>
            <w:tcW w:w="1858" w:type="dxa"/>
            <w:shd w:val="clear" w:color="auto" w:fill="auto"/>
            <w:noWrap/>
            <w:vAlign w:val="center"/>
            <w:hideMark/>
          </w:tcPr>
          <w:p w14:paraId="644663F7" w14:textId="77777777" w:rsidR="003327D0" w:rsidRPr="007277C5" w:rsidRDefault="003327D0" w:rsidP="003327D0">
            <w:pPr>
              <w:pStyle w:val="TableTextRight"/>
            </w:pPr>
            <w:r w:rsidRPr="007277C5">
              <w:t>0.4</w:t>
            </w:r>
          </w:p>
        </w:tc>
        <w:tc>
          <w:tcPr>
            <w:tcW w:w="1858" w:type="dxa"/>
            <w:shd w:val="clear" w:color="auto" w:fill="auto"/>
            <w:noWrap/>
            <w:vAlign w:val="center"/>
            <w:hideMark/>
          </w:tcPr>
          <w:p w14:paraId="7B75D4DE" w14:textId="77777777" w:rsidR="003327D0" w:rsidRPr="007277C5" w:rsidRDefault="003327D0" w:rsidP="003327D0">
            <w:pPr>
              <w:pStyle w:val="TableTextRight"/>
            </w:pPr>
            <w:r w:rsidRPr="007277C5">
              <w:t>5.2</w:t>
            </w:r>
          </w:p>
        </w:tc>
        <w:tc>
          <w:tcPr>
            <w:tcW w:w="1858" w:type="dxa"/>
            <w:shd w:val="clear" w:color="auto" w:fill="auto"/>
            <w:noWrap/>
            <w:vAlign w:val="center"/>
            <w:hideMark/>
          </w:tcPr>
          <w:p w14:paraId="72743631" w14:textId="77777777" w:rsidR="003327D0" w:rsidRPr="007277C5" w:rsidRDefault="003327D0" w:rsidP="003327D0">
            <w:pPr>
              <w:pStyle w:val="TableTextRight"/>
            </w:pPr>
            <w:r w:rsidRPr="007277C5">
              <w:t>7.4</w:t>
            </w:r>
          </w:p>
        </w:tc>
      </w:tr>
      <w:tr w:rsidR="003327D0" w:rsidRPr="007277C5" w14:paraId="39E6D605" w14:textId="77777777" w:rsidTr="003327D0">
        <w:trPr>
          <w:trHeight w:val="315"/>
        </w:trPr>
        <w:tc>
          <w:tcPr>
            <w:tcW w:w="1639" w:type="dxa"/>
            <w:shd w:val="clear" w:color="auto" w:fill="auto"/>
            <w:noWrap/>
            <w:vAlign w:val="center"/>
            <w:hideMark/>
          </w:tcPr>
          <w:p w14:paraId="67197314" w14:textId="005F67DA" w:rsidR="003327D0" w:rsidRPr="007277C5" w:rsidRDefault="003327D0" w:rsidP="003327D0">
            <w:pPr>
              <w:pStyle w:val="TableTextLeft"/>
            </w:pPr>
            <w:r w:rsidRPr="007277C5">
              <w:t>$250m</w:t>
            </w:r>
            <w:r w:rsidR="0038520A">
              <w:noBreakHyphen/>
            </w:r>
            <w:r w:rsidRPr="007277C5">
              <w:t>$1b</w:t>
            </w:r>
          </w:p>
        </w:tc>
        <w:tc>
          <w:tcPr>
            <w:tcW w:w="1858" w:type="dxa"/>
            <w:shd w:val="clear" w:color="auto" w:fill="auto"/>
            <w:noWrap/>
            <w:vAlign w:val="center"/>
            <w:hideMark/>
          </w:tcPr>
          <w:p w14:paraId="5660A918" w14:textId="77777777" w:rsidR="003327D0" w:rsidRPr="007277C5" w:rsidRDefault="003327D0" w:rsidP="003327D0">
            <w:pPr>
              <w:pStyle w:val="TableTextRight"/>
            </w:pPr>
            <w:r w:rsidRPr="007277C5">
              <w:t>1,386</w:t>
            </w:r>
          </w:p>
        </w:tc>
        <w:tc>
          <w:tcPr>
            <w:tcW w:w="1858" w:type="dxa"/>
            <w:shd w:val="clear" w:color="auto" w:fill="auto"/>
            <w:noWrap/>
            <w:vAlign w:val="center"/>
            <w:hideMark/>
          </w:tcPr>
          <w:p w14:paraId="5543EDF6" w14:textId="77777777" w:rsidR="003327D0" w:rsidRPr="007277C5" w:rsidRDefault="003327D0" w:rsidP="003327D0">
            <w:pPr>
              <w:pStyle w:val="TableTextRight"/>
            </w:pPr>
            <w:r w:rsidRPr="007277C5">
              <w:t>0.1</w:t>
            </w:r>
          </w:p>
        </w:tc>
        <w:tc>
          <w:tcPr>
            <w:tcW w:w="1858" w:type="dxa"/>
            <w:shd w:val="clear" w:color="auto" w:fill="auto"/>
            <w:noWrap/>
            <w:vAlign w:val="center"/>
            <w:hideMark/>
          </w:tcPr>
          <w:p w14:paraId="2A0CD3F4" w14:textId="77777777" w:rsidR="003327D0" w:rsidRPr="007277C5" w:rsidRDefault="003327D0" w:rsidP="003327D0">
            <w:pPr>
              <w:pStyle w:val="TableTextRight"/>
            </w:pPr>
            <w:r w:rsidRPr="007277C5">
              <w:t>4.0</w:t>
            </w:r>
          </w:p>
        </w:tc>
        <w:tc>
          <w:tcPr>
            <w:tcW w:w="1858" w:type="dxa"/>
            <w:shd w:val="clear" w:color="auto" w:fill="auto"/>
            <w:noWrap/>
            <w:vAlign w:val="center"/>
            <w:hideMark/>
          </w:tcPr>
          <w:p w14:paraId="492C0C76" w14:textId="77777777" w:rsidR="003327D0" w:rsidRPr="007277C5" w:rsidRDefault="003327D0" w:rsidP="003327D0">
            <w:pPr>
              <w:pStyle w:val="TableTextRight"/>
            </w:pPr>
            <w:r w:rsidRPr="007277C5">
              <w:t>5.7</w:t>
            </w:r>
          </w:p>
        </w:tc>
      </w:tr>
      <w:tr w:rsidR="003327D0" w:rsidRPr="007277C5" w14:paraId="41101BDC" w14:textId="77777777" w:rsidTr="003327D0">
        <w:trPr>
          <w:trHeight w:val="315"/>
        </w:trPr>
        <w:tc>
          <w:tcPr>
            <w:tcW w:w="1639" w:type="dxa"/>
            <w:shd w:val="clear" w:color="auto" w:fill="auto"/>
            <w:noWrap/>
            <w:vAlign w:val="center"/>
            <w:hideMark/>
          </w:tcPr>
          <w:p w14:paraId="67AD5EC6" w14:textId="77777777" w:rsidR="003327D0" w:rsidRPr="007277C5" w:rsidRDefault="003327D0" w:rsidP="003327D0">
            <w:pPr>
              <w:pStyle w:val="TableTextLeft"/>
            </w:pPr>
            <w:r w:rsidRPr="007277C5">
              <w:t>Above $1b</w:t>
            </w:r>
          </w:p>
        </w:tc>
        <w:tc>
          <w:tcPr>
            <w:tcW w:w="1858" w:type="dxa"/>
            <w:shd w:val="clear" w:color="auto" w:fill="auto"/>
            <w:noWrap/>
            <w:vAlign w:val="center"/>
            <w:hideMark/>
          </w:tcPr>
          <w:p w14:paraId="0119AD6C" w14:textId="77777777" w:rsidR="003327D0" w:rsidRPr="007277C5" w:rsidRDefault="003327D0" w:rsidP="003327D0">
            <w:pPr>
              <w:pStyle w:val="TableTextRight"/>
            </w:pPr>
            <w:r w:rsidRPr="007277C5">
              <w:t>965</w:t>
            </w:r>
          </w:p>
        </w:tc>
        <w:tc>
          <w:tcPr>
            <w:tcW w:w="1858" w:type="dxa"/>
            <w:shd w:val="clear" w:color="auto" w:fill="auto"/>
            <w:noWrap/>
            <w:vAlign w:val="center"/>
            <w:hideMark/>
          </w:tcPr>
          <w:p w14:paraId="511EB364" w14:textId="77777777" w:rsidR="003327D0" w:rsidRPr="007277C5" w:rsidRDefault="003327D0" w:rsidP="003327D0">
            <w:pPr>
              <w:pStyle w:val="TableTextRight"/>
            </w:pPr>
            <w:r w:rsidRPr="007277C5">
              <w:t>0.1</w:t>
            </w:r>
          </w:p>
        </w:tc>
        <w:tc>
          <w:tcPr>
            <w:tcW w:w="1858" w:type="dxa"/>
            <w:shd w:val="clear" w:color="auto" w:fill="auto"/>
            <w:noWrap/>
            <w:vAlign w:val="center"/>
            <w:hideMark/>
          </w:tcPr>
          <w:p w14:paraId="21D4F526" w14:textId="77777777" w:rsidR="003327D0" w:rsidRPr="007277C5" w:rsidRDefault="003327D0" w:rsidP="003327D0">
            <w:pPr>
              <w:pStyle w:val="TableTextRight"/>
            </w:pPr>
            <w:r w:rsidRPr="007277C5">
              <w:t>3.5</w:t>
            </w:r>
          </w:p>
        </w:tc>
        <w:tc>
          <w:tcPr>
            <w:tcW w:w="1858" w:type="dxa"/>
            <w:shd w:val="clear" w:color="auto" w:fill="auto"/>
            <w:noWrap/>
            <w:vAlign w:val="center"/>
            <w:hideMark/>
          </w:tcPr>
          <w:p w14:paraId="01CD6E60" w14:textId="77777777" w:rsidR="003327D0" w:rsidRPr="007277C5" w:rsidRDefault="003327D0" w:rsidP="003327D0">
            <w:pPr>
              <w:pStyle w:val="TableTextRight"/>
            </w:pPr>
            <w:r w:rsidRPr="007277C5">
              <w:t>5.0</w:t>
            </w:r>
          </w:p>
        </w:tc>
      </w:tr>
      <w:tr w:rsidR="003327D0" w:rsidRPr="007277C5" w14:paraId="2BD9034A" w14:textId="77777777" w:rsidTr="003327D0">
        <w:trPr>
          <w:trHeight w:val="315"/>
        </w:trPr>
        <w:tc>
          <w:tcPr>
            <w:tcW w:w="1639" w:type="dxa"/>
            <w:shd w:val="clear" w:color="auto" w:fill="auto"/>
            <w:noWrap/>
            <w:vAlign w:val="center"/>
            <w:hideMark/>
          </w:tcPr>
          <w:p w14:paraId="2209AF9A" w14:textId="3F12F4A2" w:rsidR="003327D0" w:rsidRPr="007277C5" w:rsidRDefault="003327D0" w:rsidP="003327D0">
            <w:pPr>
              <w:pStyle w:val="TableTextLeft"/>
            </w:pPr>
            <w:r w:rsidRPr="007277C5">
              <w:t xml:space="preserve">Not </w:t>
            </w:r>
            <w:r w:rsidR="00676075" w:rsidRPr="007277C5">
              <w:t>for</w:t>
            </w:r>
            <w:r w:rsidRPr="007277C5">
              <w:t xml:space="preserve"> Profit</w:t>
            </w:r>
          </w:p>
        </w:tc>
        <w:tc>
          <w:tcPr>
            <w:tcW w:w="1858" w:type="dxa"/>
            <w:shd w:val="clear" w:color="auto" w:fill="auto"/>
            <w:noWrap/>
            <w:vAlign w:val="center"/>
            <w:hideMark/>
          </w:tcPr>
          <w:p w14:paraId="68A267E8" w14:textId="77777777" w:rsidR="003327D0" w:rsidRPr="007277C5" w:rsidRDefault="003327D0" w:rsidP="003327D0">
            <w:pPr>
              <w:pStyle w:val="TableTextRight"/>
            </w:pPr>
            <w:r w:rsidRPr="007277C5">
              <w:t>18,779</w:t>
            </w:r>
          </w:p>
        </w:tc>
        <w:tc>
          <w:tcPr>
            <w:tcW w:w="1858" w:type="dxa"/>
            <w:shd w:val="clear" w:color="auto" w:fill="auto"/>
            <w:noWrap/>
            <w:vAlign w:val="center"/>
            <w:hideMark/>
          </w:tcPr>
          <w:p w14:paraId="39791BA1" w14:textId="77777777" w:rsidR="003327D0" w:rsidRPr="007277C5" w:rsidRDefault="003327D0" w:rsidP="003327D0">
            <w:pPr>
              <w:pStyle w:val="TableTextRight"/>
            </w:pPr>
            <w:r w:rsidRPr="007277C5">
              <w:t>1.8</w:t>
            </w:r>
          </w:p>
        </w:tc>
        <w:tc>
          <w:tcPr>
            <w:tcW w:w="1858" w:type="dxa"/>
            <w:shd w:val="clear" w:color="auto" w:fill="auto"/>
            <w:noWrap/>
            <w:vAlign w:val="center"/>
            <w:hideMark/>
          </w:tcPr>
          <w:p w14:paraId="7625BBFD" w14:textId="77777777" w:rsidR="003327D0" w:rsidRPr="007277C5" w:rsidRDefault="003327D0" w:rsidP="003327D0">
            <w:pPr>
              <w:pStyle w:val="TableTextRight"/>
            </w:pPr>
            <w:r w:rsidRPr="007277C5">
              <w:t>7.8</w:t>
            </w:r>
          </w:p>
        </w:tc>
        <w:tc>
          <w:tcPr>
            <w:tcW w:w="1858" w:type="dxa"/>
            <w:shd w:val="clear" w:color="auto" w:fill="auto"/>
            <w:noWrap/>
            <w:vAlign w:val="center"/>
            <w:hideMark/>
          </w:tcPr>
          <w:p w14:paraId="20A9C436" w14:textId="77777777" w:rsidR="003327D0" w:rsidRPr="007277C5" w:rsidRDefault="003327D0" w:rsidP="003327D0">
            <w:pPr>
              <w:pStyle w:val="TableTextRight"/>
            </w:pPr>
            <w:r w:rsidRPr="007277C5">
              <w:t>11.1</w:t>
            </w:r>
          </w:p>
        </w:tc>
      </w:tr>
      <w:tr w:rsidR="003327D0" w:rsidRPr="007277C5" w14:paraId="57497A3D" w14:textId="77777777" w:rsidTr="003327D0">
        <w:trPr>
          <w:trHeight w:val="315"/>
        </w:trPr>
        <w:tc>
          <w:tcPr>
            <w:tcW w:w="1639" w:type="dxa"/>
            <w:shd w:val="clear" w:color="auto" w:fill="auto"/>
            <w:noWrap/>
            <w:vAlign w:val="center"/>
            <w:hideMark/>
          </w:tcPr>
          <w:p w14:paraId="3F600626" w14:textId="77777777" w:rsidR="003327D0" w:rsidRPr="007277C5" w:rsidRDefault="003327D0" w:rsidP="003327D0">
            <w:pPr>
              <w:pStyle w:val="TableTextLeft"/>
            </w:pPr>
            <w:r w:rsidRPr="007277C5">
              <w:t>Not assigned</w:t>
            </w:r>
          </w:p>
        </w:tc>
        <w:tc>
          <w:tcPr>
            <w:tcW w:w="1858" w:type="dxa"/>
            <w:shd w:val="clear" w:color="auto" w:fill="auto"/>
            <w:noWrap/>
            <w:vAlign w:val="center"/>
            <w:hideMark/>
          </w:tcPr>
          <w:p w14:paraId="61D8B898" w14:textId="77777777" w:rsidR="003327D0" w:rsidRPr="007277C5" w:rsidRDefault="003327D0" w:rsidP="003327D0">
            <w:pPr>
              <w:pStyle w:val="TableTextRight"/>
            </w:pPr>
            <w:r w:rsidRPr="007277C5">
              <w:t>6,126</w:t>
            </w:r>
          </w:p>
        </w:tc>
        <w:tc>
          <w:tcPr>
            <w:tcW w:w="1858" w:type="dxa"/>
            <w:shd w:val="clear" w:color="auto" w:fill="auto"/>
            <w:noWrap/>
            <w:vAlign w:val="center"/>
            <w:hideMark/>
          </w:tcPr>
          <w:p w14:paraId="522E826C" w14:textId="77777777" w:rsidR="003327D0" w:rsidRPr="007277C5" w:rsidRDefault="003327D0" w:rsidP="003327D0">
            <w:pPr>
              <w:pStyle w:val="TableTextRight"/>
            </w:pPr>
            <w:r w:rsidRPr="007277C5">
              <w:t>0.6</w:t>
            </w:r>
          </w:p>
        </w:tc>
        <w:tc>
          <w:tcPr>
            <w:tcW w:w="1858" w:type="dxa"/>
            <w:shd w:val="clear" w:color="auto" w:fill="auto"/>
            <w:noWrap/>
            <w:vAlign w:val="center"/>
            <w:hideMark/>
          </w:tcPr>
          <w:p w14:paraId="5D4E55F4" w14:textId="77777777" w:rsidR="003327D0" w:rsidRPr="007277C5" w:rsidRDefault="003327D0" w:rsidP="003327D0">
            <w:pPr>
              <w:pStyle w:val="TableTextRight"/>
            </w:pPr>
            <w:r w:rsidRPr="007277C5">
              <w:t>0.1</w:t>
            </w:r>
          </w:p>
        </w:tc>
        <w:tc>
          <w:tcPr>
            <w:tcW w:w="1858" w:type="dxa"/>
            <w:shd w:val="clear" w:color="auto" w:fill="auto"/>
            <w:noWrap/>
            <w:vAlign w:val="center"/>
            <w:hideMark/>
          </w:tcPr>
          <w:p w14:paraId="214460FC" w14:textId="77777777" w:rsidR="003327D0" w:rsidRPr="007277C5" w:rsidRDefault="003327D0" w:rsidP="003327D0">
            <w:pPr>
              <w:pStyle w:val="TableTextRight"/>
            </w:pPr>
            <w:r w:rsidRPr="007277C5">
              <w:t>0.1</w:t>
            </w:r>
          </w:p>
        </w:tc>
      </w:tr>
      <w:tr w:rsidR="003327D0" w:rsidRPr="007277C5" w14:paraId="3EE8306D" w14:textId="77777777" w:rsidTr="003327D0">
        <w:trPr>
          <w:trHeight w:val="315"/>
        </w:trPr>
        <w:tc>
          <w:tcPr>
            <w:tcW w:w="1639" w:type="dxa"/>
            <w:tcBorders>
              <w:bottom w:val="single" w:sz="4" w:space="0" w:color="3A6FAF" w:themeColor="accent2"/>
            </w:tcBorders>
            <w:shd w:val="clear" w:color="auto" w:fill="auto"/>
            <w:noWrap/>
            <w:vAlign w:val="center"/>
            <w:hideMark/>
          </w:tcPr>
          <w:p w14:paraId="38E35612" w14:textId="77777777" w:rsidR="003327D0" w:rsidRPr="007277C5" w:rsidRDefault="003327D0" w:rsidP="003327D0">
            <w:pPr>
              <w:pStyle w:val="TableTextLeft"/>
            </w:pPr>
            <w:r w:rsidRPr="007277C5">
              <w:t>Total</w:t>
            </w:r>
          </w:p>
        </w:tc>
        <w:tc>
          <w:tcPr>
            <w:tcW w:w="1858" w:type="dxa"/>
            <w:tcBorders>
              <w:bottom w:val="single" w:sz="4" w:space="0" w:color="3A6FAF" w:themeColor="accent2"/>
            </w:tcBorders>
            <w:shd w:val="clear" w:color="auto" w:fill="auto"/>
            <w:noWrap/>
            <w:vAlign w:val="center"/>
            <w:hideMark/>
          </w:tcPr>
          <w:p w14:paraId="0469B733" w14:textId="77777777" w:rsidR="003327D0" w:rsidRPr="007277C5" w:rsidRDefault="003327D0" w:rsidP="003327D0">
            <w:pPr>
              <w:pStyle w:val="TableTextRight"/>
            </w:pPr>
            <w:r w:rsidRPr="007277C5">
              <w:t>1,046,544</w:t>
            </w:r>
          </w:p>
        </w:tc>
        <w:tc>
          <w:tcPr>
            <w:tcW w:w="1858" w:type="dxa"/>
            <w:tcBorders>
              <w:bottom w:val="single" w:sz="4" w:space="0" w:color="3A6FAF" w:themeColor="accent2"/>
            </w:tcBorders>
            <w:shd w:val="clear" w:color="auto" w:fill="auto"/>
            <w:noWrap/>
            <w:vAlign w:val="center"/>
            <w:hideMark/>
          </w:tcPr>
          <w:p w14:paraId="66A5DE04" w14:textId="77777777" w:rsidR="003327D0" w:rsidRPr="007277C5" w:rsidRDefault="003327D0" w:rsidP="003327D0">
            <w:pPr>
              <w:pStyle w:val="TableTextRight"/>
            </w:pPr>
            <w:r w:rsidRPr="007277C5">
              <w:t> </w:t>
            </w:r>
          </w:p>
        </w:tc>
        <w:tc>
          <w:tcPr>
            <w:tcW w:w="1858" w:type="dxa"/>
            <w:tcBorders>
              <w:bottom w:val="single" w:sz="4" w:space="0" w:color="3A6FAF" w:themeColor="accent2"/>
            </w:tcBorders>
            <w:shd w:val="clear" w:color="auto" w:fill="auto"/>
            <w:noWrap/>
            <w:vAlign w:val="center"/>
            <w:hideMark/>
          </w:tcPr>
          <w:p w14:paraId="04432C07" w14:textId="77777777" w:rsidR="003327D0" w:rsidRPr="007277C5" w:rsidRDefault="003327D0" w:rsidP="003327D0">
            <w:pPr>
              <w:pStyle w:val="TableTextRight"/>
            </w:pPr>
            <w:r w:rsidRPr="007277C5">
              <w:t>70.0</w:t>
            </w:r>
          </w:p>
        </w:tc>
        <w:tc>
          <w:tcPr>
            <w:tcW w:w="1858" w:type="dxa"/>
            <w:tcBorders>
              <w:bottom w:val="single" w:sz="4" w:space="0" w:color="3A6FAF" w:themeColor="accent2"/>
            </w:tcBorders>
            <w:shd w:val="clear" w:color="auto" w:fill="auto"/>
            <w:noWrap/>
            <w:vAlign w:val="center"/>
            <w:hideMark/>
          </w:tcPr>
          <w:p w14:paraId="1FFCC397" w14:textId="77777777" w:rsidR="003327D0" w:rsidRPr="007277C5" w:rsidRDefault="003327D0" w:rsidP="003327D0">
            <w:pPr>
              <w:pStyle w:val="TableTextRight"/>
            </w:pPr>
            <w:r w:rsidRPr="007277C5">
              <w:t> </w:t>
            </w:r>
          </w:p>
        </w:tc>
      </w:tr>
    </w:tbl>
    <w:p w14:paraId="6C96A4C1" w14:textId="6A79DA49" w:rsidR="003327D0" w:rsidRDefault="003327D0" w:rsidP="003327D0">
      <w:pPr>
        <w:pStyle w:val="SingleParagraph"/>
        <w:rPr>
          <w:sz w:val="18"/>
          <w:szCs w:val="16"/>
        </w:rPr>
      </w:pPr>
      <w:r>
        <w:rPr>
          <w:sz w:val="18"/>
          <w:szCs w:val="16"/>
        </w:rPr>
        <w:t xml:space="preserve">Data underlying </w:t>
      </w:r>
      <w:r w:rsidR="00066FC6">
        <w:rPr>
          <w:sz w:val="18"/>
          <w:szCs w:val="16"/>
        </w:rPr>
        <w:t>F</w:t>
      </w:r>
      <w:r w:rsidRPr="00734FA1">
        <w:rPr>
          <w:sz w:val="18"/>
          <w:szCs w:val="16"/>
        </w:rPr>
        <w:t xml:space="preserve">igure </w:t>
      </w:r>
      <w:r w:rsidR="00D05AE7">
        <w:rPr>
          <w:sz w:val="18"/>
          <w:szCs w:val="16"/>
        </w:rPr>
        <w:t>5</w:t>
      </w:r>
      <w:r>
        <w:rPr>
          <w:sz w:val="18"/>
          <w:szCs w:val="16"/>
        </w:rPr>
        <w:t>a</w:t>
      </w:r>
      <w:r w:rsidR="00477A80">
        <w:rPr>
          <w:sz w:val="18"/>
          <w:szCs w:val="16"/>
        </w:rPr>
        <w:t xml:space="preserve"> and </w:t>
      </w:r>
      <w:r w:rsidR="005A648F">
        <w:rPr>
          <w:sz w:val="18"/>
          <w:szCs w:val="16"/>
        </w:rPr>
        <w:t>5</w:t>
      </w:r>
      <w:r w:rsidR="00477A80">
        <w:rPr>
          <w:sz w:val="18"/>
          <w:szCs w:val="16"/>
        </w:rPr>
        <w:t>b</w:t>
      </w:r>
      <w:r w:rsidR="004133D6">
        <w:rPr>
          <w:sz w:val="18"/>
          <w:szCs w:val="16"/>
        </w:rPr>
        <w:t>.</w:t>
      </w:r>
    </w:p>
    <w:p w14:paraId="6A3B742D" w14:textId="5B0FFD3B" w:rsidR="003327D0" w:rsidRPr="00734FA1" w:rsidRDefault="003327D0" w:rsidP="003327D0">
      <w:pPr>
        <w:keepNext/>
        <w:spacing w:before="0" w:after="0"/>
        <w:rPr>
          <w:sz w:val="18"/>
          <w:szCs w:val="16"/>
        </w:rPr>
      </w:pPr>
      <w:r w:rsidRPr="00734FA1">
        <w:rPr>
          <w:sz w:val="18"/>
          <w:szCs w:val="16"/>
        </w:rPr>
        <w:t>Source: ATO administrative data</w:t>
      </w:r>
      <w:r w:rsidRPr="00FA5B38">
        <w:rPr>
          <w:sz w:val="18"/>
          <w:szCs w:val="16"/>
        </w:rPr>
        <w:t xml:space="preserve"> </w:t>
      </w:r>
      <w:r>
        <w:rPr>
          <w:sz w:val="18"/>
          <w:szCs w:val="16"/>
        </w:rPr>
        <w:t>as at 20 September 2021</w:t>
      </w:r>
      <w:r w:rsidR="004133D6">
        <w:rPr>
          <w:sz w:val="18"/>
          <w:szCs w:val="16"/>
        </w:rPr>
        <w:t>.</w:t>
      </w:r>
    </w:p>
    <w:p w14:paraId="53629943" w14:textId="77777777" w:rsidR="003327D0" w:rsidRDefault="003327D0" w:rsidP="00F47CDD">
      <w:pPr>
        <w:pStyle w:val="SingleParagraph"/>
      </w:pPr>
    </w:p>
    <w:p w14:paraId="6C60ECD0" w14:textId="46392D76" w:rsidR="006C129B" w:rsidRPr="00F91EA9" w:rsidRDefault="008E791F" w:rsidP="0001403C">
      <w:pPr>
        <w:pStyle w:val="TableSecondHeading"/>
      </w:pPr>
      <w:bookmarkStart w:id="203" w:name="_Toc84842595"/>
      <w:r>
        <w:t xml:space="preserve">b. </w:t>
      </w:r>
      <w:r w:rsidR="00AC0721">
        <w:t>E</w:t>
      </w:r>
      <w:r w:rsidR="006C129B" w:rsidRPr="005566B0">
        <w:t>ntity type</w:t>
      </w:r>
      <w:bookmarkEnd w:id="203"/>
    </w:p>
    <w:tbl>
      <w:tblPr>
        <w:tblW w:w="5000" w:type="pct"/>
        <w:tblLook w:val="04A0" w:firstRow="1" w:lastRow="0" w:firstColumn="1" w:lastColumn="0" w:noHBand="0" w:noVBand="1"/>
      </w:tblPr>
      <w:tblGrid>
        <w:gridCol w:w="4534"/>
        <w:gridCol w:w="2268"/>
        <w:gridCol w:w="2269"/>
      </w:tblGrid>
      <w:tr w:rsidR="006C129B" w:rsidRPr="00741571" w14:paraId="603924F1" w14:textId="77777777" w:rsidTr="00646190">
        <w:trPr>
          <w:trHeight w:val="917"/>
        </w:trPr>
        <w:tc>
          <w:tcPr>
            <w:tcW w:w="4534" w:type="dxa"/>
            <w:tcBorders>
              <w:top w:val="single" w:sz="4" w:space="0" w:color="3A6FAF" w:themeColor="accent2"/>
              <w:bottom w:val="single" w:sz="4" w:space="0" w:color="3A6FAF" w:themeColor="accent2"/>
            </w:tcBorders>
            <w:shd w:val="clear" w:color="auto" w:fill="auto"/>
            <w:noWrap/>
            <w:vAlign w:val="bottom"/>
            <w:hideMark/>
          </w:tcPr>
          <w:p w14:paraId="5D69DBB3" w14:textId="77777777" w:rsidR="006C129B" w:rsidRPr="00451BA0" w:rsidRDefault="006C129B" w:rsidP="00646190">
            <w:pPr>
              <w:pStyle w:val="TableColumnHeadingLeft"/>
              <w:rPr>
                <w:rFonts w:asciiTheme="minorHAnsi" w:hAnsiTheme="minorHAnsi" w:cstheme="minorHAnsi"/>
                <w:szCs w:val="22"/>
              </w:rPr>
            </w:pPr>
            <w:r w:rsidRPr="00C25C42">
              <w:rPr>
                <w:rFonts w:asciiTheme="minorHAnsi" w:hAnsiTheme="minorHAnsi" w:cstheme="minorHAnsi"/>
                <w:szCs w:val="22"/>
              </w:rPr>
              <w:t>Entity type</w:t>
            </w:r>
          </w:p>
        </w:tc>
        <w:tc>
          <w:tcPr>
            <w:tcW w:w="2268" w:type="dxa"/>
            <w:tcBorders>
              <w:top w:val="single" w:sz="4" w:space="0" w:color="3A6FAF" w:themeColor="accent2"/>
              <w:bottom w:val="single" w:sz="4" w:space="0" w:color="3A6FAF" w:themeColor="accent2"/>
            </w:tcBorders>
            <w:shd w:val="clear" w:color="auto" w:fill="auto"/>
            <w:noWrap/>
            <w:vAlign w:val="bottom"/>
            <w:hideMark/>
          </w:tcPr>
          <w:p w14:paraId="4B55A87A" w14:textId="77777777" w:rsidR="006C129B" w:rsidRPr="00451BA0" w:rsidRDefault="006C129B" w:rsidP="00D35008">
            <w:pPr>
              <w:pStyle w:val="TableColumnHeadingRight"/>
            </w:pPr>
            <w:r w:rsidRPr="005C3C2B">
              <w:t>Sha</w:t>
            </w:r>
            <w:r w:rsidRPr="00451BA0">
              <w:t>re of entities</w:t>
            </w:r>
          </w:p>
          <w:p w14:paraId="411E5C3C" w14:textId="6D041601" w:rsidR="006C129B" w:rsidRPr="00451BA0" w:rsidRDefault="000C5D2B" w:rsidP="00D35008">
            <w:pPr>
              <w:pStyle w:val="TableColumnHeadingRight"/>
            </w:pPr>
            <w:r w:rsidRPr="005C3C2B">
              <w:t>%</w:t>
            </w:r>
          </w:p>
        </w:tc>
        <w:tc>
          <w:tcPr>
            <w:tcW w:w="2269" w:type="dxa"/>
            <w:tcBorders>
              <w:top w:val="single" w:sz="4" w:space="0" w:color="3A6FAF" w:themeColor="accent2"/>
              <w:bottom w:val="single" w:sz="4" w:space="0" w:color="3A6FAF" w:themeColor="accent2"/>
            </w:tcBorders>
            <w:shd w:val="clear" w:color="auto" w:fill="auto"/>
            <w:noWrap/>
            <w:vAlign w:val="bottom"/>
            <w:hideMark/>
          </w:tcPr>
          <w:p w14:paraId="46638955" w14:textId="77777777" w:rsidR="006C129B" w:rsidRPr="00451BA0" w:rsidRDefault="006C129B" w:rsidP="00D35008">
            <w:pPr>
              <w:pStyle w:val="TableColumnHeadingRight"/>
            </w:pPr>
            <w:r w:rsidRPr="005C3C2B">
              <w:t>Share of payments</w:t>
            </w:r>
          </w:p>
          <w:p w14:paraId="44C54D74" w14:textId="0BB389F4" w:rsidR="006C129B" w:rsidRPr="00451BA0" w:rsidRDefault="000C5D2B" w:rsidP="00D35008">
            <w:pPr>
              <w:pStyle w:val="TableColumnHeadingRight"/>
            </w:pPr>
            <w:r w:rsidRPr="005C3C2B">
              <w:t>%</w:t>
            </w:r>
          </w:p>
        </w:tc>
      </w:tr>
      <w:tr w:rsidR="006C129B" w:rsidRPr="00741571" w14:paraId="4DC583A6" w14:textId="77777777" w:rsidTr="00646190">
        <w:trPr>
          <w:trHeight w:val="265"/>
        </w:trPr>
        <w:tc>
          <w:tcPr>
            <w:tcW w:w="4534" w:type="dxa"/>
            <w:tcBorders>
              <w:top w:val="single" w:sz="4" w:space="0" w:color="3A6FAF" w:themeColor="accent2"/>
            </w:tcBorders>
            <w:shd w:val="clear" w:color="auto" w:fill="auto"/>
            <w:noWrap/>
            <w:vAlign w:val="bottom"/>
            <w:hideMark/>
          </w:tcPr>
          <w:p w14:paraId="0B4B2E89" w14:textId="77777777" w:rsidR="006C129B" w:rsidRPr="00741571" w:rsidRDefault="006C129B" w:rsidP="00646190">
            <w:pPr>
              <w:pStyle w:val="TableTextLeft"/>
              <w:rPr>
                <w:rFonts w:cs="Calibri"/>
                <w:szCs w:val="22"/>
              </w:rPr>
            </w:pPr>
            <w:r w:rsidRPr="00741571">
              <w:t>Ind</w:t>
            </w:r>
            <w:r w:rsidRPr="00741571">
              <w:rPr>
                <w:rFonts w:cs="Calibri"/>
                <w:szCs w:val="22"/>
              </w:rPr>
              <w:t>ividual (sole trader)</w:t>
            </w:r>
          </w:p>
        </w:tc>
        <w:tc>
          <w:tcPr>
            <w:tcW w:w="2268" w:type="dxa"/>
            <w:tcBorders>
              <w:top w:val="single" w:sz="4" w:space="0" w:color="3A6FAF" w:themeColor="accent2"/>
            </w:tcBorders>
            <w:shd w:val="clear" w:color="auto" w:fill="auto"/>
            <w:noWrap/>
            <w:vAlign w:val="bottom"/>
            <w:hideMark/>
          </w:tcPr>
          <w:p w14:paraId="5E44F058" w14:textId="126EEE70" w:rsidR="006C129B" w:rsidRPr="00741571" w:rsidRDefault="00C116EE" w:rsidP="00D35008">
            <w:pPr>
              <w:pStyle w:val="TableTextRight"/>
            </w:pPr>
            <w:r w:rsidRPr="00636834">
              <w:t>40.6</w:t>
            </w:r>
          </w:p>
        </w:tc>
        <w:tc>
          <w:tcPr>
            <w:tcW w:w="2269" w:type="dxa"/>
            <w:tcBorders>
              <w:top w:val="single" w:sz="4" w:space="0" w:color="3A6FAF" w:themeColor="accent2"/>
            </w:tcBorders>
            <w:shd w:val="clear" w:color="auto" w:fill="auto"/>
            <w:noWrap/>
            <w:vAlign w:val="bottom"/>
            <w:hideMark/>
          </w:tcPr>
          <w:p w14:paraId="15C5511D" w14:textId="44BDFD8D" w:rsidR="006C129B" w:rsidRPr="00741571" w:rsidRDefault="00C116EE" w:rsidP="00D35008">
            <w:pPr>
              <w:pStyle w:val="TableTextRight"/>
            </w:pPr>
            <w:r w:rsidRPr="00636834">
              <w:t>11.8</w:t>
            </w:r>
          </w:p>
        </w:tc>
      </w:tr>
      <w:tr w:rsidR="006C129B" w:rsidRPr="00741571" w14:paraId="2953C58C" w14:textId="77777777" w:rsidTr="00646190">
        <w:trPr>
          <w:trHeight w:val="265"/>
        </w:trPr>
        <w:tc>
          <w:tcPr>
            <w:tcW w:w="4534" w:type="dxa"/>
            <w:shd w:val="clear" w:color="auto" w:fill="auto"/>
            <w:noWrap/>
            <w:vAlign w:val="bottom"/>
            <w:hideMark/>
          </w:tcPr>
          <w:p w14:paraId="2D586766" w14:textId="77777777" w:rsidR="006C129B" w:rsidRPr="00741571" w:rsidRDefault="006C129B" w:rsidP="00646190">
            <w:pPr>
              <w:pStyle w:val="TableTextLeft"/>
              <w:rPr>
                <w:rFonts w:cs="Calibri"/>
                <w:szCs w:val="22"/>
              </w:rPr>
            </w:pPr>
            <w:r w:rsidRPr="00741571">
              <w:t>C</w:t>
            </w:r>
            <w:r w:rsidRPr="00741571">
              <w:rPr>
                <w:rFonts w:cs="Calibri"/>
                <w:szCs w:val="22"/>
              </w:rPr>
              <w:t>ompany</w:t>
            </w:r>
          </w:p>
        </w:tc>
        <w:tc>
          <w:tcPr>
            <w:tcW w:w="2268" w:type="dxa"/>
            <w:shd w:val="clear" w:color="auto" w:fill="auto"/>
            <w:noWrap/>
            <w:vAlign w:val="bottom"/>
            <w:hideMark/>
          </w:tcPr>
          <w:p w14:paraId="338383B4" w14:textId="47B4F346" w:rsidR="006C129B" w:rsidRPr="00741571" w:rsidRDefault="00C116EE" w:rsidP="00D35008">
            <w:pPr>
              <w:pStyle w:val="TableTextRight"/>
            </w:pPr>
            <w:r w:rsidRPr="00636834">
              <w:t>37.6</w:t>
            </w:r>
          </w:p>
        </w:tc>
        <w:tc>
          <w:tcPr>
            <w:tcW w:w="2269" w:type="dxa"/>
            <w:shd w:val="clear" w:color="auto" w:fill="auto"/>
            <w:noWrap/>
            <w:vAlign w:val="bottom"/>
            <w:hideMark/>
          </w:tcPr>
          <w:p w14:paraId="57606D73" w14:textId="03E5913C" w:rsidR="006C129B" w:rsidRPr="00741571" w:rsidRDefault="00C116EE" w:rsidP="00D35008">
            <w:pPr>
              <w:pStyle w:val="TableTextRight"/>
            </w:pPr>
            <w:r w:rsidRPr="00636834">
              <w:t>67.7</w:t>
            </w:r>
          </w:p>
        </w:tc>
      </w:tr>
      <w:tr w:rsidR="006C129B" w:rsidRPr="00741571" w14:paraId="67E8DE9A" w14:textId="77777777" w:rsidTr="00646190">
        <w:trPr>
          <w:trHeight w:val="265"/>
        </w:trPr>
        <w:tc>
          <w:tcPr>
            <w:tcW w:w="4534" w:type="dxa"/>
            <w:shd w:val="clear" w:color="auto" w:fill="auto"/>
            <w:noWrap/>
            <w:vAlign w:val="bottom"/>
            <w:hideMark/>
          </w:tcPr>
          <w:p w14:paraId="0DCE4D80" w14:textId="77777777" w:rsidR="006C129B" w:rsidRPr="00741571" w:rsidRDefault="006C129B" w:rsidP="00646190">
            <w:pPr>
              <w:pStyle w:val="TableTextLeft"/>
              <w:rPr>
                <w:rFonts w:cs="Calibri"/>
                <w:szCs w:val="22"/>
              </w:rPr>
            </w:pPr>
            <w:r w:rsidRPr="00741571">
              <w:t>Trust</w:t>
            </w:r>
          </w:p>
        </w:tc>
        <w:tc>
          <w:tcPr>
            <w:tcW w:w="2268" w:type="dxa"/>
            <w:shd w:val="clear" w:color="auto" w:fill="auto"/>
            <w:noWrap/>
            <w:vAlign w:val="bottom"/>
            <w:hideMark/>
          </w:tcPr>
          <w:p w14:paraId="3E7FDF79" w14:textId="1901653E" w:rsidR="006C129B" w:rsidRPr="00741571" w:rsidRDefault="00C116EE" w:rsidP="00D35008">
            <w:pPr>
              <w:pStyle w:val="TableTextRight"/>
            </w:pPr>
            <w:r w:rsidRPr="00636834">
              <w:t>15.2</w:t>
            </w:r>
          </w:p>
        </w:tc>
        <w:tc>
          <w:tcPr>
            <w:tcW w:w="2269" w:type="dxa"/>
            <w:shd w:val="clear" w:color="auto" w:fill="auto"/>
            <w:noWrap/>
            <w:vAlign w:val="bottom"/>
            <w:hideMark/>
          </w:tcPr>
          <w:p w14:paraId="4AACF2BB" w14:textId="6595C912" w:rsidR="006C129B" w:rsidRPr="00741571" w:rsidRDefault="00C116EE" w:rsidP="00D35008">
            <w:pPr>
              <w:pStyle w:val="TableTextRight"/>
            </w:pPr>
            <w:r w:rsidRPr="00636834">
              <w:t>16.9</w:t>
            </w:r>
          </w:p>
        </w:tc>
      </w:tr>
      <w:tr w:rsidR="006C129B" w:rsidRPr="00741571" w14:paraId="7CFC73DF" w14:textId="77777777" w:rsidTr="00646190">
        <w:trPr>
          <w:trHeight w:val="265"/>
        </w:trPr>
        <w:tc>
          <w:tcPr>
            <w:tcW w:w="4534" w:type="dxa"/>
            <w:tcBorders>
              <w:bottom w:val="single" w:sz="4" w:space="0" w:color="3A6FAF" w:themeColor="accent2"/>
            </w:tcBorders>
            <w:shd w:val="clear" w:color="auto" w:fill="auto"/>
            <w:noWrap/>
            <w:vAlign w:val="bottom"/>
            <w:hideMark/>
          </w:tcPr>
          <w:p w14:paraId="6BB09EA6" w14:textId="77777777" w:rsidR="006C129B" w:rsidRPr="00741571" w:rsidRDefault="006C129B" w:rsidP="00646190">
            <w:pPr>
              <w:pStyle w:val="TableTextLeft"/>
              <w:rPr>
                <w:rFonts w:cs="Calibri"/>
                <w:szCs w:val="22"/>
              </w:rPr>
            </w:pPr>
            <w:r w:rsidRPr="00741571">
              <w:t>P</w:t>
            </w:r>
            <w:r w:rsidRPr="00741571">
              <w:rPr>
                <w:rFonts w:cs="Calibri"/>
                <w:szCs w:val="22"/>
              </w:rPr>
              <w:t>artnership</w:t>
            </w:r>
          </w:p>
        </w:tc>
        <w:tc>
          <w:tcPr>
            <w:tcW w:w="2268" w:type="dxa"/>
            <w:tcBorders>
              <w:bottom w:val="single" w:sz="4" w:space="0" w:color="3A6FAF" w:themeColor="accent2"/>
            </w:tcBorders>
            <w:shd w:val="clear" w:color="auto" w:fill="auto"/>
            <w:noWrap/>
            <w:vAlign w:val="bottom"/>
            <w:hideMark/>
          </w:tcPr>
          <w:p w14:paraId="71C324F0" w14:textId="3E4FB7AB" w:rsidR="006C129B" w:rsidRPr="00741571" w:rsidRDefault="00C116EE" w:rsidP="00D35008">
            <w:pPr>
              <w:pStyle w:val="TableTextRight"/>
            </w:pPr>
            <w:r w:rsidRPr="00636834">
              <w:t>6.6</w:t>
            </w:r>
          </w:p>
        </w:tc>
        <w:tc>
          <w:tcPr>
            <w:tcW w:w="2269" w:type="dxa"/>
            <w:tcBorders>
              <w:bottom w:val="single" w:sz="4" w:space="0" w:color="3A6FAF" w:themeColor="accent2"/>
            </w:tcBorders>
            <w:shd w:val="clear" w:color="auto" w:fill="auto"/>
            <w:noWrap/>
            <w:vAlign w:val="bottom"/>
            <w:hideMark/>
          </w:tcPr>
          <w:p w14:paraId="666CF4E9" w14:textId="1345E5D4" w:rsidR="006C129B" w:rsidRPr="00741571" w:rsidRDefault="00C116EE" w:rsidP="00D35008">
            <w:pPr>
              <w:pStyle w:val="TableTextRight"/>
            </w:pPr>
            <w:r w:rsidRPr="00636834">
              <w:t>3.6</w:t>
            </w:r>
          </w:p>
        </w:tc>
      </w:tr>
    </w:tbl>
    <w:p w14:paraId="34D09278" w14:textId="1A580903" w:rsidR="00ED7B7E" w:rsidRPr="003E7BD1" w:rsidRDefault="00365139" w:rsidP="00646190">
      <w:pPr>
        <w:pStyle w:val="SingleParagraph"/>
        <w:rPr>
          <w:sz w:val="18"/>
          <w:szCs w:val="16"/>
        </w:rPr>
      </w:pPr>
      <w:r>
        <w:rPr>
          <w:sz w:val="18"/>
          <w:szCs w:val="16"/>
        </w:rPr>
        <w:t xml:space="preserve">Data </w:t>
      </w:r>
      <w:r w:rsidR="002054E5">
        <w:rPr>
          <w:sz w:val="18"/>
          <w:szCs w:val="16"/>
        </w:rPr>
        <w:t>underlying</w:t>
      </w:r>
      <w:r w:rsidRPr="006D5B7F">
        <w:rPr>
          <w:sz w:val="18"/>
          <w:szCs w:val="16"/>
        </w:rPr>
        <w:t xml:space="preserve"> </w:t>
      </w:r>
      <w:r w:rsidR="00066FC6">
        <w:rPr>
          <w:sz w:val="18"/>
          <w:szCs w:val="16"/>
        </w:rPr>
        <w:t>F</w:t>
      </w:r>
      <w:r w:rsidRPr="006D5B7F">
        <w:rPr>
          <w:sz w:val="18"/>
          <w:szCs w:val="16"/>
        </w:rPr>
        <w:t xml:space="preserve">igure </w:t>
      </w:r>
      <w:r w:rsidR="00D05AE7">
        <w:rPr>
          <w:sz w:val="18"/>
          <w:szCs w:val="16"/>
        </w:rPr>
        <w:t>5c</w:t>
      </w:r>
      <w:r w:rsidR="004133D6">
        <w:rPr>
          <w:sz w:val="18"/>
          <w:szCs w:val="16"/>
        </w:rPr>
        <w:t>.</w:t>
      </w:r>
    </w:p>
    <w:p w14:paraId="4836B71F" w14:textId="38A8F89E" w:rsidR="00966294" w:rsidRPr="00B25A32" w:rsidRDefault="00966294" w:rsidP="00646190">
      <w:pPr>
        <w:pStyle w:val="SingleParagraph"/>
        <w:rPr>
          <w:sz w:val="18"/>
          <w:szCs w:val="16"/>
        </w:rPr>
      </w:pPr>
      <w:r w:rsidRPr="00734FA1">
        <w:rPr>
          <w:sz w:val="18"/>
          <w:szCs w:val="16"/>
        </w:rPr>
        <w:t>Source: ATO administrative data</w:t>
      </w:r>
      <w:r w:rsidRPr="00FA5B38">
        <w:rPr>
          <w:sz w:val="18"/>
          <w:szCs w:val="16"/>
        </w:rPr>
        <w:t xml:space="preserve"> </w:t>
      </w:r>
      <w:r>
        <w:rPr>
          <w:sz w:val="18"/>
          <w:szCs w:val="16"/>
        </w:rPr>
        <w:t>as at 15 August 2021</w:t>
      </w:r>
      <w:r w:rsidR="004133D6">
        <w:rPr>
          <w:sz w:val="18"/>
          <w:szCs w:val="16"/>
        </w:rPr>
        <w:t>.</w:t>
      </w:r>
    </w:p>
    <w:p w14:paraId="5949E47A" w14:textId="77777777" w:rsidR="004B25FE" w:rsidRDefault="004B25FE" w:rsidP="00646190">
      <w:pPr>
        <w:pStyle w:val="SingleParagraph"/>
      </w:pPr>
    </w:p>
    <w:p w14:paraId="7BF61B0F" w14:textId="1A91D845" w:rsidR="006C129B" w:rsidRPr="00646190" w:rsidRDefault="00AC0721" w:rsidP="0001403C">
      <w:pPr>
        <w:pStyle w:val="TableSecondHeading"/>
        <w:spacing w:after="0"/>
      </w:pPr>
      <w:bookmarkStart w:id="204" w:name="_Toc84842596"/>
      <w:r>
        <w:t>c. S</w:t>
      </w:r>
      <w:r w:rsidR="006C129B" w:rsidRPr="00646190">
        <w:t>tate</w:t>
      </w:r>
      <w:bookmarkEnd w:id="204"/>
    </w:p>
    <w:tbl>
      <w:tblPr>
        <w:tblW w:w="5006" w:type="pct"/>
        <w:tblLook w:val="04A0" w:firstRow="1" w:lastRow="0" w:firstColumn="1" w:lastColumn="0" w:noHBand="0" w:noVBand="1"/>
      </w:tblPr>
      <w:tblGrid>
        <w:gridCol w:w="4540"/>
        <w:gridCol w:w="2271"/>
        <w:gridCol w:w="2271"/>
      </w:tblGrid>
      <w:tr w:rsidR="006C129B" w:rsidRPr="00741571" w14:paraId="61A283E0" w14:textId="77777777" w:rsidTr="006C5BDC">
        <w:trPr>
          <w:trHeight w:val="918"/>
        </w:trPr>
        <w:tc>
          <w:tcPr>
            <w:tcW w:w="4540" w:type="dxa"/>
            <w:tcBorders>
              <w:top w:val="single" w:sz="4" w:space="0" w:color="3A6FAF" w:themeColor="accent2"/>
              <w:bottom w:val="single" w:sz="4" w:space="0" w:color="3A6FAF" w:themeColor="accent2"/>
            </w:tcBorders>
            <w:shd w:val="clear" w:color="auto" w:fill="auto"/>
            <w:noWrap/>
            <w:vAlign w:val="bottom"/>
            <w:hideMark/>
          </w:tcPr>
          <w:p w14:paraId="2B7901C4" w14:textId="25522FAF" w:rsidR="006C129B" w:rsidRPr="00741571" w:rsidRDefault="00DC400F" w:rsidP="000D7ABC">
            <w:pPr>
              <w:pStyle w:val="TableColumnHeadingLeft"/>
              <w:spacing w:before="0" w:after="0"/>
            </w:pPr>
            <w:r>
              <w:t xml:space="preserve">State </w:t>
            </w:r>
          </w:p>
        </w:tc>
        <w:tc>
          <w:tcPr>
            <w:tcW w:w="2271" w:type="dxa"/>
            <w:tcBorders>
              <w:top w:val="single" w:sz="4" w:space="0" w:color="3A6FAF" w:themeColor="accent2"/>
              <w:bottom w:val="single" w:sz="4" w:space="0" w:color="3A6FAF" w:themeColor="accent2"/>
            </w:tcBorders>
            <w:shd w:val="clear" w:color="auto" w:fill="auto"/>
            <w:noWrap/>
            <w:vAlign w:val="bottom"/>
            <w:hideMark/>
          </w:tcPr>
          <w:p w14:paraId="6A53DB82" w14:textId="77777777" w:rsidR="006C129B" w:rsidRPr="00C25C42" w:rsidRDefault="006C129B" w:rsidP="00487DD6">
            <w:pPr>
              <w:pStyle w:val="TableColumnHeadingRight"/>
              <w:rPr>
                <w:rFonts w:cs="Calibri"/>
                <w:szCs w:val="22"/>
              </w:rPr>
            </w:pPr>
            <w:r w:rsidRPr="005C3C2B">
              <w:t>Share of entities</w:t>
            </w:r>
          </w:p>
          <w:p w14:paraId="5C4584A8" w14:textId="19B7E497" w:rsidR="006C129B" w:rsidRPr="00C25C42" w:rsidRDefault="000C5D2B" w:rsidP="00487DD6">
            <w:pPr>
              <w:pStyle w:val="TableColumnHeadingRight"/>
              <w:rPr>
                <w:rFonts w:cs="Calibri"/>
                <w:szCs w:val="22"/>
              </w:rPr>
            </w:pPr>
            <w:r w:rsidRPr="005C3C2B">
              <w:t>%</w:t>
            </w:r>
          </w:p>
        </w:tc>
        <w:tc>
          <w:tcPr>
            <w:tcW w:w="2271" w:type="dxa"/>
            <w:tcBorders>
              <w:top w:val="single" w:sz="4" w:space="0" w:color="3A6FAF" w:themeColor="accent2"/>
              <w:bottom w:val="single" w:sz="4" w:space="0" w:color="3A6FAF" w:themeColor="accent2"/>
            </w:tcBorders>
            <w:shd w:val="clear" w:color="auto" w:fill="auto"/>
            <w:noWrap/>
            <w:vAlign w:val="bottom"/>
            <w:hideMark/>
          </w:tcPr>
          <w:p w14:paraId="629BC1D4" w14:textId="77777777" w:rsidR="006C129B" w:rsidRPr="00C25C42" w:rsidRDefault="006C129B" w:rsidP="00487DD6">
            <w:pPr>
              <w:pStyle w:val="TableColumnHeadingRight"/>
              <w:rPr>
                <w:rFonts w:cs="Calibri"/>
                <w:szCs w:val="22"/>
              </w:rPr>
            </w:pPr>
            <w:r w:rsidRPr="005C3C2B">
              <w:t>Share</w:t>
            </w:r>
            <w:r w:rsidRPr="00C25C42">
              <w:rPr>
                <w:rFonts w:cs="Calibri"/>
                <w:szCs w:val="22"/>
              </w:rPr>
              <w:t xml:space="preserve"> of payments</w:t>
            </w:r>
          </w:p>
          <w:p w14:paraId="71FF13AB" w14:textId="654C7A44" w:rsidR="006C129B" w:rsidRPr="00C25C42" w:rsidRDefault="000C5D2B" w:rsidP="00487DD6">
            <w:pPr>
              <w:pStyle w:val="TableColumnHeadingRight"/>
              <w:rPr>
                <w:rFonts w:cs="Calibri"/>
                <w:szCs w:val="22"/>
              </w:rPr>
            </w:pPr>
            <w:r w:rsidRPr="005C3C2B">
              <w:t>%</w:t>
            </w:r>
          </w:p>
        </w:tc>
      </w:tr>
      <w:tr w:rsidR="006C129B" w:rsidRPr="00741571" w14:paraId="68BCCBB0" w14:textId="77777777" w:rsidTr="00C116EE">
        <w:trPr>
          <w:trHeight w:val="296"/>
        </w:trPr>
        <w:tc>
          <w:tcPr>
            <w:tcW w:w="4540" w:type="dxa"/>
            <w:tcBorders>
              <w:top w:val="single" w:sz="4" w:space="0" w:color="3A6FAF" w:themeColor="accent2"/>
            </w:tcBorders>
            <w:shd w:val="clear" w:color="auto" w:fill="auto"/>
            <w:noWrap/>
            <w:vAlign w:val="bottom"/>
            <w:hideMark/>
          </w:tcPr>
          <w:p w14:paraId="32AA12D9" w14:textId="77777777" w:rsidR="006C129B" w:rsidRPr="00741571" w:rsidRDefault="006C129B" w:rsidP="00646190">
            <w:pPr>
              <w:pStyle w:val="TableTextLeft"/>
              <w:rPr>
                <w:rFonts w:cs="Calibri"/>
                <w:szCs w:val="22"/>
              </w:rPr>
            </w:pPr>
            <w:bookmarkStart w:id="205" w:name="_Hlk83803656"/>
            <w:r w:rsidRPr="00741571">
              <w:t>NS</w:t>
            </w:r>
            <w:r w:rsidRPr="00741571">
              <w:rPr>
                <w:rFonts w:cs="Calibri"/>
                <w:szCs w:val="22"/>
              </w:rPr>
              <w:t>W</w:t>
            </w:r>
          </w:p>
        </w:tc>
        <w:tc>
          <w:tcPr>
            <w:tcW w:w="2271" w:type="dxa"/>
            <w:tcBorders>
              <w:top w:val="single" w:sz="4" w:space="0" w:color="3A6FAF" w:themeColor="accent2"/>
            </w:tcBorders>
            <w:shd w:val="clear" w:color="auto" w:fill="auto"/>
            <w:noWrap/>
            <w:hideMark/>
          </w:tcPr>
          <w:p w14:paraId="41A1ECF1" w14:textId="1663B9AA" w:rsidR="006C129B" w:rsidRPr="00741571" w:rsidRDefault="00C116EE" w:rsidP="00D35008">
            <w:pPr>
              <w:pStyle w:val="TableTextRight"/>
            </w:pPr>
            <w:r w:rsidRPr="00FE4C25">
              <w:t>33.7</w:t>
            </w:r>
          </w:p>
        </w:tc>
        <w:tc>
          <w:tcPr>
            <w:tcW w:w="2271" w:type="dxa"/>
            <w:tcBorders>
              <w:top w:val="single" w:sz="4" w:space="0" w:color="3A6FAF" w:themeColor="accent2"/>
            </w:tcBorders>
            <w:shd w:val="clear" w:color="auto" w:fill="auto"/>
            <w:noWrap/>
            <w:hideMark/>
          </w:tcPr>
          <w:p w14:paraId="7C0BB8C8" w14:textId="0AD67472" w:rsidR="006C129B" w:rsidRPr="00741571" w:rsidRDefault="00C116EE" w:rsidP="00D35008">
            <w:pPr>
              <w:pStyle w:val="TableTextRight"/>
            </w:pPr>
            <w:r w:rsidRPr="00FE4C25">
              <w:t>34.0</w:t>
            </w:r>
          </w:p>
        </w:tc>
      </w:tr>
      <w:tr w:rsidR="006C129B" w:rsidRPr="00741571" w14:paraId="0141EA42" w14:textId="77777777" w:rsidTr="00C116EE">
        <w:trPr>
          <w:trHeight w:val="296"/>
        </w:trPr>
        <w:tc>
          <w:tcPr>
            <w:tcW w:w="4540" w:type="dxa"/>
            <w:shd w:val="clear" w:color="auto" w:fill="auto"/>
            <w:noWrap/>
            <w:vAlign w:val="bottom"/>
            <w:hideMark/>
          </w:tcPr>
          <w:p w14:paraId="2DDF02AB" w14:textId="77777777" w:rsidR="006C129B" w:rsidRPr="00741571" w:rsidRDefault="006C129B" w:rsidP="00646190">
            <w:pPr>
              <w:pStyle w:val="TableTextLeft"/>
              <w:rPr>
                <w:rFonts w:cs="Calibri"/>
                <w:szCs w:val="22"/>
              </w:rPr>
            </w:pPr>
            <w:r w:rsidRPr="00741571">
              <w:t>VIC</w:t>
            </w:r>
          </w:p>
        </w:tc>
        <w:tc>
          <w:tcPr>
            <w:tcW w:w="2271" w:type="dxa"/>
            <w:shd w:val="clear" w:color="auto" w:fill="auto"/>
            <w:noWrap/>
            <w:hideMark/>
          </w:tcPr>
          <w:p w14:paraId="5F762AE4" w14:textId="603DEA0A" w:rsidR="006C129B" w:rsidRPr="00741571" w:rsidRDefault="00C116EE" w:rsidP="00D35008">
            <w:pPr>
              <w:pStyle w:val="TableTextRight"/>
            </w:pPr>
            <w:r w:rsidRPr="00FE4C25">
              <w:t>29.7</w:t>
            </w:r>
          </w:p>
        </w:tc>
        <w:tc>
          <w:tcPr>
            <w:tcW w:w="2271" w:type="dxa"/>
            <w:shd w:val="clear" w:color="auto" w:fill="auto"/>
            <w:noWrap/>
            <w:hideMark/>
          </w:tcPr>
          <w:p w14:paraId="535865B0" w14:textId="42487D6A" w:rsidR="006C129B" w:rsidRPr="00741571" w:rsidRDefault="00C116EE" w:rsidP="00D35008">
            <w:pPr>
              <w:pStyle w:val="TableTextRight"/>
            </w:pPr>
            <w:r w:rsidRPr="00FE4C25">
              <w:t>29.8</w:t>
            </w:r>
          </w:p>
        </w:tc>
      </w:tr>
      <w:tr w:rsidR="006C129B" w:rsidRPr="00741571" w14:paraId="644CF4CA" w14:textId="77777777" w:rsidTr="00C116EE">
        <w:trPr>
          <w:trHeight w:val="296"/>
        </w:trPr>
        <w:tc>
          <w:tcPr>
            <w:tcW w:w="4540" w:type="dxa"/>
            <w:shd w:val="clear" w:color="auto" w:fill="auto"/>
            <w:noWrap/>
            <w:vAlign w:val="bottom"/>
            <w:hideMark/>
          </w:tcPr>
          <w:p w14:paraId="58C486DE" w14:textId="77777777" w:rsidR="006C129B" w:rsidRPr="00741571" w:rsidRDefault="006C129B" w:rsidP="00646190">
            <w:pPr>
              <w:pStyle w:val="TableTextLeft"/>
              <w:rPr>
                <w:rFonts w:cs="Calibri"/>
                <w:szCs w:val="22"/>
              </w:rPr>
            </w:pPr>
            <w:r w:rsidRPr="00741571">
              <w:t>QLD</w:t>
            </w:r>
          </w:p>
        </w:tc>
        <w:tc>
          <w:tcPr>
            <w:tcW w:w="2271" w:type="dxa"/>
            <w:shd w:val="clear" w:color="auto" w:fill="auto"/>
            <w:noWrap/>
            <w:hideMark/>
          </w:tcPr>
          <w:p w14:paraId="0676E8E4" w14:textId="7200280B" w:rsidR="006C129B" w:rsidRPr="00741571" w:rsidRDefault="00C116EE" w:rsidP="00D35008">
            <w:pPr>
              <w:pStyle w:val="TableTextRight"/>
            </w:pPr>
            <w:r w:rsidRPr="00FE4C25">
              <w:t>18.4</w:t>
            </w:r>
          </w:p>
        </w:tc>
        <w:tc>
          <w:tcPr>
            <w:tcW w:w="2271" w:type="dxa"/>
            <w:shd w:val="clear" w:color="auto" w:fill="auto"/>
            <w:noWrap/>
            <w:hideMark/>
          </w:tcPr>
          <w:p w14:paraId="1AD12389" w14:textId="0B0D145A" w:rsidR="006C129B" w:rsidRPr="00741571" w:rsidRDefault="00C116EE" w:rsidP="00D35008">
            <w:pPr>
              <w:pStyle w:val="TableTextRight"/>
            </w:pPr>
            <w:r w:rsidRPr="00FE4C25">
              <w:t>18.4</w:t>
            </w:r>
          </w:p>
        </w:tc>
      </w:tr>
      <w:tr w:rsidR="006C129B" w:rsidRPr="00741571" w14:paraId="295CE78D" w14:textId="77777777" w:rsidTr="00C116EE">
        <w:trPr>
          <w:trHeight w:val="296"/>
        </w:trPr>
        <w:tc>
          <w:tcPr>
            <w:tcW w:w="4540" w:type="dxa"/>
            <w:shd w:val="clear" w:color="auto" w:fill="auto"/>
            <w:noWrap/>
            <w:vAlign w:val="bottom"/>
            <w:hideMark/>
          </w:tcPr>
          <w:p w14:paraId="7757E829" w14:textId="77777777" w:rsidR="006C129B" w:rsidRPr="00741571" w:rsidRDefault="006C129B" w:rsidP="00646190">
            <w:pPr>
              <w:pStyle w:val="TableTextLeft"/>
              <w:rPr>
                <w:rFonts w:cs="Calibri"/>
                <w:szCs w:val="22"/>
              </w:rPr>
            </w:pPr>
            <w:r w:rsidRPr="00741571">
              <w:t>WA</w:t>
            </w:r>
          </w:p>
        </w:tc>
        <w:tc>
          <w:tcPr>
            <w:tcW w:w="2271" w:type="dxa"/>
            <w:shd w:val="clear" w:color="auto" w:fill="auto"/>
            <w:noWrap/>
            <w:hideMark/>
          </w:tcPr>
          <w:p w14:paraId="027253A0" w14:textId="0FD278F8" w:rsidR="006C129B" w:rsidRPr="00741571" w:rsidRDefault="00C116EE" w:rsidP="00D35008">
            <w:pPr>
              <w:pStyle w:val="TableTextRight"/>
            </w:pPr>
            <w:r w:rsidRPr="00FE4C25">
              <w:t>9.2</w:t>
            </w:r>
          </w:p>
        </w:tc>
        <w:tc>
          <w:tcPr>
            <w:tcW w:w="2271" w:type="dxa"/>
            <w:shd w:val="clear" w:color="auto" w:fill="auto"/>
            <w:noWrap/>
            <w:hideMark/>
          </w:tcPr>
          <w:p w14:paraId="76FED5CC" w14:textId="18778562" w:rsidR="006C129B" w:rsidRPr="00741571" w:rsidRDefault="00C116EE" w:rsidP="00D35008">
            <w:pPr>
              <w:pStyle w:val="TableTextRight"/>
            </w:pPr>
            <w:r w:rsidRPr="00FE4C25">
              <w:t>8.8</w:t>
            </w:r>
          </w:p>
        </w:tc>
      </w:tr>
      <w:tr w:rsidR="006C129B" w:rsidRPr="00741571" w14:paraId="44488C88" w14:textId="77777777" w:rsidTr="00C116EE">
        <w:trPr>
          <w:trHeight w:val="296"/>
        </w:trPr>
        <w:tc>
          <w:tcPr>
            <w:tcW w:w="4540" w:type="dxa"/>
            <w:shd w:val="clear" w:color="auto" w:fill="auto"/>
            <w:noWrap/>
            <w:vAlign w:val="bottom"/>
            <w:hideMark/>
          </w:tcPr>
          <w:p w14:paraId="6C2BE11D" w14:textId="77777777" w:rsidR="006C129B" w:rsidRPr="00741571" w:rsidRDefault="006C129B" w:rsidP="00646190">
            <w:pPr>
              <w:pStyle w:val="TableTextLeft"/>
              <w:rPr>
                <w:rFonts w:cs="Calibri"/>
                <w:szCs w:val="22"/>
              </w:rPr>
            </w:pPr>
            <w:r w:rsidRPr="00741571">
              <w:t>S</w:t>
            </w:r>
            <w:r w:rsidRPr="00741571">
              <w:rPr>
                <w:rFonts w:cs="Calibri"/>
                <w:szCs w:val="22"/>
              </w:rPr>
              <w:t>A</w:t>
            </w:r>
          </w:p>
        </w:tc>
        <w:tc>
          <w:tcPr>
            <w:tcW w:w="2271" w:type="dxa"/>
            <w:shd w:val="clear" w:color="auto" w:fill="auto"/>
            <w:noWrap/>
            <w:hideMark/>
          </w:tcPr>
          <w:p w14:paraId="6A680E05" w14:textId="3C44B86C" w:rsidR="006C129B" w:rsidRPr="00741571" w:rsidRDefault="00C116EE" w:rsidP="00D35008">
            <w:pPr>
              <w:pStyle w:val="TableTextRight"/>
            </w:pPr>
            <w:r w:rsidRPr="00FE4C25">
              <w:t>5.8</w:t>
            </w:r>
          </w:p>
        </w:tc>
        <w:tc>
          <w:tcPr>
            <w:tcW w:w="2271" w:type="dxa"/>
            <w:shd w:val="clear" w:color="auto" w:fill="auto"/>
            <w:noWrap/>
            <w:hideMark/>
          </w:tcPr>
          <w:p w14:paraId="34EEB2A7" w14:textId="3363ED70" w:rsidR="006C129B" w:rsidRPr="00741571" w:rsidRDefault="00C116EE" w:rsidP="00D35008">
            <w:pPr>
              <w:pStyle w:val="TableTextRight"/>
            </w:pPr>
            <w:r w:rsidRPr="00FE4C25">
              <w:t>5.7</w:t>
            </w:r>
          </w:p>
        </w:tc>
      </w:tr>
      <w:tr w:rsidR="006C129B" w:rsidRPr="00741571" w14:paraId="037E67CC" w14:textId="77777777" w:rsidTr="00C116EE">
        <w:trPr>
          <w:trHeight w:val="296"/>
        </w:trPr>
        <w:tc>
          <w:tcPr>
            <w:tcW w:w="4540" w:type="dxa"/>
            <w:shd w:val="clear" w:color="auto" w:fill="auto"/>
            <w:noWrap/>
            <w:vAlign w:val="bottom"/>
            <w:hideMark/>
          </w:tcPr>
          <w:p w14:paraId="2E440B68" w14:textId="77777777" w:rsidR="006C129B" w:rsidRPr="00741571" w:rsidRDefault="006C129B" w:rsidP="00646190">
            <w:pPr>
              <w:pStyle w:val="TableTextLeft"/>
              <w:rPr>
                <w:rFonts w:cs="Calibri"/>
                <w:szCs w:val="22"/>
              </w:rPr>
            </w:pPr>
            <w:r w:rsidRPr="00741571">
              <w:t>TAS</w:t>
            </w:r>
          </w:p>
        </w:tc>
        <w:tc>
          <w:tcPr>
            <w:tcW w:w="2271" w:type="dxa"/>
            <w:shd w:val="clear" w:color="auto" w:fill="auto"/>
            <w:noWrap/>
            <w:hideMark/>
          </w:tcPr>
          <w:p w14:paraId="037671FF" w14:textId="1B98B23D" w:rsidR="006C129B" w:rsidRPr="00741571" w:rsidRDefault="00C116EE" w:rsidP="00D35008">
            <w:pPr>
              <w:pStyle w:val="TableTextRight"/>
            </w:pPr>
            <w:r w:rsidRPr="00FE4C25">
              <w:t>1.6</w:t>
            </w:r>
          </w:p>
        </w:tc>
        <w:tc>
          <w:tcPr>
            <w:tcW w:w="2271" w:type="dxa"/>
            <w:shd w:val="clear" w:color="auto" w:fill="auto"/>
            <w:noWrap/>
            <w:hideMark/>
          </w:tcPr>
          <w:p w14:paraId="71FFF59C" w14:textId="4BFA8BC0" w:rsidR="006C129B" w:rsidRPr="00741571" w:rsidRDefault="00C116EE" w:rsidP="00D35008">
            <w:pPr>
              <w:pStyle w:val="TableTextRight"/>
            </w:pPr>
            <w:r w:rsidRPr="00FE4C25">
              <w:t>1.6</w:t>
            </w:r>
          </w:p>
        </w:tc>
      </w:tr>
      <w:tr w:rsidR="007B3F11" w:rsidRPr="00741571" w14:paraId="739DCBE5" w14:textId="77777777" w:rsidTr="00C116EE">
        <w:trPr>
          <w:trHeight w:val="66"/>
        </w:trPr>
        <w:tc>
          <w:tcPr>
            <w:tcW w:w="4540" w:type="dxa"/>
            <w:shd w:val="clear" w:color="auto" w:fill="auto"/>
            <w:noWrap/>
            <w:vAlign w:val="bottom"/>
          </w:tcPr>
          <w:p w14:paraId="520F4F51" w14:textId="0B947F1E" w:rsidR="007B3F11" w:rsidRPr="00741571" w:rsidRDefault="007B3F11" w:rsidP="007B3F11">
            <w:pPr>
              <w:pStyle w:val="TableTextLeft"/>
            </w:pPr>
            <w:r w:rsidRPr="00741571">
              <w:t>ACT</w:t>
            </w:r>
          </w:p>
        </w:tc>
        <w:tc>
          <w:tcPr>
            <w:tcW w:w="2271" w:type="dxa"/>
            <w:shd w:val="clear" w:color="auto" w:fill="auto"/>
            <w:noWrap/>
          </w:tcPr>
          <w:p w14:paraId="3062BE6E" w14:textId="65D02A6D" w:rsidR="007B3F11" w:rsidRPr="00741571" w:rsidRDefault="00C116EE" w:rsidP="007B3F11">
            <w:pPr>
              <w:pStyle w:val="TableTextRight"/>
            </w:pPr>
            <w:r w:rsidRPr="00FE4C25">
              <w:t>1.0</w:t>
            </w:r>
          </w:p>
        </w:tc>
        <w:tc>
          <w:tcPr>
            <w:tcW w:w="2271" w:type="dxa"/>
            <w:shd w:val="clear" w:color="auto" w:fill="auto"/>
            <w:noWrap/>
          </w:tcPr>
          <w:p w14:paraId="573050EF" w14:textId="7DF88417" w:rsidR="007B3F11" w:rsidRPr="00741571" w:rsidRDefault="00C116EE" w:rsidP="007B3F11">
            <w:pPr>
              <w:pStyle w:val="TableTextRight"/>
            </w:pPr>
            <w:r w:rsidRPr="00FE4C25">
              <w:t>1.1</w:t>
            </w:r>
          </w:p>
        </w:tc>
      </w:tr>
      <w:tr w:rsidR="0001403C" w:rsidRPr="00741571" w14:paraId="37933708" w14:textId="77777777" w:rsidTr="00C116EE">
        <w:trPr>
          <w:trHeight w:val="66"/>
        </w:trPr>
        <w:tc>
          <w:tcPr>
            <w:tcW w:w="4540" w:type="dxa"/>
            <w:tcBorders>
              <w:bottom w:val="single" w:sz="4" w:space="0" w:color="3A6FAF" w:themeColor="accent2"/>
            </w:tcBorders>
            <w:shd w:val="clear" w:color="auto" w:fill="auto"/>
            <w:noWrap/>
            <w:vAlign w:val="bottom"/>
          </w:tcPr>
          <w:p w14:paraId="196C1E49" w14:textId="7B28727B" w:rsidR="0001403C" w:rsidRPr="00741571" w:rsidRDefault="0001403C" w:rsidP="0001403C">
            <w:pPr>
              <w:pStyle w:val="TableTextLeft"/>
            </w:pPr>
            <w:r w:rsidRPr="00741571">
              <w:t>NT</w:t>
            </w:r>
          </w:p>
        </w:tc>
        <w:tc>
          <w:tcPr>
            <w:tcW w:w="2271" w:type="dxa"/>
            <w:tcBorders>
              <w:bottom w:val="single" w:sz="4" w:space="0" w:color="3A6FAF" w:themeColor="accent2"/>
            </w:tcBorders>
            <w:shd w:val="clear" w:color="auto" w:fill="auto"/>
            <w:noWrap/>
          </w:tcPr>
          <w:p w14:paraId="63D290E3" w14:textId="41F06728" w:rsidR="0001403C" w:rsidRPr="00741571" w:rsidRDefault="00C116EE" w:rsidP="0001403C">
            <w:pPr>
              <w:pStyle w:val="TableTextRight"/>
            </w:pPr>
            <w:r w:rsidRPr="00FE4C25">
              <w:t>0.5</w:t>
            </w:r>
          </w:p>
        </w:tc>
        <w:tc>
          <w:tcPr>
            <w:tcW w:w="2271" w:type="dxa"/>
            <w:tcBorders>
              <w:bottom w:val="single" w:sz="4" w:space="0" w:color="3A6FAF" w:themeColor="accent2"/>
            </w:tcBorders>
            <w:shd w:val="clear" w:color="auto" w:fill="auto"/>
            <w:noWrap/>
          </w:tcPr>
          <w:p w14:paraId="200D416A" w14:textId="3EB24CA9" w:rsidR="0001403C" w:rsidRPr="00741571" w:rsidRDefault="00C116EE" w:rsidP="0001403C">
            <w:pPr>
              <w:pStyle w:val="TableTextRight"/>
            </w:pPr>
            <w:r w:rsidRPr="00FE4C25">
              <w:t>0.5</w:t>
            </w:r>
          </w:p>
        </w:tc>
      </w:tr>
    </w:tbl>
    <w:bookmarkEnd w:id="205"/>
    <w:p w14:paraId="5E3270BB" w14:textId="7841D5C1" w:rsidR="006A4F27" w:rsidRDefault="006A4F27" w:rsidP="00966294">
      <w:pPr>
        <w:pStyle w:val="SingleParagraph"/>
        <w:rPr>
          <w:sz w:val="18"/>
          <w:szCs w:val="16"/>
        </w:rPr>
      </w:pPr>
      <w:r>
        <w:rPr>
          <w:sz w:val="18"/>
          <w:szCs w:val="16"/>
        </w:rPr>
        <w:t>Data underlying</w:t>
      </w:r>
      <w:r w:rsidRPr="006D5B7F">
        <w:rPr>
          <w:sz w:val="18"/>
          <w:szCs w:val="16"/>
        </w:rPr>
        <w:t xml:space="preserve"> </w:t>
      </w:r>
      <w:r w:rsidR="00066FC6">
        <w:rPr>
          <w:sz w:val="18"/>
          <w:szCs w:val="16"/>
        </w:rPr>
        <w:t>F</w:t>
      </w:r>
      <w:r w:rsidRPr="006D5B7F">
        <w:rPr>
          <w:sz w:val="18"/>
          <w:szCs w:val="16"/>
        </w:rPr>
        <w:t xml:space="preserve">igure </w:t>
      </w:r>
      <w:r w:rsidR="00D05AE7">
        <w:rPr>
          <w:sz w:val="18"/>
          <w:szCs w:val="16"/>
        </w:rPr>
        <w:t>5d</w:t>
      </w:r>
      <w:r w:rsidR="004133D6">
        <w:rPr>
          <w:sz w:val="18"/>
          <w:szCs w:val="16"/>
        </w:rPr>
        <w:t>.</w:t>
      </w:r>
      <w:r w:rsidR="006B25E7">
        <w:rPr>
          <w:sz w:val="18"/>
          <w:szCs w:val="16"/>
        </w:rPr>
        <w:t xml:space="preserve"> </w:t>
      </w:r>
    </w:p>
    <w:p w14:paraId="5FF12025" w14:textId="21EADA1B" w:rsidR="006C129B" w:rsidRDefault="006C5BDC" w:rsidP="007B1865">
      <w:pPr>
        <w:pStyle w:val="SingleParagraph"/>
        <w:rPr>
          <w:sz w:val="18"/>
          <w:szCs w:val="16"/>
        </w:rPr>
      </w:pPr>
      <w:r w:rsidRPr="003E7BD1">
        <w:rPr>
          <w:sz w:val="18"/>
          <w:szCs w:val="16"/>
        </w:rPr>
        <w:t>Source: ATO administrative data</w:t>
      </w:r>
      <w:r w:rsidR="00FA5B38" w:rsidRPr="00FA5B38">
        <w:rPr>
          <w:sz w:val="18"/>
          <w:szCs w:val="16"/>
        </w:rPr>
        <w:t xml:space="preserve"> </w:t>
      </w:r>
      <w:r w:rsidR="00FA5B38">
        <w:rPr>
          <w:sz w:val="18"/>
          <w:szCs w:val="16"/>
        </w:rPr>
        <w:t>as at 15 August 2021</w:t>
      </w:r>
      <w:r w:rsidR="004133D6">
        <w:rPr>
          <w:sz w:val="18"/>
          <w:szCs w:val="16"/>
        </w:rPr>
        <w:t>.</w:t>
      </w:r>
    </w:p>
    <w:p w14:paraId="4E622658" w14:textId="77777777" w:rsidR="003327D0" w:rsidRDefault="006C129B" w:rsidP="00207393">
      <w:r>
        <w:br w:type="page"/>
      </w:r>
    </w:p>
    <w:p w14:paraId="774DA3A6" w14:textId="47ED8FA7" w:rsidR="003327D0" w:rsidRPr="008B5117" w:rsidRDefault="006C129B" w:rsidP="00330ADA">
      <w:pPr>
        <w:pStyle w:val="TableMainHeading"/>
        <w:numPr>
          <w:ilvl w:val="0"/>
          <w:numId w:val="0"/>
        </w:numPr>
      </w:pPr>
      <w:bookmarkStart w:id="206" w:name="_Toc84842597"/>
      <w:r>
        <w:lastRenderedPageBreak/>
        <w:t>Table</w:t>
      </w:r>
      <w:r w:rsidR="00AC0721">
        <w:t>s</w:t>
      </w:r>
      <w:r>
        <w:t xml:space="preserve"> </w:t>
      </w:r>
      <w:r w:rsidR="00330ADA">
        <w:t>6</w:t>
      </w:r>
      <w:r w:rsidR="003327D0">
        <w:t>a</w:t>
      </w:r>
      <w:r w:rsidR="0038520A">
        <w:noBreakHyphen/>
      </w:r>
      <w:r w:rsidR="008E791F">
        <w:t>b</w:t>
      </w:r>
      <w:r w:rsidR="003327D0">
        <w:t>:</w:t>
      </w:r>
      <w:r w:rsidR="003327D0" w:rsidRPr="008B5117">
        <w:t xml:space="preserve"> J</w:t>
      </w:r>
      <w:r w:rsidR="003327D0">
        <w:t xml:space="preserve">obKeeper </w:t>
      </w:r>
      <w:r w:rsidR="003327D0" w:rsidRPr="008B5117">
        <w:t>coverage of employment</w:t>
      </w:r>
      <w:bookmarkEnd w:id="206"/>
      <w:r w:rsidR="003327D0" w:rsidRPr="006B3C04">
        <w:t xml:space="preserve"> </w:t>
      </w:r>
    </w:p>
    <w:p w14:paraId="7687230C" w14:textId="77777777" w:rsidR="000B133A" w:rsidRPr="000B133A" w:rsidRDefault="000B133A" w:rsidP="00207393">
      <w:pPr>
        <w:pStyle w:val="SingleParagraph"/>
      </w:pPr>
    </w:p>
    <w:p w14:paraId="554AE554" w14:textId="66618F94" w:rsidR="008E791F" w:rsidRPr="008E791F" w:rsidRDefault="00AC0721" w:rsidP="00AB3B50">
      <w:pPr>
        <w:pStyle w:val="TableSecondHeading"/>
      </w:pPr>
      <w:bookmarkStart w:id="207" w:name="_Toc84607876"/>
      <w:bookmarkStart w:id="208" w:name="_Toc84774159"/>
      <w:bookmarkStart w:id="209" w:name="_Toc84842598"/>
      <w:r>
        <w:t xml:space="preserve">a. </w:t>
      </w:r>
      <w:r w:rsidR="008E791F" w:rsidRPr="002C73BA">
        <w:t>Share of total vs private</w:t>
      </w:r>
      <w:r w:rsidR="0038520A">
        <w:noBreakHyphen/>
      </w:r>
      <w:r w:rsidR="008E791F" w:rsidRPr="002C73BA">
        <w:t>sector employment</w:t>
      </w:r>
      <w:bookmarkEnd w:id="207"/>
      <w:bookmarkEnd w:id="208"/>
      <w:bookmarkEnd w:id="209"/>
    </w:p>
    <w:tbl>
      <w:tblPr>
        <w:tblW w:w="5006" w:type="pct"/>
        <w:tblLook w:val="04A0" w:firstRow="1" w:lastRow="0" w:firstColumn="1" w:lastColumn="0" w:noHBand="0" w:noVBand="1"/>
      </w:tblPr>
      <w:tblGrid>
        <w:gridCol w:w="4540"/>
        <w:gridCol w:w="2271"/>
        <w:gridCol w:w="2271"/>
      </w:tblGrid>
      <w:tr w:rsidR="003327D0" w:rsidRPr="008B5117" w14:paraId="7825B839" w14:textId="77777777" w:rsidTr="003327D0">
        <w:trPr>
          <w:trHeight w:val="282"/>
        </w:trPr>
        <w:tc>
          <w:tcPr>
            <w:tcW w:w="4540" w:type="dxa"/>
            <w:tcBorders>
              <w:top w:val="single" w:sz="4" w:space="0" w:color="3A6FAF" w:themeColor="accent2"/>
              <w:bottom w:val="single" w:sz="4" w:space="0" w:color="3A6FAF" w:themeColor="accent2"/>
            </w:tcBorders>
            <w:shd w:val="clear" w:color="000000" w:fill="FFFFFF"/>
            <w:noWrap/>
            <w:vAlign w:val="bottom"/>
          </w:tcPr>
          <w:p w14:paraId="788C0A8B" w14:textId="77777777" w:rsidR="003327D0" w:rsidRPr="00C25C42" w:rsidRDefault="003327D0" w:rsidP="003327D0">
            <w:pPr>
              <w:pStyle w:val="TableColumnHeadingLeft"/>
              <w:rPr>
                <w:rFonts w:cs="Calibri"/>
              </w:rPr>
            </w:pPr>
            <w:r w:rsidRPr="008B5117">
              <w:t>Sta</w:t>
            </w:r>
            <w:r w:rsidRPr="00C25C42">
              <w:rPr>
                <w:rFonts w:cs="Calibri"/>
              </w:rPr>
              <w:t>te</w:t>
            </w:r>
          </w:p>
        </w:tc>
        <w:tc>
          <w:tcPr>
            <w:tcW w:w="2271" w:type="dxa"/>
            <w:tcBorders>
              <w:top w:val="single" w:sz="4" w:space="0" w:color="3A6FAF" w:themeColor="accent2"/>
              <w:bottom w:val="single" w:sz="4" w:space="0" w:color="3A6FAF" w:themeColor="accent2"/>
            </w:tcBorders>
            <w:shd w:val="clear" w:color="000000" w:fill="FFFFFF"/>
            <w:noWrap/>
            <w:vAlign w:val="bottom"/>
          </w:tcPr>
          <w:p w14:paraId="2F7D5E6C" w14:textId="77777777" w:rsidR="003327D0" w:rsidRDefault="003327D0" w:rsidP="003327D0">
            <w:pPr>
              <w:pStyle w:val="TableColumnHeadingRight"/>
            </w:pPr>
            <w:r w:rsidRPr="008B5117">
              <w:t xml:space="preserve">Total employment </w:t>
            </w:r>
          </w:p>
          <w:p w14:paraId="779C2CAC" w14:textId="77777777" w:rsidR="003327D0" w:rsidRPr="003E7BD1" w:rsidRDefault="003327D0" w:rsidP="003327D0">
            <w:pPr>
              <w:pStyle w:val="TableColumnHeadingRight"/>
              <w:rPr>
                <w:rFonts w:cs="Calibri"/>
              </w:rPr>
            </w:pPr>
            <w:r w:rsidRPr="003E7BD1">
              <w:rPr>
                <w:rFonts w:cs="Calibri"/>
              </w:rPr>
              <w:t>%</w:t>
            </w:r>
          </w:p>
        </w:tc>
        <w:tc>
          <w:tcPr>
            <w:tcW w:w="2271" w:type="dxa"/>
            <w:tcBorders>
              <w:top w:val="single" w:sz="4" w:space="0" w:color="3A6FAF" w:themeColor="accent2"/>
              <w:bottom w:val="single" w:sz="4" w:space="0" w:color="3A6FAF" w:themeColor="accent2"/>
            </w:tcBorders>
            <w:shd w:val="clear" w:color="000000" w:fill="FFFFFF"/>
            <w:noWrap/>
            <w:vAlign w:val="bottom"/>
          </w:tcPr>
          <w:p w14:paraId="3D6AC1B7" w14:textId="77DD62D3" w:rsidR="003327D0" w:rsidRDefault="003327D0" w:rsidP="003327D0">
            <w:pPr>
              <w:pStyle w:val="TableColumnHeadingRight"/>
            </w:pPr>
            <w:r w:rsidRPr="008B5117">
              <w:t>Private</w:t>
            </w:r>
            <w:r w:rsidR="0038520A">
              <w:noBreakHyphen/>
            </w:r>
            <w:r w:rsidRPr="008B5117">
              <w:t xml:space="preserve">sector employment </w:t>
            </w:r>
          </w:p>
          <w:p w14:paraId="43964D71" w14:textId="77777777" w:rsidR="003327D0" w:rsidRPr="003E7BD1" w:rsidRDefault="003327D0" w:rsidP="003327D0">
            <w:pPr>
              <w:pStyle w:val="TableColumnHeadingRight"/>
              <w:rPr>
                <w:rFonts w:cs="Calibri"/>
              </w:rPr>
            </w:pPr>
            <w:r w:rsidRPr="003E7BD1">
              <w:rPr>
                <w:rFonts w:cs="Calibri"/>
              </w:rPr>
              <w:t>%</w:t>
            </w:r>
          </w:p>
        </w:tc>
      </w:tr>
      <w:tr w:rsidR="003327D0" w:rsidRPr="008B5117" w14:paraId="0DE43922" w14:textId="77777777" w:rsidTr="003327D0">
        <w:trPr>
          <w:trHeight w:val="282"/>
        </w:trPr>
        <w:tc>
          <w:tcPr>
            <w:tcW w:w="4540" w:type="dxa"/>
            <w:tcBorders>
              <w:top w:val="single" w:sz="4" w:space="0" w:color="3A6FAF" w:themeColor="accent2"/>
            </w:tcBorders>
            <w:shd w:val="clear" w:color="000000" w:fill="FFFFFF"/>
            <w:noWrap/>
            <w:hideMark/>
          </w:tcPr>
          <w:p w14:paraId="5A194A2F" w14:textId="77777777" w:rsidR="003327D0" w:rsidRPr="00840922" w:rsidRDefault="003327D0" w:rsidP="003327D0">
            <w:pPr>
              <w:pStyle w:val="TableTextLeft"/>
              <w:rPr>
                <w:rFonts w:cs="Calibri"/>
                <w:sz w:val="20"/>
              </w:rPr>
            </w:pPr>
            <w:r w:rsidRPr="00840922">
              <w:t>NSW</w:t>
            </w:r>
          </w:p>
        </w:tc>
        <w:tc>
          <w:tcPr>
            <w:tcW w:w="2271" w:type="dxa"/>
            <w:tcBorders>
              <w:top w:val="single" w:sz="4" w:space="0" w:color="3A6FAF" w:themeColor="accent2"/>
            </w:tcBorders>
            <w:shd w:val="clear" w:color="000000" w:fill="FFFFFF"/>
            <w:noWrap/>
            <w:hideMark/>
          </w:tcPr>
          <w:p w14:paraId="173FC112" w14:textId="017D431F" w:rsidR="003327D0" w:rsidRPr="008E1728" w:rsidRDefault="00C2163E" w:rsidP="003327D0">
            <w:pPr>
              <w:pStyle w:val="TableTextRight"/>
              <w:rPr>
                <w:rFonts w:cs="Calibri"/>
                <w:sz w:val="20"/>
              </w:rPr>
            </w:pPr>
            <w:r w:rsidRPr="00A45B8D">
              <w:t>29.</w:t>
            </w:r>
            <w:r w:rsidR="00E70D44" w:rsidRPr="00473B80">
              <w:t>5</w:t>
            </w:r>
          </w:p>
        </w:tc>
        <w:tc>
          <w:tcPr>
            <w:tcW w:w="2271" w:type="dxa"/>
            <w:tcBorders>
              <w:top w:val="single" w:sz="4" w:space="0" w:color="3A6FAF" w:themeColor="accent2"/>
            </w:tcBorders>
            <w:shd w:val="clear" w:color="000000" w:fill="FFFFFF"/>
            <w:noWrap/>
            <w:hideMark/>
          </w:tcPr>
          <w:p w14:paraId="03DE9AC5" w14:textId="3D84B1C3" w:rsidR="003327D0" w:rsidRPr="008E1728" w:rsidRDefault="00C2163E" w:rsidP="003327D0">
            <w:pPr>
              <w:pStyle w:val="TableTextRight"/>
              <w:rPr>
                <w:rFonts w:cs="Calibri"/>
                <w:sz w:val="20"/>
              </w:rPr>
            </w:pPr>
            <w:r w:rsidRPr="008760A3">
              <w:t>34.</w:t>
            </w:r>
            <w:r w:rsidR="00E70D44" w:rsidRPr="00473B80">
              <w:t>3</w:t>
            </w:r>
          </w:p>
        </w:tc>
      </w:tr>
      <w:tr w:rsidR="003327D0" w:rsidRPr="008B5117" w14:paraId="11EB090E" w14:textId="77777777" w:rsidTr="003327D0">
        <w:trPr>
          <w:trHeight w:val="282"/>
        </w:trPr>
        <w:tc>
          <w:tcPr>
            <w:tcW w:w="4540" w:type="dxa"/>
            <w:shd w:val="clear" w:color="000000" w:fill="FFFFFF"/>
            <w:noWrap/>
            <w:hideMark/>
          </w:tcPr>
          <w:p w14:paraId="07707E5C" w14:textId="77777777" w:rsidR="003327D0" w:rsidRPr="00840922" w:rsidRDefault="003327D0" w:rsidP="003327D0">
            <w:pPr>
              <w:pStyle w:val="TableTextLeft"/>
              <w:rPr>
                <w:rFonts w:cs="Calibri"/>
                <w:sz w:val="20"/>
              </w:rPr>
            </w:pPr>
            <w:r w:rsidRPr="00840922">
              <w:t>VIC</w:t>
            </w:r>
          </w:p>
        </w:tc>
        <w:tc>
          <w:tcPr>
            <w:tcW w:w="2271" w:type="dxa"/>
            <w:shd w:val="clear" w:color="000000" w:fill="FFFFFF"/>
            <w:noWrap/>
            <w:hideMark/>
          </w:tcPr>
          <w:p w14:paraId="01AC3AF6" w14:textId="26A453D8" w:rsidR="003327D0" w:rsidRPr="008E1728" w:rsidRDefault="00C2163E" w:rsidP="003327D0">
            <w:pPr>
              <w:pStyle w:val="TableTextRight"/>
              <w:rPr>
                <w:rFonts w:cs="Calibri"/>
                <w:sz w:val="20"/>
              </w:rPr>
            </w:pPr>
            <w:r w:rsidRPr="00A45B8D">
              <w:t>31.</w:t>
            </w:r>
            <w:r w:rsidR="00E70D44" w:rsidRPr="00473B80">
              <w:t>2</w:t>
            </w:r>
          </w:p>
        </w:tc>
        <w:tc>
          <w:tcPr>
            <w:tcW w:w="2271" w:type="dxa"/>
            <w:shd w:val="clear" w:color="000000" w:fill="FFFFFF"/>
            <w:noWrap/>
            <w:hideMark/>
          </w:tcPr>
          <w:p w14:paraId="475E90EF" w14:textId="093147C9" w:rsidR="003327D0" w:rsidRPr="008E1728" w:rsidRDefault="00C2163E" w:rsidP="003327D0">
            <w:pPr>
              <w:pStyle w:val="TableTextRight"/>
              <w:rPr>
                <w:rFonts w:cs="Calibri"/>
                <w:sz w:val="20"/>
              </w:rPr>
            </w:pPr>
            <w:r w:rsidRPr="008760A3">
              <w:t>36.</w:t>
            </w:r>
            <w:r w:rsidR="00E70D44" w:rsidRPr="00473B80">
              <w:t>1</w:t>
            </w:r>
          </w:p>
        </w:tc>
      </w:tr>
      <w:tr w:rsidR="003327D0" w:rsidRPr="008B5117" w14:paraId="536B1A32" w14:textId="77777777" w:rsidTr="003327D0">
        <w:trPr>
          <w:trHeight w:val="282"/>
        </w:trPr>
        <w:tc>
          <w:tcPr>
            <w:tcW w:w="4540" w:type="dxa"/>
            <w:shd w:val="clear" w:color="000000" w:fill="FFFFFF"/>
            <w:noWrap/>
            <w:hideMark/>
          </w:tcPr>
          <w:p w14:paraId="00C71B9B" w14:textId="77777777" w:rsidR="003327D0" w:rsidRPr="00840922" w:rsidRDefault="003327D0" w:rsidP="003327D0">
            <w:pPr>
              <w:pStyle w:val="TableTextLeft"/>
              <w:rPr>
                <w:rFonts w:cs="Calibri"/>
                <w:sz w:val="20"/>
              </w:rPr>
            </w:pPr>
            <w:r w:rsidRPr="00840922">
              <w:t>QLD</w:t>
            </w:r>
          </w:p>
        </w:tc>
        <w:tc>
          <w:tcPr>
            <w:tcW w:w="2271" w:type="dxa"/>
            <w:shd w:val="clear" w:color="000000" w:fill="FFFFFF"/>
            <w:noWrap/>
            <w:hideMark/>
          </w:tcPr>
          <w:p w14:paraId="717AC1A7" w14:textId="429B93FB" w:rsidR="003327D0" w:rsidRPr="008E1728" w:rsidRDefault="00C2163E" w:rsidP="003327D0">
            <w:pPr>
              <w:pStyle w:val="TableTextRight"/>
              <w:rPr>
                <w:rFonts w:cs="Calibri"/>
                <w:sz w:val="20"/>
              </w:rPr>
            </w:pPr>
            <w:r w:rsidRPr="00A45B8D">
              <w:t>25.</w:t>
            </w:r>
            <w:r w:rsidR="00E70D44" w:rsidRPr="00473B80">
              <w:t>9</w:t>
            </w:r>
          </w:p>
        </w:tc>
        <w:tc>
          <w:tcPr>
            <w:tcW w:w="2271" w:type="dxa"/>
            <w:shd w:val="clear" w:color="000000" w:fill="FFFFFF"/>
            <w:noWrap/>
            <w:hideMark/>
          </w:tcPr>
          <w:p w14:paraId="0D64144A" w14:textId="6588D33B" w:rsidR="003327D0" w:rsidRPr="008E1728" w:rsidRDefault="00C2163E" w:rsidP="003327D0">
            <w:pPr>
              <w:pStyle w:val="TableTextRight"/>
              <w:rPr>
                <w:rFonts w:cs="Calibri"/>
                <w:sz w:val="20"/>
              </w:rPr>
            </w:pPr>
            <w:r w:rsidRPr="008760A3">
              <w:t>30.</w:t>
            </w:r>
            <w:r w:rsidR="00E70D44" w:rsidRPr="00473B80">
              <w:t>5</w:t>
            </w:r>
          </w:p>
        </w:tc>
      </w:tr>
      <w:tr w:rsidR="003327D0" w:rsidRPr="008B5117" w14:paraId="7E46F841" w14:textId="77777777" w:rsidTr="003327D0">
        <w:trPr>
          <w:trHeight w:val="282"/>
        </w:trPr>
        <w:tc>
          <w:tcPr>
            <w:tcW w:w="4540" w:type="dxa"/>
            <w:shd w:val="clear" w:color="000000" w:fill="FFFFFF"/>
            <w:noWrap/>
            <w:hideMark/>
          </w:tcPr>
          <w:p w14:paraId="4ED8DCA9" w14:textId="77777777" w:rsidR="003327D0" w:rsidRPr="00840922" w:rsidRDefault="003327D0" w:rsidP="003327D0">
            <w:pPr>
              <w:pStyle w:val="TableTextLeft"/>
              <w:rPr>
                <w:rFonts w:cs="Calibri"/>
                <w:sz w:val="20"/>
              </w:rPr>
            </w:pPr>
            <w:r w:rsidRPr="00840922">
              <w:t>WA</w:t>
            </w:r>
          </w:p>
        </w:tc>
        <w:tc>
          <w:tcPr>
            <w:tcW w:w="2271" w:type="dxa"/>
            <w:shd w:val="clear" w:color="000000" w:fill="FFFFFF"/>
            <w:noWrap/>
            <w:hideMark/>
          </w:tcPr>
          <w:p w14:paraId="709619D5" w14:textId="4D1C7079" w:rsidR="003327D0" w:rsidRPr="008E1728" w:rsidRDefault="00E70D44" w:rsidP="003327D0">
            <w:pPr>
              <w:pStyle w:val="TableTextRight"/>
              <w:rPr>
                <w:rFonts w:cs="Calibri"/>
                <w:sz w:val="20"/>
              </w:rPr>
            </w:pPr>
            <w:r w:rsidRPr="00473B80">
              <w:t>23.1</w:t>
            </w:r>
          </w:p>
        </w:tc>
        <w:tc>
          <w:tcPr>
            <w:tcW w:w="2271" w:type="dxa"/>
            <w:shd w:val="clear" w:color="000000" w:fill="FFFFFF"/>
            <w:noWrap/>
            <w:hideMark/>
          </w:tcPr>
          <w:p w14:paraId="4969E36F" w14:textId="5713BD54" w:rsidR="003327D0" w:rsidRPr="008E1728" w:rsidRDefault="00E70D44" w:rsidP="003327D0">
            <w:pPr>
              <w:pStyle w:val="TableTextRight"/>
              <w:rPr>
                <w:rFonts w:cs="Calibri"/>
                <w:sz w:val="20"/>
              </w:rPr>
            </w:pPr>
            <w:r w:rsidRPr="00473B80">
              <w:t>27.0</w:t>
            </w:r>
          </w:p>
        </w:tc>
      </w:tr>
      <w:tr w:rsidR="003327D0" w:rsidRPr="008B5117" w14:paraId="4D9CC2DC" w14:textId="77777777" w:rsidTr="003327D0">
        <w:trPr>
          <w:trHeight w:val="282"/>
        </w:trPr>
        <w:tc>
          <w:tcPr>
            <w:tcW w:w="4540" w:type="dxa"/>
            <w:shd w:val="clear" w:color="000000" w:fill="FFFFFF"/>
            <w:noWrap/>
            <w:hideMark/>
          </w:tcPr>
          <w:p w14:paraId="03AEDB24" w14:textId="77777777" w:rsidR="003327D0" w:rsidRPr="00840922" w:rsidRDefault="003327D0" w:rsidP="003327D0">
            <w:pPr>
              <w:pStyle w:val="TableTextLeft"/>
              <w:rPr>
                <w:rFonts w:cs="Calibri"/>
                <w:sz w:val="20"/>
              </w:rPr>
            </w:pPr>
            <w:r w:rsidRPr="00840922">
              <w:t>SA</w:t>
            </w:r>
          </w:p>
        </w:tc>
        <w:tc>
          <w:tcPr>
            <w:tcW w:w="2271" w:type="dxa"/>
            <w:shd w:val="clear" w:color="000000" w:fill="FFFFFF"/>
            <w:noWrap/>
            <w:hideMark/>
          </w:tcPr>
          <w:p w14:paraId="66199B90" w14:textId="2B532485" w:rsidR="003327D0" w:rsidRPr="008E1728" w:rsidRDefault="00C2163E" w:rsidP="003327D0">
            <w:pPr>
              <w:pStyle w:val="TableTextRight"/>
              <w:rPr>
                <w:rFonts w:cs="Calibri"/>
                <w:sz w:val="20"/>
              </w:rPr>
            </w:pPr>
            <w:r w:rsidRPr="00A45B8D">
              <w:t>23.</w:t>
            </w:r>
            <w:r w:rsidR="00E70D44" w:rsidRPr="00473B80">
              <w:t>8</w:t>
            </w:r>
          </w:p>
        </w:tc>
        <w:tc>
          <w:tcPr>
            <w:tcW w:w="2271" w:type="dxa"/>
            <w:shd w:val="clear" w:color="000000" w:fill="FFFFFF"/>
            <w:noWrap/>
            <w:hideMark/>
          </w:tcPr>
          <w:p w14:paraId="7F71D8F2" w14:textId="2FACD676" w:rsidR="003327D0" w:rsidRPr="008E1728" w:rsidRDefault="00C2163E" w:rsidP="003327D0">
            <w:pPr>
              <w:pStyle w:val="TableTextRight"/>
              <w:rPr>
                <w:rFonts w:cs="Calibri"/>
                <w:sz w:val="20"/>
              </w:rPr>
            </w:pPr>
            <w:r w:rsidRPr="008760A3">
              <w:t>28.</w:t>
            </w:r>
            <w:r w:rsidR="00E70D44" w:rsidRPr="00473B80">
              <w:t>3</w:t>
            </w:r>
          </w:p>
        </w:tc>
      </w:tr>
      <w:tr w:rsidR="003327D0" w:rsidRPr="008B5117" w14:paraId="4791FC9A" w14:textId="77777777" w:rsidTr="003327D0">
        <w:trPr>
          <w:trHeight w:val="282"/>
        </w:trPr>
        <w:tc>
          <w:tcPr>
            <w:tcW w:w="4540" w:type="dxa"/>
            <w:shd w:val="clear" w:color="000000" w:fill="FFFFFF"/>
            <w:noWrap/>
            <w:hideMark/>
          </w:tcPr>
          <w:p w14:paraId="11EC5102" w14:textId="77777777" w:rsidR="003327D0" w:rsidRPr="00840922" w:rsidRDefault="003327D0" w:rsidP="003327D0">
            <w:pPr>
              <w:pStyle w:val="TableTextLeft"/>
              <w:rPr>
                <w:rFonts w:cs="Calibri"/>
                <w:sz w:val="20"/>
              </w:rPr>
            </w:pPr>
            <w:r w:rsidRPr="00840922">
              <w:t>TAS</w:t>
            </w:r>
          </w:p>
        </w:tc>
        <w:tc>
          <w:tcPr>
            <w:tcW w:w="2271" w:type="dxa"/>
            <w:shd w:val="clear" w:color="000000" w:fill="FFFFFF"/>
            <w:noWrap/>
            <w:hideMark/>
          </w:tcPr>
          <w:p w14:paraId="31EC8076" w14:textId="14AC4609" w:rsidR="003327D0" w:rsidRPr="008E1728" w:rsidRDefault="00C2163E" w:rsidP="003327D0">
            <w:pPr>
              <w:pStyle w:val="TableTextRight"/>
              <w:rPr>
                <w:rFonts w:cs="Calibri"/>
                <w:sz w:val="20"/>
              </w:rPr>
            </w:pPr>
            <w:r w:rsidRPr="00A45B8D">
              <w:t>22.</w:t>
            </w:r>
            <w:r w:rsidR="00E70D44" w:rsidRPr="00473B80">
              <w:t>6</w:t>
            </w:r>
          </w:p>
        </w:tc>
        <w:tc>
          <w:tcPr>
            <w:tcW w:w="2271" w:type="dxa"/>
            <w:shd w:val="clear" w:color="000000" w:fill="FFFFFF"/>
            <w:noWrap/>
            <w:hideMark/>
          </w:tcPr>
          <w:p w14:paraId="5908F453" w14:textId="30078097" w:rsidR="003327D0" w:rsidRPr="008E1728" w:rsidRDefault="00C2163E" w:rsidP="003327D0">
            <w:pPr>
              <w:pStyle w:val="TableTextRight"/>
              <w:rPr>
                <w:rFonts w:cs="Calibri"/>
                <w:sz w:val="20"/>
              </w:rPr>
            </w:pPr>
            <w:r w:rsidRPr="008760A3">
              <w:t>28.</w:t>
            </w:r>
            <w:r w:rsidR="00E70D44" w:rsidRPr="00473B80">
              <w:t>1</w:t>
            </w:r>
          </w:p>
        </w:tc>
      </w:tr>
      <w:tr w:rsidR="003327D0" w:rsidRPr="008B5117" w14:paraId="607CDA04" w14:textId="77777777" w:rsidTr="003327D0">
        <w:trPr>
          <w:trHeight w:val="282"/>
        </w:trPr>
        <w:tc>
          <w:tcPr>
            <w:tcW w:w="4540" w:type="dxa"/>
            <w:shd w:val="clear" w:color="000000" w:fill="FFFFFF"/>
            <w:noWrap/>
            <w:hideMark/>
          </w:tcPr>
          <w:p w14:paraId="469481BA" w14:textId="77777777" w:rsidR="003327D0" w:rsidRPr="00840922" w:rsidRDefault="003327D0" w:rsidP="003327D0">
            <w:pPr>
              <w:pStyle w:val="TableTextLeft"/>
              <w:rPr>
                <w:rFonts w:cs="Calibri"/>
                <w:sz w:val="20"/>
              </w:rPr>
            </w:pPr>
            <w:r w:rsidRPr="00840922">
              <w:t>ACT</w:t>
            </w:r>
          </w:p>
        </w:tc>
        <w:tc>
          <w:tcPr>
            <w:tcW w:w="2271" w:type="dxa"/>
            <w:shd w:val="clear" w:color="000000" w:fill="FFFFFF"/>
            <w:noWrap/>
            <w:hideMark/>
          </w:tcPr>
          <w:p w14:paraId="4A4197FC" w14:textId="2ADCF8F9" w:rsidR="003327D0" w:rsidRPr="008E1728" w:rsidRDefault="00C2163E" w:rsidP="003327D0">
            <w:pPr>
              <w:pStyle w:val="TableTextRight"/>
              <w:rPr>
                <w:rFonts w:cs="Calibri"/>
                <w:sz w:val="20"/>
              </w:rPr>
            </w:pPr>
            <w:r w:rsidRPr="00A45B8D">
              <w:t>17.</w:t>
            </w:r>
            <w:r w:rsidR="00E70D44" w:rsidRPr="00473B80">
              <w:t>6</w:t>
            </w:r>
          </w:p>
        </w:tc>
        <w:tc>
          <w:tcPr>
            <w:tcW w:w="2271" w:type="dxa"/>
            <w:shd w:val="clear" w:color="000000" w:fill="FFFFFF"/>
            <w:noWrap/>
            <w:hideMark/>
          </w:tcPr>
          <w:p w14:paraId="5170691A" w14:textId="7A48334F" w:rsidR="003327D0" w:rsidRPr="008E1728" w:rsidRDefault="00C2163E" w:rsidP="003327D0">
            <w:pPr>
              <w:pStyle w:val="TableTextRight"/>
              <w:rPr>
                <w:rFonts w:cs="Calibri"/>
                <w:sz w:val="20"/>
              </w:rPr>
            </w:pPr>
            <w:r w:rsidRPr="008760A3">
              <w:t>28.</w:t>
            </w:r>
            <w:r w:rsidR="00E70D44" w:rsidRPr="00473B80">
              <w:t>8</w:t>
            </w:r>
          </w:p>
        </w:tc>
      </w:tr>
      <w:tr w:rsidR="007B3F11" w:rsidRPr="008B5117" w14:paraId="153D00D7" w14:textId="77777777" w:rsidTr="003327D0">
        <w:trPr>
          <w:trHeight w:val="282"/>
        </w:trPr>
        <w:tc>
          <w:tcPr>
            <w:tcW w:w="4540" w:type="dxa"/>
            <w:shd w:val="clear" w:color="000000" w:fill="FFFFFF"/>
            <w:noWrap/>
          </w:tcPr>
          <w:p w14:paraId="6BD2F6AE" w14:textId="478C0A98" w:rsidR="007B3F11" w:rsidRPr="00840922" w:rsidRDefault="007B3F11" w:rsidP="007B3F11">
            <w:pPr>
              <w:pStyle w:val="TableTextLeft"/>
            </w:pPr>
            <w:r w:rsidRPr="00840922">
              <w:t>NT</w:t>
            </w:r>
          </w:p>
        </w:tc>
        <w:tc>
          <w:tcPr>
            <w:tcW w:w="2271" w:type="dxa"/>
            <w:shd w:val="clear" w:color="000000" w:fill="FFFFFF"/>
            <w:noWrap/>
          </w:tcPr>
          <w:p w14:paraId="174E626E" w14:textId="3EE54926" w:rsidR="007B3F11" w:rsidRPr="000B0D07" w:rsidRDefault="00C2163E" w:rsidP="007B3F11">
            <w:pPr>
              <w:pStyle w:val="TableTextRight"/>
            </w:pPr>
            <w:r w:rsidRPr="00A45B8D">
              <w:t>13.</w:t>
            </w:r>
            <w:r w:rsidR="00E70D44" w:rsidRPr="00473B80">
              <w:t>8</w:t>
            </w:r>
          </w:p>
        </w:tc>
        <w:tc>
          <w:tcPr>
            <w:tcW w:w="2271" w:type="dxa"/>
            <w:shd w:val="clear" w:color="000000" w:fill="FFFFFF"/>
            <w:noWrap/>
          </w:tcPr>
          <w:p w14:paraId="3522DB1F" w14:textId="7D33FC8F" w:rsidR="007B3F11" w:rsidRPr="008E1728" w:rsidRDefault="00C2163E" w:rsidP="007B3F11">
            <w:pPr>
              <w:pStyle w:val="TableTextRight"/>
            </w:pPr>
            <w:r w:rsidRPr="008760A3">
              <w:t>19.</w:t>
            </w:r>
            <w:r w:rsidR="00E70D44" w:rsidRPr="00473B80">
              <w:t>2</w:t>
            </w:r>
          </w:p>
        </w:tc>
      </w:tr>
      <w:tr w:rsidR="003327D0" w:rsidRPr="008B5117" w14:paraId="27DDF41C" w14:textId="77777777" w:rsidTr="003327D0">
        <w:trPr>
          <w:trHeight w:val="282"/>
        </w:trPr>
        <w:tc>
          <w:tcPr>
            <w:tcW w:w="4540" w:type="dxa"/>
            <w:tcBorders>
              <w:bottom w:val="single" w:sz="4" w:space="0" w:color="3A6FAF" w:themeColor="accent2"/>
            </w:tcBorders>
            <w:shd w:val="clear" w:color="000000" w:fill="FFFFFF"/>
            <w:noWrap/>
            <w:hideMark/>
          </w:tcPr>
          <w:p w14:paraId="5C851A67" w14:textId="77777777" w:rsidR="003327D0" w:rsidRPr="00840922" w:rsidRDefault="003327D0" w:rsidP="003327D0">
            <w:pPr>
              <w:pStyle w:val="TableTextLeft"/>
              <w:rPr>
                <w:rFonts w:cs="Calibri"/>
                <w:sz w:val="20"/>
              </w:rPr>
            </w:pPr>
            <w:r w:rsidRPr="00840922">
              <w:t>Aus.</w:t>
            </w:r>
          </w:p>
        </w:tc>
        <w:tc>
          <w:tcPr>
            <w:tcW w:w="2271" w:type="dxa"/>
            <w:tcBorders>
              <w:bottom w:val="single" w:sz="4" w:space="0" w:color="3A6FAF" w:themeColor="accent2"/>
            </w:tcBorders>
            <w:shd w:val="clear" w:color="000000" w:fill="FFFFFF"/>
            <w:noWrap/>
            <w:hideMark/>
          </w:tcPr>
          <w:p w14:paraId="7952CE36" w14:textId="4E6CFE46" w:rsidR="003327D0" w:rsidRPr="008E1728" w:rsidRDefault="00C2163E" w:rsidP="003327D0">
            <w:pPr>
              <w:pStyle w:val="TableTextRight"/>
              <w:rPr>
                <w:rFonts w:cs="Calibri"/>
                <w:sz w:val="20"/>
              </w:rPr>
            </w:pPr>
            <w:r w:rsidRPr="00A45B8D">
              <w:t>27.</w:t>
            </w:r>
            <w:r w:rsidR="00E70D44" w:rsidRPr="00473B80">
              <w:t>7</w:t>
            </w:r>
          </w:p>
        </w:tc>
        <w:tc>
          <w:tcPr>
            <w:tcW w:w="2271" w:type="dxa"/>
            <w:tcBorders>
              <w:bottom w:val="single" w:sz="4" w:space="0" w:color="3A6FAF" w:themeColor="accent2"/>
            </w:tcBorders>
            <w:shd w:val="clear" w:color="000000" w:fill="FFFFFF"/>
            <w:noWrap/>
            <w:hideMark/>
          </w:tcPr>
          <w:p w14:paraId="78BDE3ED" w14:textId="466394E0" w:rsidR="003327D0" w:rsidRPr="008E1728" w:rsidRDefault="00C2163E" w:rsidP="003327D0">
            <w:pPr>
              <w:pStyle w:val="TableTextRight"/>
              <w:rPr>
                <w:rFonts w:cs="Calibri"/>
                <w:sz w:val="20"/>
              </w:rPr>
            </w:pPr>
            <w:r w:rsidRPr="008760A3">
              <w:t>32.</w:t>
            </w:r>
            <w:r w:rsidR="00E70D44" w:rsidRPr="00473B80">
              <w:t>6</w:t>
            </w:r>
          </w:p>
        </w:tc>
      </w:tr>
    </w:tbl>
    <w:p w14:paraId="08EA9723" w14:textId="6F85E2F4" w:rsidR="003327D0" w:rsidRDefault="003327D0" w:rsidP="003327D0">
      <w:pPr>
        <w:pStyle w:val="SingleParagraph"/>
        <w:rPr>
          <w:sz w:val="18"/>
          <w:szCs w:val="16"/>
        </w:rPr>
      </w:pPr>
      <w:r>
        <w:rPr>
          <w:sz w:val="18"/>
          <w:szCs w:val="16"/>
        </w:rPr>
        <w:t xml:space="preserve">Data underlying </w:t>
      </w:r>
      <w:r w:rsidR="00066FC6">
        <w:rPr>
          <w:sz w:val="18"/>
          <w:szCs w:val="16"/>
        </w:rPr>
        <w:t>F</w:t>
      </w:r>
      <w:r w:rsidRPr="00734FA1">
        <w:rPr>
          <w:sz w:val="18"/>
          <w:szCs w:val="16"/>
        </w:rPr>
        <w:t xml:space="preserve">igure </w:t>
      </w:r>
      <w:r w:rsidR="00D05AE7">
        <w:rPr>
          <w:sz w:val="18"/>
          <w:szCs w:val="16"/>
        </w:rPr>
        <w:t>6</w:t>
      </w:r>
      <w:r>
        <w:rPr>
          <w:sz w:val="18"/>
          <w:szCs w:val="16"/>
        </w:rPr>
        <w:t>a</w:t>
      </w:r>
      <w:r w:rsidR="004133D6">
        <w:rPr>
          <w:sz w:val="18"/>
          <w:szCs w:val="16"/>
        </w:rPr>
        <w:t>.</w:t>
      </w:r>
    </w:p>
    <w:p w14:paraId="0F5AA7C5" w14:textId="429362E1" w:rsidR="00C00AD1" w:rsidRPr="00930FEB" w:rsidRDefault="00C00AD1" w:rsidP="003327D0">
      <w:pPr>
        <w:pStyle w:val="SingleParagraph"/>
        <w:rPr>
          <w:sz w:val="18"/>
          <w:szCs w:val="16"/>
        </w:rPr>
      </w:pPr>
      <w:r>
        <w:rPr>
          <w:sz w:val="18"/>
          <w:szCs w:val="16"/>
        </w:rPr>
        <w:t xml:space="preserve">Note: </w:t>
      </w:r>
      <w:r w:rsidR="00623527" w:rsidRPr="00930FEB">
        <w:rPr>
          <w:sz w:val="18"/>
          <w:szCs w:val="16"/>
        </w:rPr>
        <w:t>Pre</w:t>
      </w:r>
      <w:r w:rsidR="0038520A">
        <w:rPr>
          <w:sz w:val="18"/>
          <w:szCs w:val="16"/>
        </w:rPr>
        <w:noBreakHyphen/>
      </w:r>
      <w:r w:rsidR="00623527" w:rsidRPr="00930FEB">
        <w:rPr>
          <w:sz w:val="18"/>
          <w:szCs w:val="16"/>
        </w:rPr>
        <w:t>COVID employment given by average employment in the year to February 2020.</w:t>
      </w:r>
      <w:r>
        <w:rPr>
          <w:sz w:val="18"/>
          <w:szCs w:val="16"/>
        </w:rPr>
        <w:t xml:space="preserve"> Count of individuals supported by JobKeeper is the monthly average from April to September 2020</w:t>
      </w:r>
      <w:r w:rsidR="004133D6">
        <w:rPr>
          <w:sz w:val="18"/>
          <w:szCs w:val="16"/>
        </w:rPr>
        <w:t>.</w:t>
      </w:r>
    </w:p>
    <w:p w14:paraId="2AB4DFB3" w14:textId="424B3759" w:rsidR="003327D0" w:rsidRPr="008B5117" w:rsidRDefault="003327D0" w:rsidP="003327D0">
      <w:pPr>
        <w:pStyle w:val="ChartorTableNote"/>
      </w:pPr>
      <w:r w:rsidRPr="005C70E0">
        <w:t>Source:</w:t>
      </w:r>
      <w:r>
        <w:t xml:space="preserve"> </w:t>
      </w:r>
      <w:r w:rsidRPr="005C70E0">
        <w:t>ATO administrative data</w:t>
      </w:r>
      <w:r>
        <w:t xml:space="preserve"> as 15 August 2021</w:t>
      </w:r>
      <w:r w:rsidR="00167AE5">
        <w:t xml:space="preserve"> and</w:t>
      </w:r>
      <w:r w:rsidRPr="005C70E0">
        <w:t xml:space="preserve"> ABS Labour Force, Australia, Detailed, Quarterly, May 2021 (Cat. No. 6291.0.55.003).</w:t>
      </w:r>
    </w:p>
    <w:p w14:paraId="0E3C9131" w14:textId="77777777" w:rsidR="003327D0" w:rsidRDefault="003327D0" w:rsidP="008B271B">
      <w:pPr>
        <w:pStyle w:val="SingleParagraph"/>
      </w:pPr>
    </w:p>
    <w:p w14:paraId="6922F9DF" w14:textId="69FB79AD" w:rsidR="006C129B" w:rsidRDefault="00AC0721" w:rsidP="00AB3B50">
      <w:pPr>
        <w:pStyle w:val="TableSecondHeading"/>
      </w:pPr>
      <w:bookmarkStart w:id="210" w:name="_Toc84842599"/>
      <w:r>
        <w:t xml:space="preserve">b. </w:t>
      </w:r>
      <w:r w:rsidR="008E791F" w:rsidRPr="002C73BA">
        <w:t>Share of total employment</w:t>
      </w:r>
      <w:bookmarkEnd w:id="210"/>
      <w:r w:rsidR="008E791F" w:rsidDel="008E791F">
        <w:t xml:space="preserve"> </w:t>
      </w:r>
    </w:p>
    <w:tbl>
      <w:tblPr>
        <w:tblW w:w="5000" w:type="pct"/>
        <w:tblLook w:val="04A0" w:firstRow="1" w:lastRow="0" w:firstColumn="1" w:lastColumn="0" w:noHBand="0" w:noVBand="1"/>
      </w:tblPr>
      <w:tblGrid>
        <w:gridCol w:w="1188"/>
        <w:gridCol w:w="1313"/>
        <w:gridCol w:w="1314"/>
        <w:gridCol w:w="1314"/>
        <w:gridCol w:w="1314"/>
        <w:gridCol w:w="1314"/>
        <w:gridCol w:w="1314"/>
      </w:tblGrid>
      <w:tr w:rsidR="006C129B" w:rsidRPr="005566B0" w14:paraId="21701E79" w14:textId="77777777" w:rsidTr="004325F3">
        <w:trPr>
          <w:trHeight w:val="252"/>
        </w:trPr>
        <w:tc>
          <w:tcPr>
            <w:tcW w:w="1188" w:type="dxa"/>
            <w:tcBorders>
              <w:top w:val="single" w:sz="4" w:space="0" w:color="3A6FAF" w:themeColor="accent2"/>
              <w:bottom w:val="single" w:sz="4" w:space="0" w:color="3A6FAF" w:themeColor="accent2"/>
            </w:tcBorders>
            <w:shd w:val="clear" w:color="000000" w:fill="FFFFFF"/>
            <w:noWrap/>
            <w:hideMark/>
          </w:tcPr>
          <w:p w14:paraId="7DD8D353" w14:textId="0750B373" w:rsidR="006C129B" w:rsidRPr="00C25C42" w:rsidRDefault="006C129B" w:rsidP="00646190">
            <w:pPr>
              <w:pStyle w:val="TableColumnHeadingLeft"/>
              <w:rPr>
                <w:rFonts w:cs="Calibri"/>
              </w:rPr>
            </w:pPr>
            <w:r>
              <w:t> </w:t>
            </w:r>
            <w:r w:rsidR="00DC400F" w:rsidRPr="00C25C42">
              <w:rPr>
                <w:rFonts w:cs="Calibri"/>
              </w:rPr>
              <w:t xml:space="preserve">State </w:t>
            </w:r>
          </w:p>
        </w:tc>
        <w:tc>
          <w:tcPr>
            <w:tcW w:w="1313" w:type="dxa"/>
            <w:tcBorders>
              <w:top w:val="single" w:sz="4" w:space="0" w:color="3A6FAF" w:themeColor="accent2"/>
              <w:bottom w:val="single" w:sz="4" w:space="0" w:color="3A6FAF" w:themeColor="accent2"/>
            </w:tcBorders>
            <w:shd w:val="clear" w:color="000000" w:fill="FFFFFF"/>
            <w:noWrap/>
            <w:hideMark/>
          </w:tcPr>
          <w:p w14:paraId="3F05166E" w14:textId="77777777" w:rsidR="004325F3" w:rsidRDefault="006C129B" w:rsidP="00646190">
            <w:pPr>
              <w:pStyle w:val="TableColumnHeadingRight"/>
            </w:pPr>
            <w:r>
              <w:t>April</w:t>
            </w:r>
          </w:p>
          <w:p w14:paraId="023005E7" w14:textId="1509AA47" w:rsidR="006C129B" w:rsidRPr="00C25C42" w:rsidRDefault="006C129B" w:rsidP="00646190">
            <w:pPr>
              <w:pStyle w:val="TableColumnHeadingRight"/>
              <w:rPr>
                <w:rFonts w:cs="Calibri"/>
              </w:rPr>
            </w:pPr>
            <w:r w:rsidRPr="00C25C42">
              <w:rPr>
                <w:rFonts w:cs="Calibri"/>
              </w:rPr>
              <w:t>%</w:t>
            </w:r>
          </w:p>
        </w:tc>
        <w:tc>
          <w:tcPr>
            <w:tcW w:w="1314" w:type="dxa"/>
            <w:tcBorders>
              <w:top w:val="single" w:sz="4" w:space="0" w:color="3A6FAF" w:themeColor="accent2"/>
              <w:bottom w:val="single" w:sz="4" w:space="0" w:color="3A6FAF" w:themeColor="accent2"/>
            </w:tcBorders>
            <w:shd w:val="clear" w:color="000000" w:fill="FFFFFF"/>
            <w:noWrap/>
            <w:hideMark/>
          </w:tcPr>
          <w:p w14:paraId="310A63DC" w14:textId="77777777" w:rsidR="004325F3" w:rsidRDefault="006C129B" w:rsidP="00646190">
            <w:pPr>
              <w:pStyle w:val="TableColumnHeadingRight"/>
            </w:pPr>
            <w:r>
              <w:t>May</w:t>
            </w:r>
          </w:p>
          <w:p w14:paraId="075F0E04" w14:textId="4D3165C3" w:rsidR="006C129B" w:rsidRPr="00C25C42" w:rsidRDefault="006C129B" w:rsidP="00646190">
            <w:pPr>
              <w:pStyle w:val="TableColumnHeadingRight"/>
              <w:rPr>
                <w:rFonts w:cs="Calibri"/>
              </w:rPr>
            </w:pPr>
            <w:r w:rsidRPr="00C25C42">
              <w:rPr>
                <w:rFonts w:cs="Calibri"/>
              </w:rPr>
              <w:t>%</w:t>
            </w:r>
          </w:p>
        </w:tc>
        <w:tc>
          <w:tcPr>
            <w:tcW w:w="1314" w:type="dxa"/>
            <w:tcBorders>
              <w:top w:val="single" w:sz="4" w:space="0" w:color="3A6FAF" w:themeColor="accent2"/>
              <w:bottom w:val="single" w:sz="4" w:space="0" w:color="3A6FAF" w:themeColor="accent2"/>
            </w:tcBorders>
            <w:shd w:val="clear" w:color="000000" w:fill="FFFFFF"/>
            <w:vAlign w:val="bottom"/>
          </w:tcPr>
          <w:p w14:paraId="55F942DD" w14:textId="77777777" w:rsidR="004325F3" w:rsidRDefault="00C96DAB" w:rsidP="00646190">
            <w:pPr>
              <w:pStyle w:val="TableColumnHeadingRight"/>
            </w:pPr>
            <w:r>
              <w:t>June</w:t>
            </w:r>
          </w:p>
          <w:p w14:paraId="64A9718A" w14:textId="0FFD4963" w:rsidR="006C129B" w:rsidRPr="00C25C42" w:rsidRDefault="00C96DAB" w:rsidP="00646190">
            <w:pPr>
              <w:pStyle w:val="TableColumnHeadingRight"/>
              <w:rPr>
                <w:rFonts w:cs="Calibri"/>
              </w:rPr>
            </w:pPr>
            <w:r w:rsidRPr="00C25C42">
              <w:rPr>
                <w:rFonts w:cs="Calibri"/>
              </w:rPr>
              <w:t>%</w:t>
            </w:r>
          </w:p>
        </w:tc>
        <w:tc>
          <w:tcPr>
            <w:tcW w:w="1314" w:type="dxa"/>
            <w:tcBorders>
              <w:top w:val="single" w:sz="4" w:space="0" w:color="3A6FAF" w:themeColor="accent2"/>
              <w:bottom w:val="single" w:sz="4" w:space="0" w:color="3A6FAF" w:themeColor="accent2"/>
            </w:tcBorders>
            <w:shd w:val="clear" w:color="000000" w:fill="FFFFFF"/>
            <w:noWrap/>
            <w:vAlign w:val="bottom"/>
            <w:hideMark/>
          </w:tcPr>
          <w:p w14:paraId="62D2B241" w14:textId="77777777" w:rsidR="004325F3" w:rsidRPr="00C25C42" w:rsidRDefault="00C96DAB" w:rsidP="00646190">
            <w:pPr>
              <w:pStyle w:val="TableColumnHeadingRight"/>
              <w:rPr>
                <w:rFonts w:cs="Calibri"/>
              </w:rPr>
            </w:pPr>
            <w:r>
              <w:t>July</w:t>
            </w:r>
          </w:p>
          <w:p w14:paraId="5375B3E8" w14:textId="01E0B92C" w:rsidR="006C129B" w:rsidRPr="00C25C42" w:rsidRDefault="006C129B" w:rsidP="00646190">
            <w:pPr>
              <w:pStyle w:val="TableColumnHeadingRight"/>
              <w:rPr>
                <w:rFonts w:cs="Calibri"/>
              </w:rPr>
            </w:pPr>
            <w:r w:rsidRPr="00C25C42">
              <w:rPr>
                <w:rFonts w:cs="Calibri"/>
              </w:rPr>
              <w:t>%</w:t>
            </w:r>
          </w:p>
        </w:tc>
        <w:tc>
          <w:tcPr>
            <w:tcW w:w="1314" w:type="dxa"/>
            <w:tcBorders>
              <w:top w:val="single" w:sz="4" w:space="0" w:color="3A6FAF" w:themeColor="accent2"/>
              <w:bottom w:val="single" w:sz="4" w:space="0" w:color="3A6FAF" w:themeColor="accent2"/>
            </w:tcBorders>
            <w:shd w:val="clear" w:color="000000" w:fill="FFFFFF"/>
            <w:noWrap/>
            <w:vAlign w:val="bottom"/>
            <w:hideMark/>
          </w:tcPr>
          <w:p w14:paraId="601572E7" w14:textId="19CC6AA0" w:rsidR="004325F3" w:rsidRPr="00C25C42" w:rsidRDefault="00C96DAB" w:rsidP="00646190">
            <w:pPr>
              <w:pStyle w:val="TableColumnHeadingRight"/>
              <w:rPr>
                <w:rFonts w:cs="Calibri"/>
              </w:rPr>
            </w:pPr>
            <w:r>
              <w:t>Aug</w:t>
            </w:r>
            <w:r w:rsidR="004325F3">
              <w:t>ust</w:t>
            </w:r>
          </w:p>
          <w:p w14:paraId="6583B4B4" w14:textId="473EA24A" w:rsidR="006C129B" w:rsidRPr="00C25C42" w:rsidRDefault="006C129B" w:rsidP="00646190">
            <w:pPr>
              <w:pStyle w:val="TableColumnHeadingRight"/>
              <w:rPr>
                <w:rFonts w:cs="Calibri"/>
              </w:rPr>
            </w:pPr>
            <w:r w:rsidRPr="00C25C42">
              <w:rPr>
                <w:rFonts w:cs="Calibri"/>
              </w:rPr>
              <w:t>%</w:t>
            </w:r>
          </w:p>
        </w:tc>
        <w:tc>
          <w:tcPr>
            <w:tcW w:w="1314" w:type="dxa"/>
            <w:tcBorders>
              <w:top w:val="single" w:sz="4" w:space="0" w:color="3A6FAF" w:themeColor="accent2"/>
              <w:bottom w:val="single" w:sz="4" w:space="0" w:color="3A6FAF" w:themeColor="accent2"/>
            </w:tcBorders>
            <w:shd w:val="clear" w:color="000000" w:fill="FFFFFF"/>
            <w:noWrap/>
            <w:vAlign w:val="bottom"/>
            <w:hideMark/>
          </w:tcPr>
          <w:p w14:paraId="4964FF24" w14:textId="5F191181" w:rsidR="004325F3" w:rsidRPr="00C25C42" w:rsidRDefault="00C96DAB" w:rsidP="00646190">
            <w:pPr>
              <w:pStyle w:val="TableColumnHeadingRight"/>
              <w:rPr>
                <w:rFonts w:cs="Calibri"/>
              </w:rPr>
            </w:pPr>
            <w:r>
              <w:t>Se</w:t>
            </w:r>
            <w:r w:rsidRPr="00C25C42">
              <w:rPr>
                <w:rFonts w:cs="Calibri"/>
              </w:rPr>
              <w:t>pt</w:t>
            </w:r>
            <w:r w:rsidR="004325F3" w:rsidRPr="00C25C42">
              <w:rPr>
                <w:rFonts w:cs="Calibri"/>
              </w:rPr>
              <w:t>ember</w:t>
            </w:r>
          </w:p>
          <w:p w14:paraId="08B84D0A" w14:textId="030900EC" w:rsidR="006C129B" w:rsidRPr="00C25C42" w:rsidRDefault="006C129B" w:rsidP="00646190">
            <w:pPr>
              <w:pStyle w:val="TableColumnHeadingRight"/>
              <w:rPr>
                <w:rFonts w:cs="Calibri"/>
              </w:rPr>
            </w:pPr>
            <w:r w:rsidRPr="00C25C42">
              <w:rPr>
                <w:rFonts w:cs="Calibri"/>
              </w:rPr>
              <w:t>%</w:t>
            </w:r>
          </w:p>
        </w:tc>
      </w:tr>
      <w:tr w:rsidR="006C129B" w:rsidRPr="005566B0" w14:paraId="130CC1C6" w14:textId="77777777" w:rsidTr="004325F3">
        <w:trPr>
          <w:trHeight w:val="252"/>
        </w:trPr>
        <w:tc>
          <w:tcPr>
            <w:tcW w:w="1188" w:type="dxa"/>
            <w:tcBorders>
              <w:top w:val="single" w:sz="4" w:space="0" w:color="3A6FAF" w:themeColor="accent2"/>
            </w:tcBorders>
            <w:shd w:val="clear" w:color="000000" w:fill="FFFFFF"/>
            <w:noWrap/>
            <w:hideMark/>
          </w:tcPr>
          <w:p w14:paraId="654DD761" w14:textId="77777777" w:rsidR="006C129B" w:rsidRPr="00E62225" w:rsidRDefault="006C129B" w:rsidP="00646190">
            <w:pPr>
              <w:pStyle w:val="TableTextLeft"/>
              <w:rPr>
                <w:rFonts w:asciiTheme="minorHAnsi" w:hAnsiTheme="minorHAnsi" w:cstheme="minorHAnsi"/>
                <w:szCs w:val="18"/>
              </w:rPr>
            </w:pPr>
            <w:r w:rsidRPr="00E62225">
              <w:rPr>
                <w:rFonts w:asciiTheme="minorHAnsi" w:hAnsiTheme="minorHAnsi" w:cstheme="minorHAnsi"/>
                <w:szCs w:val="18"/>
              </w:rPr>
              <w:t>NSW</w:t>
            </w:r>
          </w:p>
        </w:tc>
        <w:tc>
          <w:tcPr>
            <w:tcW w:w="1313" w:type="dxa"/>
            <w:tcBorders>
              <w:top w:val="single" w:sz="4" w:space="0" w:color="3A6FAF" w:themeColor="accent2"/>
            </w:tcBorders>
            <w:shd w:val="clear" w:color="000000" w:fill="FFFFFF"/>
            <w:noWrap/>
            <w:hideMark/>
          </w:tcPr>
          <w:p w14:paraId="764C92C1" w14:textId="354AB49A" w:rsidR="006C129B" w:rsidRPr="004325F3" w:rsidRDefault="006C129B" w:rsidP="00646190">
            <w:pPr>
              <w:pStyle w:val="TableTextRight"/>
              <w:rPr>
                <w:rFonts w:cs="Calibri"/>
                <w:szCs w:val="18"/>
              </w:rPr>
            </w:pPr>
            <w:r w:rsidRPr="00CC7A63">
              <w:t>28</w:t>
            </w:r>
            <w:r w:rsidR="008935CC" w:rsidRPr="00CC7A63">
              <w:t>.</w:t>
            </w:r>
            <w:r w:rsidR="00E70D44" w:rsidRPr="00CC7A63">
              <w:t>1</w:t>
            </w:r>
          </w:p>
        </w:tc>
        <w:tc>
          <w:tcPr>
            <w:tcW w:w="1314" w:type="dxa"/>
            <w:tcBorders>
              <w:top w:val="single" w:sz="4" w:space="0" w:color="3A6FAF" w:themeColor="accent2"/>
            </w:tcBorders>
            <w:shd w:val="clear" w:color="000000" w:fill="FFFFFF"/>
            <w:noWrap/>
            <w:hideMark/>
          </w:tcPr>
          <w:p w14:paraId="72A6F33E" w14:textId="1619C765" w:rsidR="006C129B" w:rsidRPr="004325F3" w:rsidRDefault="008935CC" w:rsidP="00646190">
            <w:pPr>
              <w:pStyle w:val="TableTextRight"/>
              <w:rPr>
                <w:rFonts w:cs="Calibri"/>
                <w:szCs w:val="18"/>
              </w:rPr>
            </w:pPr>
            <w:r>
              <w:t>29.</w:t>
            </w:r>
            <w:r w:rsidR="00E70D44" w:rsidRPr="00CC7A63">
              <w:t>7</w:t>
            </w:r>
          </w:p>
        </w:tc>
        <w:tc>
          <w:tcPr>
            <w:tcW w:w="1314" w:type="dxa"/>
            <w:tcBorders>
              <w:top w:val="single" w:sz="4" w:space="0" w:color="3A6FAF" w:themeColor="accent2"/>
            </w:tcBorders>
            <w:shd w:val="clear" w:color="000000" w:fill="FFFFFF"/>
          </w:tcPr>
          <w:p w14:paraId="09CE788E" w14:textId="760322E3" w:rsidR="006C129B" w:rsidRPr="004325F3" w:rsidRDefault="008935CC" w:rsidP="00646190">
            <w:pPr>
              <w:pStyle w:val="TableTextRight"/>
              <w:rPr>
                <w:rFonts w:cs="Calibri"/>
                <w:szCs w:val="18"/>
              </w:rPr>
            </w:pPr>
            <w:r w:rsidRPr="004B0D9E">
              <w:t>30.</w:t>
            </w:r>
            <w:r w:rsidR="00E70D44" w:rsidRPr="00CC7A63">
              <w:t>1</w:t>
            </w:r>
          </w:p>
        </w:tc>
        <w:tc>
          <w:tcPr>
            <w:tcW w:w="1314" w:type="dxa"/>
            <w:tcBorders>
              <w:top w:val="single" w:sz="4" w:space="0" w:color="3A6FAF" w:themeColor="accent2"/>
            </w:tcBorders>
            <w:shd w:val="clear" w:color="000000" w:fill="FFFFFF"/>
            <w:noWrap/>
            <w:hideMark/>
          </w:tcPr>
          <w:p w14:paraId="50F389C5" w14:textId="715E5D51" w:rsidR="006C129B" w:rsidRPr="004325F3" w:rsidRDefault="008935CC" w:rsidP="00646190">
            <w:pPr>
              <w:pStyle w:val="TableTextRight"/>
              <w:rPr>
                <w:rFonts w:cs="Calibri"/>
                <w:szCs w:val="18"/>
              </w:rPr>
            </w:pPr>
            <w:r w:rsidRPr="008A6020">
              <w:t>30.</w:t>
            </w:r>
            <w:r w:rsidR="00E70D44" w:rsidRPr="00CC7A63">
              <w:t>1</w:t>
            </w:r>
          </w:p>
        </w:tc>
        <w:tc>
          <w:tcPr>
            <w:tcW w:w="1314" w:type="dxa"/>
            <w:tcBorders>
              <w:top w:val="single" w:sz="4" w:space="0" w:color="3A6FAF" w:themeColor="accent2"/>
            </w:tcBorders>
            <w:shd w:val="clear" w:color="000000" w:fill="FFFFFF"/>
            <w:noWrap/>
            <w:hideMark/>
          </w:tcPr>
          <w:p w14:paraId="29F92E86" w14:textId="4C2EDA32" w:rsidR="006C129B" w:rsidRPr="004325F3" w:rsidRDefault="008935CC" w:rsidP="00646190">
            <w:pPr>
              <w:pStyle w:val="TableTextRight"/>
              <w:rPr>
                <w:rFonts w:cs="Calibri"/>
                <w:szCs w:val="18"/>
              </w:rPr>
            </w:pPr>
            <w:r w:rsidRPr="000164D7">
              <w:t>29.</w:t>
            </w:r>
            <w:r w:rsidR="00E70D44" w:rsidRPr="00CC7A63">
              <w:t>6</w:t>
            </w:r>
          </w:p>
        </w:tc>
        <w:tc>
          <w:tcPr>
            <w:tcW w:w="1314" w:type="dxa"/>
            <w:tcBorders>
              <w:top w:val="single" w:sz="4" w:space="0" w:color="3A6FAF" w:themeColor="accent2"/>
            </w:tcBorders>
            <w:shd w:val="clear" w:color="000000" w:fill="FFFFFF"/>
            <w:noWrap/>
            <w:hideMark/>
          </w:tcPr>
          <w:p w14:paraId="577A89FE" w14:textId="3C758E0D" w:rsidR="006C129B" w:rsidRPr="004325F3" w:rsidRDefault="008935CC" w:rsidP="00646190">
            <w:pPr>
              <w:pStyle w:val="TableTextRight"/>
              <w:rPr>
                <w:rFonts w:cs="Calibri"/>
                <w:szCs w:val="18"/>
              </w:rPr>
            </w:pPr>
            <w:r w:rsidRPr="007D72A3">
              <w:t>29.</w:t>
            </w:r>
            <w:r w:rsidR="00E70D44" w:rsidRPr="00CC7A63">
              <w:t>2</w:t>
            </w:r>
          </w:p>
        </w:tc>
      </w:tr>
      <w:tr w:rsidR="006C129B" w:rsidRPr="005566B0" w14:paraId="44026723" w14:textId="77777777" w:rsidTr="004325F3">
        <w:trPr>
          <w:trHeight w:val="252"/>
        </w:trPr>
        <w:tc>
          <w:tcPr>
            <w:tcW w:w="1188" w:type="dxa"/>
            <w:shd w:val="clear" w:color="000000" w:fill="FFFFFF"/>
            <w:noWrap/>
            <w:hideMark/>
          </w:tcPr>
          <w:p w14:paraId="6B727D01" w14:textId="77777777" w:rsidR="006C129B" w:rsidRPr="00E62225" w:rsidRDefault="006C129B" w:rsidP="00646190">
            <w:pPr>
              <w:pStyle w:val="TableTextLeft"/>
              <w:rPr>
                <w:rFonts w:asciiTheme="minorHAnsi" w:hAnsiTheme="minorHAnsi" w:cstheme="minorHAnsi"/>
                <w:szCs w:val="18"/>
              </w:rPr>
            </w:pPr>
            <w:r w:rsidRPr="00E62225">
              <w:rPr>
                <w:rFonts w:asciiTheme="minorHAnsi" w:hAnsiTheme="minorHAnsi" w:cstheme="minorHAnsi"/>
                <w:szCs w:val="18"/>
              </w:rPr>
              <w:t>VIC</w:t>
            </w:r>
          </w:p>
        </w:tc>
        <w:tc>
          <w:tcPr>
            <w:tcW w:w="1313" w:type="dxa"/>
            <w:shd w:val="clear" w:color="000000" w:fill="FFFFFF"/>
            <w:noWrap/>
            <w:hideMark/>
          </w:tcPr>
          <w:p w14:paraId="2232726C" w14:textId="04D7530E" w:rsidR="006C129B" w:rsidRPr="004325F3" w:rsidRDefault="006C129B" w:rsidP="00646190">
            <w:pPr>
              <w:pStyle w:val="TableTextRight"/>
              <w:rPr>
                <w:rFonts w:cs="Calibri"/>
                <w:szCs w:val="18"/>
              </w:rPr>
            </w:pPr>
            <w:r w:rsidRPr="00CC7A63">
              <w:t>28</w:t>
            </w:r>
            <w:r w:rsidR="008935CC" w:rsidRPr="00CC7A63">
              <w:t>.</w:t>
            </w:r>
            <w:r w:rsidR="00E70D44" w:rsidRPr="00CC7A63">
              <w:t>4</w:t>
            </w:r>
          </w:p>
        </w:tc>
        <w:tc>
          <w:tcPr>
            <w:tcW w:w="1314" w:type="dxa"/>
            <w:shd w:val="clear" w:color="000000" w:fill="FFFFFF"/>
            <w:noWrap/>
            <w:hideMark/>
          </w:tcPr>
          <w:p w14:paraId="045C51CF" w14:textId="5399FAC1" w:rsidR="006C129B" w:rsidRPr="004325F3" w:rsidRDefault="006C129B" w:rsidP="00646190">
            <w:pPr>
              <w:pStyle w:val="TableTextRight"/>
              <w:rPr>
                <w:rFonts w:cs="Calibri"/>
                <w:szCs w:val="18"/>
              </w:rPr>
            </w:pPr>
            <w:r w:rsidRPr="004E140F">
              <w:t>30</w:t>
            </w:r>
            <w:r w:rsidR="008935CC">
              <w:t>.</w:t>
            </w:r>
            <w:r w:rsidR="00E70D44" w:rsidRPr="00CC7A63">
              <w:t>2</w:t>
            </w:r>
          </w:p>
        </w:tc>
        <w:tc>
          <w:tcPr>
            <w:tcW w:w="1314" w:type="dxa"/>
            <w:shd w:val="clear" w:color="000000" w:fill="FFFFFF"/>
          </w:tcPr>
          <w:p w14:paraId="64BB2AFE" w14:textId="5535A091" w:rsidR="006C129B" w:rsidRPr="004325F3" w:rsidRDefault="008935CC" w:rsidP="00646190">
            <w:pPr>
              <w:pStyle w:val="TableTextRight"/>
              <w:rPr>
                <w:rFonts w:cs="Calibri"/>
                <w:szCs w:val="18"/>
              </w:rPr>
            </w:pPr>
            <w:r w:rsidRPr="004B0D9E">
              <w:t>30.</w:t>
            </w:r>
            <w:r w:rsidR="00E70D44" w:rsidRPr="00CC7A63">
              <w:t>7</w:t>
            </w:r>
          </w:p>
        </w:tc>
        <w:tc>
          <w:tcPr>
            <w:tcW w:w="1314" w:type="dxa"/>
            <w:shd w:val="clear" w:color="000000" w:fill="FFFFFF"/>
            <w:noWrap/>
            <w:hideMark/>
          </w:tcPr>
          <w:p w14:paraId="7B6D4656" w14:textId="055DCE72" w:rsidR="006C129B" w:rsidRPr="004325F3" w:rsidRDefault="008935CC" w:rsidP="00646190">
            <w:pPr>
              <w:pStyle w:val="TableTextRight"/>
              <w:rPr>
                <w:rFonts w:cs="Calibri"/>
                <w:szCs w:val="18"/>
              </w:rPr>
            </w:pPr>
            <w:r w:rsidRPr="008A6020">
              <w:t>31.</w:t>
            </w:r>
            <w:r w:rsidR="00E70D44" w:rsidRPr="00CC7A63">
              <w:t>3</w:t>
            </w:r>
          </w:p>
        </w:tc>
        <w:tc>
          <w:tcPr>
            <w:tcW w:w="1314" w:type="dxa"/>
            <w:shd w:val="clear" w:color="000000" w:fill="FFFFFF"/>
            <w:noWrap/>
            <w:hideMark/>
          </w:tcPr>
          <w:p w14:paraId="2A3038F2" w14:textId="7AC590E0" w:rsidR="006C129B" w:rsidRPr="004325F3" w:rsidRDefault="008935CC" w:rsidP="00646190">
            <w:pPr>
              <w:pStyle w:val="TableTextRight"/>
              <w:rPr>
                <w:rFonts w:cs="Calibri"/>
                <w:szCs w:val="18"/>
              </w:rPr>
            </w:pPr>
            <w:r w:rsidRPr="000164D7">
              <w:t>32.</w:t>
            </w:r>
            <w:r w:rsidR="00E70D44" w:rsidRPr="00CC7A63">
              <w:t>8</w:t>
            </w:r>
          </w:p>
        </w:tc>
        <w:tc>
          <w:tcPr>
            <w:tcW w:w="1314" w:type="dxa"/>
            <w:shd w:val="clear" w:color="000000" w:fill="FFFFFF"/>
            <w:noWrap/>
            <w:hideMark/>
          </w:tcPr>
          <w:p w14:paraId="17055E61" w14:textId="0853DAB0" w:rsidR="006C129B" w:rsidRPr="004325F3" w:rsidRDefault="008935CC" w:rsidP="00646190">
            <w:pPr>
              <w:pStyle w:val="TableTextRight"/>
              <w:rPr>
                <w:rFonts w:cs="Calibri"/>
                <w:szCs w:val="18"/>
              </w:rPr>
            </w:pPr>
            <w:r w:rsidRPr="007D72A3">
              <w:t>33.</w:t>
            </w:r>
            <w:r w:rsidR="00E70D44" w:rsidRPr="00CC7A63">
              <w:t>1</w:t>
            </w:r>
          </w:p>
        </w:tc>
      </w:tr>
      <w:tr w:rsidR="006C129B" w:rsidRPr="008B5117" w14:paraId="3D23A17A" w14:textId="77777777" w:rsidTr="004325F3">
        <w:trPr>
          <w:trHeight w:val="252"/>
        </w:trPr>
        <w:tc>
          <w:tcPr>
            <w:tcW w:w="1188" w:type="dxa"/>
            <w:shd w:val="clear" w:color="000000" w:fill="FFFFFF"/>
            <w:noWrap/>
            <w:hideMark/>
          </w:tcPr>
          <w:p w14:paraId="2B3B7086" w14:textId="77777777" w:rsidR="006C129B" w:rsidRPr="00E62225" w:rsidRDefault="006C129B" w:rsidP="00646190">
            <w:pPr>
              <w:pStyle w:val="TableTextLeft"/>
              <w:rPr>
                <w:rFonts w:asciiTheme="minorHAnsi" w:hAnsiTheme="minorHAnsi" w:cstheme="minorHAnsi"/>
                <w:szCs w:val="18"/>
              </w:rPr>
            </w:pPr>
            <w:r w:rsidRPr="00E62225">
              <w:rPr>
                <w:rFonts w:asciiTheme="minorHAnsi" w:hAnsiTheme="minorHAnsi" w:cstheme="minorHAnsi"/>
                <w:szCs w:val="18"/>
              </w:rPr>
              <w:t>QLD</w:t>
            </w:r>
          </w:p>
        </w:tc>
        <w:tc>
          <w:tcPr>
            <w:tcW w:w="1313" w:type="dxa"/>
            <w:shd w:val="clear" w:color="000000" w:fill="FFFFFF"/>
            <w:noWrap/>
            <w:hideMark/>
          </w:tcPr>
          <w:p w14:paraId="2258911C" w14:textId="13F9486A" w:rsidR="006C129B" w:rsidRPr="004325F3" w:rsidRDefault="006C129B" w:rsidP="00646190">
            <w:pPr>
              <w:pStyle w:val="TableTextRight"/>
              <w:rPr>
                <w:rFonts w:cs="Calibri"/>
                <w:szCs w:val="18"/>
              </w:rPr>
            </w:pPr>
            <w:r w:rsidRPr="00CC7A63">
              <w:t>25</w:t>
            </w:r>
            <w:r w:rsidR="008935CC" w:rsidRPr="00CC7A63">
              <w:t>.</w:t>
            </w:r>
            <w:r w:rsidR="00E70D44" w:rsidRPr="00CC7A63">
              <w:t>2</w:t>
            </w:r>
          </w:p>
        </w:tc>
        <w:tc>
          <w:tcPr>
            <w:tcW w:w="1314" w:type="dxa"/>
            <w:shd w:val="clear" w:color="000000" w:fill="FFFFFF"/>
            <w:noWrap/>
            <w:hideMark/>
          </w:tcPr>
          <w:p w14:paraId="3AC39D23" w14:textId="23E1DABB" w:rsidR="006C129B" w:rsidRPr="004325F3" w:rsidRDefault="008935CC" w:rsidP="00646190">
            <w:pPr>
              <w:pStyle w:val="TableTextRight"/>
              <w:rPr>
                <w:rFonts w:cs="Calibri"/>
                <w:szCs w:val="18"/>
              </w:rPr>
            </w:pPr>
            <w:r w:rsidRPr="004E140F">
              <w:t>2</w:t>
            </w:r>
            <w:r>
              <w:t>6.</w:t>
            </w:r>
            <w:r w:rsidR="00E70D44" w:rsidRPr="00CC7A63">
              <w:t>6</w:t>
            </w:r>
          </w:p>
        </w:tc>
        <w:tc>
          <w:tcPr>
            <w:tcW w:w="1314" w:type="dxa"/>
            <w:shd w:val="clear" w:color="000000" w:fill="FFFFFF"/>
          </w:tcPr>
          <w:p w14:paraId="7D7029DE" w14:textId="2A90EEC8" w:rsidR="006C129B" w:rsidRPr="004325F3" w:rsidRDefault="00E70D44" w:rsidP="00646190">
            <w:pPr>
              <w:pStyle w:val="TableTextRight"/>
              <w:rPr>
                <w:rFonts w:cs="Calibri"/>
                <w:szCs w:val="18"/>
              </w:rPr>
            </w:pPr>
            <w:r w:rsidRPr="00CC7A63">
              <w:t>27.0</w:t>
            </w:r>
          </w:p>
        </w:tc>
        <w:tc>
          <w:tcPr>
            <w:tcW w:w="1314" w:type="dxa"/>
            <w:shd w:val="clear" w:color="000000" w:fill="FFFFFF"/>
            <w:noWrap/>
            <w:hideMark/>
          </w:tcPr>
          <w:p w14:paraId="530327E7" w14:textId="15254700" w:rsidR="006C129B" w:rsidRPr="004325F3" w:rsidRDefault="008935CC" w:rsidP="00646190">
            <w:pPr>
              <w:pStyle w:val="TableTextRight"/>
              <w:rPr>
                <w:rFonts w:cs="Calibri"/>
                <w:szCs w:val="18"/>
              </w:rPr>
            </w:pPr>
            <w:r w:rsidRPr="008A6020">
              <w:t>26.</w:t>
            </w:r>
            <w:r w:rsidR="00E70D44" w:rsidRPr="00CC7A63">
              <w:t>9</w:t>
            </w:r>
          </w:p>
        </w:tc>
        <w:tc>
          <w:tcPr>
            <w:tcW w:w="1314" w:type="dxa"/>
            <w:shd w:val="clear" w:color="000000" w:fill="FFFFFF"/>
            <w:noWrap/>
            <w:hideMark/>
          </w:tcPr>
          <w:p w14:paraId="3B1EA54E" w14:textId="52218465" w:rsidR="006C129B" w:rsidRPr="004325F3" w:rsidRDefault="008935CC" w:rsidP="00646190">
            <w:pPr>
              <w:pStyle w:val="TableTextRight"/>
              <w:rPr>
                <w:rFonts w:cs="Calibri"/>
                <w:szCs w:val="18"/>
              </w:rPr>
            </w:pPr>
            <w:r w:rsidRPr="000164D7">
              <w:t>25.</w:t>
            </w:r>
            <w:r w:rsidR="00E70D44" w:rsidRPr="00CC7A63">
              <w:t>3</w:t>
            </w:r>
          </w:p>
        </w:tc>
        <w:tc>
          <w:tcPr>
            <w:tcW w:w="1314" w:type="dxa"/>
            <w:shd w:val="clear" w:color="000000" w:fill="FFFFFF"/>
            <w:noWrap/>
            <w:hideMark/>
          </w:tcPr>
          <w:p w14:paraId="21B879C1" w14:textId="6AE0F5C6" w:rsidR="006C129B" w:rsidRPr="004325F3" w:rsidRDefault="008935CC" w:rsidP="00646190">
            <w:pPr>
              <w:pStyle w:val="TableTextRight"/>
              <w:rPr>
                <w:rFonts w:cs="Calibri"/>
                <w:szCs w:val="18"/>
              </w:rPr>
            </w:pPr>
            <w:r w:rsidRPr="007D72A3">
              <w:t>24.</w:t>
            </w:r>
            <w:r w:rsidR="00E70D44" w:rsidRPr="00CC7A63">
              <w:t>8</w:t>
            </w:r>
          </w:p>
        </w:tc>
      </w:tr>
      <w:tr w:rsidR="006C129B" w:rsidRPr="008B5117" w14:paraId="2B3832DE" w14:textId="77777777" w:rsidTr="004325F3">
        <w:trPr>
          <w:trHeight w:val="252"/>
        </w:trPr>
        <w:tc>
          <w:tcPr>
            <w:tcW w:w="1188" w:type="dxa"/>
            <w:shd w:val="clear" w:color="000000" w:fill="FFFFFF"/>
            <w:noWrap/>
            <w:hideMark/>
          </w:tcPr>
          <w:p w14:paraId="1AF6A049" w14:textId="77777777" w:rsidR="006C129B" w:rsidRPr="00E62225" w:rsidRDefault="006C129B" w:rsidP="00646190">
            <w:pPr>
              <w:pStyle w:val="TableTextLeft"/>
              <w:rPr>
                <w:rFonts w:asciiTheme="minorHAnsi" w:hAnsiTheme="minorHAnsi" w:cstheme="minorHAnsi"/>
                <w:szCs w:val="18"/>
              </w:rPr>
            </w:pPr>
            <w:r w:rsidRPr="00E62225">
              <w:rPr>
                <w:rFonts w:asciiTheme="minorHAnsi" w:hAnsiTheme="minorHAnsi" w:cstheme="minorHAnsi"/>
                <w:szCs w:val="18"/>
              </w:rPr>
              <w:t>WA</w:t>
            </w:r>
          </w:p>
        </w:tc>
        <w:tc>
          <w:tcPr>
            <w:tcW w:w="1313" w:type="dxa"/>
            <w:shd w:val="clear" w:color="000000" w:fill="FFFFFF"/>
            <w:noWrap/>
            <w:hideMark/>
          </w:tcPr>
          <w:p w14:paraId="026FD7A1" w14:textId="53419A06" w:rsidR="006C129B" w:rsidRPr="004325F3" w:rsidRDefault="006C129B" w:rsidP="00646190">
            <w:pPr>
              <w:pStyle w:val="TableTextRight"/>
              <w:rPr>
                <w:rFonts w:cs="Calibri"/>
                <w:szCs w:val="18"/>
              </w:rPr>
            </w:pPr>
            <w:r w:rsidRPr="00CC7A63">
              <w:t>21</w:t>
            </w:r>
            <w:r w:rsidR="008935CC" w:rsidRPr="00CC7A63">
              <w:t>.</w:t>
            </w:r>
            <w:r w:rsidR="00E70D44" w:rsidRPr="00CC7A63">
              <w:t>2</w:t>
            </w:r>
          </w:p>
        </w:tc>
        <w:tc>
          <w:tcPr>
            <w:tcW w:w="1314" w:type="dxa"/>
            <w:shd w:val="clear" w:color="000000" w:fill="FFFFFF"/>
            <w:noWrap/>
            <w:hideMark/>
          </w:tcPr>
          <w:p w14:paraId="17AFFD6E" w14:textId="2F721C74" w:rsidR="006C129B" w:rsidRPr="004325F3" w:rsidRDefault="008935CC" w:rsidP="00646190">
            <w:pPr>
              <w:pStyle w:val="TableTextRight"/>
              <w:rPr>
                <w:rFonts w:cs="Calibri"/>
                <w:szCs w:val="18"/>
              </w:rPr>
            </w:pPr>
            <w:r w:rsidRPr="004E140F">
              <w:t>2</w:t>
            </w:r>
            <w:r>
              <w:t>2.</w:t>
            </w:r>
            <w:r w:rsidR="00E70D44" w:rsidRPr="00CC7A63">
              <w:t>9</w:t>
            </w:r>
          </w:p>
        </w:tc>
        <w:tc>
          <w:tcPr>
            <w:tcW w:w="1314" w:type="dxa"/>
            <w:shd w:val="clear" w:color="000000" w:fill="FFFFFF"/>
          </w:tcPr>
          <w:p w14:paraId="559A1272" w14:textId="47BA498F" w:rsidR="006C129B" w:rsidRPr="004325F3" w:rsidRDefault="008935CC" w:rsidP="00646190">
            <w:pPr>
              <w:pStyle w:val="TableTextRight"/>
              <w:rPr>
                <w:rFonts w:cs="Calibri"/>
                <w:szCs w:val="18"/>
              </w:rPr>
            </w:pPr>
            <w:r w:rsidRPr="004B0D9E">
              <w:t>23.</w:t>
            </w:r>
            <w:r w:rsidR="00E70D44" w:rsidRPr="00CC7A63">
              <w:t>6</w:t>
            </w:r>
          </w:p>
        </w:tc>
        <w:tc>
          <w:tcPr>
            <w:tcW w:w="1314" w:type="dxa"/>
            <w:shd w:val="clear" w:color="000000" w:fill="FFFFFF"/>
            <w:noWrap/>
            <w:hideMark/>
          </w:tcPr>
          <w:p w14:paraId="12C273B6" w14:textId="50A4CE5C" w:rsidR="006C129B" w:rsidRPr="004325F3" w:rsidRDefault="008935CC" w:rsidP="00646190">
            <w:pPr>
              <w:pStyle w:val="TableTextRight"/>
              <w:rPr>
                <w:rFonts w:cs="Calibri"/>
                <w:szCs w:val="18"/>
              </w:rPr>
            </w:pPr>
            <w:r w:rsidRPr="008A6020">
              <w:t>23.</w:t>
            </w:r>
            <w:r w:rsidR="00E70D44" w:rsidRPr="00CC7A63">
              <w:t>8</w:t>
            </w:r>
          </w:p>
        </w:tc>
        <w:tc>
          <w:tcPr>
            <w:tcW w:w="1314" w:type="dxa"/>
            <w:shd w:val="clear" w:color="000000" w:fill="FFFFFF"/>
            <w:noWrap/>
            <w:hideMark/>
          </w:tcPr>
          <w:p w14:paraId="48DDCDDB" w14:textId="5D8D9056" w:rsidR="006C129B" w:rsidRPr="004325F3" w:rsidRDefault="008935CC" w:rsidP="00646190">
            <w:pPr>
              <w:pStyle w:val="TableTextRight"/>
              <w:rPr>
                <w:rFonts w:cs="Calibri"/>
                <w:szCs w:val="18"/>
              </w:rPr>
            </w:pPr>
            <w:r w:rsidRPr="000164D7">
              <w:t>23.</w:t>
            </w:r>
            <w:r w:rsidR="00E70D44" w:rsidRPr="00CC7A63">
              <w:t>6</w:t>
            </w:r>
          </w:p>
        </w:tc>
        <w:tc>
          <w:tcPr>
            <w:tcW w:w="1314" w:type="dxa"/>
            <w:shd w:val="clear" w:color="000000" w:fill="FFFFFF"/>
            <w:noWrap/>
            <w:hideMark/>
          </w:tcPr>
          <w:p w14:paraId="002F2201" w14:textId="1AE7292F" w:rsidR="006C129B" w:rsidRPr="004325F3" w:rsidRDefault="008935CC" w:rsidP="00646190">
            <w:pPr>
              <w:pStyle w:val="TableTextRight"/>
              <w:rPr>
                <w:rFonts w:cs="Calibri"/>
                <w:szCs w:val="18"/>
              </w:rPr>
            </w:pPr>
            <w:r w:rsidRPr="007D72A3">
              <w:t>23.</w:t>
            </w:r>
            <w:r w:rsidR="00E70D44" w:rsidRPr="00CC7A63">
              <w:t>1</w:t>
            </w:r>
          </w:p>
        </w:tc>
      </w:tr>
      <w:tr w:rsidR="006C129B" w:rsidRPr="008B5117" w14:paraId="17FEA2D1" w14:textId="77777777" w:rsidTr="004325F3">
        <w:trPr>
          <w:trHeight w:val="252"/>
        </w:trPr>
        <w:tc>
          <w:tcPr>
            <w:tcW w:w="1188" w:type="dxa"/>
            <w:shd w:val="clear" w:color="000000" w:fill="FFFFFF"/>
            <w:noWrap/>
            <w:hideMark/>
          </w:tcPr>
          <w:p w14:paraId="26043276" w14:textId="77777777" w:rsidR="006C129B" w:rsidRPr="00E62225" w:rsidRDefault="006C129B" w:rsidP="00646190">
            <w:pPr>
              <w:pStyle w:val="TableTextLeft"/>
              <w:rPr>
                <w:rFonts w:asciiTheme="minorHAnsi" w:hAnsiTheme="minorHAnsi" w:cstheme="minorHAnsi"/>
                <w:szCs w:val="18"/>
              </w:rPr>
            </w:pPr>
            <w:r w:rsidRPr="00E62225">
              <w:rPr>
                <w:rFonts w:asciiTheme="minorHAnsi" w:hAnsiTheme="minorHAnsi" w:cstheme="minorHAnsi"/>
                <w:szCs w:val="18"/>
              </w:rPr>
              <w:t>SA</w:t>
            </w:r>
          </w:p>
        </w:tc>
        <w:tc>
          <w:tcPr>
            <w:tcW w:w="1313" w:type="dxa"/>
            <w:shd w:val="clear" w:color="000000" w:fill="FFFFFF"/>
            <w:noWrap/>
            <w:hideMark/>
          </w:tcPr>
          <w:p w14:paraId="0A10A97E" w14:textId="31239FCE" w:rsidR="006C129B" w:rsidRPr="004325F3" w:rsidRDefault="006C129B" w:rsidP="00646190">
            <w:pPr>
              <w:pStyle w:val="TableTextRight"/>
              <w:rPr>
                <w:rFonts w:cs="Calibri"/>
                <w:szCs w:val="18"/>
              </w:rPr>
            </w:pPr>
            <w:r w:rsidRPr="00CC7A63">
              <w:t>22</w:t>
            </w:r>
            <w:r w:rsidR="008935CC" w:rsidRPr="00CC7A63">
              <w:t>.</w:t>
            </w:r>
            <w:r w:rsidR="00E70D44" w:rsidRPr="00CC7A63">
              <w:t>0</w:t>
            </w:r>
          </w:p>
        </w:tc>
        <w:tc>
          <w:tcPr>
            <w:tcW w:w="1314" w:type="dxa"/>
            <w:shd w:val="clear" w:color="000000" w:fill="FFFFFF"/>
            <w:noWrap/>
            <w:hideMark/>
          </w:tcPr>
          <w:p w14:paraId="3C430B55" w14:textId="7801610B" w:rsidR="006C129B" w:rsidRPr="004325F3" w:rsidRDefault="008935CC" w:rsidP="00646190">
            <w:pPr>
              <w:pStyle w:val="TableTextRight"/>
              <w:rPr>
                <w:rFonts w:cs="Calibri"/>
                <w:szCs w:val="18"/>
              </w:rPr>
            </w:pPr>
            <w:r w:rsidRPr="004E140F">
              <w:t>2</w:t>
            </w:r>
            <w:r>
              <w:t>3.</w:t>
            </w:r>
            <w:r w:rsidR="00E70D44" w:rsidRPr="00CC7A63">
              <w:t>8</w:t>
            </w:r>
          </w:p>
        </w:tc>
        <w:tc>
          <w:tcPr>
            <w:tcW w:w="1314" w:type="dxa"/>
            <w:shd w:val="clear" w:color="000000" w:fill="FFFFFF"/>
          </w:tcPr>
          <w:p w14:paraId="73169D6F" w14:textId="67F4EB37" w:rsidR="006C129B" w:rsidRPr="004325F3" w:rsidRDefault="008935CC" w:rsidP="00646190">
            <w:pPr>
              <w:pStyle w:val="TableTextRight"/>
              <w:rPr>
                <w:rFonts w:cs="Calibri"/>
                <w:szCs w:val="18"/>
              </w:rPr>
            </w:pPr>
            <w:r w:rsidRPr="004B0D9E">
              <w:t>24.</w:t>
            </w:r>
            <w:r w:rsidR="00E70D44" w:rsidRPr="00CC7A63">
              <w:t>3</w:t>
            </w:r>
          </w:p>
        </w:tc>
        <w:tc>
          <w:tcPr>
            <w:tcW w:w="1314" w:type="dxa"/>
            <w:shd w:val="clear" w:color="000000" w:fill="FFFFFF"/>
            <w:noWrap/>
            <w:hideMark/>
          </w:tcPr>
          <w:p w14:paraId="45A29832" w14:textId="39F07F83" w:rsidR="006C129B" w:rsidRPr="004325F3" w:rsidRDefault="008935CC" w:rsidP="00646190">
            <w:pPr>
              <w:pStyle w:val="TableTextRight"/>
              <w:rPr>
                <w:rFonts w:cs="Calibri"/>
                <w:szCs w:val="18"/>
              </w:rPr>
            </w:pPr>
            <w:r w:rsidRPr="008A6020">
              <w:t>24.</w:t>
            </w:r>
            <w:r w:rsidR="00E70D44" w:rsidRPr="00CC7A63">
              <w:t>4</w:t>
            </w:r>
          </w:p>
        </w:tc>
        <w:tc>
          <w:tcPr>
            <w:tcW w:w="1314" w:type="dxa"/>
            <w:shd w:val="clear" w:color="000000" w:fill="FFFFFF"/>
            <w:noWrap/>
            <w:hideMark/>
          </w:tcPr>
          <w:p w14:paraId="09B58D29" w14:textId="5A5898F5" w:rsidR="006C129B" w:rsidRPr="004325F3" w:rsidRDefault="008935CC" w:rsidP="00646190">
            <w:pPr>
              <w:pStyle w:val="TableTextRight"/>
              <w:rPr>
                <w:rFonts w:cs="Calibri"/>
                <w:szCs w:val="18"/>
              </w:rPr>
            </w:pPr>
            <w:r w:rsidRPr="000164D7">
              <w:t>24.</w:t>
            </w:r>
            <w:r w:rsidR="00E70D44" w:rsidRPr="00CC7A63">
              <w:t>2</w:t>
            </w:r>
          </w:p>
        </w:tc>
        <w:tc>
          <w:tcPr>
            <w:tcW w:w="1314" w:type="dxa"/>
            <w:shd w:val="clear" w:color="000000" w:fill="FFFFFF"/>
            <w:noWrap/>
            <w:hideMark/>
          </w:tcPr>
          <w:p w14:paraId="14F50CF4" w14:textId="13F0DD14" w:rsidR="006C129B" w:rsidRPr="004325F3" w:rsidRDefault="008935CC" w:rsidP="00646190">
            <w:pPr>
              <w:pStyle w:val="TableTextRight"/>
              <w:rPr>
                <w:rFonts w:cs="Calibri"/>
                <w:szCs w:val="18"/>
              </w:rPr>
            </w:pPr>
            <w:r w:rsidRPr="007D72A3">
              <w:t>23.</w:t>
            </w:r>
            <w:r w:rsidR="00E70D44" w:rsidRPr="00CC7A63">
              <w:t>8</w:t>
            </w:r>
          </w:p>
        </w:tc>
      </w:tr>
      <w:tr w:rsidR="006C129B" w:rsidRPr="008B5117" w14:paraId="7251EBCB" w14:textId="77777777" w:rsidTr="004325F3">
        <w:trPr>
          <w:trHeight w:val="252"/>
        </w:trPr>
        <w:tc>
          <w:tcPr>
            <w:tcW w:w="1188" w:type="dxa"/>
            <w:shd w:val="clear" w:color="000000" w:fill="FFFFFF"/>
            <w:noWrap/>
            <w:hideMark/>
          </w:tcPr>
          <w:p w14:paraId="1EB8EBEB" w14:textId="77777777" w:rsidR="006C129B" w:rsidRPr="00E62225" w:rsidRDefault="006C129B" w:rsidP="00646190">
            <w:pPr>
              <w:pStyle w:val="TableTextLeft"/>
              <w:rPr>
                <w:rFonts w:asciiTheme="minorHAnsi" w:hAnsiTheme="minorHAnsi" w:cstheme="minorHAnsi"/>
                <w:szCs w:val="18"/>
              </w:rPr>
            </w:pPr>
            <w:r w:rsidRPr="00E62225">
              <w:rPr>
                <w:rFonts w:asciiTheme="minorHAnsi" w:hAnsiTheme="minorHAnsi" w:cstheme="minorHAnsi"/>
                <w:szCs w:val="18"/>
              </w:rPr>
              <w:t>TAS</w:t>
            </w:r>
          </w:p>
        </w:tc>
        <w:tc>
          <w:tcPr>
            <w:tcW w:w="1313" w:type="dxa"/>
            <w:shd w:val="clear" w:color="000000" w:fill="FFFFFF"/>
            <w:noWrap/>
            <w:hideMark/>
          </w:tcPr>
          <w:p w14:paraId="373F4E7E" w14:textId="1A5DF53A" w:rsidR="006C129B" w:rsidRPr="004325F3" w:rsidRDefault="006C129B" w:rsidP="00646190">
            <w:pPr>
              <w:pStyle w:val="TableTextRight"/>
              <w:rPr>
                <w:rFonts w:cs="Calibri"/>
                <w:szCs w:val="18"/>
              </w:rPr>
            </w:pPr>
            <w:r w:rsidRPr="00CC7A63">
              <w:t>21</w:t>
            </w:r>
            <w:r w:rsidR="008935CC" w:rsidRPr="00CC7A63">
              <w:t>.</w:t>
            </w:r>
            <w:r w:rsidR="00E70D44" w:rsidRPr="00CC7A63">
              <w:t>1</w:t>
            </w:r>
          </w:p>
        </w:tc>
        <w:tc>
          <w:tcPr>
            <w:tcW w:w="1314" w:type="dxa"/>
            <w:shd w:val="clear" w:color="000000" w:fill="FFFFFF"/>
            <w:noWrap/>
            <w:hideMark/>
          </w:tcPr>
          <w:p w14:paraId="12B3137D" w14:textId="7B4E7E90" w:rsidR="006C129B" w:rsidRPr="004325F3" w:rsidRDefault="008935CC" w:rsidP="00646190">
            <w:pPr>
              <w:pStyle w:val="TableTextRight"/>
              <w:rPr>
                <w:rFonts w:cs="Calibri"/>
                <w:szCs w:val="18"/>
              </w:rPr>
            </w:pPr>
            <w:r w:rsidRPr="004E140F">
              <w:t>2</w:t>
            </w:r>
            <w:r>
              <w:t>2.</w:t>
            </w:r>
            <w:r w:rsidR="00E70D44" w:rsidRPr="00CC7A63">
              <w:t>5</w:t>
            </w:r>
          </w:p>
        </w:tc>
        <w:tc>
          <w:tcPr>
            <w:tcW w:w="1314" w:type="dxa"/>
            <w:shd w:val="clear" w:color="000000" w:fill="FFFFFF"/>
          </w:tcPr>
          <w:p w14:paraId="7AFF6278" w14:textId="0D5A54AC" w:rsidR="006C129B" w:rsidRPr="004325F3" w:rsidRDefault="00E70D44" w:rsidP="00646190">
            <w:pPr>
              <w:pStyle w:val="TableTextRight"/>
              <w:rPr>
                <w:rFonts w:cs="Calibri"/>
                <w:szCs w:val="18"/>
              </w:rPr>
            </w:pPr>
            <w:r w:rsidRPr="00CC7A63">
              <w:t>23.1</w:t>
            </w:r>
          </w:p>
        </w:tc>
        <w:tc>
          <w:tcPr>
            <w:tcW w:w="1314" w:type="dxa"/>
            <w:shd w:val="clear" w:color="000000" w:fill="FFFFFF"/>
            <w:noWrap/>
            <w:hideMark/>
          </w:tcPr>
          <w:p w14:paraId="3271A169" w14:textId="5D6F15C9" w:rsidR="006C129B" w:rsidRPr="004325F3" w:rsidRDefault="00E70D44" w:rsidP="00646190">
            <w:pPr>
              <w:pStyle w:val="TableTextRight"/>
              <w:rPr>
                <w:rFonts w:cs="Calibri"/>
                <w:szCs w:val="18"/>
              </w:rPr>
            </w:pPr>
            <w:r w:rsidRPr="00CC7A63">
              <w:t>23.3</w:t>
            </w:r>
          </w:p>
        </w:tc>
        <w:tc>
          <w:tcPr>
            <w:tcW w:w="1314" w:type="dxa"/>
            <w:shd w:val="clear" w:color="000000" w:fill="FFFFFF"/>
            <w:noWrap/>
            <w:hideMark/>
          </w:tcPr>
          <w:p w14:paraId="4C4A10E3" w14:textId="09A3AEEB" w:rsidR="006C129B" w:rsidRPr="004325F3" w:rsidRDefault="00E70D44" w:rsidP="00646190">
            <w:pPr>
              <w:pStyle w:val="TableTextRight"/>
              <w:rPr>
                <w:rFonts w:cs="Calibri"/>
                <w:szCs w:val="18"/>
              </w:rPr>
            </w:pPr>
            <w:r w:rsidRPr="00CC7A63">
              <w:t>23.0</w:t>
            </w:r>
          </w:p>
        </w:tc>
        <w:tc>
          <w:tcPr>
            <w:tcW w:w="1314" w:type="dxa"/>
            <w:shd w:val="clear" w:color="000000" w:fill="FFFFFF"/>
            <w:noWrap/>
            <w:hideMark/>
          </w:tcPr>
          <w:p w14:paraId="5076A2D7" w14:textId="677A1A40" w:rsidR="006C129B" w:rsidRPr="004325F3" w:rsidRDefault="008935CC" w:rsidP="00646190">
            <w:pPr>
              <w:pStyle w:val="TableTextRight"/>
              <w:rPr>
                <w:rFonts w:cs="Calibri"/>
                <w:szCs w:val="18"/>
              </w:rPr>
            </w:pPr>
            <w:r w:rsidRPr="007D72A3">
              <w:t>22.</w:t>
            </w:r>
            <w:r w:rsidR="00E70D44" w:rsidRPr="00CC7A63">
              <w:t>7</w:t>
            </w:r>
          </w:p>
        </w:tc>
      </w:tr>
      <w:tr w:rsidR="006C129B" w:rsidRPr="008B5117" w14:paraId="244E3AC4" w14:textId="77777777" w:rsidTr="004325F3">
        <w:trPr>
          <w:trHeight w:val="252"/>
        </w:trPr>
        <w:tc>
          <w:tcPr>
            <w:tcW w:w="1188" w:type="dxa"/>
            <w:shd w:val="clear" w:color="000000" w:fill="FFFFFF"/>
            <w:noWrap/>
            <w:hideMark/>
          </w:tcPr>
          <w:p w14:paraId="4BCFB4D8" w14:textId="77777777" w:rsidR="006C129B" w:rsidRPr="00E62225" w:rsidRDefault="006C129B" w:rsidP="00646190">
            <w:pPr>
              <w:pStyle w:val="TableTextLeft"/>
              <w:rPr>
                <w:rFonts w:asciiTheme="minorHAnsi" w:hAnsiTheme="minorHAnsi" w:cstheme="minorHAnsi"/>
                <w:szCs w:val="18"/>
              </w:rPr>
            </w:pPr>
            <w:r w:rsidRPr="00E62225">
              <w:rPr>
                <w:rFonts w:asciiTheme="minorHAnsi" w:hAnsiTheme="minorHAnsi" w:cstheme="minorHAnsi"/>
                <w:szCs w:val="18"/>
              </w:rPr>
              <w:t>ACT</w:t>
            </w:r>
          </w:p>
        </w:tc>
        <w:tc>
          <w:tcPr>
            <w:tcW w:w="1313" w:type="dxa"/>
            <w:shd w:val="clear" w:color="000000" w:fill="FFFFFF"/>
            <w:noWrap/>
            <w:hideMark/>
          </w:tcPr>
          <w:p w14:paraId="7A59A419" w14:textId="15AB25E1" w:rsidR="006C129B" w:rsidRPr="004325F3" w:rsidRDefault="00E70D44" w:rsidP="00646190">
            <w:pPr>
              <w:pStyle w:val="TableTextRight"/>
              <w:rPr>
                <w:rFonts w:cs="Calibri"/>
                <w:szCs w:val="18"/>
              </w:rPr>
            </w:pPr>
            <w:r w:rsidRPr="00CC7A63">
              <w:t>17.0</w:t>
            </w:r>
          </w:p>
        </w:tc>
        <w:tc>
          <w:tcPr>
            <w:tcW w:w="1314" w:type="dxa"/>
            <w:shd w:val="clear" w:color="000000" w:fill="FFFFFF"/>
            <w:noWrap/>
            <w:hideMark/>
          </w:tcPr>
          <w:p w14:paraId="5BF946EB" w14:textId="56966663" w:rsidR="006C129B" w:rsidRPr="004325F3" w:rsidRDefault="008935CC" w:rsidP="00646190">
            <w:pPr>
              <w:pStyle w:val="TableTextRight"/>
              <w:rPr>
                <w:rFonts w:cs="Calibri"/>
                <w:szCs w:val="18"/>
              </w:rPr>
            </w:pPr>
            <w:r w:rsidRPr="004E140F">
              <w:t>1</w:t>
            </w:r>
            <w:r>
              <w:t>7.</w:t>
            </w:r>
            <w:r w:rsidR="00E70D44" w:rsidRPr="00CC7A63">
              <w:t>9</w:t>
            </w:r>
          </w:p>
        </w:tc>
        <w:tc>
          <w:tcPr>
            <w:tcW w:w="1314" w:type="dxa"/>
            <w:shd w:val="clear" w:color="000000" w:fill="FFFFFF"/>
          </w:tcPr>
          <w:p w14:paraId="05229EAF" w14:textId="62E2BA21" w:rsidR="006C129B" w:rsidRPr="004325F3" w:rsidRDefault="00E70D44" w:rsidP="00646190">
            <w:pPr>
              <w:pStyle w:val="TableTextRight"/>
              <w:rPr>
                <w:rFonts w:cs="Calibri"/>
                <w:szCs w:val="18"/>
              </w:rPr>
            </w:pPr>
            <w:r w:rsidRPr="00CC7A63">
              <w:t>18.2</w:t>
            </w:r>
          </w:p>
        </w:tc>
        <w:tc>
          <w:tcPr>
            <w:tcW w:w="1314" w:type="dxa"/>
            <w:shd w:val="clear" w:color="000000" w:fill="FFFFFF"/>
            <w:noWrap/>
            <w:hideMark/>
          </w:tcPr>
          <w:p w14:paraId="1C2E55FA" w14:textId="2F0B7FD9" w:rsidR="006C129B" w:rsidRPr="004325F3" w:rsidRDefault="00E70D44" w:rsidP="00646190">
            <w:pPr>
              <w:pStyle w:val="TableTextRight"/>
              <w:rPr>
                <w:rFonts w:cs="Calibri"/>
                <w:szCs w:val="18"/>
              </w:rPr>
            </w:pPr>
            <w:r w:rsidRPr="00CC7A63">
              <w:t>18.2</w:t>
            </w:r>
          </w:p>
        </w:tc>
        <w:tc>
          <w:tcPr>
            <w:tcW w:w="1314" w:type="dxa"/>
            <w:shd w:val="clear" w:color="000000" w:fill="FFFFFF"/>
            <w:noWrap/>
            <w:hideMark/>
          </w:tcPr>
          <w:p w14:paraId="38A5065A" w14:textId="673464F9" w:rsidR="006C129B" w:rsidRPr="004325F3" w:rsidRDefault="008935CC" w:rsidP="00646190">
            <w:pPr>
              <w:pStyle w:val="TableTextRight"/>
              <w:rPr>
                <w:rFonts w:cs="Calibri"/>
                <w:szCs w:val="18"/>
              </w:rPr>
            </w:pPr>
            <w:r w:rsidRPr="000164D7">
              <w:t>17.</w:t>
            </w:r>
            <w:r w:rsidR="00E70D44" w:rsidRPr="00CC7A63">
              <w:t>4</w:t>
            </w:r>
          </w:p>
        </w:tc>
        <w:tc>
          <w:tcPr>
            <w:tcW w:w="1314" w:type="dxa"/>
            <w:shd w:val="clear" w:color="000000" w:fill="FFFFFF"/>
            <w:noWrap/>
            <w:hideMark/>
          </w:tcPr>
          <w:p w14:paraId="2DF17CD1" w14:textId="601286B0" w:rsidR="006C129B" w:rsidRPr="004325F3" w:rsidRDefault="008935CC" w:rsidP="00646190">
            <w:pPr>
              <w:pStyle w:val="TableTextRight"/>
              <w:rPr>
                <w:rFonts w:cs="Calibri"/>
                <w:szCs w:val="18"/>
              </w:rPr>
            </w:pPr>
            <w:r w:rsidRPr="007D72A3">
              <w:t>16.</w:t>
            </w:r>
            <w:r w:rsidR="00E70D44" w:rsidRPr="00CC7A63">
              <w:t>9</w:t>
            </w:r>
          </w:p>
        </w:tc>
      </w:tr>
      <w:tr w:rsidR="007B3F11" w:rsidRPr="008B5117" w14:paraId="42167767" w14:textId="77777777" w:rsidTr="004325F3">
        <w:trPr>
          <w:trHeight w:val="252"/>
        </w:trPr>
        <w:tc>
          <w:tcPr>
            <w:tcW w:w="1188" w:type="dxa"/>
            <w:shd w:val="clear" w:color="000000" w:fill="FFFFFF"/>
            <w:noWrap/>
          </w:tcPr>
          <w:p w14:paraId="4DA749E8" w14:textId="3E1FEC1F" w:rsidR="007B3F11" w:rsidRPr="00E62225" w:rsidRDefault="007B3F11" w:rsidP="007B3F11">
            <w:pPr>
              <w:pStyle w:val="TableTextLeft"/>
              <w:rPr>
                <w:rFonts w:asciiTheme="minorHAnsi" w:hAnsiTheme="minorHAnsi" w:cstheme="minorHAnsi"/>
                <w:szCs w:val="18"/>
              </w:rPr>
            </w:pPr>
            <w:r w:rsidRPr="00E62225">
              <w:rPr>
                <w:rFonts w:asciiTheme="minorHAnsi" w:hAnsiTheme="minorHAnsi" w:cstheme="minorHAnsi"/>
                <w:szCs w:val="18"/>
              </w:rPr>
              <w:t>NT</w:t>
            </w:r>
          </w:p>
        </w:tc>
        <w:tc>
          <w:tcPr>
            <w:tcW w:w="1313" w:type="dxa"/>
            <w:shd w:val="clear" w:color="000000" w:fill="FFFFFF"/>
            <w:noWrap/>
          </w:tcPr>
          <w:p w14:paraId="25CB2392" w14:textId="611A264C" w:rsidR="007B3F11" w:rsidRPr="00E62225" w:rsidRDefault="00E70D44" w:rsidP="007B3F11">
            <w:pPr>
              <w:pStyle w:val="TableTextRight"/>
              <w:rPr>
                <w:rFonts w:asciiTheme="minorHAnsi" w:hAnsiTheme="minorHAnsi" w:cstheme="minorHAnsi"/>
                <w:szCs w:val="18"/>
              </w:rPr>
            </w:pPr>
            <w:r w:rsidRPr="00CC7A63">
              <w:t>13.4</w:t>
            </w:r>
          </w:p>
        </w:tc>
        <w:tc>
          <w:tcPr>
            <w:tcW w:w="1314" w:type="dxa"/>
            <w:shd w:val="clear" w:color="000000" w:fill="FFFFFF"/>
            <w:noWrap/>
          </w:tcPr>
          <w:p w14:paraId="7D206D27" w14:textId="761C3812" w:rsidR="007B3F11" w:rsidRPr="004E140F" w:rsidRDefault="00E70D44" w:rsidP="007B3F11">
            <w:pPr>
              <w:pStyle w:val="TableTextRight"/>
            </w:pPr>
            <w:r w:rsidRPr="00CC7A63">
              <w:t>14.0</w:t>
            </w:r>
          </w:p>
        </w:tc>
        <w:tc>
          <w:tcPr>
            <w:tcW w:w="1314" w:type="dxa"/>
            <w:shd w:val="clear" w:color="000000" w:fill="FFFFFF"/>
          </w:tcPr>
          <w:p w14:paraId="60087E8E" w14:textId="339FF6E3" w:rsidR="007B3F11" w:rsidRPr="004E140F" w:rsidRDefault="00E70D44" w:rsidP="007B3F11">
            <w:pPr>
              <w:pStyle w:val="TableTextRight"/>
            </w:pPr>
            <w:r w:rsidRPr="00CC7A63">
              <w:t>14.1</w:t>
            </w:r>
          </w:p>
        </w:tc>
        <w:tc>
          <w:tcPr>
            <w:tcW w:w="1314" w:type="dxa"/>
            <w:shd w:val="clear" w:color="000000" w:fill="FFFFFF"/>
            <w:noWrap/>
          </w:tcPr>
          <w:p w14:paraId="40EC047F" w14:textId="1ACF2F1E" w:rsidR="007B3F11" w:rsidRPr="004E140F" w:rsidRDefault="00E70D44" w:rsidP="007B3F11">
            <w:pPr>
              <w:pStyle w:val="TableTextRight"/>
            </w:pPr>
            <w:r w:rsidRPr="00CC7A63">
              <w:t>14.0</w:t>
            </w:r>
          </w:p>
        </w:tc>
        <w:tc>
          <w:tcPr>
            <w:tcW w:w="1314" w:type="dxa"/>
            <w:shd w:val="clear" w:color="000000" w:fill="FFFFFF"/>
            <w:noWrap/>
          </w:tcPr>
          <w:p w14:paraId="39756017" w14:textId="194F64C6" w:rsidR="007B3F11" w:rsidRPr="004E140F" w:rsidRDefault="008935CC" w:rsidP="007B3F11">
            <w:pPr>
              <w:pStyle w:val="TableTextRight"/>
            </w:pPr>
            <w:r w:rsidRPr="000164D7">
              <w:t>13.</w:t>
            </w:r>
            <w:r w:rsidR="00E70D44" w:rsidRPr="00CC7A63">
              <w:t>7</w:t>
            </w:r>
          </w:p>
        </w:tc>
        <w:tc>
          <w:tcPr>
            <w:tcW w:w="1314" w:type="dxa"/>
            <w:shd w:val="clear" w:color="000000" w:fill="FFFFFF"/>
            <w:noWrap/>
          </w:tcPr>
          <w:p w14:paraId="66F43808" w14:textId="15D9AF5D" w:rsidR="007B3F11" w:rsidRPr="004E140F" w:rsidRDefault="008935CC" w:rsidP="007B3F11">
            <w:pPr>
              <w:pStyle w:val="TableTextRight"/>
            </w:pPr>
            <w:r w:rsidRPr="007D72A3">
              <w:t>13.</w:t>
            </w:r>
            <w:r w:rsidR="00E70D44" w:rsidRPr="00CC7A63">
              <w:t>5</w:t>
            </w:r>
          </w:p>
        </w:tc>
      </w:tr>
      <w:tr w:rsidR="006C129B" w:rsidRPr="008B5117" w14:paraId="229713EB" w14:textId="77777777" w:rsidTr="004325F3">
        <w:trPr>
          <w:trHeight w:val="252"/>
        </w:trPr>
        <w:tc>
          <w:tcPr>
            <w:tcW w:w="1188" w:type="dxa"/>
            <w:tcBorders>
              <w:bottom w:val="single" w:sz="4" w:space="0" w:color="3A6FAF" w:themeColor="accent2"/>
            </w:tcBorders>
            <w:shd w:val="clear" w:color="000000" w:fill="FFFFFF"/>
            <w:noWrap/>
            <w:hideMark/>
          </w:tcPr>
          <w:p w14:paraId="04FF4D7B" w14:textId="77777777" w:rsidR="006C129B" w:rsidRPr="00E62225" w:rsidRDefault="006C129B" w:rsidP="00646190">
            <w:pPr>
              <w:pStyle w:val="TableTextLeft"/>
              <w:rPr>
                <w:rFonts w:asciiTheme="minorHAnsi" w:hAnsiTheme="minorHAnsi" w:cstheme="minorHAnsi"/>
                <w:szCs w:val="18"/>
              </w:rPr>
            </w:pPr>
            <w:r w:rsidRPr="00E62225">
              <w:rPr>
                <w:rFonts w:asciiTheme="minorHAnsi" w:hAnsiTheme="minorHAnsi" w:cstheme="minorHAnsi"/>
                <w:szCs w:val="18"/>
              </w:rPr>
              <w:t>Aus.</w:t>
            </w:r>
          </w:p>
        </w:tc>
        <w:tc>
          <w:tcPr>
            <w:tcW w:w="1313" w:type="dxa"/>
            <w:tcBorders>
              <w:bottom w:val="single" w:sz="4" w:space="0" w:color="3A6FAF" w:themeColor="accent2"/>
            </w:tcBorders>
            <w:shd w:val="clear" w:color="000000" w:fill="FFFFFF"/>
            <w:noWrap/>
            <w:hideMark/>
          </w:tcPr>
          <w:p w14:paraId="514C2546" w14:textId="56F3DB6F" w:rsidR="006C129B" w:rsidRPr="004325F3" w:rsidRDefault="00E70D44" w:rsidP="00646190">
            <w:pPr>
              <w:pStyle w:val="TableTextRight"/>
              <w:rPr>
                <w:rFonts w:cs="Calibri"/>
                <w:szCs w:val="18"/>
              </w:rPr>
            </w:pPr>
            <w:r w:rsidRPr="00CC7A63">
              <w:t>26.0</w:t>
            </w:r>
          </w:p>
        </w:tc>
        <w:tc>
          <w:tcPr>
            <w:tcW w:w="1314" w:type="dxa"/>
            <w:tcBorders>
              <w:bottom w:val="single" w:sz="4" w:space="0" w:color="3A6FAF" w:themeColor="accent2"/>
            </w:tcBorders>
            <w:shd w:val="clear" w:color="000000" w:fill="FFFFFF"/>
            <w:noWrap/>
            <w:hideMark/>
          </w:tcPr>
          <w:p w14:paraId="713ED41B" w14:textId="095130AF" w:rsidR="006C129B" w:rsidRPr="004325F3" w:rsidRDefault="008935CC" w:rsidP="00646190">
            <w:pPr>
              <w:pStyle w:val="TableTextRight"/>
              <w:rPr>
                <w:rFonts w:cs="Calibri"/>
                <w:szCs w:val="18"/>
              </w:rPr>
            </w:pPr>
            <w:r w:rsidRPr="004E140F">
              <w:t>2</w:t>
            </w:r>
            <w:r>
              <w:t>7.</w:t>
            </w:r>
            <w:r w:rsidR="00E70D44" w:rsidRPr="00CC7A63">
              <w:t>6</w:t>
            </w:r>
          </w:p>
        </w:tc>
        <w:tc>
          <w:tcPr>
            <w:tcW w:w="1314" w:type="dxa"/>
            <w:tcBorders>
              <w:bottom w:val="single" w:sz="4" w:space="0" w:color="3A6FAF" w:themeColor="accent2"/>
            </w:tcBorders>
            <w:shd w:val="clear" w:color="000000" w:fill="FFFFFF"/>
          </w:tcPr>
          <w:p w14:paraId="125BFC4F" w14:textId="0AC54F57" w:rsidR="006C129B" w:rsidRPr="004325F3" w:rsidRDefault="008935CC" w:rsidP="00646190">
            <w:pPr>
              <w:pStyle w:val="TableTextRight"/>
              <w:rPr>
                <w:rFonts w:cs="Calibri"/>
                <w:szCs w:val="18"/>
              </w:rPr>
            </w:pPr>
            <w:r w:rsidRPr="004B0D9E">
              <w:t>28.</w:t>
            </w:r>
            <w:r w:rsidR="00E70D44" w:rsidRPr="00CC7A63">
              <w:t>1</w:t>
            </w:r>
          </w:p>
        </w:tc>
        <w:tc>
          <w:tcPr>
            <w:tcW w:w="1314" w:type="dxa"/>
            <w:tcBorders>
              <w:bottom w:val="single" w:sz="4" w:space="0" w:color="3A6FAF" w:themeColor="accent2"/>
            </w:tcBorders>
            <w:shd w:val="clear" w:color="000000" w:fill="FFFFFF"/>
            <w:noWrap/>
            <w:hideMark/>
          </w:tcPr>
          <w:p w14:paraId="6DEB16C6" w14:textId="4E818510" w:rsidR="006C129B" w:rsidRPr="004325F3" w:rsidRDefault="008935CC" w:rsidP="00646190">
            <w:pPr>
              <w:pStyle w:val="TableTextRight"/>
              <w:rPr>
                <w:rFonts w:cs="Calibri"/>
                <w:szCs w:val="18"/>
              </w:rPr>
            </w:pPr>
            <w:r w:rsidRPr="008A6020">
              <w:t>28.</w:t>
            </w:r>
            <w:r w:rsidR="00E70D44" w:rsidRPr="00CC7A63">
              <w:t>2</w:t>
            </w:r>
          </w:p>
        </w:tc>
        <w:tc>
          <w:tcPr>
            <w:tcW w:w="1314" w:type="dxa"/>
            <w:tcBorders>
              <w:bottom w:val="single" w:sz="4" w:space="0" w:color="3A6FAF" w:themeColor="accent2"/>
            </w:tcBorders>
            <w:shd w:val="clear" w:color="000000" w:fill="FFFFFF"/>
            <w:noWrap/>
            <w:hideMark/>
          </w:tcPr>
          <w:p w14:paraId="6ED58CFB" w14:textId="59DA8317" w:rsidR="006C129B" w:rsidRPr="004325F3" w:rsidRDefault="008935CC" w:rsidP="00646190">
            <w:pPr>
              <w:pStyle w:val="TableTextRight"/>
              <w:rPr>
                <w:rFonts w:cs="Calibri"/>
                <w:szCs w:val="18"/>
              </w:rPr>
            </w:pPr>
            <w:r w:rsidRPr="000164D7">
              <w:t>28.</w:t>
            </w:r>
            <w:r w:rsidR="00E70D44" w:rsidRPr="00CC7A63">
              <w:t>1</w:t>
            </w:r>
          </w:p>
        </w:tc>
        <w:tc>
          <w:tcPr>
            <w:tcW w:w="1314" w:type="dxa"/>
            <w:tcBorders>
              <w:bottom w:val="single" w:sz="4" w:space="0" w:color="3A6FAF" w:themeColor="accent2"/>
            </w:tcBorders>
            <w:shd w:val="clear" w:color="000000" w:fill="FFFFFF"/>
            <w:noWrap/>
            <w:hideMark/>
          </w:tcPr>
          <w:p w14:paraId="118E7E7C" w14:textId="2EE3DFC0" w:rsidR="006C129B" w:rsidRPr="004325F3" w:rsidRDefault="008935CC" w:rsidP="00646190">
            <w:pPr>
              <w:pStyle w:val="TableTextRight"/>
              <w:rPr>
                <w:rFonts w:cs="Calibri"/>
                <w:szCs w:val="18"/>
              </w:rPr>
            </w:pPr>
            <w:r w:rsidRPr="007D72A3">
              <w:t>27.</w:t>
            </w:r>
            <w:r w:rsidR="00E70D44" w:rsidRPr="00CC7A63">
              <w:t>9</w:t>
            </w:r>
          </w:p>
        </w:tc>
      </w:tr>
    </w:tbl>
    <w:p w14:paraId="09C9E179" w14:textId="09241A6D" w:rsidR="00966294" w:rsidRPr="000D0EE9" w:rsidRDefault="00966294" w:rsidP="00B25A32">
      <w:pPr>
        <w:pStyle w:val="SingleParagraph"/>
        <w:rPr>
          <w:szCs w:val="16"/>
        </w:rPr>
      </w:pPr>
      <w:r>
        <w:rPr>
          <w:sz w:val="18"/>
          <w:szCs w:val="16"/>
        </w:rPr>
        <w:t xml:space="preserve">Data underlying </w:t>
      </w:r>
      <w:r w:rsidR="00066FC6">
        <w:rPr>
          <w:sz w:val="18"/>
          <w:szCs w:val="16"/>
        </w:rPr>
        <w:t>F</w:t>
      </w:r>
      <w:r w:rsidRPr="00734FA1">
        <w:rPr>
          <w:sz w:val="18"/>
          <w:szCs w:val="16"/>
        </w:rPr>
        <w:t xml:space="preserve">igure </w:t>
      </w:r>
      <w:r w:rsidR="00D05AE7">
        <w:rPr>
          <w:sz w:val="18"/>
          <w:szCs w:val="16"/>
        </w:rPr>
        <w:t>6</w:t>
      </w:r>
      <w:r w:rsidR="003327D0">
        <w:rPr>
          <w:sz w:val="18"/>
          <w:szCs w:val="16"/>
        </w:rPr>
        <w:t>b</w:t>
      </w:r>
      <w:r w:rsidR="004133D6">
        <w:rPr>
          <w:sz w:val="18"/>
          <w:szCs w:val="16"/>
        </w:rPr>
        <w:t>.</w:t>
      </w:r>
    </w:p>
    <w:p w14:paraId="53A35A32" w14:textId="2CFD44A5" w:rsidR="00133D5B" w:rsidRPr="008B5117" w:rsidRDefault="005C70E0" w:rsidP="00646190">
      <w:pPr>
        <w:pStyle w:val="ChartorTableNote"/>
      </w:pPr>
      <w:r w:rsidRPr="005C70E0">
        <w:t>Source: ATO administrative data</w:t>
      </w:r>
      <w:r w:rsidR="00FA5B38">
        <w:t xml:space="preserve"> as at 15 August 2021</w:t>
      </w:r>
      <w:r w:rsidR="00167AE5">
        <w:t xml:space="preserve"> and</w:t>
      </w:r>
      <w:r w:rsidRPr="005C70E0">
        <w:t xml:space="preserve"> ABS Labour Force, Australia, Detailed, Quarterly, May 2021 (Cat. No. 6291.0.55.003).</w:t>
      </w:r>
    </w:p>
    <w:p w14:paraId="775EB161" w14:textId="77777777" w:rsidR="00AC0721" w:rsidRPr="00AC0721" w:rsidRDefault="00AC0721" w:rsidP="008813D2">
      <w:pPr>
        <w:pStyle w:val="ChartorTableNote"/>
      </w:pPr>
    </w:p>
    <w:p w14:paraId="12C5DA93" w14:textId="3CAC15F0" w:rsidR="006652BC" w:rsidDel="006652BC" w:rsidRDefault="00B15CF2" w:rsidP="00207393">
      <w:pPr>
        <w:rPr>
          <w:rFonts w:cs="Arial"/>
          <w:color w:val="3A6FAF" w:themeColor="accent2"/>
          <w:kern w:val="32"/>
          <w:sz w:val="28"/>
          <w:szCs w:val="26"/>
        </w:rPr>
      </w:pPr>
      <w:r>
        <w:br w:type="page"/>
      </w:r>
    </w:p>
    <w:p w14:paraId="12FA529A" w14:textId="17E212BA" w:rsidR="00AC7AB6" w:rsidRPr="00C66B12" w:rsidRDefault="006C129B" w:rsidP="00330ADA">
      <w:pPr>
        <w:pStyle w:val="TableMainHeading"/>
        <w:numPr>
          <w:ilvl w:val="0"/>
          <w:numId w:val="0"/>
        </w:numPr>
      </w:pPr>
      <w:bookmarkStart w:id="211" w:name="_Toc84842600"/>
      <w:r w:rsidRPr="008B5117">
        <w:lastRenderedPageBreak/>
        <w:t>Table</w:t>
      </w:r>
      <w:r w:rsidR="00330ADA">
        <w:t>s</w:t>
      </w:r>
      <w:r w:rsidRPr="008B5117">
        <w:t xml:space="preserve"> </w:t>
      </w:r>
      <w:r w:rsidR="00330ADA">
        <w:t>7</w:t>
      </w:r>
      <w:r w:rsidR="008B0D7F" w:rsidRPr="008B5117">
        <w:t>a</w:t>
      </w:r>
      <w:r w:rsidR="0038520A">
        <w:noBreakHyphen/>
      </w:r>
      <w:r>
        <w:t>b</w:t>
      </w:r>
      <w:r w:rsidR="00001040">
        <w:t>:</w:t>
      </w:r>
      <w:r w:rsidRPr="008B5117">
        <w:t xml:space="preserve"> </w:t>
      </w:r>
      <w:r w:rsidR="006B6E31">
        <w:t xml:space="preserve">JobKeeper first phase </w:t>
      </w:r>
      <w:r w:rsidR="006B6E31" w:rsidRPr="00514051">
        <w:t>d</w:t>
      </w:r>
      <w:r w:rsidRPr="00514051">
        <w:t>istribution</w:t>
      </w:r>
      <w:r w:rsidRPr="00D26AAE">
        <w:t xml:space="preserve"> of private sector employment, decline in employment, and JobKeeper participants</w:t>
      </w:r>
      <w:bookmarkEnd w:id="211"/>
    </w:p>
    <w:p w14:paraId="56E089E2" w14:textId="77777777" w:rsidR="000B133A" w:rsidRPr="000B133A" w:rsidRDefault="000B133A" w:rsidP="00207393">
      <w:pPr>
        <w:pStyle w:val="SingleParagraph"/>
      </w:pPr>
    </w:p>
    <w:p w14:paraId="1B6796DB" w14:textId="5F5139F2" w:rsidR="006C129B" w:rsidRPr="00646190" w:rsidRDefault="00AC0721" w:rsidP="004373F4">
      <w:pPr>
        <w:pStyle w:val="TableSecondHeading"/>
      </w:pPr>
      <w:bookmarkStart w:id="212" w:name="_Toc84607879"/>
      <w:bookmarkStart w:id="213" w:name="_Toc84774162"/>
      <w:bookmarkStart w:id="214" w:name="_Toc84842601"/>
      <w:r>
        <w:t xml:space="preserve">a. </w:t>
      </w:r>
      <w:r w:rsidR="006C129B" w:rsidRPr="0001403C">
        <w:t xml:space="preserve">By </w:t>
      </w:r>
      <w:r w:rsidR="00655F58">
        <w:t>sex</w:t>
      </w:r>
      <w:bookmarkEnd w:id="212"/>
      <w:bookmarkEnd w:id="213"/>
      <w:bookmarkEnd w:id="214"/>
      <w:r w:rsidR="00655F58" w:rsidRPr="0001403C">
        <w:t xml:space="preserve"> </w:t>
      </w:r>
    </w:p>
    <w:tbl>
      <w:tblPr>
        <w:tblW w:w="5000" w:type="pct"/>
        <w:tblLayout w:type="fixed"/>
        <w:tblLook w:val="04A0" w:firstRow="1" w:lastRow="0" w:firstColumn="1" w:lastColumn="0" w:noHBand="0" w:noVBand="1"/>
      </w:tblPr>
      <w:tblGrid>
        <w:gridCol w:w="2693"/>
        <w:gridCol w:w="2126"/>
        <w:gridCol w:w="2126"/>
        <w:gridCol w:w="2126"/>
      </w:tblGrid>
      <w:tr w:rsidR="006C129B" w:rsidRPr="005566B0" w14:paraId="53AD4C06" w14:textId="77777777" w:rsidTr="00E33570">
        <w:trPr>
          <w:trHeight w:val="263"/>
        </w:trPr>
        <w:tc>
          <w:tcPr>
            <w:tcW w:w="2693" w:type="dxa"/>
            <w:tcBorders>
              <w:top w:val="single" w:sz="4" w:space="0" w:color="3A6FAF" w:themeColor="accent2"/>
              <w:bottom w:val="single" w:sz="4" w:space="0" w:color="3A6FAF" w:themeColor="accent2"/>
            </w:tcBorders>
            <w:shd w:val="clear" w:color="auto" w:fill="auto"/>
            <w:noWrap/>
            <w:vAlign w:val="bottom"/>
            <w:hideMark/>
          </w:tcPr>
          <w:p w14:paraId="70130847" w14:textId="77777777" w:rsidR="006C129B" w:rsidRPr="003E7BD1" w:rsidRDefault="006C129B" w:rsidP="00BE61FE">
            <w:pPr>
              <w:spacing w:before="0" w:after="0"/>
              <w:jc w:val="center"/>
              <w:rPr>
                <w:color w:val="002C47" w:themeColor="accent1"/>
              </w:rPr>
            </w:pPr>
          </w:p>
        </w:tc>
        <w:tc>
          <w:tcPr>
            <w:tcW w:w="2126" w:type="dxa"/>
            <w:tcBorders>
              <w:top w:val="single" w:sz="4" w:space="0" w:color="3A6FAF" w:themeColor="accent2"/>
              <w:bottom w:val="single" w:sz="4" w:space="0" w:color="3A6FAF" w:themeColor="accent2"/>
            </w:tcBorders>
            <w:shd w:val="clear" w:color="auto" w:fill="auto"/>
            <w:noWrap/>
            <w:hideMark/>
          </w:tcPr>
          <w:p w14:paraId="16B4D067" w14:textId="77777777" w:rsidR="006C129B" w:rsidRDefault="006C129B" w:rsidP="00D35008">
            <w:pPr>
              <w:pStyle w:val="TableColumnHeadingRight"/>
            </w:pPr>
            <w:r w:rsidRPr="005566B0">
              <w:t>Share of JobKeeper participants</w:t>
            </w:r>
          </w:p>
          <w:p w14:paraId="253178E4" w14:textId="64F4C986" w:rsidR="006C129B" w:rsidRPr="005566B0" w:rsidRDefault="00A27373" w:rsidP="00D35008">
            <w:pPr>
              <w:pStyle w:val="TableColumnHeadingRight"/>
            </w:pPr>
            <w:r>
              <w:br/>
            </w:r>
            <w:r w:rsidR="00DC400F">
              <w:t>%</w:t>
            </w:r>
          </w:p>
        </w:tc>
        <w:tc>
          <w:tcPr>
            <w:tcW w:w="2126" w:type="dxa"/>
            <w:tcBorders>
              <w:top w:val="single" w:sz="4" w:space="0" w:color="3A6FAF" w:themeColor="accent2"/>
              <w:bottom w:val="single" w:sz="4" w:space="0" w:color="3A6FAF" w:themeColor="accent2"/>
            </w:tcBorders>
            <w:shd w:val="clear" w:color="auto" w:fill="auto"/>
            <w:noWrap/>
            <w:hideMark/>
          </w:tcPr>
          <w:p w14:paraId="325B5364" w14:textId="0E7FEDEB" w:rsidR="00A27373" w:rsidRDefault="001D3908" w:rsidP="00A27373">
            <w:pPr>
              <w:pStyle w:val="TableColumnHeadingRight"/>
            </w:pPr>
            <w:r w:rsidRPr="00CF5F70">
              <w:t xml:space="preserve">Share of decline in </w:t>
            </w:r>
            <w:r w:rsidR="006B752D">
              <w:t>hours worked</w:t>
            </w:r>
            <w:r>
              <w:br/>
            </w:r>
            <w:r w:rsidRPr="00CF5F70">
              <w:t xml:space="preserve"> (Apr</w:t>
            </w:r>
            <w:r w:rsidR="0038520A">
              <w:noBreakHyphen/>
            </w:r>
            <w:r w:rsidRPr="00CF5F70">
              <w:t>Sept 2020)</w:t>
            </w:r>
          </w:p>
          <w:p w14:paraId="75F78849" w14:textId="5980842B" w:rsidR="006C129B" w:rsidRPr="005566B0" w:rsidRDefault="00DC400F" w:rsidP="00D35008">
            <w:pPr>
              <w:pStyle w:val="TableColumnHeadingRight"/>
            </w:pPr>
            <w:r>
              <w:t>%</w:t>
            </w:r>
          </w:p>
        </w:tc>
        <w:tc>
          <w:tcPr>
            <w:tcW w:w="2126" w:type="dxa"/>
            <w:tcBorders>
              <w:top w:val="single" w:sz="4" w:space="0" w:color="3A6FAF" w:themeColor="accent2"/>
              <w:bottom w:val="single" w:sz="4" w:space="0" w:color="3A6FAF" w:themeColor="accent2"/>
            </w:tcBorders>
            <w:shd w:val="clear" w:color="auto" w:fill="auto"/>
            <w:noWrap/>
            <w:hideMark/>
          </w:tcPr>
          <w:p w14:paraId="0E6F07C4" w14:textId="40DDC071" w:rsidR="00A27373" w:rsidRDefault="001D3908" w:rsidP="001D3908">
            <w:pPr>
              <w:pStyle w:val="TableColumnHeadingRight"/>
            </w:pPr>
            <w:r w:rsidRPr="00CF5F70">
              <w:t>Share of pre</w:t>
            </w:r>
            <w:r w:rsidR="0038520A">
              <w:noBreakHyphen/>
            </w:r>
            <w:r w:rsidRPr="00CF5F70">
              <w:t>COVID employment</w:t>
            </w:r>
            <w:r>
              <w:br/>
            </w:r>
            <w:r w:rsidRPr="00CF5F70">
              <w:t>(March 2020)</w:t>
            </w:r>
          </w:p>
          <w:p w14:paraId="343440F8" w14:textId="393DAEFE" w:rsidR="006C129B" w:rsidRPr="005566B0" w:rsidRDefault="00DC400F" w:rsidP="00D35008">
            <w:pPr>
              <w:pStyle w:val="TableColumnHeadingRight"/>
            </w:pPr>
            <w:r>
              <w:t>%</w:t>
            </w:r>
          </w:p>
        </w:tc>
      </w:tr>
      <w:tr w:rsidR="006C129B" w:rsidRPr="005566B0" w14:paraId="793D973C" w14:textId="77777777" w:rsidTr="00E33570">
        <w:trPr>
          <w:trHeight w:val="251"/>
        </w:trPr>
        <w:tc>
          <w:tcPr>
            <w:tcW w:w="2693" w:type="dxa"/>
            <w:tcBorders>
              <w:top w:val="single" w:sz="4" w:space="0" w:color="3A6FAF" w:themeColor="accent2"/>
            </w:tcBorders>
            <w:shd w:val="clear" w:color="auto" w:fill="auto"/>
            <w:noWrap/>
            <w:vAlign w:val="bottom"/>
            <w:hideMark/>
          </w:tcPr>
          <w:p w14:paraId="3A4A6B88" w14:textId="77777777" w:rsidR="006C129B" w:rsidRPr="005566B0" w:rsidRDefault="006C129B" w:rsidP="00646190">
            <w:pPr>
              <w:pStyle w:val="TableTextLeft"/>
              <w:rPr>
                <w:rFonts w:cs="Calibri"/>
                <w:sz w:val="20"/>
              </w:rPr>
            </w:pPr>
            <w:r w:rsidRPr="005566B0">
              <w:rPr>
                <w:rFonts w:cs="Calibri"/>
              </w:rPr>
              <w:t>Ma</w:t>
            </w:r>
            <w:r w:rsidRPr="005566B0">
              <w:rPr>
                <w:rFonts w:cs="Calibri"/>
                <w:sz w:val="20"/>
              </w:rPr>
              <w:t>le</w:t>
            </w:r>
          </w:p>
        </w:tc>
        <w:tc>
          <w:tcPr>
            <w:tcW w:w="2126" w:type="dxa"/>
            <w:tcBorders>
              <w:top w:val="single" w:sz="4" w:space="0" w:color="3A6FAF" w:themeColor="accent2"/>
            </w:tcBorders>
            <w:shd w:val="clear" w:color="auto" w:fill="auto"/>
            <w:noWrap/>
            <w:hideMark/>
          </w:tcPr>
          <w:p w14:paraId="540C02B8" w14:textId="160E9204" w:rsidR="006C129B" w:rsidRPr="005566B0" w:rsidRDefault="006C129B" w:rsidP="00D35008">
            <w:pPr>
              <w:pStyle w:val="TableTextRight"/>
              <w:rPr>
                <w:rFonts w:cs="Calibri"/>
                <w:sz w:val="20"/>
              </w:rPr>
            </w:pPr>
            <w:r w:rsidRPr="005566B0">
              <w:t>5</w:t>
            </w:r>
            <w:r w:rsidR="006953E9">
              <w:t>4.</w:t>
            </w:r>
            <w:r w:rsidR="0055456C">
              <w:t>6</w:t>
            </w:r>
            <w:r w:rsidR="001D3908" w:rsidRPr="00F53914">
              <w:t xml:space="preserve"> </w:t>
            </w:r>
          </w:p>
        </w:tc>
        <w:tc>
          <w:tcPr>
            <w:tcW w:w="2126" w:type="dxa"/>
            <w:tcBorders>
              <w:top w:val="single" w:sz="4" w:space="0" w:color="3A6FAF" w:themeColor="accent2"/>
            </w:tcBorders>
            <w:shd w:val="clear" w:color="auto" w:fill="auto"/>
            <w:noWrap/>
            <w:hideMark/>
          </w:tcPr>
          <w:p w14:paraId="6BD11D2A" w14:textId="6BFA5DF0" w:rsidR="006C129B" w:rsidRPr="005566B0" w:rsidRDefault="001D3908" w:rsidP="00D35008">
            <w:pPr>
              <w:pStyle w:val="TableTextRight"/>
              <w:rPr>
                <w:rFonts w:cs="Calibri"/>
                <w:sz w:val="20"/>
              </w:rPr>
            </w:pPr>
            <w:r w:rsidRPr="00F53914">
              <w:t>53.1</w:t>
            </w:r>
          </w:p>
        </w:tc>
        <w:tc>
          <w:tcPr>
            <w:tcW w:w="2126" w:type="dxa"/>
            <w:tcBorders>
              <w:top w:val="single" w:sz="4" w:space="0" w:color="3A6FAF" w:themeColor="accent2"/>
            </w:tcBorders>
            <w:shd w:val="clear" w:color="auto" w:fill="auto"/>
            <w:noWrap/>
            <w:hideMark/>
          </w:tcPr>
          <w:p w14:paraId="5058C9AB" w14:textId="3F532A87" w:rsidR="006C129B" w:rsidRPr="005566B0" w:rsidRDefault="001D3908" w:rsidP="00D35008">
            <w:pPr>
              <w:pStyle w:val="TableTextRight"/>
              <w:rPr>
                <w:rFonts w:cs="Calibri"/>
                <w:sz w:val="20"/>
              </w:rPr>
            </w:pPr>
            <w:r w:rsidRPr="00F53914">
              <w:t>52.6</w:t>
            </w:r>
          </w:p>
        </w:tc>
      </w:tr>
      <w:tr w:rsidR="006C129B" w:rsidRPr="005566B0" w14:paraId="2DC074D7" w14:textId="77777777" w:rsidTr="00E33570">
        <w:trPr>
          <w:trHeight w:val="251"/>
        </w:trPr>
        <w:tc>
          <w:tcPr>
            <w:tcW w:w="2693" w:type="dxa"/>
            <w:tcBorders>
              <w:bottom w:val="single" w:sz="4" w:space="0" w:color="3A6FAF" w:themeColor="accent2"/>
            </w:tcBorders>
            <w:shd w:val="clear" w:color="auto" w:fill="auto"/>
            <w:noWrap/>
            <w:vAlign w:val="bottom"/>
            <w:hideMark/>
          </w:tcPr>
          <w:p w14:paraId="4ADFCB23" w14:textId="77777777" w:rsidR="006C129B" w:rsidRPr="005566B0" w:rsidRDefault="006C129B" w:rsidP="00646190">
            <w:pPr>
              <w:pStyle w:val="TableTextLeft"/>
              <w:rPr>
                <w:rFonts w:cs="Calibri"/>
                <w:sz w:val="20"/>
              </w:rPr>
            </w:pPr>
            <w:r w:rsidRPr="005566B0">
              <w:rPr>
                <w:rFonts w:cs="Calibri"/>
              </w:rPr>
              <w:t>F</w:t>
            </w:r>
            <w:r w:rsidRPr="005566B0">
              <w:rPr>
                <w:rFonts w:cs="Calibri"/>
                <w:sz w:val="20"/>
              </w:rPr>
              <w:t>emale</w:t>
            </w:r>
          </w:p>
        </w:tc>
        <w:tc>
          <w:tcPr>
            <w:tcW w:w="2126" w:type="dxa"/>
            <w:tcBorders>
              <w:bottom w:val="single" w:sz="4" w:space="0" w:color="3A6FAF" w:themeColor="accent2"/>
            </w:tcBorders>
            <w:shd w:val="clear" w:color="auto" w:fill="auto"/>
            <w:noWrap/>
            <w:hideMark/>
          </w:tcPr>
          <w:p w14:paraId="0680DEC0" w14:textId="52597AB5" w:rsidR="006C129B" w:rsidRPr="005566B0" w:rsidRDefault="006C129B" w:rsidP="00D35008">
            <w:pPr>
              <w:pStyle w:val="TableTextRight"/>
              <w:rPr>
                <w:rFonts w:cs="Calibri"/>
                <w:sz w:val="20"/>
              </w:rPr>
            </w:pPr>
            <w:r w:rsidRPr="005566B0">
              <w:t>4</w:t>
            </w:r>
            <w:r w:rsidR="009B7804" w:rsidRPr="00F53914">
              <w:t>5</w:t>
            </w:r>
            <w:r w:rsidR="006953E9" w:rsidRPr="00F53914">
              <w:t>.</w:t>
            </w:r>
            <w:r w:rsidR="0055456C" w:rsidRPr="00F53914">
              <w:t>4</w:t>
            </w:r>
            <w:r w:rsidR="001D3908" w:rsidRPr="00F53914">
              <w:t xml:space="preserve"> </w:t>
            </w:r>
          </w:p>
        </w:tc>
        <w:tc>
          <w:tcPr>
            <w:tcW w:w="2126" w:type="dxa"/>
            <w:tcBorders>
              <w:bottom w:val="single" w:sz="4" w:space="0" w:color="3A6FAF" w:themeColor="accent2"/>
            </w:tcBorders>
            <w:shd w:val="clear" w:color="auto" w:fill="auto"/>
            <w:noWrap/>
            <w:hideMark/>
          </w:tcPr>
          <w:p w14:paraId="18EE27D8" w14:textId="236AE97B" w:rsidR="006C129B" w:rsidRPr="005566B0" w:rsidRDefault="001D3908" w:rsidP="00D35008">
            <w:pPr>
              <w:pStyle w:val="TableTextRight"/>
              <w:rPr>
                <w:rFonts w:cs="Calibri"/>
                <w:sz w:val="20"/>
              </w:rPr>
            </w:pPr>
            <w:r w:rsidRPr="00F53914">
              <w:t>46.9</w:t>
            </w:r>
          </w:p>
        </w:tc>
        <w:tc>
          <w:tcPr>
            <w:tcW w:w="2126" w:type="dxa"/>
            <w:tcBorders>
              <w:bottom w:val="single" w:sz="4" w:space="0" w:color="3A6FAF" w:themeColor="accent2"/>
            </w:tcBorders>
            <w:shd w:val="clear" w:color="auto" w:fill="auto"/>
            <w:noWrap/>
            <w:hideMark/>
          </w:tcPr>
          <w:p w14:paraId="037B56E0" w14:textId="2BD3D9FF" w:rsidR="006C129B" w:rsidRPr="005566B0" w:rsidRDefault="001D3908" w:rsidP="00D35008">
            <w:pPr>
              <w:pStyle w:val="TableTextRight"/>
              <w:rPr>
                <w:rFonts w:cs="Calibri"/>
                <w:sz w:val="20"/>
              </w:rPr>
            </w:pPr>
            <w:r w:rsidRPr="00F53914">
              <w:t>47.4</w:t>
            </w:r>
          </w:p>
        </w:tc>
      </w:tr>
    </w:tbl>
    <w:p w14:paraId="13064272" w14:textId="3EA797A5" w:rsidR="00AC7AB6" w:rsidRDefault="00AC7AB6" w:rsidP="003D7CB3">
      <w:pPr>
        <w:pStyle w:val="ChartorTableNote"/>
        <w:rPr>
          <w:szCs w:val="16"/>
        </w:rPr>
      </w:pPr>
      <w:r>
        <w:rPr>
          <w:szCs w:val="16"/>
        </w:rPr>
        <w:t xml:space="preserve">Data underlying </w:t>
      </w:r>
      <w:r w:rsidR="00066FC6">
        <w:rPr>
          <w:szCs w:val="16"/>
        </w:rPr>
        <w:t>F</w:t>
      </w:r>
      <w:r w:rsidRPr="00734FA1">
        <w:rPr>
          <w:szCs w:val="16"/>
        </w:rPr>
        <w:t xml:space="preserve">igure </w:t>
      </w:r>
      <w:r w:rsidR="006D740C">
        <w:rPr>
          <w:szCs w:val="16"/>
        </w:rPr>
        <w:t>7a</w:t>
      </w:r>
      <w:r w:rsidR="004133D6">
        <w:rPr>
          <w:szCs w:val="16"/>
        </w:rPr>
        <w:t>.</w:t>
      </w:r>
    </w:p>
    <w:p w14:paraId="2C8E9859" w14:textId="5C0B4A26" w:rsidR="001D3908" w:rsidRPr="00F57E24" w:rsidRDefault="001D3908" w:rsidP="001D3908">
      <w:pPr>
        <w:pStyle w:val="ChartorTableNote"/>
        <w:jc w:val="left"/>
      </w:pPr>
      <w:r w:rsidRPr="002C73BA">
        <w:t>Source: ATO administrative data</w:t>
      </w:r>
      <w:r>
        <w:t xml:space="preserve"> as at 7 July 2021</w:t>
      </w:r>
      <w:r w:rsidR="00511945">
        <w:t xml:space="preserve"> and</w:t>
      </w:r>
      <w:r w:rsidRPr="002C73BA">
        <w:t xml:space="preserve"> ABS Labour Force, Australia, </w:t>
      </w:r>
      <w:r>
        <w:t>Monthly</w:t>
      </w:r>
      <w:r w:rsidRPr="002C73BA">
        <w:t xml:space="preserve">, </w:t>
      </w:r>
      <w:r>
        <w:t xml:space="preserve">August 2021 </w:t>
      </w:r>
      <w:r w:rsidRPr="002C73BA">
        <w:t xml:space="preserve">(Cat. No. </w:t>
      </w:r>
      <w:r w:rsidRPr="00F57E24">
        <w:t>6202.0</w:t>
      </w:r>
      <w:r w:rsidRPr="002C73BA">
        <w:t>)</w:t>
      </w:r>
      <w:r w:rsidR="004133D6">
        <w:t>.</w:t>
      </w:r>
    </w:p>
    <w:p w14:paraId="1B3B210C" w14:textId="6DB62FD6" w:rsidR="00D33ECC" w:rsidRPr="00D33ECC" w:rsidRDefault="00D33ECC" w:rsidP="00F42045">
      <w:pPr>
        <w:pStyle w:val="SingleParagraph"/>
      </w:pPr>
    </w:p>
    <w:p w14:paraId="5BCDB830" w14:textId="255E456C" w:rsidR="00D33ECC" w:rsidRPr="00646190" w:rsidRDefault="00AC0721" w:rsidP="004373F4">
      <w:pPr>
        <w:pStyle w:val="TableSecondHeading"/>
      </w:pPr>
      <w:bookmarkStart w:id="215" w:name="_Toc84842602"/>
      <w:r>
        <w:t xml:space="preserve">b. </w:t>
      </w:r>
      <w:r w:rsidR="00D33ECC" w:rsidRPr="00646190">
        <w:t>By age</w:t>
      </w:r>
      <w:bookmarkEnd w:id="215"/>
    </w:p>
    <w:tbl>
      <w:tblPr>
        <w:tblW w:w="5000" w:type="pct"/>
        <w:tblLayout w:type="fixed"/>
        <w:tblLook w:val="04A0" w:firstRow="1" w:lastRow="0" w:firstColumn="1" w:lastColumn="0" w:noHBand="0" w:noVBand="1"/>
      </w:tblPr>
      <w:tblGrid>
        <w:gridCol w:w="2655"/>
        <w:gridCol w:w="2138"/>
        <w:gridCol w:w="2139"/>
        <w:gridCol w:w="2139"/>
      </w:tblGrid>
      <w:tr w:rsidR="001D3908" w:rsidRPr="005566B0" w14:paraId="0B8AD8CD" w14:textId="77777777" w:rsidTr="00E33570">
        <w:trPr>
          <w:trHeight w:val="294"/>
        </w:trPr>
        <w:tc>
          <w:tcPr>
            <w:tcW w:w="2655" w:type="dxa"/>
            <w:tcBorders>
              <w:top w:val="single" w:sz="4" w:space="0" w:color="3A6FAF" w:themeColor="accent2"/>
              <w:bottom w:val="single" w:sz="4" w:space="0" w:color="3A6FAF" w:themeColor="accent2"/>
            </w:tcBorders>
            <w:shd w:val="clear" w:color="auto" w:fill="auto"/>
            <w:noWrap/>
            <w:vAlign w:val="bottom"/>
            <w:hideMark/>
          </w:tcPr>
          <w:p w14:paraId="7E1FF4E2" w14:textId="77777777" w:rsidR="001D3908" w:rsidRPr="003E7BD1" w:rsidRDefault="001D3908" w:rsidP="001D3908">
            <w:pPr>
              <w:pStyle w:val="TableTextLeft"/>
              <w:rPr>
                <w:color w:val="002C47" w:themeColor="accent1"/>
              </w:rPr>
            </w:pPr>
          </w:p>
        </w:tc>
        <w:tc>
          <w:tcPr>
            <w:tcW w:w="2138" w:type="dxa"/>
            <w:tcBorders>
              <w:top w:val="single" w:sz="4" w:space="0" w:color="3A6FAF" w:themeColor="accent2"/>
              <w:bottom w:val="single" w:sz="4" w:space="0" w:color="3A6FAF" w:themeColor="accent2"/>
            </w:tcBorders>
            <w:shd w:val="clear" w:color="auto" w:fill="auto"/>
            <w:noWrap/>
            <w:hideMark/>
          </w:tcPr>
          <w:p w14:paraId="16FC5CEE" w14:textId="77777777" w:rsidR="00A27373" w:rsidRDefault="001D3908" w:rsidP="00A27373">
            <w:pPr>
              <w:pStyle w:val="TableColumnHeadingRight"/>
            </w:pPr>
            <w:r w:rsidRPr="00CF5F70">
              <w:t>Share of JobKeeper participants</w:t>
            </w:r>
            <w:r w:rsidR="00A27373">
              <w:br/>
            </w:r>
          </w:p>
          <w:p w14:paraId="196D862C" w14:textId="51AA8D52" w:rsidR="001D3908" w:rsidRPr="005566B0" w:rsidRDefault="001D3908" w:rsidP="00A27373">
            <w:pPr>
              <w:pStyle w:val="TableColumnHeadingRight"/>
            </w:pPr>
            <w:r>
              <w:t>%</w:t>
            </w:r>
          </w:p>
        </w:tc>
        <w:tc>
          <w:tcPr>
            <w:tcW w:w="2139" w:type="dxa"/>
            <w:tcBorders>
              <w:top w:val="single" w:sz="4" w:space="0" w:color="3A6FAF" w:themeColor="accent2"/>
              <w:bottom w:val="single" w:sz="4" w:space="0" w:color="3A6FAF" w:themeColor="accent2"/>
            </w:tcBorders>
          </w:tcPr>
          <w:p w14:paraId="5A65490C" w14:textId="46587B51" w:rsidR="00A27373" w:rsidRDefault="001D3908" w:rsidP="00A27373">
            <w:pPr>
              <w:pStyle w:val="TableColumnHeadingRight"/>
            </w:pPr>
            <w:r w:rsidRPr="00CF5F70">
              <w:t xml:space="preserve">Share of decline in </w:t>
            </w:r>
            <w:r w:rsidR="006B752D">
              <w:t>hours worked</w:t>
            </w:r>
            <w:r>
              <w:br/>
            </w:r>
            <w:r w:rsidRPr="00CF5F70">
              <w:t xml:space="preserve"> (Apr</w:t>
            </w:r>
            <w:r w:rsidR="0038520A">
              <w:noBreakHyphen/>
            </w:r>
            <w:r w:rsidRPr="00CF5F70">
              <w:t>Sept 2020)</w:t>
            </w:r>
          </w:p>
          <w:p w14:paraId="1E56B133" w14:textId="7EB3FFB2" w:rsidR="001D3908" w:rsidRPr="005566B0" w:rsidRDefault="001D3908" w:rsidP="00A27373">
            <w:pPr>
              <w:pStyle w:val="TableColumnHeadingRight"/>
            </w:pPr>
            <w:r>
              <w:t>%</w:t>
            </w:r>
          </w:p>
        </w:tc>
        <w:tc>
          <w:tcPr>
            <w:tcW w:w="2139" w:type="dxa"/>
            <w:tcBorders>
              <w:top w:val="single" w:sz="4" w:space="0" w:color="3A6FAF" w:themeColor="accent2"/>
              <w:bottom w:val="single" w:sz="4" w:space="0" w:color="3A6FAF" w:themeColor="accent2"/>
            </w:tcBorders>
            <w:shd w:val="clear" w:color="auto" w:fill="auto"/>
            <w:noWrap/>
            <w:hideMark/>
          </w:tcPr>
          <w:p w14:paraId="75AC90F5" w14:textId="7E144672" w:rsidR="00A27373" w:rsidRDefault="001D3908" w:rsidP="001D3908">
            <w:pPr>
              <w:pStyle w:val="TableColumnHeadingRight"/>
            </w:pPr>
            <w:r w:rsidRPr="00CF5F70">
              <w:t>Share of pre</w:t>
            </w:r>
            <w:r w:rsidR="0038520A">
              <w:noBreakHyphen/>
            </w:r>
            <w:r w:rsidRPr="00CF5F70">
              <w:t>COVID employment</w:t>
            </w:r>
            <w:r>
              <w:br/>
            </w:r>
            <w:r w:rsidRPr="00CF5F70">
              <w:t>(March 2020)</w:t>
            </w:r>
          </w:p>
          <w:p w14:paraId="5CDC53E1" w14:textId="3E704FA7" w:rsidR="001D3908" w:rsidRPr="005566B0" w:rsidRDefault="001D3908" w:rsidP="001D3908">
            <w:pPr>
              <w:pStyle w:val="TableColumnHeadingRight"/>
            </w:pPr>
            <w:r>
              <w:t>%</w:t>
            </w:r>
          </w:p>
        </w:tc>
      </w:tr>
      <w:tr w:rsidR="00F4632F" w:rsidRPr="005566B0" w14:paraId="10B1E7CB" w14:textId="77777777" w:rsidTr="00E33570">
        <w:trPr>
          <w:trHeight w:val="294"/>
        </w:trPr>
        <w:tc>
          <w:tcPr>
            <w:tcW w:w="2655" w:type="dxa"/>
            <w:tcBorders>
              <w:top w:val="single" w:sz="4" w:space="0" w:color="3A6FAF" w:themeColor="accent2"/>
            </w:tcBorders>
            <w:shd w:val="clear" w:color="auto" w:fill="auto"/>
            <w:noWrap/>
            <w:vAlign w:val="bottom"/>
            <w:hideMark/>
          </w:tcPr>
          <w:p w14:paraId="68ABDFD3" w14:textId="1C72AE98" w:rsidR="00F4632F" w:rsidRPr="00E62225" w:rsidRDefault="00F4632F" w:rsidP="00F4632F">
            <w:pPr>
              <w:pStyle w:val="TableTextLeft"/>
              <w:rPr>
                <w:rFonts w:cs="Calibri"/>
                <w:szCs w:val="18"/>
              </w:rPr>
            </w:pPr>
            <w:r w:rsidRPr="005566B0">
              <w:rPr>
                <w:rFonts w:cs="Calibri"/>
              </w:rPr>
              <w:t>15</w:t>
            </w:r>
            <w:r w:rsidR="0038520A">
              <w:rPr>
                <w:rFonts w:cs="Calibri"/>
              </w:rPr>
              <w:noBreakHyphen/>
            </w:r>
            <w:r w:rsidRPr="005566B0">
              <w:rPr>
                <w:rFonts w:cs="Calibri"/>
              </w:rPr>
              <w:t>24</w:t>
            </w:r>
          </w:p>
        </w:tc>
        <w:tc>
          <w:tcPr>
            <w:tcW w:w="2138" w:type="dxa"/>
            <w:tcBorders>
              <w:top w:val="single" w:sz="4" w:space="0" w:color="3A6FAF" w:themeColor="accent2"/>
            </w:tcBorders>
            <w:shd w:val="clear" w:color="auto" w:fill="auto"/>
            <w:noWrap/>
            <w:hideMark/>
          </w:tcPr>
          <w:p w14:paraId="24B69A10" w14:textId="35327B9B" w:rsidR="00F4632F" w:rsidRPr="005566B0" w:rsidRDefault="00F4632F" w:rsidP="00F4632F">
            <w:pPr>
              <w:pStyle w:val="TableTextRight"/>
            </w:pPr>
            <w:r w:rsidRPr="0086389A">
              <w:t>10.3</w:t>
            </w:r>
          </w:p>
        </w:tc>
        <w:tc>
          <w:tcPr>
            <w:tcW w:w="2139" w:type="dxa"/>
            <w:tcBorders>
              <w:top w:val="single" w:sz="4" w:space="0" w:color="3A6FAF" w:themeColor="accent2"/>
            </w:tcBorders>
          </w:tcPr>
          <w:p w14:paraId="0C412DAF" w14:textId="1E109794" w:rsidR="00F4632F" w:rsidRPr="005566B0" w:rsidRDefault="00F4632F" w:rsidP="00F4632F">
            <w:pPr>
              <w:pStyle w:val="TableTextRight"/>
            </w:pPr>
            <w:r w:rsidRPr="0086389A">
              <w:t>14.9</w:t>
            </w:r>
          </w:p>
        </w:tc>
        <w:tc>
          <w:tcPr>
            <w:tcW w:w="2139" w:type="dxa"/>
            <w:tcBorders>
              <w:top w:val="single" w:sz="4" w:space="0" w:color="3A6FAF" w:themeColor="accent2"/>
            </w:tcBorders>
            <w:shd w:val="clear" w:color="auto" w:fill="auto"/>
            <w:noWrap/>
            <w:hideMark/>
          </w:tcPr>
          <w:p w14:paraId="3B824C32" w14:textId="28951D98" w:rsidR="00F4632F" w:rsidRPr="005566B0" w:rsidRDefault="00F4632F" w:rsidP="00F4632F">
            <w:pPr>
              <w:pStyle w:val="TableTextRight"/>
            </w:pPr>
            <w:r w:rsidRPr="0086389A">
              <w:t>22.4</w:t>
            </w:r>
          </w:p>
        </w:tc>
      </w:tr>
      <w:tr w:rsidR="00F4632F" w:rsidRPr="005566B0" w14:paraId="01DCFC2F" w14:textId="77777777" w:rsidTr="00E33570">
        <w:trPr>
          <w:trHeight w:val="294"/>
        </w:trPr>
        <w:tc>
          <w:tcPr>
            <w:tcW w:w="2655" w:type="dxa"/>
            <w:shd w:val="clear" w:color="auto" w:fill="auto"/>
            <w:noWrap/>
            <w:vAlign w:val="bottom"/>
            <w:hideMark/>
          </w:tcPr>
          <w:p w14:paraId="1416111E" w14:textId="0DBE6D4E" w:rsidR="00F4632F" w:rsidRPr="00E62225" w:rsidRDefault="00F4632F" w:rsidP="00F4632F">
            <w:pPr>
              <w:pStyle w:val="TableTextLeft"/>
              <w:rPr>
                <w:rFonts w:cs="Calibri"/>
                <w:szCs w:val="18"/>
              </w:rPr>
            </w:pPr>
            <w:r w:rsidRPr="005566B0">
              <w:rPr>
                <w:rFonts w:cs="Calibri"/>
              </w:rPr>
              <w:t>25</w:t>
            </w:r>
            <w:r w:rsidR="0038520A">
              <w:rPr>
                <w:rFonts w:cs="Calibri"/>
              </w:rPr>
              <w:noBreakHyphen/>
            </w:r>
            <w:r w:rsidRPr="00E62225">
              <w:rPr>
                <w:rFonts w:cs="Calibri"/>
                <w:szCs w:val="18"/>
              </w:rPr>
              <w:t>34</w:t>
            </w:r>
          </w:p>
        </w:tc>
        <w:tc>
          <w:tcPr>
            <w:tcW w:w="2138" w:type="dxa"/>
            <w:shd w:val="clear" w:color="auto" w:fill="auto"/>
            <w:noWrap/>
            <w:hideMark/>
          </w:tcPr>
          <w:p w14:paraId="2D9B727B" w14:textId="52AC0970" w:rsidR="00F4632F" w:rsidRPr="005566B0" w:rsidRDefault="00F4632F" w:rsidP="00F4632F">
            <w:pPr>
              <w:pStyle w:val="TableTextRight"/>
            </w:pPr>
            <w:r w:rsidRPr="0086389A">
              <w:t>21.8</w:t>
            </w:r>
          </w:p>
        </w:tc>
        <w:tc>
          <w:tcPr>
            <w:tcW w:w="2139" w:type="dxa"/>
          </w:tcPr>
          <w:p w14:paraId="3F83B692" w14:textId="7E49F078" w:rsidR="00F4632F" w:rsidRPr="005566B0" w:rsidRDefault="00F4632F" w:rsidP="00F4632F">
            <w:pPr>
              <w:pStyle w:val="TableTextRight"/>
            </w:pPr>
            <w:r w:rsidRPr="0086389A">
              <w:t>23.9</w:t>
            </w:r>
          </w:p>
        </w:tc>
        <w:tc>
          <w:tcPr>
            <w:tcW w:w="2139" w:type="dxa"/>
            <w:shd w:val="clear" w:color="auto" w:fill="auto"/>
            <w:noWrap/>
            <w:hideMark/>
          </w:tcPr>
          <w:p w14:paraId="3AFFC95E" w14:textId="5CC3C4AA" w:rsidR="00F4632F" w:rsidRPr="005566B0" w:rsidRDefault="00F4632F" w:rsidP="00F4632F">
            <w:pPr>
              <w:pStyle w:val="TableTextRight"/>
            </w:pPr>
            <w:r w:rsidRPr="0086389A">
              <w:t>29.9</w:t>
            </w:r>
          </w:p>
        </w:tc>
      </w:tr>
      <w:tr w:rsidR="00F4632F" w:rsidRPr="005566B0" w14:paraId="0094AE2E" w14:textId="77777777" w:rsidTr="00E33570">
        <w:trPr>
          <w:trHeight w:val="294"/>
        </w:trPr>
        <w:tc>
          <w:tcPr>
            <w:tcW w:w="2655" w:type="dxa"/>
            <w:shd w:val="clear" w:color="auto" w:fill="auto"/>
            <w:noWrap/>
            <w:vAlign w:val="bottom"/>
            <w:hideMark/>
          </w:tcPr>
          <w:p w14:paraId="15C3532B" w14:textId="467A0071" w:rsidR="00F4632F" w:rsidRPr="00E62225" w:rsidRDefault="00F4632F" w:rsidP="00F4632F">
            <w:pPr>
              <w:pStyle w:val="TableTextLeft"/>
              <w:rPr>
                <w:rFonts w:cs="Calibri"/>
                <w:szCs w:val="18"/>
              </w:rPr>
            </w:pPr>
            <w:r w:rsidRPr="005566B0">
              <w:rPr>
                <w:rFonts w:cs="Calibri"/>
              </w:rPr>
              <w:t>35</w:t>
            </w:r>
            <w:r w:rsidR="0038520A">
              <w:rPr>
                <w:rFonts w:cs="Calibri"/>
              </w:rPr>
              <w:noBreakHyphen/>
            </w:r>
            <w:r w:rsidRPr="005566B0">
              <w:rPr>
                <w:rFonts w:cs="Calibri"/>
              </w:rPr>
              <w:t>44</w:t>
            </w:r>
          </w:p>
        </w:tc>
        <w:tc>
          <w:tcPr>
            <w:tcW w:w="2138" w:type="dxa"/>
            <w:shd w:val="clear" w:color="auto" w:fill="auto"/>
            <w:noWrap/>
            <w:hideMark/>
          </w:tcPr>
          <w:p w14:paraId="015A6607" w14:textId="45AD5D82" w:rsidR="00F4632F" w:rsidRPr="005566B0" w:rsidRDefault="00F4632F" w:rsidP="00F4632F">
            <w:pPr>
              <w:pStyle w:val="TableTextRight"/>
            </w:pPr>
            <w:r w:rsidRPr="0086389A">
              <w:t>23.2</w:t>
            </w:r>
          </w:p>
        </w:tc>
        <w:tc>
          <w:tcPr>
            <w:tcW w:w="2139" w:type="dxa"/>
          </w:tcPr>
          <w:p w14:paraId="0408D704" w14:textId="572ACFBF" w:rsidR="00F4632F" w:rsidRPr="005566B0" w:rsidRDefault="00F4632F" w:rsidP="00F4632F">
            <w:pPr>
              <w:pStyle w:val="TableTextRight"/>
            </w:pPr>
            <w:r w:rsidRPr="0086389A">
              <w:t>21.8</w:t>
            </w:r>
          </w:p>
        </w:tc>
        <w:tc>
          <w:tcPr>
            <w:tcW w:w="2139" w:type="dxa"/>
            <w:shd w:val="clear" w:color="auto" w:fill="auto"/>
            <w:noWrap/>
            <w:hideMark/>
          </w:tcPr>
          <w:p w14:paraId="622D57F8" w14:textId="1CCE4748" w:rsidR="00F4632F" w:rsidRPr="005566B0" w:rsidRDefault="00F4632F" w:rsidP="00F4632F">
            <w:pPr>
              <w:pStyle w:val="TableTextRight"/>
            </w:pPr>
            <w:r w:rsidRPr="0086389A">
              <w:t>18.5</w:t>
            </w:r>
          </w:p>
        </w:tc>
      </w:tr>
      <w:tr w:rsidR="00F4632F" w:rsidRPr="005566B0" w14:paraId="5407F41E" w14:textId="77777777" w:rsidTr="00E33570">
        <w:trPr>
          <w:trHeight w:val="294"/>
        </w:trPr>
        <w:tc>
          <w:tcPr>
            <w:tcW w:w="2655" w:type="dxa"/>
            <w:shd w:val="clear" w:color="auto" w:fill="auto"/>
            <w:noWrap/>
            <w:vAlign w:val="bottom"/>
            <w:hideMark/>
          </w:tcPr>
          <w:p w14:paraId="62EAD035" w14:textId="46A8F973" w:rsidR="00F4632F" w:rsidRPr="00E62225" w:rsidRDefault="00F4632F" w:rsidP="00F4632F">
            <w:pPr>
              <w:pStyle w:val="TableTextLeft"/>
              <w:rPr>
                <w:rFonts w:cs="Calibri"/>
                <w:szCs w:val="18"/>
              </w:rPr>
            </w:pPr>
            <w:r w:rsidRPr="005566B0">
              <w:rPr>
                <w:rFonts w:cs="Calibri"/>
              </w:rPr>
              <w:t>45</w:t>
            </w:r>
            <w:r w:rsidR="0038520A">
              <w:rPr>
                <w:rFonts w:cs="Calibri"/>
                <w:szCs w:val="18"/>
              </w:rPr>
              <w:noBreakHyphen/>
            </w:r>
            <w:r w:rsidRPr="00E62225">
              <w:rPr>
                <w:rFonts w:cs="Calibri"/>
                <w:szCs w:val="18"/>
              </w:rPr>
              <w:t>54</w:t>
            </w:r>
          </w:p>
        </w:tc>
        <w:tc>
          <w:tcPr>
            <w:tcW w:w="2138" w:type="dxa"/>
            <w:shd w:val="clear" w:color="auto" w:fill="auto"/>
            <w:noWrap/>
            <w:hideMark/>
          </w:tcPr>
          <w:p w14:paraId="6542759E" w14:textId="510F3B5A" w:rsidR="00F4632F" w:rsidRPr="005566B0" w:rsidRDefault="00F4632F" w:rsidP="00F4632F">
            <w:pPr>
              <w:pStyle w:val="TableTextRight"/>
            </w:pPr>
            <w:r w:rsidRPr="0086389A">
              <w:t>21.7</w:t>
            </w:r>
          </w:p>
        </w:tc>
        <w:tc>
          <w:tcPr>
            <w:tcW w:w="2139" w:type="dxa"/>
          </w:tcPr>
          <w:p w14:paraId="41A71713" w14:textId="4334BEE0" w:rsidR="00F4632F" w:rsidRPr="005566B0" w:rsidRDefault="00F4632F" w:rsidP="00F4632F">
            <w:pPr>
              <w:pStyle w:val="TableTextRight"/>
            </w:pPr>
            <w:r w:rsidRPr="0086389A">
              <w:t>20.3</w:t>
            </w:r>
          </w:p>
        </w:tc>
        <w:tc>
          <w:tcPr>
            <w:tcW w:w="2139" w:type="dxa"/>
            <w:shd w:val="clear" w:color="auto" w:fill="auto"/>
            <w:noWrap/>
            <w:hideMark/>
          </w:tcPr>
          <w:p w14:paraId="422D043A" w14:textId="55499F3D" w:rsidR="00F4632F" w:rsidRPr="005566B0" w:rsidRDefault="00F4632F" w:rsidP="00F4632F">
            <w:pPr>
              <w:pStyle w:val="TableTextRight"/>
            </w:pPr>
            <w:r w:rsidRPr="0086389A">
              <w:t>17.3</w:t>
            </w:r>
          </w:p>
        </w:tc>
      </w:tr>
      <w:tr w:rsidR="00F4632F" w:rsidRPr="005566B0" w14:paraId="39CE6C2F" w14:textId="77777777" w:rsidTr="00E33570">
        <w:trPr>
          <w:trHeight w:val="294"/>
        </w:trPr>
        <w:tc>
          <w:tcPr>
            <w:tcW w:w="2655" w:type="dxa"/>
            <w:shd w:val="clear" w:color="auto" w:fill="auto"/>
            <w:noWrap/>
            <w:vAlign w:val="bottom"/>
            <w:hideMark/>
          </w:tcPr>
          <w:p w14:paraId="502D14F0" w14:textId="6FEF8734" w:rsidR="00F4632F" w:rsidRPr="00E62225" w:rsidRDefault="00F4632F" w:rsidP="00F4632F">
            <w:pPr>
              <w:pStyle w:val="TableTextLeft"/>
              <w:rPr>
                <w:rFonts w:cs="Calibri"/>
                <w:szCs w:val="18"/>
              </w:rPr>
            </w:pPr>
            <w:r w:rsidRPr="005566B0">
              <w:rPr>
                <w:rFonts w:cs="Calibri"/>
              </w:rPr>
              <w:t>55</w:t>
            </w:r>
            <w:r w:rsidR="0038520A">
              <w:rPr>
                <w:rFonts w:cs="Calibri"/>
              </w:rPr>
              <w:noBreakHyphen/>
            </w:r>
            <w:r w:rsidRPr="005566B0">
              <w:rPr>
                <w:rFonts w:cs="Calibri"/>
              </w:rPr>
              <w:t>64</w:t>
            </w:r>
          </w:p>
        </w:tc>
        <w:tc>
          <w:tcPr>
            <w:tcW w:w="2138" w:type="dxa"/>
            <w:shd w:val="clear" w:color="auto" w:fill="auto"/>
            <w:noWrap/>
            <w:hideMark/>
          </w:tcPr>
          <w:p w14:paraId="6C89268F" w14:textId="28B8259F" w:rsidR="00F4632F" w:rsidRPr="005566B0" w:rsidRDefault="00F4632F" w:rsidP="00F4632F">
            <w:pPr>
              <w:pStyle w:val="TableTextRight"/>
            </w:pPr>
            <w:r w:rsidRPr="0086389A">
              <w:t>16.6</w:t>
            </w:r>
          </w:p>
        </w:tc>
        <w:tc>
          <w:tcPr>
            <w:tcW w:w="2139" w:type="dxa"/>
          </w:tcPr>
          <w:p w14:paraId="649920F3" w14:textId="6CFCEECB" w:rsidR="00F4632F" w:rsidRPr="005566B0" w:rsidRDefault="00F4632F" w:rsidP="00F4632F">
            <w:pPr>
              <w:pStyle w:val="TableTextRight"/>
            </w:pPr>
            <w:r w:rsidRPr="0086389A">
              <w:t>14.7</w:t>
            </w:r>
          </w:p>
        </w:tc>
        <w:tc>
          <w:tcPr>
            <w:tcW w:w="2139" w:type="dxa"/>
            <w:shd w:val="clear" w:color="auto" w:fill="auto"/>
            <w:noWrap/>
            <w:hideMark/>
          </w:tcPr>
          <w:p w14:paraId="619204C9" w14:textId="4796ED88" w:rsidR="00F4632F" w:rsidRPr="005566B0" w:rsidRDefault="00F4632F" w:rsidP="00F4632F">
            <w:pPr>
              <w:pStyle w:val="TableTextRight"/>
            </w:pPr>
            <w:r w:rsidRPr="0086389A">
              <w:t>8.4</w:t>
            </w:r>
          </w:p>
        </w:tc>
      </w:tr>
      <w:tr w:rsidR="00F4632F" w:rsidRPr="005566B0" w14:paraId="4757F285" w14:textId="77777777" w:rsidTr="00E33570">
        <w:trPr>
          <w:trHeight w:val="294"/>
        </w:trPr>
        <w:tc>
          <w:tcPr>
            <w:tcW w:w="2655" w:type="dxa"/>
            <w:tcBorders>
              <w:bottom w:val="single" w:sz="4" w:space="0" w:color="3A6FAF" w:themeColor="accent2"/>
            </w:tcBorders>
            <w:shd w:val="clear" w:color="auto" w:fill="auto"/>
            <w:noWrap/>
            <w:vAlign w:val="bottom"/>
            <w:hideMark/>
          </w:tcPr>
          <w:p w14:paraId="3F1926C2" w14:textId="77777777" w:rsidR="00F4632F" w:rsidRPr="00E62225" w:rsidRDefault="00F4632F" w:rsidP="00F4632F">
            <w:pPr>
              <w:pStyle w:val="TableTextLeft"/>
              <w:rPr>
                <w:rFonts w:cs="Calibri"/>
                <w:szCs w:val="18"/>
              </w:rPr>
            </w:pPr>
            <w:r w:rsidRPr="005566B0">
              <w:rPr>
                <w:rFonts w:cs="Calibri"/>
              </w:rPr>
              <w:t>65 +</w:t>
            </w:r>
          </w:p>
        </w:tc>
        <w:tc>
          <w:tcPr>
            <w:tcW w:w="2138" w:type="dxa"/>
            <w:tcBorders>
              <w:bottom w:val="single" w:sz="4" w:space="0" w:color="3A6FAF" w:themeColor="accent2"/>
            </w:tcBorders>
            <w:shd w:val="clear" w:color="auto" w:fill="auto"/>
            <w:noWrap/>
            <w:hideMark/>
          </w:tcPr>
          <w:p w14:paraId="42F0B898" w14:textId="5924B4EA" w:rsidR="00F4632F" w:rsidRPr="005566B0" w:rsidRDefault="00F4632F" w:rsidP="00F4632F">
            <w:pPr>
              <w:pStyle w:val="TableTextRight"/>
            </w:pPr>
            <w:r w:rsidRPr="0086389A">
              <w:t>6.3</w:t>
            </w:r>
          </w:p>
        </w:tc>
        <w:tc>
          <w:tcPr>
            <w:tcW w:w="2139" w:type="dxa"/>
            <w:tcBorders>
              <w:bottom w:val="single" w:sz="4" w:space="0" w:color="3A6FAF" w:themeColor="accent2"/>
            </w:tcBorders>
          </w:tcPr>
          <w:p w14:paraId="27E66A13" w14:textId="7A855252" w:rsidR="00F4632F" w:rsidRPr="00646190" w:rsidRDefault="00F4632F" w:rsidP="00F4632F">
            <w:pPr>
              <w:pStyle w:val="TableTextRight"/>
            </w:pPr>
            <w:r w:rsidRPr="0086389A">
              <w:t>4.5</w:t>
            </w:r>
          </w:p>
        </w:tc>
        <w:tc>
          <w:tcPr>
            <w:tcW w:w="2139" w:type="dxa"/>
            <w:tcBorders>
              <w:bottom w:val="single" w:sz="4" w:space="0" w:color="3A6FAF" w:themeColor="accent2"/>
            </w:tcBorders>
            <w:shd w:val="clear" w:color="auto" w:fill="auto"/>
            <w:noWrap/>
            <w:hideMark/>
          </w:tcPr>
          <w:p w14:paraId="4D801FFC" w14:textId="016D14AA" w:rsidR="00F4632F" w:rsidRPr="005566B0" w:rsidRDefault="00F4632F" w:rsidP="00F4632F">
            <w:pPr>
              <w:pStyle w:val="TableTextRight"/>
            </w:pPr>
            <w:r w:rsidRPr="0086389A">
              <w:t>3.5</w:t>
            </w:r>
          </w:p>
        </w:tc>
      </w:tr>
    </w:tbl>
    <w:p w14:paraId="13FFA858" w14:textId="687988D7" w:rsidR="00D33ECC" w:rsidRDefault="00D33ECC" w:rsidP="00D33ECC">
      <w:pPr>
        <w:pStyle w:val="SingleParagraph"/>
        <w:rPr>
          <w:sz w:val="18"/>
          <w:szCs w:val="16"/>
        </w:rPr>
      </w:pPr>
      <w:r>
        <w:rPr>
          <w:sz w:val="18"/>
          <w:szCs w:val="16"/>
        </w:rPr>
        <w:t xml:space="preserve">Data underlying </w:t>
      </w:r>
      <w:r w:rsidR="00066FC6">
        <w:rPr>
          <w:sz w:val="18"/>
          <w:szCs w:val="16"/>
        </w:rPr>
        <w:t>F</w:t>
      </w:r>
      <w:r w:rsidRPr="00734FA1">
        <w:rPr>
          <w:sz w:val="18"/>
          <w:szCs w:val="16"/>
        </w:rPr>
        <w:t xml:space="preserve">igure </w:t>
      </w:r>
      <w:r w:rsidR="006D740C">
        <w:rPr>
          <w:sz w:val="18"/>
          <w:szCs w:val="16"/>
        </w:rPr>
        <w:t>7b</w:t>
      </w:r>
      <w:r w:rsidR="004133D6">
        <w:rPr>
          <w:sz w:val="18"/>
          <w:szCs w:val="16"/>
        </w:rPr>
        <w:t>.</w:t>
      </w:r>
    </w:p>
    <w:p w14:paraId="67DC4579" w14:textId="33F02653" w:rsidR="001D3908" w:rsidRPr="00F57E24" w:rsidRDefault="001D3908" w:rsidP="001D3908">
      <w:pPr>
        <w:pStyle w:val="ChartorTableNote"/>
        <w:jc w:val="left"/>
      </w:pPr>
      <w:r>
        <w:t>Source: ATO administrative data</w:t>
      </w:r>
      <w:r w:rsidR="00760A41">
        <w:t xml:space="preserve"> as at 7 July 2021</w:t>
      </w:r>
      <w:r>
        <w:t xml:space="preserve"> </w:t>
      </w:r>
      <w:r w:rsidR="00511945">
        <w:t>and</w:t>
      </w:r>
      <w:r>
        <w:t xml:space="preserve"> ABS Labour Force, Australia, Detailed, Monthly, August 2021 </w:t>
      </w:r>
      <w:r w:rsidRPr="002C73BA">
        <w:t>(Cat. No. 6291.0.55.003)</w:t>
      </w:r>
      <w:r w:rsidR="004133D6">
        <w:t>.</w:t>
      </w:r>
    </w:p>
    <w:p w14:paraId="3756A7F5" w14:textId="77777777" w:rsidR="00504C59" w:rsidRPr="00504C59" w:rsidRDefault="00504C59" w:rsidP="00504C59"/>
    <w:p w14:paraId="37CCE27C" w14:textId="41D10CCF" w:rsidR="006C129B" w:rsidRDefault="00A653DA">
      <w:pPr>
        <w:spacing w:before="0" w:after="200" w:line="276" w:lineRule="auto"/>
      </w:pPr>
      <w:r>
        <w:br w:type="page"/>
      </w:r>
    </w:p>
    <w:p w14:paraId="4A1983F1" w14:textId="20905359" w:rsidR="006C129B" w:rsidRPr="005566B0" w:rsidRDefault="006C129B" w:rsidP="00261AE0">
      <w:pPr>
        <w:pStyle w:val="TableMainHeading"/>
        <w:numPr>
          <w:ilvl w:val="0"/>
          <w:numId w:val="64"/>
        </w:numPr>
      </w:pPr>
      <w:bookmarkStart w:id="216" w:name="_Hlk83206099"/>
      <w:bookmarkStart w:id="217" w:name="_Toc84842603"/>
      <w:r w:rsidRPr="005566B0">
        <w:lastRenderedPageBreak/>
        <w:t>JobKeeper</w:t>
      </w:r>
      <w:r>
        <w:t xml:space="preserve"> </w:t>
      </w:r>
      <w:r w:rsidR="006B6E31">
        <w:t xml:space="preserve">first phase </w:t>
      </w:r>
      <w:r w:rsidRPr="005566B0">
        <w:t>payments</w:t>
      </w:r>
      <w:r>
        <w:t xml:space="preserve"> – </w:t>
      </w:r>
      <w:r w:rsidRPr="002C46C8">
        <w:t xml:space="preserve">levels and share of </w:t>
      </w:r>
      <w:r w:rsidR="00835C87">
        <w:t>compensation of employees</w:t>
      </w:r>
      <w:r>
        <w:t>, by industry</w:t>
      </w:r>
      <w:bookmarkEnd w:id="216"/>
      <w:bookmarkEnd w:id="217"/>
    </w:p>
    <w:tbl>
      <w:tblPr>
        <w:tblW w:w="5003" w:type="pct"/>
        <w:tblLayout w:type="fixed"/>
        <w:tblLook w:val="04A0" w:firstRow="1" w:lastRow="0" w:firstColumn="1" w:lastColumn="0" w:noHBand="0" w:noVBand="1"/>
      </w:tblPr>
      <w:tblGrid>
        <w:gridCol w:w="5618"/>
        <w:gridCol w:w="1729"/>
        <w:gridCol w:w="1729"/>
      </w:tblGrid>
      <w:tr w:rsidR="006C129B" w:rsidRPr="005566B0" w14:paraId="3A7331B8" w14:textId="77777777" w:rsidTr="00CD1525">
        <w:trPr>
          <w:trHeight w:val="290"/>
        </w:trPr>
        <w:tc>
          <w:tcPr>
            <w:tcW w:w="5618" w:type="dxa"/>
            <w:tcBorders>
              <w:top w:val="single" w:sz="4" w:space="0" w:color="3A6FAF" w:themeColor="accent2"/>
              <w:bottom w:val="single" w:sz="4" w:space="0" w:color="3A6FAF" w:themeColor="accent2"/>
            </w:tcBorders>
            <w:shd w:val="clear" w:color="auto" w:fill="auto"/>
            <w:noWrap/>
            <w:vAlign w:val="bottom"/>
            <w:hideMark/>
          </w:tcPr>
          <w:p w14:paraId="4FE786AC" w14:textId="77777777" w:rsidR="006C129B" w:rsidRPr="005566B0" w:rsidRDefault="006C129B" w:rsidP="00646190">
            <w:pPr>
              <w:pStyle w:val="TableColumnHeadingLeft"/>
            </w:pPr>
            <w:r w:rsidRPr="005566B0">
              <w:t>Industry</w:t>
            </w:r>
          </w:p>
        </w:tc>
        <w:tc>
          <w:tcPr>
            <w:tcW w:w="1729" w:type="dxa"/>
            <w:tcBorders>
              <w:top w:val="single" w:sz="4" w:space="0" w:color="3A6FAF" w:themeColor="accent2"/>
              <w:bottom w:val="single" w:sz="4" w:space="0" w:color="3A6FAF" w:themeColor="accent2"/>
            </w:tcBorders>
            <w:shd w:val="clear" w:color="auto" w:fill="auto"/>
            <w:noWrap/>
            <w:vAlign w:val="bottom"/>
            <w:hideMark/>
          </w:tcPr>
          <w:p w14:paraId="2081F2A0" w14:textId="77777777" w:rsidR="00A653DA" w:rsidRDefault="006C129B" w:rsidP="00D35008">
            <w:pPr>
              <w:pStyle w:val="TableColumnHeadingRight"/>
            </w:pPr>
            <w:r>
              <w:t xml:space="preserve">Net payments </w:t>
            </w:r>
          </w:p>
          <w:p w14:paraId="00265153" w14:textId="5CB4D5FB" w:rsidR="006C129B" w:rsidRPr="005566B0" w:rsidRDefault="006C129B" w:rsidP="00D35008">
            <w:pPr>
              <w:pStyle w:val="TableColumnHeadingRight"/>
            </w:pPr>
            <w:r w:rsidRPr="005566B0">
              <w:t>(</w:t>
            </w:r>
            <w:r>
              <w:t xml:space="preserve">$ </w:t>
            </w:r>
            <w:r w:rsidRPr="005566B0">
              <w:t xml:space="preserve">billions) </w:t>
            </w:r>
          </w:p>
        </w:tc>
        <w:tc>
          <w:tcPr>
            <w:tcW w:w="1729" w:type="dxa"/>
            <w:tcBorders>
              <w:top w:val="single" w:sz="4" w:space="0" w:color="3A6FAF" w:themeColor="accent2"/>
              <w:bottom w:val="single" w:sz="4" w:space="0" w:color="3A6FAF" w:themeColor="accent2"/>
            </w:tcBorders>
            <w:shd w:val="clear" w:color="auto" w:fill="auto"/>
            <w:noWrap/>
            <w:vAlign w:val="bottom"/>
            <w:hideMark/>
          </w:tcPr>
          <w:p w14:paraId="590A92A6" w14:textId="77777777" w:rsidR="006C129B" w:rsidRPr="003E7BD1" w:rsidRDefault="006C129B" w:rsidP="00D35008">
            <w:pPr>
              <w:pStyle w:val="TableColumnHeadingRight"/>
            </w:pPr>
            <w:r>
              <w:t>Share</w:t>
            </w:r>
            <w:r w:rsidRPr="003E7BD1">
              <w:t xml:space="preserve"> of compensation of employees</w:t>
            </w:r>
          </w:p>
          <w:p w14:paraId="05A8DEAC" w14:textId="7605237E" w:rsidR="006C129B" w:rsidRPr="005566B0" w:rsidRDefault="00DC400F" w:rsidP="00D35008">
            <w:pPr>
              <w:pStyle w:val="TableColumnHeadingRight"/>
            </w:pPr>
            <w:r w:rsidRPr="003E7BD1">
              <w:rPr>
                <w:rFonts w:cs="Calibri"/>
              </w:rPr>
              <w:t>%</w:t>
            </w:r>
          </w:p>
        </w:tc>
      </w:tr>
      <w:tr w:rsidR="006C129B" w:rsidRPr="005566B0" w14:paraId="56DA82CD" w14:textId="77777777" w:rsidTr="00B25A32">
        <w:trPr>
          <w:trHeight w:val="290"/>
        </w:trPr>
        <w:tc>
          <w:tcPr>
            <w:tcW w:w="5618" w:type="dxa"/>
            <w:tcBorders>
              <w:top w:val="single" w:sz="4" w:space="0" w:color="3A6FAF" w:themeColor="accent2"/>
            </w:tcBorders>
            <w:shd w:val="clear" w:color="auto" w:fill="auto"/>
            <w:noWrap/>
            <w:hideMark/>
          </w:tcPr>
          <w:p w14:paraId="70473363" w14:textId="333F41D6" w:rsidR="006C129B" w:rsidRPr="005566B0" w:rsidRDefault="00923E3B" w:rsidP="00646190">
            <w:pPr>
              <w:pStyle w:val="TableTextLeft"/>
            </w:pPr>
            <w:r w:rsidRPr="00D01B10">
              <w:t>Arts and Recreation Services</w:t>
            </w:r>
          </w:p>
        </w:tc>
        <w:tc>
          <w:tcPr>
            <w:tcW w:w="1729" w:type="dxa"/>
            <w:tcBorders>
              <w:top w:val="single" w:sz="4" w:space="0" w:color="3A6FAF" w:themeColor="accent2"/>
            </w:tcBorders>
            <w:shd w:val="clear" w:color="auto" w:fill="auto"/>
            <w:noWrap/>
            <w:hideMark/>
          </w:tcPr>
          <w:p w14:paraId="768B4B1B" w14:textId="1CCD873C" w:rsidR="006C129B" w:rsidRPr="005566B0" w:rsidRDefault="00923E3B" w:rsidP="00D35008">
            <w:pPr>
              <w:pStyle w:val="TableTextRight"/>
            </w:pPr>
            <w:r w:rsidRPr="00D01B10">
              <w:t>2.6</w:t>
            </w:r>
          </w:p>
        </w:tc>
        <w:tc>
          <w:tcPr>
            <w:tcW w:w="1729" w:type="dxa"/>
            <w:tcBorders>
              <w:top w:val="single" w:sz="4" w:space="0" w:color="3A6FAF" w:themeColor="accent2"/>
            </w:tcBorders>
            <w:shd w:val="clear" w:color="auto" w:fill="auto"/>
            <w:noWrap/>
            <w:hideMark/>
          </w:tcPr>
          <w:p w14:paraId="58CD4B9C" w14:textId="13C9D022" w:rsidR="006C129B" w:rsidRPr="005566B0" w:rsidRDefault="00923E3B" w:rsidP="00D35008">
            <w:pPr>
              <w:pStyle w:val="TableTextRight"/>
            </w:pPr>
            <w:r w:rsidRPr="00D01B10">
              <w:t>60.9</w:t>
            </w:r>
          </w:p>
        </w:tc>
      </w:tr>
      <w:tr w:rsidR="006C129B" w:rsidRPr="005566B0" w14:paraId="5F5D8967" w14:textId="77777777" w:rsidTr="00B25A32">
        <w:trPr>
          <w:trHeight w:val="290"/>
        </w:trPr>
        <w:tc>
          <w:tcPr>
            <w:tcW w:w="5618" w:type="dxa"/>
            <w:shd w:val="clear" w:color="auto" w:fill="auto"/>
            <w:noWrap/>
            <w:hideMark/>
          </w:tcPr>
          <w:p w14:paraId="17D8D83A" w14:textId="404258D5" w:rsidR="006C129B" w:rsidRPr="005566B0" w:rsidRDefault="00923E3B" w:rsidP="00646190">
            <w:pPr>
              <w:pStyle w:val="TableTextLeft"/>
            </w:pPr>
            <w:r w:rsidRPr="00D01B10">
              <w:t>Accommodation and Food Services</w:t>
            </w:r>
          </w:p>
        </w:tc>
        <w:tc>
          <w:tcPr>
            <w:tcW w:w="1729" w:type="dxa"/>
            <w:shd w:val="clear" w:color="auto" w:fill="auto"/>
            <w:noWrap/>
            <w:hideMark/>
          </w:tcPr>
          <w:p w14:paraId="74EBF62B" w14:textId="4C56AADC" w:rsidR="006C129B" w:rsidRPr="005566B0" w:rsidRDefault="00923E3B" w:rsidP="00D35008">
            <w:pPr>
              <w:pStyle w:val="TableTextRight"/>
            </w:pPr>
            <w:r w:rsidRPr="00D01B10">
              <w:t>6.3</w:t>
            </w:r>
          </w:p>
        </w:tc>
        <w:tc>
          <w:tcPr>
            <w:tcW w:w="1729" w:type="dxa"/>
            <w:shd w:val="clear" w:color="auto" w:fill="auto"/>
            <w:noWrap/>
            <w:hideMark/>
          </w:tcPr>
          <w:p w14:paraId="1B4FCC4E" w14:textId="33E59EB4" w:rsidR="006C129B" w:rsidRPr="005566B0" w:rsidRDefault="00923E3B" w:rsidP="00D35008">
            <w:pPr>
              <w:pStyle w:val="TableTextRight"/>
            </w:pPr>
            <w:r w:rsidRPr="00D01B10">
              <w:t>46.1</w:t>
            </w:r>
          </w:p>
        </w:tc>
      </w:tr>
      <w:tr w:rsidR="006C129B" w:rsidRPr="005566B0" w14:paraId="4C8206BE" w14:textId="77777777" w:rsidTr="00B25A32">
        <w:trPr>
          <w:trHeight w:val="290"/>
        </w:trPr>
        <w:tc>
          <w:tcPr>
            <w:tcW w:w="5618" w:type="dxa"/>
            <w:shd w:val="clear" w:color="auto" w:fill="auto"/>
            <w:noWrap/>
            <w:hideMark/>
          </w:tcPr>
          <w:p w14:paraId="226D0FAF" w14:textId="0B061EA2" w:rsidR="006C129B" w:rsidRPr="005566B0" w:rsidRDefault="00923E3B" w:rsidP="00646190">
            <w:pPr>
              <w:pStyle w:val="TableTextLeft"/>
            </w:pPr>
            <w:r w:rsidRPr="00D01B10">
              <w:t>Other Services</w:t>
            </w:r>
          </w:p>
        </w:tc>
        <w:tc>
          <w:tcPr>
            <w:tcW w:w="1729" w:type="dxa"/>
            <w:shd w:val="clear" w:color="auto" w:fill="auto"/>
            <w:noWrap/>
            <w:hideMark/>
          </w:tcPr>
          <w:p w14:paraId="4CFF6931" w14:textId="04D1EC05" w:rsidR="006C129B" w:rsidRPr="005566B0" w:rsidRDefault="00923E3B" w:rsidP="00D35008">
            <w:pPr>
              <w:pStyle w:val="TableTextRight"/>
            </w:pPr>
            <w:r w:rsidRPr="00D01B10">
              <w:t>4.9</w:t>
            </w:r>
          </w:p>
        </w:tc>
        <w:tc>
          <w:tcPr>
            <w:tcW w:w="1729" w:type="dxa"/>
            <w:shd w:val="clear" w:color="auto" w:fill="auto"/>
            <w:noWrap/>
            <w:hideMark/>
          </w:tcPr>
          <w:p w14:paraId="7D73549D" w14:textId="04583404" w:rsidR="006C129B" w:rsidRPr="005566B0" w:rsidRDefault="00923E3B" w:rsidP="00D35008">
            <w:pPr>
              <w:pStyle w:val="TableTextRight"/>
            </w:pPr>
            <w:r w:rsidRPr="00D01B10">
              <w:t>41.2</w:t>
            </w:r>
          </w:p>
        </w:tc>
      </w:tr>
      <w:tr w:rsidR="006C129B" w:rsidRPr="005566B0" w14:paraId="1CBEDC90" w14:textId="77777777" w:rsidTr="00B25A32">
        <w:trPr>
          <w:trHeight w:val="290"/>
        </w:trPr>
        <w:tc>
          <w:tcPr>
            <w:tcW w:w="5618" w:type="dxa"/>
            <w:shd w:val="clear" w:color="auto" w:fill="auto"/>
            <w:noWrap/>
            <w:hideMark/>
          </w:tcPr>
          <w:p w14:paraId="33497CAB" w14:textId="46D039C5" w:rsidR="006C129B" w:rsidRPr="005566B0" w:rsidRDefault="00923E3B" w:rsidP="00646190">
            <w:pPr>
              <w:pStyle w:val="TableTextLeft"/>
            </w:pPr>
            <w:r w:rsidRPr="00D01B10">
              <w:t>Agriculture, Forestry and Fishing</w:t>
            </w:r>
          </w:p>
        </w:tc>
        <w:tc>
          <w:tcPr>
            <w:tcW w:w="1729" w:type="dxa"/>
            <w:shd w:val="clear" w:color="auto" w:fill="auto"/>
            <w:noWrap/>
            <w:hideMark/>
          </w:tcPr>
          <w:p w14:paraId="25407734" w14:textId="3D451CDF" w:rsidR="006C129B" w:rsidRPr="005566B0" w:rsidRDefault="00923E3B" w:rsidP="00D35008">
            <w:pPr>
              <w:pStyle w:val="TableTextRight"/>
            </w:pPr>
            <w:r w:rsidRPr="00D01B10">
              <w:t>1.4</w:t>
            </w:r>
          </w:p>
        </w:tc>
        <w:tc>
          <w:tcPr>
            <w:tcW w:w="1729" w:type="dxa"/>
            <w:shd w:val="clear" w:color="auto" w:fill="auto"/>
            <w:noWrap/>
            <w:hideMark/>
          </w:tcPr>
          <w:p w14:paraId="3529B984" w14:textId="1F717CD7" w:rsidR="006C129B" w:rsidRPr="005566B0" w:rsidRDefault="00923E3B" w:rsidP="00D35008">
            <w:pPr>
              <w:pStyle w:val="TableTextRight"/>
            </w:pPr>
            <w:r w:rsidRPr="00D01B10">
              <w:t>28.9</w:t>
            </w:r>
          </w:p>
        </w:tc>
      </w:tr>
      <w:tr w:rsidR="006C129B" w:rsidRPr="005566B0" w14:paraId="25CE1ED8" w14:textId="77777777" w:rsidTr="00B25A32">
        <w:trPr>
          <w:trHeight w:val="290"/>
        </w:trPr>
        <w:tc>
          <w:tcPr>
            <w:tcW w:w="5618" w:type="dxa"/>
            <w:shd w:val="clear" w:color="auto" w:fill="auto"/>
            <w:noWrap/>
            <w:hideMark/>
          </w:tcPr>
          <w:p w14:paraId="61205175" w14:textId="5FCF182C" w:rsidR="006C129B" w:rsidRPr="005566B0" w:rsidRDefault="00923E3B" w:rsidP="00646190">
            <w:pPr>
              <w:pStyle w:val="TableTextLeft"/>
            </w:pPr>
            <w:r w:rsidRPr="00D01B10">
              <w:t>Retail Trade</w:t>
            </w:r>
          </w:p>
        </w:tc>
        <w:tc>
          <w:tcPr>
            <w:tcW w:w="1729" w:type="dxa"/>
            <w:shd w:val="clear" w:color="auto" w:fill="auto"/>
            <w:noWrap/>
            <w:hideMark/>
          </w:tcPr>
          <w:p w14:paraId="2FE1EAD8" w14:textId="26DF488C" w:rsidR="006C129B" w:rsidRPr="005566B0" w:rsidRDefault="00923E3B" w:rsidP="00D35008">
            <w:pPr>
              <w:pStyle w:val="TableTextRight"/>
            </w:pPr>
            <w:r w:rsidRPr="00D01B10">
              <w:t>6.3</w:t>
            </w:r>
          </w:p>
        </w:tc>
        <w:tc>
          <w:tcPr>
            <w:tcW w:w="1729" w:type="dxa"/>
            <w:shd w:val="clear" w:color="auto" w:fill="auto"/>
            <w:noWrap/>
            <w:hideMark/>
          </w:tcPr>
          <w:p w14:paraId="08FB252F" w14:textId="5EEEE04D" w:rsidR="006C129B" w:rsidRPr="005566B0" w:rsidRDefault="00923E3B" w:rsidP="00D35008">
            <w:pPr>
              <w:pStyle w:val="TableTextRight"/>
            </w:pPr>
            <w:r w:rsidRPr="00D01B10">
              <w:t>23.6</w:t>
            </w:r>
          </w:p>
        </w:tc>
      </w:tr>
      <w:tr w:rsidR="006C129B" w:rsidRPr="005566B0" w14:paraId="1CD50045" w14:textId="77777777" w:rsidTr="00B25A32">
        <w:trPr>
          <w:trHeight w:val="290"/>
        </w:trPr>
        <w:tc>
          <w:tcPr>
            <w:tcW w:w="5618" w:type="dxa"/>
            <w:shd w:val="clear" w:color="auto" w:fill="auto"/>
            <w:noWrap/>
            <w:hideMark/>
          </w:tcPr>
          <w:p w14:paraId="6F8202BB" w14:textId="0D1FC1B8" w:rsidR="006C129B" w:rsidRPr="005566B0" w:rsidRDefault="00923E3B" w:rsidP="00646190">
            <w:pPr>
              <w:pStyle w:val="TableTextLeft"/>
            </w:pPr>
            <w:r w:rsidRPr="00D01B10">
              <w:t>Rental, Hiring and Real Estate Services</w:t>
            </w:r>
          </w:p>
        </w:tc>
        <w:tc>
          <w:tcPr>
            <w:tcW w:w="1729" w:type="dxa"/>
            <w:shd w:val="clear" w:color="auto" w:fill="auto"/>
            <w:noWrap/>
            <w:hideMark/>
          </w:tcPr>
          <w:p w14:paraId="69AFBDF6" w14:textId="165757DC" w:rsidR="006C129B" w:rsidRPr="005566B0" w:rsidRDefault="00923E3B" w:rsidP="00D35008">
            <w:pPr>
              <w:pStyle w:val="TableTextRight"/>
            </w:pPr>
            <w:r w:rsidRPr="00D01B10">
              <w:t>2.2</w:t>
            </w:r>
          </w:p>
        </w:tc>
        <w:tc>
          <w:tcPr>
            <w:tcW w:w="1729" w:type="dxa"/>
            <w:shd w:val="clear" w:color="auto" w:fill="auto"/>
            <w:noWrap/>
            <w:hideMark/>
          </w:tcPr>
          <w:p w14:paraId="1617744A" w14:textId="2FD24640" w:rsidR="006C129B" w:rsidRPr="005566B0" w:rsidRDefault="00127576" w:rsidP="00D35008">
            <w:pPr>
              <w:pStyle w:val="TableTextRight"/>
            </w:pPr>
            <w:r w:rsidRPr="00C820A1">
              <w:t>23.0</w:t>
            </w:r>
          </w:p>
        </w:tc>
      </w:tr>
      <w:tr w:rsidR="006C129B" w:rsidRPr="005566B0" w14:paraId="1FBAFD00" w14:textId="77777777" w:rsidTr="00B25A32">
        <w:trPr>
          <w:trHeight w:val="290"/>
        </w:trPr>
        <w:tc>
          <w:tcPr>
            <w:tcW w:w="5618" w:type="dxa"/>
            <w:shd w:val="clear" w:color="auto" w:fill="auto"/>
            <w:noWrap/>
            <w:hideMark/>
          </w:tcPr>
          <w:p w14:paraId="32781230" w14:textId="30DDC8FD" w:rsidR="006C129B" w:rsidRPr="005566B0" w:rsidRDefault="00923E3B" w:rsidP="00646190">
            <w:pPr>
              <w:pStyle w:val="TableTextLeft"/>
            </w:pPr>
            <w:r w:rsidRPr="00D01B10">
              <w:t>Construction</w:t>
            </w:r>
          </w:p>
        </w:tc>
        <w:tc>
          <w:tcPr>
            <w:tcW w:w="1729" w:type="dxa"/>
            <w:shd w:val="clear" w:color="auto" w:fill="auto"/>
            <w:noWrap/>
            <w:hideMark/>
          </w:tcPr>
          <w:p w14:paraId="435E7AFA" w14:textId="47744D2E" w:rsidR="006C129B" w:rsidRPr="005566B0" w:rsidRDefault="00923E3B" w:rsidP="00D35008">
            <w:pPr>
              <w:pStyle w:val="TableTextRight"/>
            </w:pPr>
            <w:r w:rsidRPr="00D01B10">
              <w:t>8.3</w:t>
            </w:r>
          </w:p>
        </w:tc>
        <w:tc>
          <w:tcPr>
            <w:tcW w:w="1729" w:type="dxa"/>
            <w:shd w:val="clear" w:color="auto" w:fill="auto"/>
            <w:noWrap/>
            <w:hideMark/>
          </w:tcPr>
          <w:p w14:paraId="1AA0A3DC" w14:textId="53C1AB30" w:rsidR="006C129B" w:rsidRPr="005566B0" w:rsidRDefault="00923E3B" w:rsidP="00D35008">
            <w:pPr>
              <w:pStyle w:val="TableTextRight"/>
            </w:pPr>
            <w:r w:rsidRPr="00D01B10">
              <w:t>22.4</w:t>
            </w:r>
          </w:p>
        </w:tc>
      </w:tr>
      <w:tr w:rsidR="006C129B" w:rsidRPr="005566B0" w14:paraId="79C8D5F6" w14:textId="77777777" w:rsidTr="00B25A32">
        <w:trPr>
          <w:trHeight w:val="290"/>
        </w:trPr>
        <w:tc>
          <w:tcPr>
            <w:tcW w:w="5618" w:type="dxa"/>
            <w:shd w:val="clear" w:color="auto" w:fill="auto"/>
            <w:noWrap/>
            <w:hideMark/>
          </w:tcPr>
          <w:p w14:paraId="6388A6D0" w14:textId="47D1233C" w:rsidR="006C129B" w:rsidRPr="005566B0" w:rsidRDefault="00923E3B" w:rsidP="00646190">
            <w:pPr>
              <w:pStyle w:val="TableTextLeft"/>
            </w:pPr>
            <w:r w:rsidRPr="00D01B10">
              <w:t>Professional, Scientific and Technical Services</w:t>
            </w:r>
          </w:p>
        </w:tc>
        <w:tc>
          <w:tcPr>
            <w:tcW w:w="1729" w:type="dxa"/>
            <w:shd w:val="clear" w:color="auto" w:fill="auto"/>
            <w:noWrap/>
            <w:hideMark/>
          </w:tcPr>
          <w:p w14:paraId="0C747426" w14:textId="3D41839F" w:rsidR="006C129B" w:rsidRPr="005566B0" w:rsidRDefault="00923E3B" w:rsidP="00D35008">
            <w:pPr>
              <w:pStyle w:val="TableTextRight"/>
            </w:pPr>
            <w:r w:rsidRPr="00D01B10">
              <w:t>8.8</w:t>
            </w:r>
          </w:p>
        </w:tc>
        <w:tc>
          <w:tcPr>
            <w:tcW w:w="1729" w:type="dxa"/>
            <w:shd w:val="clear" w:color="auto" w:fill="auto"/>
            <w:noWrap/>
            <w:hideMark/>
          </w:tcPr>
          <w:p w14:paraId="6A988F92" w14:textId="156347E7" w:rsidR="006C129B" w:rsidRPr="005566B0" w:rsidRDefault="00923E3B" w:rsidP="00D35008">
            <w:pPr>
              <w:pStyle w:val="TableTextRight"/>
            </w:pPr>
            <w:r w:rsidRPr="00D01B10">
              <w:t>16.9</w:t>
            </w:r>
          </w:p>
        </w:tc>
      </w:tr>
      <w:tr w:rsidR="006C129B" w:rsidRPr="005566B0" w14:paraId="58284AB1" w14:textId="77777777" w:rsidTr="00B25A32">
        <w:trPr>
          <w:trHeight w:val="290"/>
        </w:trPr>
        <w:tc>
          <w:tcPr>
            <w:tcW w:w="5618" w:type="dxa"/>
            <w:shd w:val="clear" w:color="auto" w:fill="auto"/>
            <w:noWrap/>
            <w:hideMark/>
          </w:tcPr>
          <w:p w14:paraId="28C53D39" w14:textId="1CCA13EE" w:rsidR="006C129B" w:rsidRPr="005566B0" w:rsidRDefault="00923E3B" w:rsidP="00646190">
            <w:pPr>
              <w:pStyle w:val="TableTextLeft"/>
            </w:pPr>
            <w:r w:rsidRPr="00D01B10">
              <w:t>Manufacturing</w:t>
            </w:r>
          </w:p>
        </w:tc>
        <w:tc>
          <w:tcPr>
            <w:tcW w:w="1729" w:type="dxa"/>
            <w:shd w:val="clear" w:color="auto" w:fill="auto"/>
            <w:noWrap/>
            <w:hideMark/>
          </w:tcPr>
          <w:p w14:paraId="31CA7B1D" w14:textId="0F6B4EFB" w:rsidR="006C129B" w:rsidRPr="005566B0" w:rsidRDefault="00923E3B" w:rsidP="00D35008">
            <w:pPr>
              <w:pStyle w:val="TableTextRight"/>
            </w:pPr>
            <w:r w:rsidRPr="00D01B10">
              <w:t>5.5</w:t>
            </w:r>
          </w:p>
        </w:tc>
        <w:tc>
          <w:tcPr>
            <w:tcW w:w="1729" w:type="dxa"/>
            <w:shd w:val="clear" w:color="auto" w:fill="auto"/>
            <w:noWrap/>
            <w:hideMark/>
          </w:tcPr>
          <w:p w14:paraId="3FE1E559" w14:textId="22C1AB88" w:rsidR="006C129B" w:rsidRPr="005566B0" w:rsidRDefault="00923E3B" w:rsidP="00D35008">
            <w:pPr>
              <w:pStyle w:val="TableTextRight"/>
            </w:pPr>
            <w:r w:rsidRPr="00D01B10">
              <w:t>16.4</w:t>
            </w:r>
          </w:p>
        </w:tc>
      </w:tr>
      <w:tr w:rsidR="006C129B" w:rsidRPr="005566B0" w14:paraId="6F67F4EB" w14:textId="77777777" w:rsidTr="00B25A32">
        <w:trPr>
          <w:trHeight w:val="290"/>
        </w:trPr>
        <w:tc>
          <w:tcPr>
            <w:tcW w:w="5618" w:type="dxa"/>
            <w:shd w:val="clear" w:color="auto" w:fill="auto"/>
            <w:noWrap/>
            <w:hideMark/>
          </w:tcPr>
          <w:p w14:paraId="1CC64D75" w14:textId="7ADE4AA8" w:rsidR="006C129B" w:rsidRPr="005566B0" w:rsidRDefault="00923E3B" w:rsidP="00646190">
            <w:pPr>
              <w:pStyle w:val="TableTextLeft"/>
            </w:pPr>
            <w:r w:rsidRPr="00D01B10">
              <w:t>Transport, Postal and Warehousing</w:t>
            </w:r>
          </w:p>
        </w:tc>
        <w:tc>
          <w:tcPr>
            <w:tcW w:w="1729" w:type="dxa"/>
            <w:shd w:val="clear" w:color="auto" w:fill="auto"/>
            <w:noWrap/>
            <w:hideMark/>
          </w:tcPr>
          <w:p w14:paraId="7E963D38" w14:textId="3CE30F75" w:rsidR="006C129B" w:rsidRPr="005566B0" w:rsidRDefault="00923E3B" w:rsidP="00D35008">
            <w:pPr>
              <w:pStyle w:val="TableTextRight"/>
            </w:pPr>
            <w:r w:rsidRPr="00D01B10">
              <w:t>3.4</w:t>
            </w:r>
          </w:p>
        </w:tc>
        <w:tc>
          <w:tcPr>
            <w:tcW w:w="1729" w:type="dxa"/>
            <w:shd w:val="clear" w:color="auto" w:fill="auto"/>
            <w:noWrap/>
            <w:hideMark/>
          </w:tcPr>
          <w:p w14:paraId="64B784A1" w14:textId="6DD4E23A" w:rsidR="006C129B" w:rsidRPr="005566B0" w:rsidRDefault="00923E3B" w:rsidP="00D35008">
            <w:pPr>
              <w:pStyle w:val="TableTextRight"/>
            </w:pPr>
            <w:r w:rsidRPr="00D01B10">
              <w:t>15.8</w:t>
            </w:r>
          </w:p>
        </w:tc>
      </w:tr>
      <w:tr w:rsidR="006C129B" w:rsidRPr="005566B0" w14:paraId="5D68A088" w14:textId="77777777" w:rsidTr="00B25A32">
        <w:trPr>
          <w:trHeight w:val="290"/>
        </w:trPr>
        <w:tc>
          <w:tcPr>
            <w:tcW w:w="5618" w:type="dxa"/>
            <w:shd w:val="clear" w:color="auto" w:fill="auto"/>
            <w:noWrap/>
            <w:hideMark/>
          </w:tcPr>
          <w:p w14:paraId="022BD2D0" w14:textId="1AF7CC66" w:rsidR="006C129B" w:rsidRPr="005566B0" w:rsidRDefault="00923E3B" w:rsidP="00646190">
            <w:pPr>
              <w:pStyle w:val="TableTextLeft"/>
            </w:pPr>
            <w:r w:rsidRPr="00D01B10">
              <w:t>Wholesale Trade</w:t>
            </w:r>
          </w:p>
        </w:tc>
        <w:tc>
          <w:tcPr>
            <w:tcW w:w="1729" w:type="dxa"/>
            <w:shd w:val="clear" w:color="auto" w:fill="auto"/>
            <w:noWrap/>
            <w:hideMark/>
          </w:tcPr>
          <w:p w14:paraId="6643175A" w14:textId="2F692C50" w:rsidR="006C129B" w:rsidRPr="005566B0" w:rsidRDefault="00923E3B" w:rsidP="00D35008">
            <w:pPr>
              <w:pStyle w:val="TableTextRight"/>
            </w:pPr>
            <w:r w:rsidRPr="00D01B10">
              <w:t>3.4</w:t>
            </w:r>
          </w:p>
        </w:tc>
        <w:tc>
          <w:tcPr>
            <w:tcW w:w="1729" w:type="dxa"/>
            <w:shd w:val="clear" w:color="auto" w:fill="auto"/>
            <w:noWrap/>
            <w:hideMark/>
          </w:tcPr>
          <w:p w14:paraId="36E3D4D4" w14:textId="70D5C8EF" w:rsidR="006C129B" w:rsidRPr="005566B0" w:rsidRDefault="00923E3B" w:rsidP="00D35008">
            <w:pPr>
              <w:pStyle w:val="TableTextRight"/>
            </w:pPr>
            <w:r w:rsidRPr="00D01B10">
              <w:t>14.8</w:t>
            </w:r>
          </w:p>
        </w:tc>
      </w:tr>
      <w:tr w:rsidR="006C129B" w:rsidRPr="005566B0" w14:paraId="7FAD4C0C" w14:textId="77777777" w:rsidTr="00B25A32">
        <w:trPr>
          <w:trHeight w:val="290"/>
        </w:trPr>
        <w:tc>
          <w:tcPr>
            <w:tcW w:w="5618" w:type="dxa"/>
            <w:shd w:val="clear" w:color="auto" w:fill="auto"/>
            <w:noWrap/>
            <w:hideMark/>
          </w:tcPr>
          <w:p w14:paraId="11E3613E" w14:textId="548A6ACA" w:rsidR="006C129B" w:rsidRPr="005566B0" w:rsidRDefault="00923E3B" w:rsidP="00646190">
            <w:pPr>
              <w:pStyle w:val="TableTextLeft"/>
            </w:pPr>
            <w:r w:rsidRPr="00D01B10">
              <w:t>Administrative and Support Services</w:t>
            </w:r>
          </w:p>
        </w:tc>
        <w:tc>
          <w:tcPr>
            <w:tcW w:w="1729" w:type="dxa"/>
            <w:shd w:val="clear" w:color="auto" w:fill="auto"/>
            <w:noWrap/>
            <w:hideMark/>
          </w:tcPr>
          <w:p w14:paraId="5B164736" w14:textId="5D2FABDC" w:rsidR="006C129B" w:rsidRPr="005566B0" w:rsidRDefault="00127576" w:rsidP="00D35008">
            <w:pPr>
              <w:pStyle w:val="TableTextRight"/>
            </w:pPr>
            <w:r w:rsidRPr="00C820A1">
              <w:t>4.0</w:t>
            </w:r>
          </w:p>
        </w:tc>
        <w:tc>
          <w:tcPr>
            <w:tcW w:w="1729" w:type="dxa"/>
            <w:shd w:val="clear" w:color="auto" w:fill="auto"/>
            <w:noWrap/>
            <w:hideMark/>
          </w:tcPr>
          <w:p w14:paraId="00B6CB99" w14:textId="08E10705" w:rsidR="006C129B" w:rsidRPr="005566B0" w:rsidRDefault="00923E3B" w:rsidP="00D35008">
            <w:pPr>
              <w:pStyle w:val="TableTextRight"/>
            </w:pPr>
            <w:r w:rsidRPr="00D01B10">
              <w:t>14.3</w:t>
            </w:r>
          </w:p>
        </w:tc>
      </w:tr>
      <w:tr w:rsidR="006C129B" w:rsidRPr="005566B0" w14:paraId="6AC74179" w14:textId="77777777" w:rsidTr="00B25A32">
        <w:trPr>
          <w:trHeight w:val="290"/>
        </w:trPr>
        <w:tc>
          <w:tcPr>
            <w:tcW w:w="5618" w:type="dxa"/>
            <w:shd w:val="clear" w:color="auto" w:fill="auto"/>
            <w:noWrap/>
            <w:hideMark/>
          </w:tcPr>
          <w:p w14:paraId="364B73A7" w14:textId="3BD6F41A" w:rsidR="006C129B" w:rsidRPr="005566B0" w:rsidRDefault="00923E3B" w:rsidP="00646190">
            <w:pPr>
              <w:pStyle w:val="TableTextLeft"/>
            </w:pPr>
            <w:r w:rsidRPr="00D01B10">
              <w:t>Information Media and Telecommunications</w:t>
            </w:r>
          </w:p>
        </w:tc>
        <w:tc>
          <w:tcPr>
            <w:tcW w:w="1729" w:type="dxa"/>
            <w:shd w:val="clear" w:color="auto" w:fill="auto"/>
            <w:noWrap/>
            <w:hideMark/>
          </w:tcPr>
          <w:p w14:paraId="07A0A676" w14:textId="405F6682" w:rsidR="006C129B" w:rsidRPr="005566B0" w:rsidRDefault="00127576" w:rsidP="00D35008">
            <w:pPr>
              <w:pStyle w:val="TableTextRight"/>
            </w:pPr>
            <w:r w:rsidRPr="00C820A1">
              <w:t>1.0</w:t>
            </w:r>
          </w:p>
        </w:tc>
        <w:tc>
          <w:tcPr>
            <w:tcW w:w="1729" w:type="dxa"/>
            <w:shd w:val="clear" w:color="auto" w:fill="auto"/>
            <w:noWrap/>
            <w:hideMark/>
          </w:tcPr>
          <w:p w14:paraId="391EB9B6" w14:textId="26EC53A2" w:rsidR="006C129B" w:rsidRPr="005566B0" w:rsidRDefault="00127576" w:rsidP="00D35008">
            <w:pPr>
              <w:pStyle w:val="TableTextRight"/>
            </w:pPr>
            <w:r w:rsidRPr="00C820A1">
              <w:t>12.0</w:t>
            </w:r>
          </w:p>
        </w:tc>
      </w:tr>
      <w:tr w:rsidR="006C129B" w:rsidRPr="005566B0" w14:paraId="3294356F" w14:textId="77777777" w:rsidTr="00B25A32">
        <w:trPr>
          <w:trHeight w:val="290"/>
        </w:trPr>
        <w:tc>
          <w:tcPr>
            <w:tcW w:w="5618" w:type="dxa"/>
            <w:shd w:val="clear" w:color="auto" w:fill="auto"/>
            <w:noWrap/>
            <w:hideMark/>
          </w:tcPr>
          <w:p w14:paraId="7927AE4C" w14:textId="53512F7D" w:rsidR="006C129B" w:rsidRPr="005566B0" w:rsidRDefault="00923E3B" w:rsidP="00646190">
            <w:pPr>
              <w:pStyle w:val="TableTextLeft"/>
            </w:pPr>
            <w:r w:rsidRPr="00D01B10">
              <w:t>Health Care and Social Assistance</w:t>
            </w:r>
          </w:p>
        </w:tc>
        <w:tc>
          <w:tcPr>
            <w:tcW w:w="1729" w:type="dxa"/>
            <w:shd w:val="clear" w:color="auto" w:fill="auto"/>
            <w:noWrap/>
            <w:hideMark/>
          </w:tcPr>
          <w:p w14:paraId="025696D2" w14:textId="6C97ACBE" w:rsidR="006C129B" w:rsidRPr="005566B0" w:rsidRDefault="00923E3B" w:rsidP="00D35008">
            <w:pPr>
              <w:pStyle w:val="TableTextRight"/>
            </w:pPr>
            <w:r w:rsidRPr="00D01B10">
              <w:t>7.2</w:t>
            </w:r>
          </w:p>
        </w:tc>
        <w:tc>
          <w:tcPr>
            <w:tcW w:w="1729" w:type="dxa"/>
            <w:shd w:val="clear" w:color="auto" w:fill="auto"/>
            <w:noWrap/>
            <w:hideMark/>
          </w:tcPr>
          <w:p w14:paraId="4EE4977B" w14:textId="11CAE92A" w:rsidR="006C129B" w:rsidRPr="005566B0" w:rsidRDefault="00923E3B" w:rsidP="00D35008">
            <w:pPr>
              <w:pStyle w:val="TableTextRight"/>
            </w:pPr>
            <w:r w:rsidRPr="00D01B10">
              <w:t>11.2</w:t>
            </w:r>
          </w:p>
        </w:tc>
      </w:tr>
      <w:tr w:rsidR="006C129B" w:rsidRPr="005566B0" w14:paraId="6E005868" w14:textId="77777777" w:rsidTr="00B25A32">
        <w:trPr>
          <w:trHeight w:val="290"/>
        </w:trPr>
        <w:tc>
          <w:tcPr>
            <w:tcW w:w="5618" w:type="dxa"/>
            <w:shd w:val="clear" w:color="auto" w:fill="auto"/>
            <w:noWrap/>
            <w:hideMark/>
          </w:tcPr>
          <w:p w14:paraId="7AD2B571" w14:textId="305FB8B7" w:rsidR="006C129B" w:rsidRPr="005566B0" w:rsidRDefault="00923E3B" w:rsidP="00646190">
            <w:pPr>
              <w:pStyle w:val="TableTextLeft"/>
            </w:pPr>
            <w:r w:rsidRPr="00D01B10">
              <w:t>Education and Training</w:t>
            </w:r>
          </w:p>
        </w:tc>
        <w:tc>
          <w:tcPr>
            <w:tcW w:w="1729" w:type="dxa"/>
            <w:shd w:val="clear" w:color="auto" w:fill="auto"/>
            <w:noWrap/>
            <w:hideMark/>
          </w:tcPr>
          <w:p w14:paraId="0087B341" w14:textId="633E10C1" w:rsidR="006C129B" w:rsidRPr="005566B0" w:rsidRDefault="00923E3B" w:rsidP="00D35008">
            <w:pPr>
              <w:pStyle w:val="TableTextRight"/>
            </w:pPr>
            <w:r w:rsidRPr="00D01B10">
              <w:t>2.6</w:t>
            </w:r>
          </w:p>
        </w:tc>
        <w:tc>
          <w:tcPr>
            <w:tcW w:w="1729" w:type="dxa"/>
            <w:shd w:val="clear" w:color="auto" w:fill="auto"/>
            <w:noWrap/>
            <w:hideMark/>
          </w:tcPr>
          <w:p w14:paraId="70F47A2F" w14:textId="5F15B8DE" w:rsidR="006C129B" w:rsidRPr="005566B0" w:rsidRDefault="00127576" w:rsidP="00D35008">
            <w:pPr>
              <w:pStyle w:val="TableTextRight"/>
            </w:pPr>
            <w:r w:rsidRPr="00C820A1">
              <w:t>6.0</w:t>
            </w:r>
          </w:p>
        </w:tc>
      </w:tr>
      <w:tr w:rsidR="006C129B" w:rsidRPr="005566B0" w14:paraId="43E000F2" w14:textId="77777777" w:rsidTr="00B25A32">
        <w:trPr>
          <w:trHeight w:val="290"/>
        </w:trPr>
        <w:tc>
          <w:tcPr>
            <w:tcW w:w="5618" w:type="dxa"/>
            <w:shd w:val="clear" w:color="auto" w:fill="auto"/>
            <w:noWrap/>
            <w:hideMark/>
          </w:tcPr>
          <w:p w14:paraId="1E4C726A" w14:textId="4EB52E80" w:rsidR="006C129B" w:rsidRPr="005566B0" w:rsidRDefault="00923E3B" w:rsidP="00646190">
            <w:pPr>
              <w:pStyle w:val="TableTextLeft"/>
            </w:pPr>
            <w:r w:rsidRPr="00D01B10">
              <w:t>Financial and Insurance Services</w:t>
            </w:r>
          </w:p>
        </w:tc>
        <w:tc>
          <w:tcPr>
            <w:tcW w:w="1729" w:type="dxa"/>
            <w:shd w:val="clear" w:color="auto" w:fill="auto"/>
            <w:noWrap/>
            <w:hideMark/>
          </w:tcPr>
          <w:p w14:paraId="75CDFDE2" w14:textId="17C5C7DC" w:rsidR="006C129B" w:rsidRPr="005566B0" w:rsidRDefault="00923E3B" w:rsidP="00D35008">
            <w:pPr>
              <w:pStyle w:val="TableTextRight"/>
            </w:pPr>
            <w:r w:rsidRPr="00D01B10">
              <w:t>1.2</w:t>
            </w:r>
          </w:p>
        </w:tc>
        <w:tc>
          <w:tcPr>
            <w:tcW w:w="1729" w:type="dxa"/>
            <w:shd w:val="clear" w:color="auto" w:fill="auto"/>
            <w:noWrap/>
            <w:hideMark/>
          </w:tcPr>
          <w:p w14:paraId="7A91BBD6" w14:textId="1990F0DB" w:rsidR="006C129B" w:rsidRPr="005566B0" w:rsidRDefault="00923E3B" w:rsidP="00D35008">
            <w:pPr>
              <w:pStyle w:val="TableTextRight"/>
            </w:pPr>
            <w:r w:rsidRPr="00D01B10">
              <w:t>4.6</w:t>
            </w:r>
          </w:p>
        </w:tc>
      </w:tr>
      <w:tr w:rsidR="006C129B" w:rsidRPr="005566B0" w14:paraId="7522C28B" w14:textId="77777777" w:rsidTr="00B25A32">
        <w:trPr>
          <w:trHeight w:val="290"/>
        </w:trPr>
        <w:tc>
          <w:tcPr>
            <w:tcW w:w="5618" w:type="dxa"/>
            <w:shd w:val="clear" w:color="auto" w:fill="auto"/>
            <w:noWrap/>
            <w:hideMark/>
          </w:tcPr>
          <w:p w14:paraId="039115AA" w14:textId="6874C24B" w:rsidR="006C129B" w:rsidRPr="005566B0" w:rsidRDefault="00923E3B" w:rsidP="00646190">
            <w:pPr>
              <w:pStyle w:val="TableTextLeft"/>
            </w:pPr>
            <w:r w:rsidRPr="00D01B10">
              <w:t>Electricity, Gas, Water and Waste Services</w:t>
            </w:r>
          </w:p>
        </w:tc>
        <w:tc>
          <w:tcPr>
            <w:tcW w:w="1729" w:type="dxa"/>
            <w:shd w:val="clear" w:color="auto" w:fill="auto"/>
            <w:noWrap/>
            <w:hideMark/>
          </w:tcPr>
          <w:p w14:paraId="6FF8D4C0" w14:textId="624EB50D" w:rsidR="006C129B" w:rsidRPr="005566B0" w:rsidRDefault="00923E3B" w:rsidP="00D35008">
            <w:pPr>
              <w:pStyle w:val="TableTextRight"/>
            </w:pPr>
            <w:r w:rsidRPr="00D01B10">
              <w:t>0.2</w:t>
            </w:r>
          </w:p>
        </w:tc>
        <w:tc>
          <w:tcPr>
            <w:tcW w:w="1729" w:type="dxa"/>
            <w:shd w:val="clear" w:color="auto" w:fill="auto"/>
            <w:noWrap/>
            <w:hideMark/>
          </w:tcPr>
          <w:p w14:paraId="3806BA38" w14:textId="00848C98" w:rsidR="006C129B" w:rsidRPr="005566B0" w:rsidRDefault="00923E3B" w:rsidP="00D35008">
            <w:pPr>
              <w:pStyle w:val="TableTextRight"/>
            </w:pPr>
            <w:r w:rsidRPr="00D01B10">
              <w:t>2.8</w:t>
            </w:r>
          </w:p>
        </w:tc>
      </w:tr>
      <w:tr w:rsidR="006C129B" w:rsidRPr="005566B0" w14:paraId="128A10EA" w14:textId="77777777" w:rsidTr="00B25A32">
        <w:trPr>
          <w:trHeight w:val="290"/>
        </w:trPr>
        <w:tc>
          <w:tcPr>
            <w:tcW w:w="5618" w:type="dxa"/>
            <w:shd w:val="clear" w:color="auto" w:fill="auto"/>
            <w:noWrap/>
            <w:hideMark/>
          </w:tcPr>
          <w:p w14:paraId="518E4448" w14:textId="781240AA" w:rsidR="006C129B" w:rsidRPr="005566B0" w:rsidRDefault="00923E3B" w:rsidP="00646190">
            <w:pPr>
              <w:pStyle w:val="TableTextLeft"/>
            </w:pPr>
            <w:r w:rsidRPr="00D01B10">
              <w:t>Mining</w:t>
            </w:r>
          </w:p>
        </w:tc>
        <w:tc>
          <w:tcPr>
            <w:tcW w:w="1729" w:type="dxa"/>
            <w:shd w:val="clear" w:color="auto" w:fill="auto"/>
            <w:noWrap/>
            <w:hideMark/>
          </w:tcPr>
          <w:p w14:paraId="59DE6CAD" w14:textId="6F47A25B" w:rsidR="006C129B" w:rsidRPr="005566B0" w:rsidRDefault="00923E3B" w:rsidP="00D35008">
            <w:pPr>
              <w:pStyle w:val="TableTextRight"/>
            </w:pPr>
            <w:r w:rsidRPr="00D01B10">
              <w:t>0.3</w:t>
            </w:r>
          </w:p>
        </w:tc>
        <w:tc>
          <w:tcPr>
            <w:tcW w:w="1729" w:type="dxa"/>
            <w:shd w:val="clear" w:color="auto" w:fill="auto"/>
            <w:noWrap/>
            <w:hideMark/>
          </w:tcPr>
          <w:p w14:paraId="44FBFF9D" w14:textId="2A2C7851" w:rsidR="006C129B" w:rsidRPr="005566B0" w:rsidRDefault="00127576" w:rsidP="00D35008">
            <w:pPr>
              <w:pStyle w:val="TableTextRight"/>
            </w:pPr>
            <w:r w:rsidRPr="00C820A1">
              <w:t>2.0</w:t>
            </w:r>
          </w:p>
        </w:tc>
      </w:tr>
      <w:tr w:rsidR="006C129B" w:rsidRPr="005566B0" w14:paraId="37E2FAC8" w14:textId="77777777" w:rsidTr="00B25A32">
        <w:trPr>
          <w:trHeight w:val="290"/>
        </w:trPr>
        <w:tc>
          <w:tcPr>
            <w:tcW w:w="5618" w:type="dxa"/>
            <w:tcBorders>
              <w:bottom w:val="single" w:sz="4" w:space="0" w:color="3A6FAF" w:themeColor="accent2"/>
            </w:tcBorders>
            <w:shd w:val="clear" w:color="auto" w:fill="auto"/>
            <w:noWrap/>
            <w:hideMark/>
          </w:tcPr>
          <w:p w14:paraId="55B7A38B" w14:textId="07108DA0" w:rsidR="006C129B" w:rsidRPr="005566B0" w:rsidRDefault="00923E3B" w:rsidP="00646190">
            <w:pPr>
              <w:pStyle w:val="TableTextLeft"/>
            </w:pPr>
            <w:r w:rsidRPr="00D01B10">
              <w:t>Public Administration and Safety</w:t>
            </w:r>
          </w:p>
        </w:tc>
        <w:tc>
          <w:tcPr>
            <w:tcW w:w="1729" w:type="dxa"/>
            <w:tcBorders>
              <w:bottom w:val="single" w:sz="4" w:space="0" w:color="3A6FAF" w:themeColor="accent2"/>
            </w:tcBorders>
            <w:shd w:val="clear" w:color="auto" w:fill="auto"/>
            <w:noWrap/>
            <w:hideMark/>
          </w:tcPr>
          <w:p w14:paraId="0109F0BA" w14:textId="2115F092" w:rsidR="006C129B" w:rsidRPr="005566B0" w:rsidRDefault="00923E3B" w:rsidP="00D35008">
            <w:pPr>
              <w:pStyle w:val="TableTextRight"/>
            </w:pPr>
            <w:r w:rsidRPr="00D01B10">
              <w:t>0.4</w:t>
            </w:r>
          </w:p>
        </w:tc>
        <w:tc>
          <w:tcPr>
            <w:tcW w:w="1729" w:type="dxa"/>
            <w:tcBorders>
              <w:bottom w:val="single" w:sz="4" w:space="0" w:color="3A6FAF" w:themeColor="accent2"/>
            </w:tcBorders>
            <w:shd w:val="clear" w:color="auto" w:fill="auto"/>
            <w:noWrap/>
            <w:hideMark/>
          </w:tcPr>
          <w:p w14:paraId="7564D241" w14:textId="61BAC26A" w:rsidR="006C129B" w:rsidRPr="005566B0" w:rsidRDefault="00923E3B" w:rsidP="00D35008">
            <w:pPr>
              <w:pStyle w:val="TableTextRight"/>
            </w:pPr>
            <w:r w:rsidRPr="00D01B10">
              <w:t>0.9</w:t>
            </w:r>
          </w:p>
        </w:tc>
      </w:tr>
    </w:tbl>
    <w:p w14:paraId="65B872B4" w14:textId="5D3E0392" w:rsidR="00AC7AB6" w:rsidRPr="00AC7AB6" w:rsidRDefault="00AC7AB6" w:rsidP="00CD1525">
      <w:pPr>
        <w:pStyle w:val="ChartorTableNote"/>
        <w:rPr>
          <w:szCs w:val="16"/>
        </w:rPr>
      </w:pPr>
      <w:r>
        <w:rPr>
          <w:szCs w:val="16"/>
        </w:rPr>
        <w:t xml:space="preserve">Data underlying </w:t>
      </w:r>
      <w:r w:rsidR="00066FC6">
        <w:rPr>
          <w:szCs w:val="16"/>
        </w:rPr>
        <w:t>F</w:t>
      </w:r>
      <w:r w:rsidRPr="00734FA1">
        <w:rPr>
          <w:szCs w:val="16"/>
        </w:rPr>
        <w:t xml:space="preserve">igure </w:t>
      </w:r>
      <w:r w:rsidR="006D740C">
        <w:rPr>
          <w:szCs w:val="16"/>
        </w:rPr>
        <w:t>8</w:t>
      </w:r>
      <w:r w:rsidR="004133D6">
        <w:rPr>
          <w:szCs w:val="16"/>
        </w:rPr>
        <w:t>.</w:t>
      </w:r>
    </w:p>
    <w:p w14:paraId="4DA2ECF4" w14:textId="4E392E92" w:rsidR="00F01721" w:rsidRDefault="00F01721" w:rsidP="00CD1525">
      <w:pPr>
        <w:pStyle w:val="ChartorTableNote"/>
      </w:pPr>
      <w:r w:rsidRPr="006E70AD">
        <w:t>Note: Compensation of employees (COE) is measured for the June and September quarters</w:t>
      </w:r>
      <w:r w:rsidR="00D363D8">
        <w:t xml:space="preserve"> 2020</w:t>
      </w:r>
      <w:r w:rsidRPr="006E70AD">
        <w:t xml:space="preserve">. </w:t>
      </w:r>
    </w:p>
    <w:p w14:paraId="57B55928" w14:textId="10325136" w:rsidR="00CD1525" w:rsidRDefault="00CD1525" w:rsidP="00CD1525">
      <w:pPr>
        <w:pStyle w:val="ChartorTableNote"/>
      </w:pPr>
      <w:r w:rsidRPr="002C73BA">
        <w:t>Source: ATO administrative data</w:t>
      </w:r>
      <w:r w:rsidR="003606A0">
        <w:t xml:space="preserve"> as at 15 August 2021</w:t>
      </w:r>
      <w:r w:rsidR="00D363D8">
        <w:t xml:space="preserve"> and</w:t>
      </w:r>
      <w:r w:rsidRPr="002C73BA">
        <w:t xml:space="preserve"> </w:t>
      </w:r>
      <w:r>
        <w:t>ABS Australian National Accounts</w:t>
      </w:r>
      <w:r w:rsidR="003327D0">
        <w:t>, June 2021 (Cat. No. 520</w:t>
      </w:r>
      <w:r w:rsidR="00D363D8">
        <w:t>6</w:t>
      </w:r>
      <w:r w:rsidR="003327D0">
        <w:t>.0).</w:t>
      </w:r>
    </w:p>
    <w:p w14:paraId="51FDED94" w14:textId="463327C3" w:rsidR="00D35008" w:rsidRDefault="00D35008" w:rsidP="006E70AD">
      <w:pPr>
        <w:pStyle w:val="ChartorTableNote"/>
      </w:pPr>
      <w:r>
        <w:br w:type="page"/>
      </w:r>
    </w:p>
    <w:p w14:paraId="4BAB8FF3" w14:textId="6B750074" w:rsidR="006C129B" w:rsidRPr="005566B0" w:rsidRDefault="006C129B" w:rsidP="00F47CDD">
      <w:pPr>
        <w:pStyle w:val="TableMainHeading"/>
      </w:pPr>
      <w:bookmarkStart w:id="218" w:name="_Toc84842604"/>
      <w:r w:rsidRPr="005566B0">
        <w:lastRenderedPageBreak/>
        <w:t xml:space="preserve">JobKeeper </w:t>
      </w:r>
      <w:r w:rsidR="006B6E31">
        <w:t xml:space="preserve">first </w:t>
      </w:r>
      <w:r w:rsidR="006B6E31">
        <w:rPr>
          <w:rFonts w:asciiTheme="minorHAnsi" w:hAnsiTheme="minorHAnsi" w:cstheme="minorHAnsi"/>
        </w:rPr>
        <w:t>phase</w:t>
      </w:r>
      <w:r>
        <w:t xml:space="preserve"> </w:t>
      </w:r>
      <w:r w:rsidRPr="005566B0">
        <w:t xml:space="preserve">individuals – number and </w:t>
      </w:r>
      <w:bookmarkStart w:id="219" w:name="_Hlk83310823"/>
      <w:r w:rsidRPr="005566B0">
        <w:t>coverage</w:t>
      </w:r>
      <w:r>
        <w:t xml:space="preserve"> of pre</w:t>
      </w:r>
      <w:r w:rsidR="0038520A">
        <w:noBreakHyphen/>
      </w:r>
      <w:r w:rsidR="003233D3">
        <w:t>COVID</w:t>
      </w:r>
      <w:r w:rsidR="0038520A">
        <w:noBreakHyphen/>
      </w:r>
      <w:r w:rsidR="003233D3">
        <w:t xml:space="preserve">19 </w:t>
      </w:r>
      <w:r>
        <w:t>employment</w:t>
      </w:r>
      <w:bookmarkEnd w:id="219"/>
      <w:r w:rsidDel="005443C3">
        <w:t>,</w:t>
      </w:r>
      <w:r>
        <w:t xml:space="preserve"> by industry</w:t>
      </w:r>
      <w:bookmarkEnd w:id="218"/>
    </w:p>
    <w:tbl>
      <w:tblPr>
        <w:tblW w:w="5000" w:type="pct"/>
        <w:tblLayout w:type="fixed"/>
        <w:tblLook w:val="04A0" w:firstRow="1" w:lastRow="0" w:firstColumn="1" w:lastColumn="0" w:noHBand="0" w:noVBand="1"/>
      </w:tblPr>
      <w:tblGrid>
        <w:gridCol w:w="5616"/>
        <w:gridCol w:w="1727"/>
        <w:gridCol w:w="1728"/>
      </w:tblGrid>
      <w:tr w:rsidR="006C129B" w:rsidRPr="005566B0" w14:paraId="61621FDF" w14:textId="77777777" w:rsidTr="00D35008">
        <w:trPr>
          <w:trHeight w:val="300"/>
        </w:trPr>
        <w:tc>
          <w:tcPr>
            <w:tcW w:w="5616" w:type="dxa"/>
            <w:tcBorders>
              <w:top w:val="single" w:sz="4" w:space="0" w:color="3A6FAF" w:themeColor="accent2"/>
              <w:bottom w:val="single" w:sz="4" w:space="0" w:color="3A6FAF" w:themeColor="accent2"/>
            </w:tcBorders>
            <w:shd w:val="clear" w:color="auto" w:fill="auto"/>
            <w:noWrap/>
            <w:vAlign w:val="bottom"/>
            <w:hideMark/>
          </w:tcPr>
          <w:p w14:paraId="0FBE4475" w14:textId="77777777" w:rsidR="006C129B" w:rsidRPr="003C22E5" w:rsidRDefault="006C129B" w:rsidP="00D35008">
            <w:pPr>
              <w:pStyle w:val="TableColumnHeadingLeft"/>
            </w:pPr>
            <w:r w:rsidRPr="003C22E5">
              <w:t>Industry</w:t>
            </w:r>
          </w:p>
        </w:tc>
        <w:tc>
          <w:tcPr>
            <w:tcW w:w="1727" w:type="dxa"/>
            <w:tcBorders>
              <w:top w:val="single" w:sz="4" w:space="0" w:color="3A6FAF" w:themeColor="accent2"/>
              <w:bottom w:val="single" w:sz="4" w:space="0" w:color="3A6FAF" w:themeColor="accent2"/>
            </w:tcBorders>
            <w:shd w:val="clear" w:color="auto" w:fill="auto"/>
            <w:noWrap/>
            <w:vAlign w:val="bottom"/>
            <w:hideMark/>
          </w:tcPr>
          <w:p w14:paraId="2C3D0B39" w14:textId="77777777" w:rsidR="00D35008" w:rsidRDefault="006C129B" w:rsidP="00D35008">
            <w:pPr>
              <w:pStyle w:val="TableColumnHeadingRight"/>
            </w:pPr>
            <w:r>
              <w:t>JobKeeper i</w:t>
            </w:r>
            <w:r w:rsidRPr="003C22E5">
              <w:t>ndividuals</w:t>
            </w:r>
          </w:p>
          <w:p w14:paraId="1154F48E" w14:textId="323EE867" w:rsidR="006C129B" w:rsidRPr="003C22E5" w:rsidRDefault="006C129B" w:rsidP="00D35008">
            <w:pPr>
              <w:pStyle w:val="TableColumnHeadingRight"/>
            </w:pPr>
            <w:r w:rsidRPr="003C22E5">
              <w:t>(000s)</w:t>
            </w:r>
          </w:p>
        </w:tc>
        <w:tc>
          <w:tcPr>
            <w:tcW w:w="1728" w:type="dxa"/>
            <w:tcBorders>
              <w:top w:val="single" w:sz="4" w:space="0" w:color="3A6FAF" w:themeColor="accent2"/>
              <w:bottom w:val="single" w:sz="4" w:space="0" w:color="3A6FAF" w:themeColor="accent2"/>
            </w:tcBorders>
            <w:shd w:val="clear" w:color="auto" w:fill="auto"/>
            <w:noWrap/>
            <w:vAlign w:val="bottom"/>
            <w:hideMark/>
          </w:tcPr>
          <w:p w14:paraId="033699F8" w14:textId="7C235D27" w:rsidR="006C129B" w:rsidRPr="003C22E5" w:rsidRDefault="006C129B" w:rsidP="00D35008">
            <w:pPr>
              <w:pStyle w:val="TableColumnHeadingRight"/>
            </w:pPr>
            <w:r>
              <w:t>S</w:t>
            </w:r>
            <w:r w:rsidRPr="003C22E5">
              <w:t xml:space="preserve">hare of </w:t>
            </w:r>
            <w:r w:rsidR="00EA2D5F">
              <w:br/>
            </w:r>
            <w:r w:rsidRPr="003C22E5">
              <w:t>pre</w:t>
            </w:r>
            <w:r w:rsidR="0038520A">
              <w:noBreakHyphen/>
            </w:r>
            <w:r w:rsidRPr="003C22E5">
              <w:t>COVID</w:t>
            </w:r>
            <w:r w:rsidR="0038520A">
              <w:noBreakHyphen/>
            </w:r>
            <w:r w:rsidR="003233D3">
              <w:t xml:space="preserve">19 </w:t>
            </w:r>
            <w:r w:rsidRPr="003C22E5">
              <w:t xml:space="preserve">employment </w:t>
            </w:r>
          </w:p>
          <w:p w14:paraId="60BD8347" w14:textId="4E5C703A" w:rsidR="006C129B" w:rsidRPr="003C22E5" w:rsidRDefault="00DC400F" w:rsidP="00D35008">
            <w:pPr>
              <w:pStyle w:val="TableColumnHeadingRight"/>
            </w:pPr>
            <w:r>
              <w:t>%</w:t>
            </w:r>
          </w:p>
        </w:tc>
      </w:tr>
      <w:tr w:rsidR="006C129B" w:rsidRPr="005566B0" w14:paraId="03B6B48F" w14:textId="77777777" w:rsidTr="00B25A32">
        <w:trPr>
          <w:trHeight w:val="300"/>
        </w:trPr>
        <w:tc>
          <w:tcPr>
            <w:tcW w:w="5616" w:type="dxa"/>
            <w:tcBorders>
              <w:top w:val="single" w:sz="4" w:space="0" w:color="3A6FAF" w:themeColor="accent2"/>
            </w:tcBorders>
            <w:shd w:val="clear" w:color="auto" w:fill="auto"/>
            <w:noWrap/>
            <w:hideMark/>
          </w:tcPr>
          <w:p w14:paraId="0C6DA022" w14:textId="37E41BA0" w:rsidR="006C129B" w:rsidRPr="00E62225" w:rsidRDefault="00923E3B" w:rsidP="00D35008">
            <w:pPr>
              <w:pStyle w:val="TableTextLeft"/>
              <w:rPr>
                <w:rFonts w:asciiTheme="minorHAnsi" w:hAnsiTheme="minorHAnsi" w:cstheme="minorHAnsi"/>
                <w:szCs w:val="18"/>
              </w:rPr>
            </w:pPr>
            <w:r w:rsidRPr="001719CC">
              <w:t>Arts and Recreation Services</w:t>
            </w:r>
          </w:p>
        </w:tc>
        <w:tc>
          <w:tcPr>
            <w:tcW w:w="1727" w:type="dxa"/>
            <w:tcBorders>
              <w:top w:val="single" w:sz="4" w:space="0" w:color="3A6FAF" w:themeColor="accent2"/>
            </w:tcBorders>
            <w:shd w:val="clear" w:color="auto" w:fill="auto"/>
            <w:noWrap/>
            <w:hideMark/>
          </w:tcPr>
          <w:p w14:paraId="64A4DDF7" w14:textId="36B5D5F9" w:rsidR="006C129B" w:rsidRPr="00E62225" w:rsidRDefault="00923E3B" w:rsidP="00D35008">
            <w:pPr>
              <w:pStyle w:val="TableTextRight"/>
              <w:rPr>
                <w:rFonts w:asciiTheme="minorHAnsi" w:hAnsiTheme="minorHAnsi" w:cstheme="minorHAnsi"/>
                <w:szCs w:val="18"/>
                <w:highlight w:val="yellow"/>
              </w:rPr>
            </w:pPr>
            <w:r w:rsidRPr="001719CC">
              <w:t>132.8</w:t>
            </w:r>
          </w:p>
        </w:tc>
        <w:tc>
          <w:tcPr>
            <w:tcW w:w="1728" w:type="dxa"/>
            <w:tcBorders>
              <w:top w:val="single" w:sz="4" w:space="0" w:color="3A6FAF" w:themeColor="accent2"/>
            </w:tcBorders>
            <w:shd w:val="clear" w:color="auto" w:fill="auto"/>
            <w:noWrap/>
            <w:hideMark/>
          </w:tcPr>
          <w:p w14:paraId="23E42D9D" w14:textId="40040895" w:rsidR="006C129B" w:rsidRPr="00E62225" w:rsidRDefault="00127576" w:rsidP="00D35008">
            <w:pPr>
              <w:pStyle w:val="TableTextRight"/>
              <w:rPr>
                <w:rFonts w:asciiTheme="minorHAnsi" w:hAnsiTheme="minorHAnsi" w:cstheme="minorHAnsi"/>
                <w:szCs w:val="18"/>
              </w:rPr>
            </w:pPr>
            <w:r w:rsidRPr="00A235E8">
              <w:t>53.0</w:t>
            </w:r>
          </w:p>
        </w:tc>
      </w:tr>
      <w:tr w:rsidR="006C129B" w:rsidRPr="005566B0" w14:paraId="02AF7361" w14:textId="77777777" w:rsidTr="00B25A32">
        <w:trPr>
          <w:trHeight w:val="300"/>
        </w:trPr>
        <w:tc>
          <w:tcPr>
            <w:tcW w:w="5616" w:type="dxa"/>
            <w:shd w:val="clear" w:color="auto" w:fill="auto"/>
            <w:noWrap/>
            <w:hideMark/>
          </w:tcPr>
          <w:p w14:paraId="1339813B" w14:textId="283218C2" w:rsidR="006C129B" w:rsidRPr="00E62225" w:rsidRDefault="00923E3B" w:rsidP="00D35008">
            <w:pPr>
              <w:pStyle w:val="TableTextLeft"/>
              <w:rPr>
                <w:rFonts w:asciiTheme="minorHAnsi" w:hAnsiTheme="minorHAnsi" w:cstheme="minorHAnsi"/>
                <w:szCs w:val="18"/>
              </w:rPr>
            </w:pPr>
            <w:r w:rsidRPr="001719CC">
              <w:t>Rental, Hiring and Real Estate Services</w:t>
            </w:r>
          </w:p>
        </w:tc>
        <w:tc>
          <w:tcPr>
            <w:tcW w:w="1727" w:type="dxa"/>
            <w:shd w:val="clear" w:color="auto" w:fill="auto"/>
            <w:noWrap/>
            <w:hideMark/>
          </w:tcPr>
          <w:p w14:paraId="201F7F84" w14:textId="54094DD5" w:rsidR="006C129B" w:rsidRPr="00E62225" w:rsidRDefault="00923E3B" w:rsidP="00D35008">
            <w:pPr>
              <w:pStyle w:val="TableTextRight"/>
              <w:rPr>
                <w:rFonts w:asciiTheme="minorHAnsi" w:hAnsiTheme="minorHAnsi" w:cstheme="minorHAnsi"/>
                <w:szCs w:val="18"/>
                <w:highlight w:val="yellow"/>
              </w:rPr>
            </w:pPr>
            <w:r w:rsidRPr="001719CC">
              <w:t>110.6</w:t>
            </w:r>
          </w:p>
        </w:tc>
        <w:tc>
          <w:tcPr>
            <w:tcW w:w="1728" w:type="dxa"/>
            <w:shd w:val="clear" w:color="auto" w:fill="auto"/>
            <w:noWrap/>
            <w:hideMark/>
          </w:tcPr>
          <w:p w14:paraId="736B9E93" w14:textId="03794402" w:rsidR="006C129B" w:rsidRPr="00E62225" w:rsidRDefault="00923E3B" w:rsidP="00D35008">
            <w:pPr>
              <w:pStyle w:val="TableTextRight"/>
              <w:rPr>
                <w:rFonts w:asciiTheme="minorHAnsi" w:hAnsiTheme="minorHAnsi" w:cstheme="minorHAnsi"/>
                <w:szCs w:val="18"/>
              </w:rPr>
            </w:pPr>
            <w:r w:rsidRPr="001719CC">
              <w:t>51.9</w:t>
            </w:r>
          </w:p>
        </w:tc>
      </w:tr>
      <w:tr w:rsidR="006C129B" w:rsidRPr="005566B0" w14:paraId="715966F3" w14:textId="77777777" w:rsidTr="00B25A32">
        <w:trPr>
          <w:trHeight w:val="300"/>
        </w:trPr>
        <w:tc>
          <w:tcPr>
            <w:tcW w:w="5616" w:type="dxa"/>
            <w:shd w:val="clear" w:color="auto" w:fill="auto"/>
            <w:noWrap/>
            <w:hideMark/>
          </w:tcPr>
          <w:p w14:paraId="1FE9FB06" w14:textId="05A554A0" w:rsidR="006C129B" w:rsidRPr="00E62225" w:rsidRDefault="00923E3B" w:rsidP="00D35008">
            <w:pPr>
              <w:pStyle w:val="TableTextLeft"/>
              <w:rPr>
                <w:rFonts w:asciiTheme="minorHAnsi" w:hAnsiTheme="minorHAnsi" w:cstheme="minorHAnsi"/>
                <w:szCs w:val="18"/>
              </w:rPr>
            </w:pPr>
            <w:r w:rsidRPr="001719CC">
              <w:t>Other Services</w:t>
            </w:r>
          </w:p>
        </w:tc>
        <w:tc>
          <w:tcPr>
            <w:tcW w:w="1727" w:type="dxa"/>
            <w:shd w:val="clear" w:color="auto" w:fill="auto"/>
            <w:noWrap/>
            <w:hideMark/>
          </w:tcPr>
          <w:p w14:paraId="6E4FE427" w14:textId="10566198" w:rsidR="006C129B" w:rsidRPr="00E62225" w:rsidRDefault="00923E3B" w:rsidP="00D35008">
            <w:pPr>
              <w:pStyle w:val="TableTextRight"/>
              <w:rPr>
                <w:rFonts w:asciiTheme="minorHAnsi" w:hAnsiTheme="minorHAnsi" w:cstheme="minorHAnsi"/>
                <w:szCs w:val="18"/>
                <w:highlight w:val="yellow"/>
              </w:rPr>
            </w:pPr>
            <w:r w:rsidRPr="001719CC">
              <w:t>249.</w:t>
            </w:r>
            <w:r w:rsidR="006C129B" w:rsidRPr="001719CC">
              <w:t>5</w:t>
            </w:r>
          </w:p>
        </w:tc>
        <w:tc>
          <w:tcPr>
            <w:tcW w:w="1728" w:type="dxa"/>
            <w:shd w:val="clear" w:color="auto" w:fill="auto"/>
            <w:noWrap/>
            <w:hideMark/>
          </w:tcPr>
          <w:p w14:paraId="09F0AE3F" w14:textId="19C3AF50" w:rsidR="006C129B" w:rsidRPr="00E62225" w:rsidRDefault="00923E3B" w:rsidP="00D35008">
            <w:pPr>
              <w:pStyle w:val="TableTextRight"/>
              <w:rPr>
                <w:rFonts w:asciiTheme="minorHAnsi" w:hAnsiTheme="minorHAnsi" w:cstheme="minorHAnsi"/>
                <w:szCs w:val="18"/>
              </w:rPr>
            </w:pPr>
            <w:r w:rsidRPr="001719CC">
              <w:t>49.4</w:t>
            </w:r>
          </w:p>
        </w:tc>
      </w:tr>
      <w:tr w:rsidR="006C129B" w:rsidRPr="005566B0" w14:paraId="05DCA966" w14:textId="77777777" w:rsidTr="00B25A32">
        <w:trPr>
          <w:trHeight w:val="300"/>
        </w:trPr>
        <w:tc>
          <w:tcPr>
            <w:tcW w:w="5616" w:type="dxa"/>
            <w:shd w:val="clear" w:color="auto" w:fill="auto"/>
            <w:noWrap/>
            <w:hideMark/>
          </w:tcPr>
          <w:p w14:paraId="0DCF5DBC" w14:textId="6DEE2F0A" w:rsidR="006C129B" w:rsidRPr="00E62225" w:rsidRDefault="00923E3B" w:rsidP="00D35008">
            <w:pPr>
              <w:pStyle w:val="TableTextLeft"/>
              <w:rPr>
                <w:rFonts w:asciiTheme="minorHAnsi" w:hAnsiTheme="minorHAnsi" w:cstheme="minorHAnsi"/>
                <w:szCs w:val="18"/>
              </w:rPr>
            </w:pPr>
            <w:r w:rsidRPr="001719CC">
              <w:t>Administrative and Support Services</w:t>
            </w:r>
          </w:p>
        </w:tc>
        <w:tc>
          <w:tcPr>
            <w:tcW w:w="1727" w:type="dxa"/>
            <w:shd w:val="clear" w:color="auto" w:fill="auto"/>
            <w:noWrap/>
            <w:hideMark/>
          </w:tcPr>
          <w:p w14:paraId="674BA6AC" w14:textId="28E9AFFA" w:rsidR="006C129B" w:rsidRPr="00E62225" w:rsidRDefault="00923E3B" w:rsidP="00D35008">
            <w:pPr>
              <w:pStyle w:val="TableTextRight"/>
              <w:rPr>
                <w:rFonts w:asciiTheme="minorHAnsi" w:hAnsiTheme="minorHAnsi" w:cstheme="minorHAnsi"/>
                <w:szCs w:val="18"/>
                <w:highlight w:val="yellow"/>
              </w:rPr>
            </w:pPr>
            <w:r w:rsidRPr="001719CC">
              <w:t>203.7</w:t>
            </w:r>
          </w:p>
        </w:tc>
        <w:tc>
          <w:tcPr>
            <w:tcW w:w="1728" w:type="dxa"/>
            <w:shd w:val="clear" w:color="auto" w:fill="auto"/>
            <w:noWrap/>
            <w:hideMark/>
          </w:tcPr>
          <w:p w14:paraId="5C460939" w14:textId="2BB1AC6F" w:rsidR="006C129B" w:rsidRPr="00E62225" w:rsidRDefault="00923E3B" w:rsidP="00D35008">
            <w:pPr>
              <w:pStyle w:val="TableTextRight"/>
              <w:rPr>
                <w:rFonts w:asciiTheme="minorHAnsi" w:hAnsiTheme="minorHAnsi" w:cstheme="minorHAnsi"/>
                <w:szCs w:val="18"/>
              </w:rPr>
            </w:pPr>
            <w:r w:rsidRPr="001719CC">
              <w:t>44.6</w:t>
            </w:r>
          </w:p>
        </w:tc>
      </w:tr>
      <w:tr w:rsidR="006C129B" w:rsidRPr="005566B0" w14:paraId="3BF33F21" w14:textId="77777777" w:rsidTr="00B25A32">
        <w:trPr>
          <w:trHeight w:val="300"/>
        </w:trPr>
        <w:tc>
          <w:tcPr>
            <w:tcW w:w="5616" w:type="dxa"/>
            <w:shd w:val="clear" w:color="auto" w:fill="auto"/>
            <w:noWrap/>
            <w:hideMark/>
          </w:tcPr>
          <w:p w14:paraId="7D5B71C9" w14:textId="4E442C47" w:rsidR="006C129B" w:rsidRPr="00E62225" w:rsidRDefault="00923E3B" w:rsidP="00D35008">
            <w:pPr>
              <w:pStyle w:val="TableTextLeft"/>
              <w:rPr>
                <w:rFonts w:asciiTheme="minorHAnsi" w:hAnsiTheme="minorHAnsi" w:cstheme="minorHAnsi"/>
                <w:szCs w:val="18"/>
              </w:rPr>
            </w:pPr>
            <w:r w:rsidRPr="001719CC">
              <w:t>Wholesale Trade</w:t>
            </w:r>
          </w:p>
        </w:tc>
        <w:tc>
          <w:tcPr>
            <w:tcW w:w="1727" w:type="dxa"/>
            <w:shd w:val="clear" w:color="auto" w:fill="auto"/>
            <w:noWrap/>
            <w:hideMark/>
          </w:tcPr>
          <w:p w14:paraId="38293404" w14:textId="435149FC" w:rsidR="006C129B" w:rsidRPr="00E62225" w:rsidRDefault="00923E3B" w:rsidP="00D35008">
            <w:pPr>
              <w:pStyle w:val="TableTextRight"/>
              <w:rPr>
                <w:rFonts w:asciiTheme="minorHAnsi" w:hAnsiTheme="minorHAnsi" w:cstheme="minorHAnsi"/>
                <w:szCs w:val="18"/>
                <w:highlight w:val="yellow"/>
              </w:rPr>
            </w:pPr>
            <w:r w:rsidRPr="001719CC">
              <w:t>173.1</w:t>
            </w:r>
          </w:p>
        </w:tc>
        <w:tc>
          <w:tcPr>
            <w:tcW w:w="1728" w:type="dxa"/>
            <w:shd w:val="clear" w:color="auto" w:fill="auto"/>
            <w:noWrap/>
            <w:hideMark/>
          </w:tcPr>
          <w:p w14:paraId="1FBD4B02" w14:textId="2FF806DE" w:rsidR="006C129B" w:rsidRPr="00E62225" w:rsidRDefault="00923E3B" w:rsidP="00D35008">
            <w:pPr>
              <w:pStyle w:val="TableTextRight"/>
              <w:rPr>
                <w:rFonts w:asciiTheme="minorHAnsi" w:hAnsiTheme="minorHAnsi" w:cstheme="minorHAnsi"/>
                <w:szCs w:val="18"/>
              </w:rPr>
            </w:pPr>
            <w:r w:rsidRPr="001719CC">
              <w:t>43.8</w:t>
            </w:r>
          </w:p>
        </w:tc>
      </w:tr>
      <w:tr w:rsidR="006C129B" w:rsidRPr="005566B0" w14:paraId="4A37FCC8" w14:textId="77777777" w:rsidTr="00B25A32">
        <w:trPr>
          <w:trHeight w:val="300"/>
        </w:trPr>
        <w:tc>
          <w:tcPr>
            <w:tcW w:w="5616" w:type="dxa"/>
            <w:shd w:val="clear" w:color="auto" w:fill="auto"/>
            <w:noWrap/>
            <w:hideMark/>
          </w:tcPr>
          <w:p w14:paraId="7DC99FB0" w14:textId="7832083D" w:rsidR="006C129B" w:rsidRPr="00E62225" w:rsidRDefault="00923E3B" w:rsidP="00D35008">
            <w:pPr>
              <w:pStyle w:val="TableTextLeft"/>
              <w:rPr>
                <w:rFonts w:asciiTheme="minorHAnsi" w:hAnsiTheme="minorHAnsi" w:cstheme="minorHAnsi"/>
                <w:szCs w:val="18"/>
              </w:rPr>
            </w:pPr>
            <w:r w:rsidRPr="001719CC">
              <w:t>Professional, Scientific and Technical Services</w:t>
            </w:r>
          </w:p>
        </w:tc>
        <w:tc>
          <w:tcPr>
            <w:tcW w:w="1727" w:type="dxa"/>
            <w:shd w:val="clear" w:color="auto" w:fill="auto"/>
            <w:noWrap/>
            <w:hideMark/>
          </w:tcPr>
          <w:p w14:paraId="3B0026D0" w14:textId="450EC5F1" w:rsidR="006C129B" w:rsidRPr="00E62225" w:rsidRDefault="00923E3B" w:rsidP="00D35008">
            <w:pPr>
              <w:pStyle w:val="TableTextRight"/>
              <w:rPr>
                <w:rFonts w:asciiTheme="minorHAnsi" w:hAnsiTheme="minorHAnsi" w:cstheme="minorHAnsi"/>
                <w:szCs w:val="18"/>
                <w:highlight w:val="yellow"/>
              </w:rPr>
            </w:pPr>
            <w:r w:rsidRPr="001719CC">
              <w:t>452.3</w:t>
            </w:r>
          </w:p>
        </w:tc>
        <w:tc>
          <w:tcPr>
            <w:tcW w:w="1728" w:type="dxa"/>
            <w:shd w:val="clear" w:color="auto" w:fill="auto"/>
            <w:noWrap/>
            <w:hideMark/>
          </w:tcPr>
          <w:p w14:paraId="0FDDC76B" w14:textId="5A8E697D" w:rsidR="006C129B" w:rsidRPr="00E62225" w:rsidRDefault="00923E3B" w:rsidP="00D35008">
            <w:pPr>
              <w:pStyle w:val="TableTextRight"/>
              <w:rPr>
                <w:rFonts w:asciiTheme="minorHAnsi" w:hAnsiTheme="minorHAnsi" w:cstheme="minorHAnsi"/>
                <w:szCs w:val="18"/>
              </w:rPr>
            </w:pPr>
            <w:r w:rsidRPr="001719CC">
              <w:t>39.1</w:t>
            </w:r>
          </w:p>
        </w:tc>
      </w:tr>
      <w:tr w:rsidR="006C129B" w:rsidRPr="005566B0" w14:paraId="0C107E68" w14:textId="77777777" w:rsidTr="00B25A32">
        <w:trPr>
          <w:trHeight w:val="300"/>
        </w:trPr>
        <w:tc>
          <w:tcPr>
            <w:tcW w:w="5616" w:type="dxa"/>
            <w:shd w:val="clear" w:color="auto" w:fill="auto"/>
            <w:noWrap/>
            <w:hideMark/>
          </w:tcPr>
          <w:p w14:paraId="60E9653D" w14:textId="7329AED9" w:rsidR="006C129B" w:rsidRPr="00E62225" w:rsidRDefault="00923E3B" w:rsidP="00D35008">
            <w:pPr>
              <w:pStyle w:val="TableTextLeft"/>
              <w:rPr>
                <w:rFonts w:asciiTheme="minorHAnsi" w:hAnsiTheme="minorHAnsi" w:cstheme="minorHAnsi"/>
                <w:szCs w:val="18"/>
              </w:rPr>
            </w:pPr>
            <w:r w:rsidRPr="001719CC">
              <w:t>Construction</w:t>
            </w:r>
          </w:p>
        </w:tc>
        <w:tc>
          <w:tcPr>
            <w:tcW w:w="1727" w:type="dxa"/>
            <w:shd w:val="clear" w:color="auto" w:fill="auto"/>
            <w:noWrap/>
            <w:hideMark/>
          </w:tcPr>
          <w:p w14:paraId="74DDB42B" w14:textId="21D4E532" w:rsidR="006C129B" w:rsidRPr="00E62225" w:rsidRDefault="00127576" w:rsidP="00D35008">
            <w:pPr>
              <w:pStyle w:val="TableTextRight"/>
              <w:rPr>
                <w:rFonts w:asciiTheme="minorHAnsi" w:hAnsiTheme="minorHAnsi" w:cstheme="minorHAnsi"/>
                <w:szCs w:val="18"/>
                <w:highlight w:val="yellow"/>
              </w:rPr>
            </w:pPr>
            <w:r w:rsidRPr="00A235E8">
              <w:t>424.0</w:t>
            </w:r>
          </w:p>
        </w:tc>
        <w:tc>
          <w:tcPr>
            <w:tcW w:w="1728" w:type="dxa"/>
            <w:shd w:val="clear" w:color="auto" w:fill="auto"/>
            <w:noWrap/>
            <w:hideMark/>
          </w:tcPr>
          <w:p w14:paraId="7855BBBF" w14:textId="16F6BD48" w:rsidR="006C129B" w:rsidRPr="00E62225" w:rsidRDefault="00923E3B" w:rsidP="00D35008">
            <w:pPr>
              <w:pStyle w:val="TableTextRight"/>
              <w:rPr>
                <w:rFonts w:asciiTheme="minorHAnsi" w:hAnsiTheme="minorHAnsi" w:cstheme="minorHAnsi"/>
                <w:szCs w:val="18"/>
              </w:rPr>
            </w:pPr>
            <w:r w:rsidRPr="001719CC">
              <w:t>35.9</w:t>
            </w:r>
          </w:p>
        </w:tc>
      </w:tr>
      <w:tr w:rsidR="006C129B" w:rsidRPr="005566B0" w14:paraId="5533D137" w14:textId="77777777" w:rsidTr="00B25A32">
        <w:trPr>
          <w:trHeight w:val="300"/>
        </w:trPr>
        <w:tc>
          <w:tcPr>
            <w:tcW w:w="5616" w:type="dxa"/>
            <w:shd w:val="clear" w:color="auto" w:fill="auto"/>
            <w:noWrap/>
            <w:hideMark/>
          </w:tcPr>
          <w:p w14:paraId="6FCE2489" w14:textId="1DDC4637" w:rsidR="006C129B" w:rsidRPr="00E62225" w:rsidRDefault="00923E3B" w:rsidP="00D35008">
            <w:pPr>
              <w:pStyle w:val="TableTextLeft"/>
              <w:rPr>
                <w:rFonts w:asciiTheme="minorHAnsi" w:hAnsiTheme="minorHAnsi" w:cstheme="minorHAnsi"/>
                <w:szCs w:val="18"/>
              </w:rPr>
            </w:pPr>
            <w:r w:rsidRPr="001719CC">
              <w:t>Accommodation and Food Services</w:t>
            </w:r>
          </w:p>
        </w:tc>
        <w:tc>
          <w:tcPr>
            <w:tcW w:w="1727" w:type="dxa"/>
            <w:shd w:val="clear" w:color="auto" w:fill="auto"/>
            <w:noWrap/>
            <w:hideMark/>
          </w:tcPr>
          <w:p w14:paraId="525C83EB" w14:textId="2170D24A" w:rsidR="006C129B" w:rsidRPr="00E62225" w:rsidRDefault="00923E3B" w:rsidP="00D35008">
            <w:pPr>
              <w:pStyle w:val="TableTextRight"/>
              <w:rPr>
                <w:rFonts w:asciiTheme="minorHAnsi" w:hAnsiTheme="minorHAnsi" w:cstheme="minorHAnsi"/>
                <w:szCs w:val="18"/>
                <w:highlight w:val="yellow"/>
              </w:rPr>
            </w:pPr>
            <w:r w:rsidRPr="001719CC">
              <w:t>321.1</w:t>
            </w:r>
          </w:p>
        </w:tc>
        <w:tc>
          <w:tcPr>
            <w:tcW w:w="1728" w:type="dxa"/>
            <w:shd w:val="clear" w:color="auto" w:fill="auto"/>
            <w:noWrap/>
            <w:hideMark/>
          </w:tcPr>
          <w:p w14:paraId="423DBACB" w14:textId="66039931" w:rsidR="006C129B" w:rsidRPr="00E62225" w:rsidRDefault="00923E3B" w:rsidP="00D35008">
            <w:pPr>
              <w:pStyle w:val="TableTextRight"/>
              <w:rPr>
                <w:rFonts w:asciiTheme="minorHAnsi" w:hAnsiTheme="minorHAnsi" w:cstheme="minorHAnsi"/>
                <w:szCs w:val="18"/>
              </w:rPr>
            </w:pPr>
            <w:r w:rsidRPr="001719CC">
              <w:t>34.9</w:t>
            </w:r>
          </w:p>
        </w:tc>
      </w:tr>
      <w:tr w:rsidR="006C129B" w:rsidRPr="005566B0" w14:paraId="25BD27CC" w14:textId="77777777" w:rsidTr="00B25A32">
        <w:trPr>
          <w:trHeight w:val="300"/>
        </w:trPr>
        <w:tc>
          <w:tcPr>
            <w:tcW w:w="5616" w:type="dxa"/>
            <w:shd w:val="clear" w:color="auto" w:fill="auto"/>
            <w:noWrap/>
            <w:hideMark/>
          </w:tcPr>
          <w:p w14:paraId="3FEE1228" w14:textId="603581E7" w:rsidR="006C129B" w:rsidRPr="00E62225" w:rsidRDefault="00923E3B" w:rsidP="00D35008">
            <w:pPr>
              <w:pStyle w:val="TableTextLeft"/>
              <w:rPr>
                <w:rFonts w:asciiTheme="minorHAnsi" w:hAnsiTheme="minorHAnsi" w:cstheme="minorHAnsi"/>
                <w:szCs w:val="18"/>
              </w:rPr>
            </w:pPr>
            <w:r w:rsidRPr="001719CC">
              <w:t>Manufacturing</w:t>
            </w:r>
          </w:p>
        </w:tc>
        <w:tc>
          <w:tcPr>
            <w:tcW w:w="1727" w:type="dxa"/>
            <w:shd w:val="clear" w:color="auto" w:fill="auto"/>
            <w:noWrap/>
            <w:hideMark/>
          </w:tcPr>
          <w:p w14:paraId="2B3B66F1" w14:textId="330FB014" w:rsidR="006C129B" w:rsidRPr="00E62225" w:rsidRDefault="00923E3B" w:rsidP="00D35008">
            <w:pPr>
              <w:pStyle w:val="TableTextRight"/>
              <w:rPr>
                <w:rFonts w:asciiTheme="minorHAnsi" w:hAnsiTheme="minorHAnsi" w:cstheme="minorHAnsi"/>
                <w:szCs w:val="18"/>
                <w:highlight w:val="yellow"/>
              </w:rPr>
            </w:pPr>
            <w:r w:rsidRPr="001719CC">
              <w:t>283.2</w:t>
            </w:r>
          </w:p>
        </w:tc>
        <w:tc>
          <w:tcPr>
            <w:tcW w:w="1728" w:type="dxa"/>
            <w:shd w:val="clear" w:color="auto" w:fill="auto"/>
            <w:noWrap/>
            <w:hideMark/>
          </w:tcPr>
          <w:p w14:paraId="20E9004C" w14:textId="15EEAE84" w:rsidR="006C129B" w:rsidRPr="00E62225" w:rsidRDefault="00923E3B" w:rsidP="00D35008">
            <w:pPr>
              <w:pStyle w:val="TableTextRight"/>
              <w:rPr>
                <w:rFonts w:asciiTheme="minorHAnsi" w:hAnsiTheme="minorHAnsi" w:cstheme="minorHAnsi"/>
                <w:szCs w:val="18"/>
              </w:rPr>
            </w:pPr>
            <w:r w:rsidRPr="001719CC">
              <w:t>31.5</w:t>
            </w:r>
          </w:p>
        </w:tc>
      </w:tr>
      <w:tr w:rsidR="006C129B" w:rsidRPr="005566B0" w14:paraId="47D99CF2" w14:textId="77777777" w:rsidTr="00B25A32">
        <w:trPr>
          <w:trHeight w:val="300"/>
        </w:trPr>
        <w:tc>
          <w:tcPr>
            <w:tcW w:w="5616" w:type="dxa"/>
            <w:shd w:val="clear" w:color="auto" w:fill="auto"/>
            <w:noWrap/>
            <w:hideMark/>
          </w:tcPr>
          <w:p w14:paraId="64AC7BD3" w14:textId="5015F20D" w:rsidR="006C129B" w:rsidRPr="00E62225" w:rsidRDefault="006C129B" w:rsidP="00D35008">
            <w:pPr>
              <w:pStyle w:val="TableTextLeft"/>
              <w:rPr>
                <w:rFonts w:asciiTheme="minorHAnsi" w:hAnsiTheme="minorHAnsi" w:cstheme="minorHAnsi"/>
                <w:szCs w:val="18"/>
              </w:rPr>
            </w:pPr>
            <w:r w:rsidRPr="001719CC">
              <w:t>Transport, Postal and Warehousing</w:t>
            </w:r>
          </w:p>
        </w:tc>
        <w:tc>
          <w:tcPr>
            <w:tcW w:w="1727" w:type="dxa"/>
            <w:shd w:val="clear" w:color="auto" w:fill="auto"/>
            <w:noWrap/>
            <w:hideMark/>
          </w:tcPr>
          <w:p w14:paraId="481728C4" w14:textId="7E18E8C2" w:rsidR="006C129B" w:rsidRPr="00E62225" w:rsidRDefault="006C129B" w:rsidP="00D35008">
            <w:pPr>
              <w:pStyle w:val="TableTextRight"/>
              <w:rPr>
                <w:rFonts w:asciiTheme="minorHAnsi" w:hAnsiTheme="minorHAnsi" w:cstheme="minorHAnsi"/>
                <w:szCs w:val="18"/>
                <w:highlight w:val="yellow"/>
              </w:rPr>
            </w:pPr>
            <w:r w:rsidRPr="001719CC">
              <w:t>176.1</w:t>
            </w:r>
          </w:p>
        </w:tc>
        <w:tc>
          <w:tcPr>
            <w:tcW w:w="1728" w:type="dxa"/>
            <w:shd w:val="clear" w:color="auto" w:fill="auto"/>
            <w:noWrap/>
            <w:hideMark/>
          </w:tcPr>
          <w:p w14:paraId="3B83BC3F" w14:textId="0E933D36" w:rsidR="006C129B" w:rsidRPr="00E62225" w:rsidRDefault="006C129B" w:rsidP="00D35008">
            <w:pPr>
              <w:pStyle w:val="TableTextRight"/>
              <w:rPr>
                <w:rFonts w:asciiTheme="minorHAnsi" w:hAnsiTheme="minorHAnsi" w:cstheme="minorHAnsi"/>
                <w:szCs w:val="18"/>
              </w:rPr>
            </w:pPr>
            <w:r w:rsidRPr="001719CC">
              <w:t>26.6</w:t>
            </w:r>
          </w:p>
        </w:tc>
      </w:tr>
      <w:tr w:rsidR="006C129B" w:rsidRPr="005566B0" w14:paraId="1F031D2E" w14:textId="77777777" w:rsidTr="00B25A32">
        <w:trPr>
          <w:trHeight w:val="300"/>
        </w:trPr>
        <w:tc>
          <w:tcPr>
            <w:tcW w:w="5616" w:type="dxa"/>
            <w:shd w:val="clear" w:color="auto" w:fill="auto"/>
            <w:noWrap/>
            <w:hideMark/>
          </w:tcPr>
          <w:p w14:paraId="0266C483" w14:textId="6A97D7A4" w:rsidR="006C129B" w:rsidRPr="00E62225" w:rsidRDefault="00923E3B" w:rsidP="00D35008">
            <w:pPr>
              <w:pStyle w:val="TableTextLeft"/>
              <w:rPr>
                <w:rFonts w:asciiTheme="minorHAnsi" w:hAnsiTheme="minorHAnsi" w:cstheme="minorHAnsi"/>
                <w:szCs w:val="18"/>
              </w:rPr>
            </w:pPr>
            <w:r w:rsidRPr="001719CC">
              <w:t>Retail Trade</w:t>
            </w:r>
          </w:p>
        </w:tc>
        <w:tc>
          <w:tcPr>
            <w:tcW w:w="1727" w:type="dxa"/>
            <w:shd w:val="clear" w:color="auto" w:fill="auto"/>
            <w:noWrap/>
            <w:hideMark/>
          </w:tcPr>
          <w:p w14:paraId="3B8D8BD7" w14:textId="63A80AF7" w:rsidR="006C129B" w:rsidRPr="00E62225" w:rsidRDefault="00923E3B" w:rsidP="00D35008">
            <w:pPr>
              <w:pStyle w:val="TableTextRight"/>
              <w:rPr>
                <w:rFonts w:asciiTheme="minorHAnsi" w:hAnsiTheme="minorHAnsi" w:cstheme="minorHAnsi"/>
                <w:szCs w:val="18"/>
                <w:highlight w:val="yellow"/>
              </w:rPr>
            </w:pPr>
            <w:r w:rsidRPr="001719CC">
              <w:t>323.9</w:t>
            </w:r>
          </w:p>
        </w:tc>
        <w:tc>
          <w:tcPr>
            <w:tcW w:w="1728" w:type="dxa"/>
            <w:shd w:val="clear" w:color="auto" w:fill="auto"/>
            <w:noWrap/>
            <w:hideMark/>
          </w:tcPr>
          <w:p w14:paraId="403A7E11" w14:textId="2E75250B" w:rsidR="006C129B" w:rsidRPr="00E62225" w:rsidRDefault="00923E3B" w:rsidP="00D35008">
            <w:pPr>
              <w:pStyle w:val="TableTextRight"/>
              <w:rPr>
                <w:rFonts w:asciiTheme="minorHAnsi" w:hAnsiTheme="minorHAnsi" w:cstheme="minorHAnsi"/>
                <w:szCs w:val="18"/>
              </w:rPr>
            </w:pPr>
            <w:r w:rsidRPr="001719CC">
              <w:t>25.6</w:t>
            </w:r>
          </w:p>
        </w:tc>
      </w:tr>
      <w:tr w:rsidR="006C129B" w:rsidRPr="005566B0" w14:paraId="7ABA46E6" w14:textId="77777777" w:rsidTr="00B25A32">
        <w:trPr>
          <w:trHeight w:val="300"/>
        </w:trPr>
        <w:tc>
          <w:tcPr>
            <w:tcW w:w="5616" w:type="dxa"/>
            <w:shd w:val="clear" w:color="auto" w:fill="auto"/>
            <w:noWrap/>
            <w:hideMark/>
          </w:tcPr>
          <w:p w14:paraId="558340BB" w14:textId="2FCD352B" w:rsidR="006C129B" w:rsidRPr="00E62225" w:rsidRDefault="00923E3B" w:rsidP="00D35008">
            <w:pPr>
              <w:pStyle w:val="TableTextLeft"/>
              <w:rPr>
                <w:rFonts w:asciiTheme="minorHAnsi" w:hAnsiTheme="minorHAnsi" w:cstheme="minorHAnsi"/>
                <w:szCs w:val="18"/>
              </w:rPr>
            </w:pPr>
            <w:r w:rsidRPr="001719CC">
              <w:t>Information Media and Telecommunications</w:t>
            </w:r>
          </w:p>
        </w:tc>
        <w:tc>
          <w:tcPr>
            <w:tcW w:w="1727" w:type="dxa"/>
            <w:shd w:val="clear" w:color="auto" w:fill="auto"/>
            <w:noWrap/>
            <w:hideMark/>
          </w:tcPr>
          <w:p w14:paraId="275729AA" w14:textId="5E3FB425" w:rsidR="006C129B" w:rsidRPr="00E62225" w:rsidRDefault="00923E3B" w:rsidP="00D35008">
            <w:pPr>
              <w:pStyle w:val="TableTextRight"/>
              <w:rPr>
                <w:rFonts w:asciiTheme="minorHAnsi" w:hAnsiTheme="minorHAnsi" w:cstheme="minorHAnsi"/>
                <w:szCs w:val="18"/>
                <w:highlight w:val="yellow"/>
              </w:rPr>
            </w:pPr>
            <w:r w:rsidRPr="001719CC">
              <w:t>53.3</w:t>
            </w:r>
          </w:p>
        </w:tc>
        <w:tc>
          <w:tcPr>
            <w:tcW w:w="1728" w:type="dxa"/>
            <w:shd w:val="clear" w:color="auto" w:fill="auto"/>
            <w:noWrap/>
            <w:hideMark/>
          </w:tcPr>
          <w:p w14:paraId="55E62F88" w14:textId="709FDF38" w:rsidR="006C129B" w:rsidRPr="00E62225" w:rsidRDefault="00923E3B" w:rsidP="00D35008">
            <w:pPr>
              <w:pStyle w:val="TableTextRight"/>
              <w:rPr>
                <w:rFonts w:asciiTheme="minorHAnsi" w:hAnsiTheme="minorHAnsi" w:cstheme="minorHAnsi"/>
                <w:szCs w:val="18"/>
              </w:rPr>
            </w:pPr>
            <w:r w:rsidRPr="001719CC">
              <w:t>25.5</w:t>
            </w:r>
          </w:p>
        </w:tc>
      </w:tr>
      <w:tr w:rsidR="006C129B" w:rsidRPr="005566B0" w14:paraId="0DB716F9" w14:textId="77777777" w:rsidTr="00B25A32">
        <w:trPr>
          <w:trHeight w:val="300"/>
        </w:trPr>
        <w:tc>
          <w:tcPr>
            <w:tcW w:w="5616" w:type="dxa"/>
            <w:shd w:val="clear" w:color="auto" w:fill="auto"/>
            <w:noWrap/>
            <w:hideMark/>
          </w:tcPr>
          <w:p w14:paraId="573EE53B" w14:textId="420C734A" w:rsidR="006C129B" w:rsidRPr="00E62225" w:rsidRDefault="00923E3B" w:rsidP="00D35008">
            <w:pPr>
              <w:pStyle w:val="TableTextLeft"/>
              <w:rPr>
                <w:rFonts w:asciiTheme="minorHAnsi" w:hAnsiTheme="minorHAnsi" w:cstheme="minorHAnsi"/>
                <w:szCs w:val="18"/>
              </w:rPr>
            </w:pPr>
            <w:r w:rsidRPr="001719CC">
              <w:t>Agriculture, Forestry and Fishing</w:t>
            </w:r>
          </w:p>
        </w:tc>
        <w:tc>
          <w:tcPr>
            <w:tcW w:w="1727" w:type="dxa"/>
            <w:shd w:val="clear" w:color="auto" w:fill="auto"/>
            <w:noWrap/>
            <w:hideMark/>
          </w:tcPr>
          <w:p w14:paraId="22ECF60E" w14:textId="6FBDBC1C" w:rsidR="006C129B" w:rsidRPr="00E62225" w:rsidRDefault="00923E3B" w:rsidP="00D35008">
            <w:pPr>
              <w:pStyle w:val="TableTextRight"/>
              <w:rPr>
                <w:rFonts w:asciiTheme="minorHAnsi" w:hAnsiTheme="minorHAnsi" w:cstheme="minorHAnsi"/>
                <w:szCs w:val="18"/>
                <w:highlight w:val="yellow"/>
              </w:rPr>
            </w:pPr>
            <w:r w:rsidRPr="001719CC">
              <w:t>72.1</w:t>
            </w:r>
          </w:p>
        </w:tc>
        <w:tc>
          <w:tcPr>
            <w:tcW w:w="1728" w:type="dxa"/>
            <w:shd w:val="clear" w:color="auto" w:fill="auto"/>
            <w:noWrap/>
            <w:hideMark/>
          </w:tcPr>
          <w:p w14:paraId="77A846F5" w14:textId="26D182BD" w:rsidR="006C129B" w:rsidRPr="00E62225" w:rsidRDefault="00127576" w:rsidP="00D35008">
            <w:pPr>
              <w:pStyle w:val="TableTextRight"/>
              <w:rPr>
                <w:rFonts w:asciiTheme="minorHAnsi" w:hAnsiTheme="minorHAnsi" w:cstheme="minorHAnsi"/>
                <w:szCs w:val="18"/>
              </w:rPr>
            </w:pPr>
            <w:r w:rsidRPr="00A235E8">
              <w:t>22.0</w:t>
            </w:r>
          </w:p>
        </w:tc>
      </w:tr>
      <w:tr w:rsidR="006C129B" w:rsidRPr="005566B0" w14:paraId="53DE7A0F" w14:textId="77777777" w:rsidTr="00B25A32">
        <w:trPr>
          <w:trHeight w:val="300"/>
        </w:trPr>
        <w:tc>
          <w:tcPr>
            <w:tcW w:w="5616" w:type="dxa"/>
            <w:shd w:val="clear" w:color="auto" w:fill="auto"/>
            <w:noWrap/>
            <w:hideMark/>
          </w:tcPr>
          <w:p w14:paraId="43F90C93" w14:textId="09EFBD5D" w:rsidR="006C129B" w:rsidRPr="00E62225" w:rsidRDefault="00923E3B" w:rsidP="00D35008">
            <w:pPr>
              <w:pStyle w:val="TableTextLeft"/>
              <w:rPr>
                <w:rFonts w:asciiTheme="minorHAnsi" w:hAnsiTheme="minorHAnsi" w:cstheme="minorHAnsi"/>
                <w:szCs w:val="18"/>
              </w:rPr>
            </w:pPr>
            <w:r w:rsidRPr="001719CC">
              <w:t>Health Care and Social Assistance</w:t>
            </w:r>
          </w:p>
        </w:tc>
        <w:tc>
          <w:tcPr>
            <w:tcW w:w="1727" w:type="dxa"/>
            <w:shd w:val="clear" w:color="auto" w:fill="auto"/>
            <w:noWrap/>
            <w:hideMark/>
          </w:tcPr>
          <w:p w14:paraId="44642D22" w14:textId="162C8E7E" w:rsidR="006C129B" w:rsidRPr="00E62225" w:rsidRDefault="00923E3B" w:rsidP="00D35008">
            <w:pPr>
              <w:pStyle w:val="TableTextRight"/>
              <w:rPr>
                <w:rFonts w:asciiTheme="minorHAnsi" w:hAnsiTheme="minorHAnsi" w:cstheme="minorHAnsi"/>
                <w:szCs w:val="18"/>
                <w:highlight w:val="yellow"/>
              </w:rPr>
            </w:pPr>
            <w:r w:rsidRPr="001719CC">
              <w:t>371.6</w:t>
            </w:r>
          </w:p>
        </w:tc>
        <w:tc>
          <w:tcPr>
            <w:tcW w:w="1728" w:type="dxa"/>
            <w:shd w:val="clear" w:color="auto" w:fill="auto"/>
            <w:noWrap/>
            <w:hideMark/>
          </w:tcPr>
          <w:p w14:paraId="52244100" w14:textId="0BE68C41" w:rsidR="006C129B" w:rsidRPr="00E62225" w:rsidRDefault="00923E3B" w:rsidP="00D35008">
            <w:pPr>
              <w:pStyle w:val="TableTextRight"/>
              <w:rPr>
                <w:rFonts w:asciiTheme="minorHAnsi" w:hAnsiTheme="minorHAnsi" w:cstheme="minorHAnsi"/>
                <w:szCs w:val="18"/>
              </w:rPr>
            </w:pPr>
            <w:r w:rsidRPr="001719CC">
              <w:t>21.2</w:t>
            </w:r>
          </w:p>
        </w:tc>
      </w:tr>
      <w:tr w:rsidR="006C129B" w:rsidRPr="005566B0" w14:paraId="26280218" w14:textId="77777777" w:rsidTr="00B25A32">
        <w:trPr>
          <w:trHeight w:val="300"/>
        </w:trPr>
        <w:tc>
          <w:tcPr>
            <w:tcW w:w="5616" w:type="dxa"/>
            <w:shd w:val="clear" w:color="auto" w:fill="auto"/>
            <w:noWrap/>
            <w:hideMark/>
          </w:tcPr>
          <w:p w14:paraId="18FD8238" w14:textId="205872C6" w:rsidR="006C129B" w:rsidRPr="00E62225" w:rsidRDefault="00923E3B" w:rsidP="00D35008">
            <w:pPr>
              <w:pStyle w:val="TableTextLeft"/>
              <w:rPr>
                <w:rFonts w:asciiTheme="minorHAnsi" w:hAnsiTheme="minorHAnsi" w:cstheme="minorHAnsi"/>
                <w:szCs w:val="18"/>
              </w:rPr>
            </w:pPr>
            <w:r w:rsidRPr="001719CC">
              <w:t>Financial and Insurance Services</w:t>
            </w:r>
          </w:p>
        </w:tc>
        <w:tc>
          <w:tcPr>
            <w:tcW w:w="1727" w:type="dxa"/>
            <w:shd w:val="clear" w:color="auto" w:fill="auto"/>
            <w:noWrap/>
            <w:hideMark/>
          </w:tcPr>
          <w:p w14:paraId="50795FFB" w14:textId="6AC69483" w:rsidR="006C129B" w:rsidRPr="00E62225" w:rsidRDefault="00923E3B" w:rsidP="00D35008">
            <w:pPr>
              <w:pStyle w:val="TableTextRight"/>
              <w:rPr>
                <w:rFonts w:asciiTheme="minorHAnsi" w:hAnsiTheme="minorHAnsi" w:cstheme="minorHAnsi"/>
                <w:szCs w:val="18"/>
                <w:highlight w:val="yellow"/>
              </w:rPr>
            </w:pPr>
            <w:r w:rsidRPr="001719CC">
              <w:t>61.3</w:t>
            </w:r>
          </w:p>
        </w:tc>
        <w:tc>
          <w:tcPr>
            <w:tcW w:w="1728" w:type="dxa"/>
            <w:shd w:val="clear" w:color="auto" w:fill="auto"/>
            <w:noWrap/>
            <w:hideMark/>
          </w:tcPr>
          <w:p w14:paraId="5B63FE84" w14:textId="2370300A" w:rsidR="006C129B" w:rsidRPr="00E62225" w:rsidRDefault="00923E3B" w:rsidP="00D35008">
            <w:pPr>
              <w:pStyle w:val="TableTextRight"/>
              <w:rPr>
                <w:rFonts w:asciiTheme="minorHAnsi" w:hAnsiTheme="minorHAnsi" w:cstheme="minorHAnsi"/>
                <w:szCs w:val="18"/>
              </w:rPr>
            </w:pPr>
            <w:r w:rsidRPr="001719CC">
              <w:t>13.5</w:t>
            </w:r>
          </w:p>
        </w:tc>
      </w:tr>
      <w:tr w:rsidR="006C129B" w:rsidRPr="005566B0" w14:paraId="529282F2" w14:textId="77777777" w:rsidTr="00B25A32">
        <w:trPr>
          <w:trHeight w:val="300"/>
        </w:trPr>
        <w:tc>
          <w:tcPr>
            <w:tcW w:w="5616" w:type="dxa"/>
            <w:shd w:val="clear" w:color="auto" w:fill="auto"/>
            <w:noWrap/>
            <w:hideMark/>
          </w:tcPr>
          <w:p w14:paraId="67E51B06" w14:textId="5F67A06D" w:rsidR="006C129B" w:rsidRPr="00E62225" w:rsidRDefault="00923E3B" w:rsidP="00D35008">
            <w:pPr>
              <w:pStyle w:val="TableTextLeft"/>
              <w:rPr>
                <w:rFonts w:asciiTheme="minorHAnsi" w:hAnsiTheme="minorHAnsi" w:cstheme="minorHAnsi"/>
                <w:szCs w:val="18"/>
              </w:rPr>
            </w:pPr>
            <w:r w:rsidRPr="001719CC">
              <w:t>Education and Training</w:t>
            </w:r>
          </w:p>
        </w:tc>
        <w:tc>
          <w:tcPr>
            <w:tcW w:w="1727" w:type="dxa"/>
            <w:shd w:val="clear" w:color="auto" w:fill="auto"/>
            <w:noWrap/>
            <w:hideMark/>
          </w:tcPr>
          <w:p w14:paraId="5B4A99E2" w14:textId="6FF03B53" w:rsidR="006C129B" w:rsidRPr="00E62225" w:rsidRDefault="00923E3B" w:rsidP="00D35008">
            <w:pPr>
              <w:pStyle w:val="TableTextRight"/>
              <w:rPr>
                <w:rFonts w:asciiTheme="minorHAnsi" w:hAnsiTheme="minorHAnsi" w:cstheme="minorHAnsi"/>
                <w:szCs w:val="18"/>
                <w:highlight w:val="yellow"/>
              </w:rPr>
            </w:pPr>
            <w:r w:rsidRPr="001719CC">
              <w:t>131.9</w:t>
            </w:r>
          </w:p>
        </w:tc>
        <w:tc>
          <w:tcPr>
            <w:tcW w:w="1728" w:type="dxa"/>
            <w:shd w:val="clear" w:color="auto" w:fill="auto"/>
            <w:noWrap/>
            <w:hideMark/>
          </w:tcPr>
          <w:p w14:paraId="57FE51BC" w14:textId="7E589D2D" w:rsidR="006C129B" w:rsidRPr="00E62225" w:rsidRDefault="00923E3B" w:rsidP="00D35008">
            <w:pPr>
              <w:pStyle w:val="TableTextRight"/>
              <w:rPr>
                <w:rFonts w:asciiTheme="minorHAnsi" w:hAnsiTheme="minorHAnsi" w:cstheme="minorHAnsi"/>
                <w:szCs w:val="18"/>
              </w:rPr>
            </w:pPr>
            <w:r w:rsidRPr="001719CC">
              <w:t>12.1</w:t>
            </w:r>
          </w:p>
        </w:tc>
      </w:tr>
      <w:tr w:rsidR="006C129B" w:rsidRPr="005566B0" w14:paraId="2AA8E622" w14:textId="77777777" w:rsidTr="00B25A32">
        <w:trPr>
          <w:trHeight w:val="300"/>
        </w:trPr>
        <w:tc>
          <w:tcPr>
            <w:tcW w:w="5616" w:type="dxa"/>
            <w:shd w:val="clear" w:color="auto" w:fill="auto"/>
            <w:noWrap/>
            <w:hideMark/>
          </w:tcPr>
          <w:p w14:paraId="59B65C19" w14:textId="7B13D5E3" w:rsidR="006C129B" w:rsidRPr="00E62225" w:rsidRDefault="00923E3B" w:rsidP="00D35008">
            <w:pPr>
              <w:pStyle w:val="TableTextLeft"/>
              <w:rPr>
                <w:rFonts w:asciiTheme="minorHAnsi" w:hAnsiTheme="minorHAnsi" w:cstheme="minorHAnsi"/>
                <w:szCs w:val="18"/>
              </w:rPr>
            </w:pPr>
            <w:r w:rsidRPr="001719CC">
              <w:t xml:space="preserve">Electricity, Gas, Water and Waste </w:t>
            </w:r>
            <w:r w:rsidRPr="001719CC" w:rsidDel="00A87A66">
              <w:t>Services</w:t>
            </w:r>
          </w:p>
        </w:tc>
        <w:tc>
          <w:tcPr>
            <w:tcW w:w="1727" w:type="dxa"/>
            <w:shd w:val="clear" w:color="auto" w:fill="auto"/>
            <w:noWrap/>
            <w:hideMark/>
          </w:tcPr>
          <w:p w14:paraId="43F81149" w14:textId="0E00BBFF" w:rsidR="006C129B" w:rsidRPr="00E62225" w:rsidRDefault="00923E3B" w:rsidP="00D35008">
            <w:pPr>
              <w:pStyle w:val="TableTextRight"/>
              <w:rPr>
                <w:rFonts w:asciiTheme="minorHAnsi" w:hAnsiTheme="minorHAnsi" w:cstheme="minorHAnsi"/>
                <w:szCs w:val="18"/>
                <w:highlight w:val="yellow"/>
              </w:rPr>
            </w:pPr>
            <w:r w:rsidRPr="001719CC">
              <w:t>10.</w:t>
            </w:r>
            <w:r w:rsidR="006C129B" w:rsidRPr="001719CC">
              <w:t>5</w:t>
            </w:r>
          </w:p>
        </w:tc>
        <w:tc>
          <w:tcPr>
            <w:tcW w:w="1728" w:type="dxa"/>
            <w:shd w:val="clear" w:color="auto" w:fill="auto"/>
            <w:noWrap/>
            <w:hideMark/>
          </w:tcPr>
          <w:p w14:paraId="1EBBEE12" w14:textId="0DB77082" w:rsidR="006C129B" w:rsidRPr="00E62225" w:rsidRDefault="00923E3B" w:rsidP="00D35008">
            <w:pPr>
              <w:pStyle w:val="TableTextRight"/>
              <w:rPr>
                <w:rFonts w:asciiTheme="minorHAnsi" w:hAnsiTheme="minorHAnsi" w:cstheme="minorHAnsi"/>
                <w:szCs w:val="18"/>
              </w:rPr>
            </w:pPr>
            <w:r w:rsidRPr="001719CC">
              <w:t>6.9</w:t>
            </w:r>
          </w:p>
        </w:tc>
      </w:tr>
      <w:tr w:rsidR="006C129B" w:rsidRPr="005566B0" w14:paraId="46071CC7" w14:textId="77777777" w:rsidTr="00B25A32">
        <w:trPr>
          <w:trHeight w:val="300"/>
        </w:trPr>
        <w:tc>
          <w:tcPr>
            <w:tcW w:w="5616" w:type="dxa"/>
            <w:shd w:val="clear" w:color="auto" w:fill="auto"/>
            <w:noWrap/>
            <w:hideMark/>
          </w:tcPr>
          <w:p w14:paraId="2C9165AB" w14:textId="0DA6D892" w:rsidR="006C129B" w:rsidRPr="00E62225" w:rsidRDefault="00923E3B" w:rsidP="00D35008">
            <w:pPr>
              <w:pStyle w:val="TableTextLeft"/>
              <w:rPr>
                <w:rFonts w:asciiTheme="minorHAnsi" w:hAnsiTheme="minorHAnsi" w:cstheme="minorHAnsi"/>
                <w:szCs w:val="18"/>
              </w:rPr>
            </w:pPr>
            <w:r w:rsidRPr="001719CC">
              <w:t>Mining</w:t>
            </w:r>
          </w:p>
        </w:tc>
        <w:tc>
          <w:tcPr>
            <w:tcW w:w="1727" w:type="dxa"/>
            <w:shd w:val="clear" w:color="auto" w:fill="auto"/>
            <w:noWrap/>
            <w:hideMark/>
          </w:tcPr>
          <w:p w14:paraId="60F61741" w14:textId="18400597" w:rsidR="006C129B" w:rsidRPr="00E62225" w:rsidRDefault="00923E3B" w:rsidP="00D35008">
            <w:pPr>
              <w:pStyle w:val="TableTextRight"/>
              <w:rPr>
                <w:rFonts w:asciiTheme="minorHAnsi" w:hAnsiTheme="minorHAnsi" w:cstheme="minorHAnsi"/>
                <w:szCs w:val="18"/>
                <w:highlight w:val="yellow"/>
              </w:rPr>
            </w:pPr>
            <w:r w:rsidRPr="001719CC">
              <w:t>15.7</w:t>
            </w:r>
          </w:p>
        </w:tc>
        <w:tc>
          <w:tcPr>
            <w:tcW w:w="1728" w:type="dxa"/>
            <w:shd w:val="clear" w:color="auto" w:fill="auto"/>
            <w:noWrap/>
            <w:hideMark/>
          </w:tcPr>
          <w:p w14:paraId="5BE6F30D" w14:textId="51329ED7" w:rsidR="006C129B" w:rsidRPr="00E62225" w:rsidRDefault="00923E3B" w:rsidP="00D35008">
            <w:pPr>
              <w:pStyle w:val="TableTextRight"/>
              <w:rPr>
                <w:rFonts w:asciiTheme="minorHAnsi" w:hAnsiTheme="minorHAnsi" w:cstheme="minorHAnsi"/>
                <w:szCs w:val="18"/>
              </w:rPr>
            </w:pPr>
            <w:r w:rsidRPr="001719CC">
              <w:t>6.5</w:t>
            </w:r>
          </w:p>
        </w:tc>
      </w:tr>
      <w:tr w:rsidR="006C129B" w:rsidRPr="005566B0" w14:paraId="0E41B1BA" w14:textId="77777777" w:rsidTr="00B25A32">
        <w:trPr>
          <w:trHeight w:val="300"/>
        </w:trPr>
        <w:tc>
          <w:tcPr>
            <w:tcW w:w="5616" w:type="dxa"/>
            <w:tcBorders>
              <w:bottom w:val="single" w:sz="4" w:space="0" w:color="3A6FAF" w:themeColor="accent2"/>
            </w:tcBorders>
            <w:shd w:val="clear" w:color="auto" w:fill="auto"/>
            <w:noWrap/>
            <w:hideMark/>
          </w:tcPr>
          <w:p w14:paraId="19E7DD14" w14:textId="49776BE9" w:rsidR="006C129B" w:rsidRPr="00E62225" w:rsidRDefault="00923E3B" w:rsidP="00D35008">
            <w:pPr>
              <w:pStyle w:val="TableTextLeft"/>
              <w:rPr>
                <w:rFonts w:asciiTheme="minorHAnsi" w:hAnsiTheme="minorHAnsi" w:cstheme="minorHAnsi"/>
                <w:szCs w:val="18"/>
              </w:rPr>
            </w:pPr>
            <w:r w:rsidRPr="001719CC">
              <w:t>Public Administration and Safety</w:t>
            </w:r>
          </w:p>
        </w:tc>
        <w:tc>
          <w:tcPr>
            <w:tcW w:w="1727" w:type="dxa"/>
            <w:tcBorders>
              <w:bottom w:val="single" w:sz="4" w:space="0" w:color="3A6FAF" w:themeColor="accent2"/>
            </w:tcBorders>
            <w:shd w:val="clear" w:color="auto" w:fill="auto"/>
            <w:noWrap/>
            <w:hideMark/>
          </w:tcPr>
          <w:p w14:paraId="6F19197C" w14:textId="2A86F480" w:rsidR="006C129B" w:rsidRPr="00E62225" w:rsidRDefault="00923E3B" w:rsidP="00D35008">
            <w:pPr>
              <w:pStyle w:val="TableTextRight"/>
              <w:rPr>
                <w:rFonts w:asciiTheme="minorHAnsi" w:hAnsiTheme="minorHAnsi" w:cstheme="minorHAnsi"/>
                <w:szCs w:val="18"/>
                <w:highlight w:val="yellow"/>
              </w:rPr>
            </w:pPr>
            <w:r w:rsidRPr="001719CC">
              <w:t>20.6</w:t>
            </w:r>
          </w:p>
        </w:tc>
        <w:tc>
          <w:tcPr>
            <w:tcW w:w="1728" w:type="dxa"/>
            <w:tcBorders>
              <w:bottom w:val="single" w:sz="4" w:space="0" w:color="3A6FAF" w:themeColor="accent2"/>
            </w:tcBorders>
            <w:shd w:val="clear" w:color="auto" w:fill="auto"/>
            <w:noWrap/>
            <w:hideMark/>
          </w:tcPr>
          <w:p w14:paraId="30F3A65B" w14:textId="13492B15" w:rsidR="006C129B" w:rsidRPr="00E62225" w:rsidRDefault="00923E3B" w:rsidP="00D35008">
            <w:pPr>
              <w:pStyle w:val="TableTextRight"/>
              <w:rPr>
                <w:rFonts w:asciiTheme="minorHAnsi" w:hAnsiTheme="minorHAnsi" w:cstheme="minorHAnsi"/>
                <w:szCs w:val="18"/>
              </w:rPr>
            </w:pPr>
            <w:r w:rsidRPr="001719CC">
              <w:t>2.5</w:t>
            </w:r>
          </w:p>
        </w:tc>
      </w:tr>
    </w:tbl>
    <w:p w14:paraId="5437E951" w14:textId="77777777" w:rsidR="001E3A13" w:rsidRDefault="003C4C4A" w:rsidP="00623AD9">
      <w:pPr>
        <w:pStyle w:val="ChartorTableNote"/>
        <w:rPr>
          <w:szCs w:val="16"/>
        </w:rPr>
      </w:pPr>
      <w:r>
        <w:rPr>
          <w:szCs w:val="16"/>
        </w:rPr>
        <w:t xml:space="preserve">Data underlying </w:t>
      </w:r>
      <w:r w:rsidR="00066FC6">
        <w:rPr>
          <w:szCs w:val="16"/>
        </w:rPr>
        <w:t>F</w:t>
      </w:r>
      <w:r w:rsidRPr="00734FA1">
        <w:rPr>
          <w:szCs w:val="16"/>
        </w:rPr>
        <w:t xml:space="preserve">igure </w:t>
      </w:r>
      <w:r w:rsidR="006D740C">
        <w:rPr>
          <w:szCs w:val="16"/>
        </w:rPr>
        <w:t>9</w:t>
      </w:r>
      <w:r w:rsidR="00623AD9">
        <w:rPr>
          <w:szCs w:val="16"/>
        </w:rPr>
        <w:t xml:space="preserve">. </w:t>
      </w:r>
    </w:p>
    <w:p w14:paraId="28606E22" w14:textId="3453A11E" w:rsidR="00623AD9" w:rsidRDefault="001E3A13" w:rsidP="00623AD9">
      <w:pPr>
        <w:pStyle w:val="ChartorTableNote"/>
      </w:pPr>
      <w:r>
        <w:rPr>
          <w:szCs w:val="16"/>
        </w:rPr>
        <w:t xml:space="preserve">Note: </w:t>
      </w:r>
      <w:r w:rsidR="00623AD9">
        <w:t>Pre</w:t>
      </w:r>
      <w:r w:rsidR="0038520A">
        <w:noBreakHyphen/>
      </w:r>
      <w:r w:rsidR="00623AD9">
        <w:t>COVID employment given by average employment in the year to February 2020.</w:t>
      </w:r>
      <w:r w:rsidR="005443C3">
        <w:t xml:space="preserve"> </w:t>
      </w:r>
      <w:r w:rsidR="005443C3" w:rsidRPr="003E7BD1">
        <w:rPr>
          <w:szCs w:val="16"/>
          <w:lang w:val="en-US"/>
        </w:rPr>
        <w:t>Individuals includes employees and eligible business participants (EBPs).</w:t>
      </w:r>
    </w:p>
    <w:p w14:paraId="090B7A42" w14:textId="166F96CC" w:rsidR="00CD1525" w:rsidRDefault="00CD1525" w:rsidP="00CD1525">
      <w:pPr>
        <w:pStyle w:val="ChartorTableNote"/>
      </w:pPr>
      <w:r w:rsidRPr="002C73BA">
        <w:t>Source: ATO administrative data</w:t>
      </w:r>
      <w:r w:rsidR="003606A0">
        <w:t xml:space="preserve"> as at 15 August 2021</w:t>
      </w:r>
      <w:r w:rsidR="00B70073">
        <w:t xml:space="preserve"> using monthly average number of individuals supported</w:t>
      </w:r>
      <w:r w:rsidR="008813D2">
        <w:t xml:space="preserve"> and</w:t>
      </w:r>
      <w:r w:rsidRPr="002C73BA">
        <w:t xml:space="preserve"> ABS Labour Force, Australia, Detailed, Quarterly, </w:t>
      </w:r>
      <w:r>
        <w:t>May</w:t>
      </w:r>
      <w:r w:rsidRPr="002C73BA">
        <w:t xml:space="preserve"> </w:t>
      </w:r>
      <w:r>
        <w:t>2021 (Cat. no. 6291.0.55.003).</w:t>
      </w:r>
    </w:p>
    <w:p w14:paraId="1590251A" w14:textId="77777777" w:rsidR="00D35008" w:rsidRDefault="00D35008">
      <w:pPr>
        <w:spacing w:before="0" w:after="200" w:line="276" w:lineRule="auto"/>
      </w:pPr>
      <w:r>
        <w:br w:type="page"/>
      </w:r>
    </w:p>
    <w:p w14:paraId="3D77AE33" w14:textId="1A0CBDE5" w:rsidR="006C129B" w:rsidRPr="005566B0" w:rsidRDefault="006C129B" w:rsidP="00F47CDD">
      <w:pPr>
        <w:pStyle w:val="TableMainHeading"/>
      </w:pPr>
      <w:bookmarkStart w:id="220" w:name="_Toc84842605"/>
      <w:r w:rsidRPr="005566B0">
        <w:lastRenderedPageBreak/>
        <w:t xml:space="preserve">JobKeeper </w:t>
      </w:r>
      <w:r w:rsidR="006B6E31">
        <w:t xml:space="preserve">first phase </w:t>
      </w:r>
      <w:r w:rsidRPr="005566B0">
        <w:t>entities – number and coverage</w:t>
      </w:r>
      <w:r>
        <w:t xml:space="preserve"> by industry</w:t>
      </w:r>
      <w:bookmarkEnd w:id="220"/>
    </w:p>
    <w:tbl>
      <w:tblPr>
        <w:tblW w:w="5000" w:type="pct"/>
        <w:tblLook w:val="04A0" w:firstRow="1" w:lastRow="0" w:firstColumn="1" w:lastColumn="0" w:noHBand="0" w:noVBand="1"/>
      </w:tblPr>
      <w:tblGrid>
        <w:gridCol w:w="5615"/>
        <w:gridCol w:w="1728"/>
        <w:gridCol w:w="1728"/>
      </w:tblGrid>
      <w:tr w:rsidR="006C129B" w:rsidRPr="005566B0" w14:paraId="2B5C84CF" w14:textId="77777777" w:rsidTr="00DB2FF9">
        <w:trPr>
          <w:trHeight w:val="295"/>
        </w:trPr>
        <w:tc>
          <w:tcPr>
            <w:tcW w:w="5615" w:type="dxa"/>
            <w:tcBorders>
              <w:top w:val="single" w:sz="4" w:space="0" w:color="3A6FAF" w:themeColor="accent2"/>
              <w:bottom w:val="single" w:sz="4" w:space="0" w:color="3A6FAF" w:themeColor="accent2"/>
            </w:tcBorders>
            <w:shd w:val="clear" w:color="auto" w:fill="auto"/>
            <w:noWrap/>
            <w:vAlign w:val="bottom"/>
            <w:hideMark/>
          </w:tcPr>
          <w:p w14:paraId="33629DF7" w14:textId="77777777" w:rsidR="006C129B" w:rsidRPr="003C22E5" w:rsidRDefault="006C129B" w:rsidP="00D35008">
            <w:pPr>
              <w:pStyle w:val="TableColumnHeadingLeft"/>
            </w:pPr>
            <w:r w:rsidRPr="003C22E5">
              <w:t>Industry</w:t>
            </w:r>
          </w:p>
        </w:tc>
        <w:tc>
          <w:tcPr>
            <w:tcW w:w="1728" w:type="dxa"/>
            <w:tcBorders>
              <w:top w:val="single" w:sz="4" w:space="0" w:color="3A6FAF" w:themeColor="accent2"/>
              <w:bottom w:val="single" w:sz="4" w:space="0" w:color="3A6FAF" w:themeColor="accent2"/>
            </w:tcBorders>
            <w:shd w:val="clear" w:color="auto" w:fill="auto"/>
            <w:noWrap/>
            <w:vAlign w:val="bottom"/>
            <w:hideMark/>
          </w:tcPr>
          <w:p w14:paraId="4E3EAB43" w14:textId="77777777" w:rsidR="009B503E" w:rsidRDefault="006C129B" w:rsidP="00D35008">
            <w:pPr>
              <w:pStyle w:val="TableColumnHeadingRight"/>
            </w:pPr>
            <w:r>
              <w:t>JobKeeper e</w:t>
            </w:r>
            <w:r w:rsidRPr="003C22E5">
              <w:t>ntities</w:t>
            </w:r>
            <w:r w:rsidR="00DB2FF9">
              <w:t xml:space="preserve"> </w:t>
            </w:r>
          </w:p>
          <w:p w14:paraId="6952D27D" w14:textId="00977A62" w:rsidR="006C129B" w:rsidRPr="003C22E5" w:rsidRDefault="00DB2FF9" w:rsidP="00D35008">
            <w:pPr>
              <w:pStyle w:val="TableColumnHeadingRight"/>
            </w:pPr>
            <w:r>
              <w:t>(000s)</w:t>
            </w:r>
          </w:p>
        </w:tc>
        <w:tc>
          <w:tcPr>
            <w:tcW w:w="1728" w:type="dxa"/>
            <w:tcBorders>
              <w:top w:val="single" w:sz="4" w:space="0" w:color="3A6FAF" w:themeColor="accent2"/>
              <w:bottom w:val="single" w:sz="4" w:space="0" w:color="3A6FAF" w:themeColor="accent2"/>
            </w:tcBorders>
            <w:shd w:val="clear" w:color="auto" w:fill="auto"/>
            <w:noWrap/>
            <w:vAlign w:val="bottom"/>
            <w:hideMark/>
          </w:tcPr>
          <w:p w14:paraId="37C1D87B" w14:textId="0866C295" w:rsidR="00D35008" w:rsidRDefault="006C129B" w:rsidP="00D35008">
            <w:pPr>
              <w:pStyle w:val="TableColumnHeadingRight"/>
            </w:pPr>
            <w:r>
              <w:t xml:space="preserve">Share of </w:t>
            </w:r>
            <w:r w:rsidR="00B60498">
              <w:br/>
            </w:r>
            <w:r w:rsidR="006538E3">
              <w:t>pre</w:t>
            </w:r>
            <w:r w:rsidR="0038520A">
              <w:noBreakHyphen/>
            </w:r>
            <w:r w:rsidR="006538E3">
              <w:t>COVID</w:t>
            </w:r>
            <w:r w:rsidR="0038520A">
              <w:noBreakHyphen/>
            </w:r>
            <w:r w:rsidR="003233D3">
              <w:t xml:space="preserve">19 </w:t>
            </w:r>
            <w:r w:rsidR="00B122A5">
              <w:t>businesses</w:t>
            </w:r>
          </w:p>
          <w:p w14:paraId="2961E35F" w14:textId="428D09E8" w:rsidR="006C129B" w:rsidRPr="003C22E5" w:rsidRDefault="00DC400F" w:rsidP="00D35008">
            <w:pPr>
              <w:pStyle w:val="TableColumnHeadingRight"/>
            </w:pPr>
            <w:r>
              <w:t>%</w:t>
            </w:r>
          </w:p>
        </w:tc>
      </w:tr>
      <w:tr w:rsidR="00DB2FF9" w:rsidRPr="005566B0" w14:paraId="1863031D" w14:textId="77777777" w:rsidTr="002C3979">
        <w:trPr>
          <w:trHeight w:val="295"/>
        </w:trPr>
        <w:tc>
          <w:tcPr>
            <w:tcW w:w="5615" w:type="dxa"/>
            <w:tcBorders>
              <w:top w:val="single" w:sz="4" w:space="0" w:color="3A6FAF" w:themeColor="accent2"/>
            </w:tcBorders>
            <w:shd w:val="clear" w:color="auto" w:fill="auto"/>
            <w:noWrap/>
            <w:vAlign w:val="bottom"/>
            <w:hideMark/>
          </w:tcPr>
          <w:p w14:paraId="175FD61D" w14:textId="3AE96193" w:rsidR="00DB2FF9" w:rsidRPr="002C3979" w:rsidRDefault="00A65D19" w:rsidP="00DB2FF9">
            <w:pPr>
              <w:pStyle w:val="TableTextLeft"/>
              <w:rPr>
                <w:rFonts w:asciiTheme="minorHAnsi" w:hAnsiTheme="minorHAnsi" w:cstheme="minorHAnsi"/>
                <w:szCs w:val="18"/>
              </w:rPr>
            </w:pPr>
            <w:r w:rsidRPr="002C3979">
              <w:rPr>
                <w:rFonts w:asciiTheme="minorHAnsi" w:hAnsiTheme="minorHAnsi" w:cstheme="minorHAnsi"/>
                <w:szCs w:val="18"/>
              </w:rPr>
              <w:t>Accommodation</w:t>
            </w:r>
            <w:r w:rsidR="00DB2FF9" w:rsidRPr="002C3979">
              <w:rPr>
                <w:rFonts w:asciiTheme="minorHAnsi" w:hAnsiTheme="minorHAnsi" w:cstheme="minorHAnsi"/>
                <w:szCs w:val="18"/>
              </w:rPr>
              <w:t xml:space="preserve"> and </w:t>
            </w:r>
            <w:r w:rsidRPr="002C3979">
              <w:rPr>
                <w:rFonts w:asciiTheme="minorHAnsi" w:hAnsiTheme="minorHAnsi" w:cstheme="minorHAnsi"/>
                <w:szCs w:val="18"/>
              </w:rPr>
              <w:t>Food</w:t>
            </w:r>
            <w:r w:rsidR="00DB2FF9" w:rsidRPr="002C3979">
              <w:rPr>
                <w:rFonts w:asciiTheme="minorHAnsi" w:hAnsiTheme="minorHAnsi" w:cstheme="minorHAnsi"/>
                <w:szCs w:val="18"/>
              </w:rPr>
              <w:t xml:space="preserve"> Services</w:t>
            </w:r>
          </w:p>
        </w:tc>
        <w:tc>
          <w:tcPr>
            <w:tcW w:w="1728" w:type="dxa"/>
            <w:tcBorders>
              <w:top w:val="single" w:sz="4" w:space="0" w:color="3A6FAF" w:themeColor="accent2"/>
            </w:tcBorders>
            <w:shd w:val="clear" w:color="auto" w:fill="auto"/>
            <w:noWrap/>
            <w:vAlign w:val="bottom"/>
            <w:hideMark/>
          </w:tcPr>
          <w:p w14:paraId="52A5D300" w14:textId="105E2992"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63.2</w:t>
            </w:r>
          </w:p>
        </w:tc>
        <w:tc>
          <w:tcPr>
            <w:tcW w:w="1728" w:type="dxa"/>
            <w:tcBorders>
              <w:top w:val="single" w:sz="4" w:space="0" w:color="3A6FAF" w:themeColor="accent2"/>
            </w:tcBorders>
            <w:shd w:val="clear" w:color="auto" w:fill="auto"/>
            <w:noWrap/>
            <w:vAlign w:val="bottom"/>
            <w:hideMark/>
          </w:tcPr>
          <w:p w14:paraId="3E9C973E" w14:textId="0E7F6742" w:rsidR="00DB2FF9" w:rsidRPr="002C3979" w:rsidRDefault="002C3979" w:rsidP="00DB2FF9">
            <w:pPr>
              <w:pStyle w:val="TableTextRight"/>
              <w:rPr>
                <w:rFonts w:asciiTheme="minorHAnsi" w:hAnsiTheme="minorHAnsi" w:cstheme="minorHAnsi"/>
                <w:szCs w:val="18"/>
              </w:rPr>
            </w:pPr>
            <w:r w:rsidRPr="002C3979">
              <w:rPr>
                <w:rFonts w:asciiTheme="minorHAnsi" w:hAnsiTheme="minorHAnsi" w:cstheme="minorHAnsi"/>
                <w:szCs w:val="18"/>
              </w:rPr>
              <w:t>60.6</w:t>
            </w:r>
          </w:p>
        </w:tc>
      </w:tr>
      <w:tr w:rsidR="00DB2FF9" w:rsidRPr="005566B0" w14:paraId="7B6F4538" w14:textId="77777777" w:rsidTr="002C3979">
        <w:trPr>
          <w:trHeight w:val="295"/>
        </w:trPr>
        <w:tc>
          <w:tcPr>
            <w:tcW w:w="5615" w:type="dxa"/>
            <w:shd w:val="clear" w:color="auto" w:fill="auto"/>
            <w:noWrap/>
            <w:vAlign w:val="bottom"/>
            <w:hideMark/>
          </w:tcPr>
          <w:p w14:paraId="297B1DFE" w14:textId="160996BD" w:rsidR="00DB2FF9" w:rsidRPr="002C3979" w:rsidRDefault="00460BCA" w:rsidP="00DB2FF9">
            <w:pPr>
              <w:pStyle w:val="TableTextLeft"/>
              <w:rPr>
                <w:rFonts w:asciiTheme="minorHAnsi" w:hAnsiTheme="minorHAnsi" w:cstheme="minorHAnsi"/>
                <w:szCs w:val="18"/>
              </w:rPr>
            </w:pPr>
            <w:r w:rsidRPr="002C3979" w:rsidDel="00AE6332">
              <w:rPr>
                <w:rFonts w:asciiTheme="minorHAnsi" w:hAnsiTheme="minorHAnsi" w:cstheme="minorHAnsi"/>
                <w:szCs w:val="18"/>
              </w:rPr>
              <w:t>Other Services</w:t>
            </w:r>
          </w:p>
        </w:tc>
        <w:tc>
          <w:tcPr>
            <w:tcW w:w="1728" w:type="dxa"/>
            <w:shd w:val="clear" w:color="auto" w:fill="auto"/>
            <w:noWrap/>
            <w:vAlign w:val="bottom"/>
            <w:hideMark/>
          </w:tcPr>
          <w:p w14:paraId="733A646C" w14:textId="5D6F49E0"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96.4</w:t>
            </w:r>
          </w:p>
        </w:tc>
        <w:tc>
          <w:tcPr>
            <w:tcW w:w="1728" w:type="dxa"/>
            <w:shd w:val="clear" w:color="auto" w:fill="auto"/>
            <w:noWrap/>
            <w:vAlign w:val="bottom"/>
            <w:hideMark/>
          </w:tcPr>
          <w:p w14:paraId="222B8A8F" w14:textId="5AE861D9" w:rsidR="00DB2FF9" w:rsidRPr="002C3979" w:rsidRDefault="002C3979" w:rsidP="00DB2FF9">
            <w:pPr>
              <w:pStyle w:val="TableTextRight"/>
              <w:rPr>
                <w:rFonts w:asciiTheme="minorHAnsi" w:hAnsiTheme="minorHAnsi" w:cstheme="minorHAnsi"/>
                <w:szCs w:val="18"/>
              </w:rPr>
            </w:pPr>
            <w:r w:rsidRPr="002C3979">
              <w:rPr>
                <w:rFonts w:asciiTheme="minorHAnsi" w:hAnsiTheme="minorHAnsi" w:cstheme="minorHAnsi"/>
                <w:szCs w:val="18"/>
              </w:rPr>
              <w:t>50.8</w:t>
            </w:r>
          </w:p>
        </w:tc>
      </w:tr>
      <w:tr w:rsidR="00DB2FF9" w:rsidRPr="005566B0" w14:paraId="020F1A33" w14:textId="77777777" w:rsidTr="002C3979">
        <w:trPr>
          <w:trHeight w:val="295"/>
        </w:trPr>
        <w:tc>
          <w:tcPr>
            <w:tcW w:w="5615" w:type="dxa"/>
            <w:shd w:val="clear" w:color="auto" w:fill="auto"/>
            <w:noWrap/>
            <w:vAlign w:val="bottom"/>
            <w:hideMark/>
          </w:tcPr>
          <w:p w14:paraId="76BF7B2A" w14:textId="0A55913B" w:rsidR="00DB2FF9" w:rsidRPr="002C3979" w:rsidRDefault="00923E3B" w:rsidP="00DB2FF9">
            <w:pPr>
              <w:pStyle w:val="TableTextLeft"/>
              <w:rPr>
                <w:rFonts w:asciiTheme="minorHAnsi" w:hAnsiTheme="minorHAnsi" w:cstheme="minorHAnsi"/>
                <w:szCs w:val="18"/>
              </w:rPr>
            </w:pPr>
            <w:r w:rsidRPr="002C3979" w:rsidDel="00AE6332">
              <w:rPr>
                <w:rFonts w:asciiTheme="minorHAnsi" w:hAnsiTheme="minorHAnsi" w:cstheme="minorHAnsi"/>
                <w:szCs w:val="18"/>
              </w:rPr>
              <w:t>Manufacturing</w:t>
            </w:r>
          </w:p>
        </w:tc>
        <w:tc>
          <w:tcPr>
            <w:tcW w:w="1728" w:type="dxa"/>
            <w:shd w:val="clear" w:color="auto" w:fill="auto"/>
            <w:noWrap/>
            <w:vAlign w:val="bottom"/>
            <w:hideMark/>
          </w:tcPr>
          <w:p w14:paraId="2AE4E3FC" w14:textId="1DD74A84"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53.6</w:t>
            </w:r>
          </w:p>
        </w:tc>
        <w:tc>
          <w:tcPr>
            <w:tcW w:w="1728" w:type="dxa"/>
            <w:shd w:val="clear" w:color="auto" w:fill="auto"/>
            <w:noWrap/>
            <w:vAlign w:val="bottom"/>
            <w:hideMark/>
          </w:tcPr>
          <w:p w14:paraId="2A0AF96A" w14:textId="5FDF5F39" w:rsidR="00DB2FF9" w:rsidRPr="002C3979" w:rsidRDefault="00923E3B" w:rsidP="00DB2FF9">
            <w:pPr>
              <w:pStyle w:val="TableTextRight"/>
              <w:rPr>
                <w:rFonts w:asciiTheme="minorHAnsi" w:hAnsiTheme="minorHAnsi" w:cstheme="minorHAnsi"/>
                <w:szCs w:val="18"/>
              </w:rPr>
            </w:pPr>
            <w:r w:rsidRPr="002C3979">
              <w:rPr>
                <w:rFonts w:asciiTheme="minorHAnsi" w:hAnsiTheme="minorHAnsi" w:cstheme="minorHAnsi"/>
                <w:szCs w:val="18"/>
              </w:rPr>
              <w:t>41.8</w:t>
            </w:r>
          </w:p>
        </w:tc>
      </w:tr>
      <w:tr w:rsidR="00DB2FF9" w:rsidRPr="005566B0" w14:paraId="1E84EAA3" w14:textId="77777777" w:rsidTr="002C3979">
        <w:trPr>
          <w:trHeight w:val="295"/>
        </w:trPr>
        <w:tc>
          <w:tcPr>
            <w:tcW w:w="5615" w:type="dxa"/>
            <w:shd w:val="clear" w:color="auto" w:fill="auto"/>
            <w:noWrap/>
            <w:vAlign w:val="bottom"/>
            <w:hideMark/>
          </w:tcPr>
          <w:p w14:paraId="186CBCF8" w14:textId="3265B373" w:rsidR="00DB2FF9" w:rsidRPr="002C3979" w:rsidRDefault="00A65D19" w:rsidP="00DB2FF9">
            <w:pPr>
              <w:pStyle w:val="TableTextLeft"/>
              <w:rPr>
                <w:rFonts w:asciiTheme="minorHAnsi" w:hAnsiTheme="minorHAnsi" w:cstheme="minorHAnsi"/>
                <w:szCs w:val="18"/>
              </w:rPr>
            </w:pPr>
            <w:r w:rsidRPr="002C3979">
              <w:rPr>
                <w:rFonts w:asciiTheme="minorHAnsi" w:hAnsiTheme="minorHAnsi" w:cstheme="minorHAnsi"/>
                <w:szCs w:val="18"/>
              </w:rPr>
              <w:t>Health Care and Social Assistance</w:t>
            </w:r>
          </w:p>
        </w:tc>
        <w:tc>
          <w:tcPr>
            <w:tcW w:w="1728" w:type="dxa"/>
            <w:shd w:val="clear" w:color="auto" w:fill="auto"/>
            <w:noWrap/>
            <w:vAlign w:val="bottom"/>
            <w:hideMark/>
          </w:tcPr>
          <w:p w14:paraId="1E9A308B" w14:textId="204A89E9"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87.9</w:t>
            </w:r>
          </w:p>
        </w:tc>
        <w:tc>
          <w:tcPr>
            <w:tcW w:w="1728" w:type="dxa"/>
            <w:shd w:val="clear" w:color="auto" w:fill="auto"/>
            <w:noWrap/>
            <w:vAlign w:val="bottom"/>
            <w:hideMark/>
          </w:tcPr>
          <w:p w14:paraId="1C4502B0" w14:textId="259C2384" w:rsidR="00DB2FF9" w:rsidRPr="002C3979" w:rsidRDefault="002C3979" w:rsidP="00DB2FF9">
            <w:pPr>
              <w:pStyle w:val="TableTextRight"/>
              <w:rPr>
                <w:rFonts w:asciiTheme="minorHAnsi" w:hAnsiTheme="minorHAnsi" w:cstheme="minorHAnsi"/>
                <w:szCs w:val="18"/>
              </w:rPr>
            </w:pPr>
            <w:r w:rsidRPr="002C3979">
              <w:rPr>
                <w:rFonts w:asciiTheme="minorHAnsi" w:hAnsiTheme="minorHAnsi" w:cstheme="minorHAnsi"/>
                <w:szCs w:val="18"/>
              </w:rPr>
              <w:t>40.7</w:t>
            </w:r>
          </w:p>
        </w:tc>
      </w:tr>
      <w:tr w:rsidR="00DB2FF9" w:rsidRPr="005566B0" w14:paraId="64B0A204" w14:textId="77777777" w:rsidTr="002C3979">
        <w:trPr>
          <w:trHeight w:val="295"/>
        </w:trPr>
        <w:tc>
          <w:tcPr>
            <w:tcW w:w="5615" w:type="dxa"/>
            <w:shd w:val="clear" w:color="auto" w:fill="auto"/>
            <w:noWrap/>
            <w:vAlign w:val="bottom"/>
            <w:hideMark/>
          </w:tcPr>
          <w:p w14:paraId="6C2A3ABD" w14:textId="35E1D1DF" w:rsidR="00DB2FF9" w:rsidRPr="002C3979" w:rsidRDefault="002C3979" w:rsidP="00DB2FF9">
            <w:pPr>
              <w:pStyle w:val="TableTextLeft"/>
              <w:rPr>
                <w:rFonts w:asciiTheme="minorHAnsi" w:hAnsiTheme="minorHAnsi" w:cstheme="minorHAnsi"/>
                <w:szCs w:val="18"/>
              </w:rPr>
            </w:pPr>
            <w:r w:rsidRPr="002C3979">
              <w:rPr>
                <w:rFonts w:asciiTheme="minorHAnsi" w:hAnsiTheme="minorHAnsi" w:cstheme="minorHAnsi"/>
                <w:szCs w:val="18"/>
              </w:rPr>
              <w:t>Education and Training</w:t>
            </w:r>
          </w:p>
        </w:tc>
        <w:tc>
          <w:tcPr>
            <w:tcW w:w="1728" w:type="dxa"/>
            <w:shd w:val="clear" w:color="auto" w:fill="auto"/>
            <w:noWrap/>
            <w:vAlign w:val="bottom"/>
            <w:hideMark/>
          </w:tcPr>
          <w:p w14:paraId="2B1C6876" w14:textId="4B8662B3" w:rsidR="00DB2FF9" w:rsidRPr="002C3979" w:rsidRDefault="00923E3B" w:rsidP="00DB2FF9">
            <w:pPr>
              <w:pStyle w:val="TableTextRight"/>
              <w:rPr>
                <w:rFonts w:asciiTheme="minorHAnsi" w:hAnsiTheme="minorHAnsi" w:cstheme="minorHAnsi"/>
                <w:szCs w:val="18"/>
              </w:rPr>
            </w:pPr>
            <w:r w:rsidRPr="002C3979">
              <w:rPr>
                <w:rFonts w:asciiTheme="minorHAnsi" w:hAnsiTheme="minorHAnsi" w:cstheme="minorHAnsi"/>
                <w:szCs w:val="18"/>
              </w:rPr>
              <w:t>29.</w:t>
            </w:r>
            <w:r w:rsidR="002C3979" w:rsidRPr="002C3979">
              <w:rPr>
                <w:rFonts w:asciiTheme="minorHAnsi" w:hAnsiTheme="minorHAnsi" w:cstheme="minorHAnsi"/>
                <w:szCs w:val="18"/>
              </w:rPr>
              <w:t>0</w:t>
            </w:r>
          </w:p>
        </w:tc>
        <w:tc>
          <w:tcPr>
            <w:tcW w:w="1728" w:type="dxa"/>
            <w:shd w:val="clear" w:color="auto" w:fill="auto"/>
            <w:noWrap/>
            <w:vAlign w:val="bottom"/>
            <w:hideMark/>
          </w:tcPr>
          <w:p w14:paraId="7BE03DD2" w14:textId="7AC35DEC" w:rsidR="00DB2FF9" w:rsidRPr="002C3979" w:rsidRDefault="002C3979" w:rsidP="00DB2FF9">
            <w:pPr>
              <w:pStyle w:val="TableTextRight"/>
              <w:rPr>
                <w:rFonts w:asciiTheme="minorHAnsi" w:hAnsiTheme="minorHAnsi" w:cstheme="minorHAnsi"/>
                <w:szCs w:val="18"/>
              </w:rPr>
            </w:pPr>
            <w:r w:rsidRPr="002C3979">
              <w:rPr>
                <w:rFonts w:asciiTheme="minorHAnsi" w:hAnsiTheme="minorHAnsi" w:cstheme="minorHAnsi"/>
                <w:szCs w:val="18"/>
              </w:rPr>
              <w:t>39.6</w:t>
            </w:r>
          </w:p>
        </w:tc>
      </w:tr>
      <w:tr w:rsidR="00DB2FF9" w:rsidRPr="005566B0" w14:paraId="59405C8D" w14:textId="77777777" w:rsidTr="002C3979">
        <w:trPr>
          <w:trHeight w:val="295"/>
        </w:trPr>
        <w:tc>
          <w:tcPr>
            <w:tcW w:w="5615" w:type="dxa"/>
            <w:shd w:val="clear" w:color="auto" w:fill="auto"/>
            <w:noWrap/>
            <w:vAlign w:val="bottom"/>
            <w:hideMark/>
          </w:tcPr>
          <w:p w14:paraId="67444FB0" w14:textId="2D1905DD" w:rsidR="00DB2FF9" w:rsidRPr="002C3979" w:rsidRDefault="002C3979" w:rsidP="00DB2FF9">
            <w:pPr>
              <w:pStyle w:val="TableTextLeft"/>
              <w:rPr>
                <w:rFonts w:asciiTheme="minorHAnsi" w:hAnsiTheme="minorHAnsi" w:cstheme="minorHAnsi"/>
                <w:szCs w:val="18"/>
              </w:rPr>
            </w:pPr>
            <w:r w:rsidRPr="002C3979">
              <w:rPr>
                <w:rFonts w:asciiTheme="minorHAnsi" w:hAnsiTheme="minorHAnsi" w:cstheme="minorHAnsi"/>
                <w:szCs w:val="18"/>
              </w:rPr>
              <w:t>Wholesale Trade</w:t>
            </w:r>
          </w:p>
        </w:tc>
        <w:tc>
          <w:tcPr>
            <w:tcW w:w="1728" w:type="dxa"/>
            <w:shd w:val="clear" w:color="auto" w:fill="auto"/>
            <w:noWrap/>
            <w:vAlign w:val="bottom"/>
            <w:hideMark/>
          </w:tcPr>
          <w:p w14:paraId="42B203C8" w14:textId="69DC42F1" w:rsidR="00DB2FF9" w:rsidRPr="002C3979" w:rsidRDefault="002C3979" w:rsidP="00DB2FF9">
            <w:pPr>
              <w:pStyle w:val="TableTextRight"/>
              <w:rPr>
                <w:rFonts w:asciiTheme="minorHAnsi" w:hAnsiTheme="minorHAnsi" w:cstheme="minorHAnsi"/>
                <w:szCs w:val="18"/>
              </w:rPr>
            </w:pPr>
            <w:r w:rsidRPr="002C3979">
              <w:rPr>
                <w:rFonts w:asciiTheme="minorHAnsi" w:hAnsiTheme="minorHAnsi" w:cstheme="minorHAnsi"/>
                <w:szCs w:val="18"/>
              </w:rPr>
              <w:t>29.3</w:t>
            </w:r>
          </w:p>
        </w:tc>
        <w:tc>
          <w:tcPr>
            <w:tcW w:w="1728" w:type="dxa"/>
            <w:shd w:val="clear" w:color="auto" w:fill="auto"/>
            <w:noWrap/>
            <w:vAlign w:val="bottom"/>
            <w:hideMark/>
          </w:tcPr>
          <w:p w14:paraId="4247D843" w14:textId="3C3E9836" w:rsidR="00DB2FF9" w:rsidRPr="002C3979" w:rsidRDefault="002C3979" w:rsidP="00DB2FF9">
            <w:pPr>
              <w:pStyle w:val="TableTextRight"/>
              <w:rPr>
                <w:rFonts w:asciiTheme="minorHAnsi" w:hAnsiTheme="minorHAnsi" w:cstheme="minorHAnsi"/>
                <w:szCs w:val="18"/>
              </w:rPr>
            </w:pPr>
            <w:r w:rsidRPr="002C3979">
              <w:rPr>
                <w:rFonts w:asciiTheme="minorHAnsi" w:hAnsiTheme="minorHAnsi" w:cstheme="minorHAnsi"/>
                <w:szCs w:val="18"/>
              </w:rPr>
              <w:t>38.8</w:t>
            </w:r>
          </w:p>
        </w:tc>
      </w:tr>
      <w:tr w:rsidR="00DB2FF9" w:rsidRPr="005566B0" w14:paraId="70DA4718" w14:textId="77777777" w:rsidTr="002C3979">
        <w:trPr>
          <w:trHeight w:val="295"/>
        </w:trPr>
        <w:tc>
          <w:tcPr>
            <w:tcW w:w="5615" w:type="dxa"/>
            <w:shd w:val="clear" w:color="auto" w:fill="auto"/>
            <w:noWrap/>
            <w:vAlign w:val="bottom"/>
            <w:hideMark/>
          </w:tcPr>
          <w:p w14:paraId="152B81BD" w14:textId="79645918" w:rsidR="00DB2FF9" w:rsidRPr="002C3979" w:rsidRDefault="00923E3B" w:rsidP="00DB2FF9">
            <w:pPr>
              <w:pStyle w:val="TableTextLeft"/>
              <w:rPr>
                <w:rFonts w:asciiTheme="minorHAnsi" w:hAnsiTheme="minorHAnsi" w:cstheme="minorHAnsi"/>
                <w:szCs w:val="18"/>
              </w:rPr>
            </w:pPr>
            <w:r w:rsidRPr="002C3979" w:rsidDel="00AE6332">
              <w:rPr>
                <w:rFonts w:asciiTheme="minorHAnsi" w:hAnsiTheme="minorHAnsi" w:cstheme="minorHAnsi"/>
                <w:szCs w:val="18"/>
              </w:rPr>
              <w:t>Construction</w:t>
            </w:r>
          </w:p>
        </w:tc>
        <w:tc>
          <w:tcPr>
            <w:tcW w:w="1728" w:type="dxa"/>
            <w:shd w:val="clear" w:color="auto" w:fill="auto"/>
            <w:noWrap/>
            <w:vAlign w:val="bottom"/>
            <w:hideMark/>
          </w:tcPr>
          <w:p w14:paraId="411CF472" w14:textId="32ED2C6B"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185.7</w:t>
            </w:r>
          </w:p>
        </w:tc>
        <w:tc>
          <w:tcPr>
            <w:tcW w:w="1728" w:type="dxa"/>
            <w:shd w:val="clear" w:color="auto" w:fill="auto"/>
            <w:noWrap/>
            <w:vAlign w:val="bottom"/>
            <w:hideMark/>
          </w:tcPr>
          <w:p w14:paraId="0EDA8984" w14:textId="23FA8AED"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37.1</w:t>
            </w:r>
          </w:p>
        </w:tc>
      </w:tr>
      <w:tr w:rsidR="00DB2FF9" w:rsidRPr="005566B0" w14:paraId="63607FBC" w14:textId="77777777" w:rsidTr="002C3979">
        <w:trPr>
          <w:trHeight w:val="295"/>
        </w:trPr>
        <w:tc>
          <w:tcPr>
            <w:tcW w:w="5615" w:type="dxa"/>
            <w:shd w:val="clear" w:color="auto" w:fill="auto"/>
            <w:noWrap/>
            <w:vAlign w:val="bottom"/>
            <w:hideMark/>
          </w:tcPr>
          <w:p w14:paraId="00E66221" w14:textId="54296E63" w:rsidR="00DB2FF9" w:rsidRPr="002C3979" w:rsidRDefault="00460BCA" w:rsidP="00DB2FF9">
            <w:pPr>
              <w:pStyle w:val="TableTextLeft"/>
              <w:rPr>
                <w:rFonts w:asciiTheme="minorHAnsi" w:hAnsiTheme="minorHAnsi" w:cstheme="minorHAnsi"/>
                <w:szCs w:val="18"/>
              </w:rPr>
            </w:pPr>
            <w:r w:rsidRPr="002C3979" w:rsidDel="00AE6332">
              <w:rPr>
                <w:rFonts w:asciiTheme="minorHAnsi" w:hAnsiTheme="minorHAnsi" w:cstheme="minorHAnsi"/>
                <w:szCs w:val="18"/>
              </w:rPr>
              <w:t>Arts and Recreation Services</w:t>
            </w:r>
          </w:p>
        </w:tc>
        <w:tc>
          <w:tcPr>
            <w:tcW w:w="1728" w:type="dxa"/>
            <w:shd w:val="clear" w:color="auto" w:fill="auto"/>
            <w:noWrap/>
            <w:vAlign w:val="bottom"/>
            <w:hideMark/>
          </w:tcPr>
          <w:p w14:paraId="214F2996" w14:textId="50CB9526"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42.4</w:t>
            </w:r>
          </w:p>
        </w:tc>
        <w:tc>
          <w:tcPr>
            <w:tcW w:w="1728" w:type="dxa"/>
            <w:shd w:val="clear" w:color="auto" w:fill="auto"/>
            <w:noWrap/>
            <w:vAlign w:val="bottom"/>
            <w:hideMark/>
          </w:tcPr>
          <w:p w14:paraId="74FB2FAA" w14:textId="1A2EDE2D" w:rsidR="00DB2FF9" w:rsidRPr="002C3979" w:rsidRDefault="002C3979" w:rsidP="00DB2FF9">
            <w:pPr>
              <w:pStyle w:val="TableTextRight"/>
              <w:rPr>
                <w:rFonts w:asciiTheme="minorHAnsi" w:hAnsiTheme="minorHAnsi" w:cstheme="minorHAnsi"/>
                <w:szCs w:val="18"/>
              </w:rPr>
            </w:pPr>
            <w:r w:rsidRPr="002C3979">
              <w:rPr>
                <w:rFonts w:asciiTheme="minorHAnsi" w:hAnsiTheme="minorHAnsi" w:cstheme="minorHAnsi"/>
                <w:szCs w:val="18"/>
              </w:rPr>
              <w:t>36.7</w:t>
            </w:r>
          </w:p>
        </w:tc>
      </w:tr>
      <w:tr w:rsidR="00DB2FF9" w:rsidRPr="005566B0" w14:paraId="77AC5935" w14:textId="77777777" w:rsidTr="002C3979">
        <w:trPr>
          <w:trHeight w:val="295"/>
        </w:trPr>
        <w:tc>
          <w:tcPr>
            <w:tcW w:w="5615" w:type="dxa"/>
            <w:shd w:val="clear" w:color="auto" w:fill="auto"/>
            <w:noWrap/>
            <w:vAlign w:val="bottom"/>
            <w:hideMark/>
          </w:tcPr>
          <w:p w14:paraId="081131FB" w14:textId="1F8C61A1" w:rsidR="00DB2FF9" w:rsidRPr="002C3979" w:rsidRDefault="00923E3B" w:rsidP="00DB2FF9">
            <w:pPr>
              <w:pStyle w:val="TableTextLeft"/>
              <w:rPr>
                <w:rFonts w:asciiTheme="minorHAnsi" w:hAnsiTheme="minorHAnsi" w:cstheme="minorHAnsi"/>
                <w:szCs w:val="18"/>
              </w:rPr>
            </w:pPr>
            <w:r w:rsidRPr="002C3979" w:rsidDel="00AE6332">
              <w:rPr>
                <w:rFonts w:asciiTheme="minorHAnsi" w:hAnsiTheme="minorHAnsi" w:cstheme="minorHAnsi"/>
                <w:szCs w:val="18"/>
              </w:rPr>
              <w:t>Retail Trade</w:t>
            </w:r>
          </w:p>
        </w:tc>
        <w:tc>
          <w:tcPr>
            <w:tcW w:w="1728" w:type="dxa"/>
            <w:shd w:val="clear" w:color="auto" w:fill="auto"/>
            <w:noWrap/>
            <w:vAlign w:val="bottom"/>
            <w:hideMark/>
          </w:tcPr>
          <w:p w14:paraId="16B72621" w14:textId="365509EE" w:rsidR="00DB2FF9" w:rsidRPr="002C3979" w:rsidRDefault="00806939" w:rsidP="00DB2FF9">
            <w:pPr>
              <w:pStyle w:val="TableTextRight"/>
              <w:rPr>
                <w:rFonts w:asciiTheme="minorHAnsi" w:hAnsiTheme="minorHAnsi" w:cstheme="minorHAnsi"/>
                <w:szCs w:val="18"/>
              </w:rPr>
            </w:pPr>
            <w:r w:rsidRPr="002C3979">
              <w:rPr>
                <w:rFonts w:asciiTheme="minorHAnsi" w:hAnsiTheme="minorHAnsi" w:cstheme="minorHAnsi"/>
                <w:szCs w:val="18"/>
              </w:rPr>
              <w:t>64.4</w:t>
            </w:r>
          </w:p>
        </w:tc>
        <w:tc>
          <w:tcPr>
            <w:tcW w:w="1728" w:type="dxa"/>
            <w:shd w:val="clear" w:color="auto" w:fill="auto"/>
            <w:noWrap/>
            <w:vAlign w:val="bottom"/>
            <w:hideMark/>
          </w:tcPr>
          <w:p w14:paraId="0B3E7F75" w14:textId="55469154" w:rsidR="00DB2FF9" w:rsidRPr="002C3979" w:rsidRDefault="00923E3B" w:rsidP="00DB2FF9">
            <w:pPr>
              <w:pStyle w:val="TableTextRight"/>
              <w:rPr>
                <w:rFonts w:asciiTheme="minorHAnsi" w:hAnsiTheme="minorHAnsi" w:cstheme="minorHAnsi"/>
                <w:szCs w:val="18"/>
              </w:rPr>
            </w:pPr>
            <w:r w:rsidRPr="002C3979">
              <w:rPr>
                <w:rFonts w:asciiTheme="minorHAnsi" w:hAnsiTheme="minorHAnsi" w:cstheme="minorHAnsi"/>
                <w:szCs w:val="18"/>
              </w:rPr>
              <w:t>35.</w:t>
            </w:r>
            <w:r w:rsidR="002C3979" w:rsidRPr="002C3979">
              <w:rPr>
                <w:rFonts w:asciiTheme="minorHAnsi" w:hAnsiTheme="minorHAnsi" w:cstheme="minorHAnsi"/>
                <w:szCs w:val="18"/>
              </w:rPr>
              <w:t>7</w:t>
            </w:r>
          </w:p>
        </w:tc>
      </w:tr>
      <w:tr w:rsidR="00DB2FF9" w:rsidRPr="005566B0" w14:paraId="030A7919" w14:textId="77777777" w:rsidTr="002C3979">
        <w:trPr>
          <w:trHeight w:val="295"/>
        </w:trPr>
        <w:tc>
          <w:tcPr>
            <w:tcW w:w="5615" w:type="dxa"/>
            <w:shd w:val="clear" w:color="auto" w:fill="auto"/>
            <w:noWrap/>
            <w:vAlign w:val="bottom"/>
            <w:hideMark/>
          </w:tcPr>
          <w:p w14:paraId="29E73ED1" w14:textId="758CC7D1" w:rsidR="00DB2FF9" w:rsidRPr="002C3979" w:rsidRDefault="00DB2FF9" w:rsidP="00DB2FF9">
            <w:pPr>
              <w:pStyle w:val="TableTextLeft"/>
              <w:rPr>
                <w:rFonts w:asciiTheme="minorHAnsi" w:hAnsiTheme="minorHAnsi" w:cstheme="minorHAnsi"/>
                <w:szCs w:val="18"/>
              </w:rPr>
            </w:pPr>
            <w:r w:rsidRPr="002C3979">
              <w:rPr>
                <w:rFonts w:asciiTheme="minorHAnsi" w:hAnsiTheme="minorHAnsi" w:cstheme="minorHAnsi"/>
                <w:szCs w:val="18"/>
              </w:rPr>
              <w:t>Information Media and Telecommunications</w:t>
            </w:r>
          </w:p>
        </w:tc>
        <w:tc>
          <w:tcPr>
            <w:tcW w:w="1728" w:type="dxa"/>
            <w:shd w:val="clear" w:color="auto" w:fill="auto"/>
            <w:noWrap/>
            <w:vAlign w:val="bottom"/>
            <w:hideMark/>
          </w:tcPr>
          <w:p w14:paraId="27619572" w14:textId="3E2776A3" w:rsidR="00DB2FF9" w:rsidRPr="002C3979" w:rsidRDefault="00DB2FF9" w:rsidP="00DB2FF9">
            <w:pPr>
              <w:pStyle w:val="TableTextRight"/>
              <w:rPr>
                <w:rFonts w:asciiTheme="minorHAnsi" w:hAnsiTheme="minorHAnsi" w:cstheme="minorHAnsi"/>
                <w:szCs w:val="18"/>
              </w:rPr>
            </w:pPr>
            <w:r w:rsidRPr="002C3979">
              <w:rPr>
                <w:rFonts w:asciiTheme="minorHAnsi" w:hAnsiTheme="minorHAnsi" w:cstheme="minorHAnsi"/>
                <w:szCs w:val="18"/>
              </w:rPr>
              <w:t>16.0</w:t>
            </w:r>
          </w:p>
        </w:tc>
        <w:tc>
          <w:tcPr>
            <w:tcW w:w="1728" w:type="dxa"/>
            <w:shd w:val="clear" w:color="auto" w:fill="auto"/>
            <w:noWrap/>
            <w:vAlign w:val="bottom"/>
            <w:hideMark/>
          </w:tcPr>
          <w:p w14:paraId="65AEEEC2" w14:textId="7917FD70" w:rsidR="00DB2FF9" w:rsidRPr="002C3979" w:rsidRDefault="00460BCA" w:rsidP="00DB2FF9">
            <w:pPr>
              <w:pStyle w:val="TableTextRight"/>
              <w:rPr>
                <w:rFonts w:asciiTheme="minorHAnsi" w:hAnsiTheme="minorHAnsi" w:cstheme="minorHAnsi"/>
                <w:szCs w:val="18"/>
              </w:rPr>
            </w:pPr>
            <w:r w:rsidRPr="002C3979">
              <w:rPr>
                <w:rFonts w:asciiTheme="minorHAnsi" w:hAnsiTheme="minorHAnsi" w:cstheme="minorHAnsi"/>
                <w:szCs w:val="18"/>
              </w:rPr>
              <w:t>34.</w:t>
            </w:r>
            <w:r w:rsidR="002C3979" w:rsidRPr="002C3979">
              <w:rPr>
                <w:rFonts w:asciiTheme="minorHAnsi" w:hAnsiTheme="minorHAnsi" w:cstheme="minorHAnsi"/>
                <w:szCs w:val="18"/>
              </w:rPr>
              <w:t>6</w:t>
            </w:r>
          </w:p>
        </w:tc>
      </w:tr>
      <w:tr w:rsidR="00DB2FF9" w:rsidRPr="005566B0" w14:paraId="366F624D" w14:textId="77777777" w:rsidTr="002C3979">
        <w:trPr>
          <w:trHeight w:val="295"/>
        </w:trPr>
        <w:tc>
          <w:tcPr>
            <w:tcW w:w="5615" w:type="dxa"/>
            <w:shd w:val="clear" w:color="auto" w:fill="auto"/>
            <w:noWrap/>
            <w:vAlign w:val="bottom"/>
            <w:hideMark/>
          </w:tcPr>
          <w:p w14:paraId="43D467C8" w14:textId="69C5D23C" w:rsidR="00DB2FF9" w:rsidRPr="002C3979" w:rsidRDefault="00A65D19" w:rsidP="00DB2FF9">
            <w:pPr>
              <w:pStyle w:val="TableTextLeft"/>
              <w:rPr>
                <w:rFonts w:asciiTheme="minorHAnsi" w:hAnsiTheme="minorHAnsi" w:cstheme="minorHAnsi"/>
                <w:szCs w:val="18"/>
              </w:rPr>
            </w:pPr>
            <w:r w:rsidRPr="002C3979">
              <w:rPr>
                <w:rFonts w:asciiTheme="minorHAnsi" w:hAnsiTheme="minorHAnsi" w:cstheme="minorHAnsi"/>
                <w:szCs w:val="18"/>
              </w:rPr>
              <w:t>Transport, Postal and Warehousing</w:t>
            </w:r>
          </w:p>
        </w:tc>
        <w:tc>
          <w:tcPr>
            <w:tcW w:w="1728" w:type="dxa"/>
            <w:shd w:val="clear" w:color="auto" w:fill="auto"/>
            <w:noWrap/>
            <w:vAlign w:val="bottom"/>
            <w:hideMark/>
          </w:tcPr>
          <w:p w14:paraId="469E4A3C" w14:textId="7B1A252E"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78.9</w:t>
            </w:r>
          </w:p>
        </w:tc>
        <w:tc>
          <w:tcPr>
            <w:tcW w:w="1728" w:type="dxa"/>
            <w:shd w:val="clear" w:color="auto" w:fill="auto"/>
            <w:noWrap/>
            <w:vAlign w:val="bottom"/>
            <w:hideMark/>
          </w:tcPr>
          <w:p w14:paraId="4192C3D4" w14:textId="7281C18D"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34.2</w:t>
            </w:r>
          </w:p>
        </w:tc>
      </w:tr>
      <w:tr w:rsidR="00DB2FF9" w:rsidRPr="005566B0" w14:paraId="58A3102F" w14:textId="77777777" w:rsidTr="002C3979">
        <w:trPr>
          <w:trHeight w:val="295"/>
        </w:trPr>
        <w:tc>
          <w:tcPr>
            <w:tcW w:w="5615" w:type="dxa"/>
            <w:shd w:val="clear" w:color="auto" w:fill="auto"/>
            <w:noWrap/>
            <w:vAlign w:val="bottom"/>
            <w:hideMark/>
          </w:tcPr>
          <w:p w14:paraId="6A1AE5FB" w14:textId="38A45A7B" w:rsidR="00DB2FF9" w:rsidRPr="002C3979" w:rsidRDefault="00A65D19" w:rsidP="00DB2FF9">
            <w:pPr>
              <w:pStyle w:val="TableTextLeft"/>
              <w:rPr>
                <w:rFonts w:asciiTheme="minorHAnsi" w:hAnsiTheme="minorHAnsi" w:cstheme="minorHAnsi"/>
                <w:szCs w:val="18"/>
              </w:rPr>
            </w:pPr>
            <w:r w:rsidRPr="002C3979">
              <w:rPr>
                <w:rFonts w:asciiTheme="minorHAnsi" w:hAnsiTheme="minorHAnsi" w:cstheme="minorHAnsi"/>
                <w:szCs w:val="18"/>
              </w:rPr>
              <w:t>Professional, Scientific and Technical Services</w:t>
            </w:r>
          </w:p>
        </w:tc>
        <w:tc>
          <w:tcPr>
            <w:tcW w:w="1728" w:type="dxa"/>
            <w:shd w:val="clear" w:color="auto" w:fill="auto"/>
            <w:noWrap/>
            <w:vAlign w:val="bottom"/>
            <w:hideMark/>
          </w:tcPr>
          <w:p w14:paraId="24F5CF5D" w14:textId="10D5AAE8"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149.9</w:t>
            </w:r>
          </w:p>
        </w:tc>
        <w:tc>
          <w:tcPr>
            <w:tcW w:w="1728" w:type="dxa"/>
            <w:shd w:val="clear" w:color="auto" w:fill="auto"/>
            <w:noWrap/>
            <w:vAlign w:val="bottom"/>
            <w:hideMark/>
          </w:tcPr>
          <w:p w14:paraId="0520DBF6" w14:textId="5248654E" w:rsidR="00DB2FF9" w:rsidRPr="002C3979" w:rsidRDefault="00923E3B" w:rsidP="00DB2FF9">
            <w:pPr>
              <w:pStyle w:val="TableTextRight"/>
              <w:rPr>
                <w:rFonts w:asciiTheme="minorHAnsi" w:hAnsiTheme="minorHAnsi" w:cstheme="minorHAnsi"/>
                <w:szCs w:val="18"/>
              </w:rPr>
            </w:pPr>
            <w:r w:rsidRPr="002C3979">
              <w:rPr>
                <w:rFonts w:asciiTheme="minorHAnsi" w:hAnsiTheme="minorHAnsi" w:cstheme="minorHAnsi"/>
                <w:szCs w:val="18"/>
              </w:rPr>
              <w:t>33.</w:t>
            </w:r>
            <w:r w:rsidR="002C3979" w:rsidRPr="002C3979">
              <w:rPr>
                <w:rFonts w:asciiTheme="minorHAnsi" w:hAnsiTheme="minorHAnsi" w:cstheme="minorHAnsi"/>
                <w:szCs w:val="18"/>
              </w:rPr>
              <w:t>3</w:t>
            </w:r>
          </w:p>
        </w:tc>
      </w:tr>
      <w:tr w:rsidR="00DB2FF9" w:rsidRPr="005566B0" w14:paraId="5D0178EC" w14:textId="77777777" w:rsidTr="002C3979">
        <w:trPr>
          <w:trHeight w:val="295"/>
        </w:trPr>
        <w:tc>
          <w:tcPr>
            <w:tcW w:w="5615" w:type="dxa"/>
            <w:shd w:val="clear" w:color="auto" w:fill="auto"/>
            <w:noWrap/>
            <w:vAlign w:val="bottom"/>
            <w:hideMark/>
          </w:tcPr>
          <w:p w14:paraId="02B0AE2C" w14:textId="00607955" w:rsidR="00DB2FF9" w:rsidRPr="002C3979" w:rsidRDefault="00A65D19" w:rsidP="00DB2FF9">
            <w:pPr>
              <w:pStyle w:val="TableTextLeft"/>
              <w:rPr>
                <w:rFonts w:asciiTheme="minorHAnsi" w:hAnsiTheme="minorHAnsi" w:cstheme="minorHAnsi"/>
                <w:szCs w:val="18"/>
              </w:rPr>
            </w:pPr>
            <w:r w:rsidRPr="002C3979">
              <w:rPr>
                <w:rFonts w:asciiTheme="minorHAnsi" w:hAnsiTheme="minorHAnsi" w:cstheme="minorHAnsi"/>
                <w:szCs w:val="18"/>
              </w:rPr>
              <w:t>Electricity, Gas, Water and Waste Services</w:t>
            </w:r>
          </w:p>
        </w:tc>
        <w:tc>
          <w:tcPr>
            <w:tcW w:w="1728" w:type="dxa"/>
            <w:shd w:val="clear" w:color="auto" w:fill="auto"/>
            <w:noWrap/>
            <w:vAlign w:val="bottom"/>
            <w:hideMark/>
          </w:tcPr>
          <w:p w14:paraId="4F169252" w14:textId="078D5468"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2.5</w:t>
            </w:r>
          </w:p>
        </w:tc>
        <w:tc>
          <w:tcPr>
            <w:tcW w:w="1728" w:type="dxa"/>
            <w:shd w:val="clear" w:color="auto" w:fill="auto"/>
            <w:noWrap/>
            <w:vAlign w:val="bottom"/>
            <w:hideMark/>
          </w:tcPr>
          <w:p w14:paraId="2FF82072" w14:textId="17FF78C1" w:rsidR="00DB2FF9" w:rsidRPr="002C3979" w:rsidRDefault="00923E3B" w:rsidP="00DB2FF9">
            <w:pPr>
              <w:pStyle w:val="TableTextRight"/>
              <w:rPr>
                <w:rFonts w:asciiTheme="minorHAnsi" w:hAnsiTheme="minorHAnsi" w:cstheme="minorHAnsi"/>
                <w:szCs w:val="18"/>
              </w:rPr>
            </w:pPr>
            <w:r w:rsidRPr="002C3979">
              <w:rPr>
                <w:rFonts w:asciiTheme="minorHAnsi" w:hAnsiTheme="minorHAnsi" w:cstheme="minorHAnsi"/>
                <w:szCs w:val="18"/>
              </w:rPr>
              <w:t>30.</w:t>
            </w:r>
            <w:r w:rsidR="002C3979" w:rsidRPr="002C3979">
              <w:rPr>
                <w:rFonts w:asciiTheme="minorHAnsi" w:hAnsiTheme="minorHAnsi" w:cstheme="minorHAnsi"/>
                <w:szCs w:val="18"/>
              </w:rPr>
              <w:t>4</w:t>
            </w:r>
          </w:p>
        </w:tc>
      </w:tr>
      <w:tr w:rsidR="00DB2FF9" w:rsidRPr="005566B0" w14:paraId="18A2B5CE" w14:textId="77777777" w:rsidTr="002C3979">
        <w:trPr>
          <w:trHeight w:val="295"/>
        </w:trPr>
        <w:tc>
          <w:tcPr>
            <w:tcW w:w="5615" w:type="dxa"/>
            <w:shd w:val="clear" w:color="auto" w:fill="auto"/>
            <w:noWrap/>
            <w:vAlign w:val="bottom"/>
            <w:hideMark/>
          </w:tcPr>
          <w:p w14:paraId="1C88E8D4" w14:textId="21F26E90" w:rsidR="00DB2FF9" w:rsidRPr="002C3979" w:rsidRDefault="00A65D19" w:rsidP="00DB2FF9">
            <w:pPr>
              <w:pStyle w:val="TableTextLeft"/>
              <w:rPr>
                <w:rFonts w:asciiTheme="minorHAnsi" w:hAnsiTheme="minorHAnsi" w:cstheme="minorHAnsi"/>
                <w:szCs w:val="18"/>
              </w:rPr>
            </w:pPr>
            <w:r w:rsidRPr="002C3979">
              <w:rPr>
                <w:rFonts w:asciiTheme="minorHAnsi" w:hAnsiTheme="minorHAnsi" w:cstheme="minorHAnsi"/>
                <w:szCs w:val="18"/>
              </w:rPr>
              <w:t>Administrative and Support Services</w:t>
            </w:r>
          </w:p>
        </w:tc>
        <w:tc>
          <w:tcPr>
            <w:tcW w:w="1728" w:type="dxa"/>
            <w:shd w:val="clear" w:color="auto" w:fill="auto"/>
            <w:noWrap/>
            <w:vAlign w:val="bottom"/>
            <w:hideMark/>
          </w:tcPr>
          <w:p w14:paraId="4B58C07E" w14:textId="4696C7ED"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54.3</w:t>
            </w:r>
          </w:p>
        </w:tc>
        <w:tc>
          <w:tcPr>
            <w:tcW w:w="1728" w:type="dxa"/>
            <w:shd w:val="clear" w:color="auto" w:fill="auto"/>
            <w:noWrap/>
            <w:vAlign w:val="bottom"/>
            <w:hideMark/>
          </w:tcPr>
          <w:p w14:paraId="26DD7372" w14:textId="61FA388B" w:rsidR="00DB2FF9" w:rsidRPr="002C3979" w:rsidRDefault="00923E3B" w:rsidP="00DB2FF9">
            <w:pPr>
              <w:pStyle w:val="TableTextRight"/>
              <w:rPr>
                <w:rFonts w:asciiTheme="minorHAnsi" w:hAnsiTheme="minorHAnsi" w:cstheme="minorHAnsi"/>
                <w:szCs w:val="18"/>
              </w:rPr>
            </w:pPr>
            <w:r w:rsidRPr="002C3979">
              <w:rPr>
                <w:rFonts w:asciiTheme="minorHAnsi" w:hAnsiTheme="minorHAnsi" w:cstheme="minorHAnsi"/>
                <w:szCs w:val="18"/>
              </w:rPr>
              <w:t>29.</w:t>
            </w:r>
            <w:r w:rsidR="002C3979" w:rsidRPr="002C3979">
              <w:rPr>
                <w:rFonts w:asciiTheme="minorHAnsi" w:hAnsiTheme="minorHAnsi" w:cstheme="minorHAnsi"/>
                <w:szCs w:val="18"/>
              </w:rPr>
              <w:t>7</w:t>
            </w:r>
          </w:p>
        </w:tc>
      </w:tr>
      <w:tr w:rsidR="00DB2FF9" w:rsidRPr="005566B0" w14:paraId="0D5A34B4" w14:textId="77777777" w:rsidTr="002C3979">
        <w:trPr>
          <w:trHeight w:val="295"/>
        </w:trPr>
        <w:tc>
          <w:tcPr>
            <w:tcW w:w="5615" w:type="dxa"/>
            <w:shd w:val="clear" w:color="auto" w:fill="auto"/>
            <w:noWrap/>
            <w:vAlign w:val="bottom"/>
            <w:hideMark/>
          </w:tcPr>
          <w:p w14:paraId="35256E10" w14:textId="6B86EE68" w:rsidR="00DB2FF9" w:rsidRPr="002C3979" w:rsidRDefault="00A65D19" w:rsidP="00DB2FF9">
            <w:pPr>
              <w:pStyle w:val="TableTextLeft"/>
              <w:rPr>
                <w:rFonts w:asciiTheme="minorHAnsi" w:hAnsiTheme="minorHAnsi" w:cstheme="minorHAnsi"/>
                <w:szCs w:val="18"/>
              </w:rPr>
            </w:pPr>
            <w:r w:rsidRPr="002C3979">
              <w:rPr>
                <w:rFonts w:asciiTheme="minorHAnsi" w:hAnsiTheme="minorHAnsi" w:cstheme="minorHAnsi"/>
                <w:szCs w:val="18"/>
              </w:rPr>
              <w:t>Public Administration and Safety</w:t>
            </w:r>
          </w:p>
        </w:tc>
        <w:tc>
          <w:tcPr>
            <w:tcW w:w="1728" w:type="dxa"/>
            <w:shd w:val="clear" w:color="auto" w:fill="auto"/>
            <w:noWrap/>
            <w:vAlign w:val="bottom"/>
            <w:hideMark/>
          </w:tcPr>
          <w:p w14:paraId="77FC2790" w14:textId="4BC1BDAD"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3.9</w:t>
            </w:r>
          </w:p>
        </w:tc>
        <w:tc>
          <w:tcPr>
            <w:tcW w:w="1728" w:type="dxa"/>
            <w:shd w:val="clear" w:color="auto" w:fill="auto"/>
            <w:noWrap/>
            <w:vAlign w:val="bottom"/>
            <w:hideMark/>
          </w:tcPr>
          <w:p w14:paraId="1F86B1A8" w14:textId="43698087" w:rsidR="00DB2FF9" w:rsidRPr="002C3979" w:rsidRDefault="00923E3B" w:rsidP="00DB2FF9">
            <w:pPr>
              <w:pStyle w:val="TableTextRight"/>
              <w:rPr>
                <w:rFonts w:asciiTheme="minorHAnsi" w:hAnsiTheme="minorHAnsi" w:cstheme="minorHAnsi"/>
                <w:szCs w:val="18"/>
              </w:rPr>
            </w:pPr>
            <w:r w:rsidRPr="002C3979">
              <w:rPr>
                <w:rFonts w:asciiTheme="minorHAnsi" w:hAnsiTheme="minorHAnsi" w:cstheme="minorHAnsi"/>
                <w:szCs w:val="18"/>
              </w:rPr>
              <w:t>26.</w:t>
            </w:r>
            <w:r w:rsidR="002C3979" w:rsidRPr="002C3979">
              <w:rPr>
                <w:rFonts w:asciiTheme="minorHAnsi" w:hAnsiTheme="minorHAnsi" w:cstheme="minorHAnsi"/>
                <w:szCs w:val="18"/>
              </w:rPr>
              <w:t>5</w:t>
            </w:r>
          </w:p>
        </w:tc>
      </w:tr>
      <w:tr w:rsidR="00DB2FF9" w:rsidRPr="005566B0" w14:paraId="6CD38740" w14:textId="77777777" w:rsidTr="002C3979">
        <w:trPr>
          <w:trHeight w:val="295"/>
        </w:trPr>
        <w:tc>
          <w:tcPr>
            <w:tcW w:w="5615" w:type="dxa"/>
            <w:shd w:val="clear" w:color="auto" w:fill="auto"/>
            <w:noWrap/>
            <w:vAlign w:val="bottom"/>
            <w:hideMark/>
          </w:tcPr>
          <w:p w14:paraId="58A4997B" w14:textId="309A529C" w:rsidR="00DB2FF9" w:rsidRPr="002C3979" w:rsidRDefault="00923E3B" w:rsidP="00DB2FF9">
            <w:pPr>
              <w:pStyle w:val="TableTextLeft"/>
              <w:rPr>
                <w:rFonts w:asciiTheme="minorHAnsi" w:hAnsiTheme="minorHAnsi" w:cstheme="minorHAnsi"/>
                <w:szCs w:val="18"/>
              </w:rPr>
            </w:pPr>
            <w:r w:rsidRPr="002C3979" w:rsidDel="00AE6332">
              <w:rPr>
                <w:rFonts w:asciiTheme="minorHAnsi" w:hAnsiTheme="minorHAnsi" w:cstheme="minorHAnsi"/>
                <w:szCs w:val="18"/>
              </w:rPr>
              <w:t>Mining</w:t>
            </w:r>
          </w:p>
        </w:tc>
        <w:tc>
          <w:tcPr>
            <w:tcW w:w="1728" w:type="dxa"/>
            <w:shd w:val="clear" w:color="auto" w:fill="auto"/>
            <w:noWrap/>
            <w:vAlign w:val="bottom"/>
            <w:hideMark/>
          </w:tcPr>
          <w:p w14:paraId="3DA0F773" w14:textId="1DB985D7"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2.0</w:t>
            </w:r>
          </w:p>
        </w:tc>
        <w:tc>
          <w:tcPr>
            <w:tcW w:w="1728" w:type="dxa"/>
            <w:shd w:val="clear" w:color="auto" w:fill="auto"/>
            <w:noWrap/>
            <w:vAlign w:val="bottom"/>
            <w:hideMark/>
          </w:tcPr>
          <w:p w14:paraId="6341C29A" w14:textId="32D41C64"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21.0</w:t>
            </w:r>
          </w:p>
        </w:tc>
      </w:tr>
      <w:tr w:rsidR="00DB2FF9" w:rsidRPr="005566B0" w14:paraId="79BC138D" w14:textId="77777777" w:rsidTr="002C3979">
        <w:trPr>
          <w:trHeight w:val="295"/>
        </w:trPr>
        <w:tc>
          <w:tcPr>
            <w:tcW w:w="5615" w:type="dxa"/>
            <w:shd w:val="clear" w:color="auto" w:fill="auto"/>
            <w:noWrap/>
            <w:vAlign w:val="bottom"/>
            <w:hideMark/>
          </w:tcPr>
          <w:p w14:paraId="09F8A561" w14:textId="7902161F" w:rsidR="00DB2FF9" w:rsidRPr="002C3979" w:rsidRDefault="00923E3B" w:rsidP="00DB2FF9">
            <w:pPr>
              <w:pStyle w:val="TableTextLeft"/>
              <w:rPr>
                <w:rFonts w:asciiTheme="minorHAnsi" w:hAnsiTheme="minorHAnsi" w:cstheme="minorHAnsi"/>
                <w:szCs w:val="18"/>
              </w:rPr>
            </w:pPr>
            <w:r w:rsidRPr="002C3979">
              <w:rPr>
                <w:rFonts w:asciiTheme="minorHAnsi" w:hAnsiTheme="minorHAnsi" w:cstheme="minorHAnsi"/>
                <w:szCs w:val="18"/>
              </w:rPr>
              <w:t xml:space="preserve">Agriculture, Forestry and </w:t>
            </w:r>
            <w:r w:rsidR="00A65D19" w:rsidRPr="002C3979">
              <w:rPr>
                <w:rFonts w:asciiTheme="minorHAnsi" w:hAnsiTheme="minorHAnsi" w:cstheme="minorHAnsi"/>
                <w:szCs w:val="18"/>
              </w:rPr>
              <w:t>Fishing</w:t>
            </w:r>
          </w:p>
        </w:tc>
        <w:tc>
          <w:tcPr>
            <w:tcW w:w="1728" w:type="dxa"/>
            <w:shd w:val="clear" w:color="auto" w:fill="auto"/>
            <w:noWrap/>
            <w:vAlign w:val="bottom"/>
            <w:hideMark/>
          </w:tcPr>
          <w:p w14:paraId="22ED28EC" w14:textId="03ADB796"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38.2</w:t>
            </w:r>
          </w:p>
        </w:tc>
        <w:tc>
          <w:tcPr>
            <w:tcW w:w="1728" w:type="dxa"/>
            <w:shd w:val="clear" w:color="auto" w:fill="auto"/>
            <w:noWrap/>
            <w:vAlign w:val="bottom"/>
            <w:hideMark/>
          </w:tcPr>
          <w:p w14:paraId="7F479F6D" w14:textId="5EADC6AA" w:rsidR="00DB2FF9" w:rsidRPr="002C3979" w:rsidRDefault="00923E3B" w:rsidP="00DB2FF9">
            <w:pPr>
              <w:pStyle w:val="TableTextRight"/>
              <w:rPr>
                <w:rFonts w:asciiTheme="minorHAnsi" w:hAnsiTheme="minorHAnsi" w:cstheme="minorHAnsi"/>
                <w:szCs w:val="18"/>
              </w:rPr>
            </w:pPr>
            <w:r w:rsidRPr="002C3979">
              <w:rPr>
                <w:rFonts w:asciiTheme="minorHAnsi" w:hAnsiTheme="minorHAnsi" w:cstheme="minorHAnsi"/>
                <w:szCs w:val="18"/>
              </w:rPr>
              <w:t>18.0</w:t>
            </w:r>
          </w:p>
        </w:tc>
      </w:tr>
      <w:tr w:rsidR="00DB2FF9" w:rsidRPr="005566B0" w14:paraId="0A96DF54" w14:textId="77777777" w:rsidTr="002C3979">
        <w:trPr>
          <w:trHeight w:val="295"/>
        </w:trPr>
        <w:tc>
          <w:tcPr>
            <w:tcW w:w="5615" w:type="dxa"/>
            <w:shd w:val="clear" w:color="auto" w:fill="auto"/>
            <w:noWrap/>
            <w:vAlign w:val="bottom"/>
            <w:hideMark/>
          </w:tcPr>
          <w:p w14:paraId="3F470B46" w14:textId="08B4C612" w:rsidR="00DB2FF9" w:rsidRPr="002C3979" w:rsidRDefault="00A65D19" w:rsidP="00DB2FF9">
            <w:pPr>
              <w:pStyle w:val="TableTextLeft"/>
              <w:rPr>
                <w:rFonts w:asciiTheme="minorHAnsi" w:hAnsiTheme="minorHAnsi" w:cstheme="minorHAnsi"/>
                <w:szCs w:val="18"/>
              </w:rPr>
            </w:pPr>
            <w:r w:rsidRPr="002C3979">
              <w:rPr>
                <w:rFonts w:asciiTheme="minorHAnsi" w:hAnsiTheme="minorHAnsi" w:cstheme="minorHAnsi"/>
                <w:szCs w:val="18"/>
              </w:rPr>
              <w:t>Rental, Hiring and Real Estate Services</w:t>
            </w:r>
          </w:p>
        </w:tc>
        <w:tc>
          <w:tcPr>
            <w:tcW w:w="1728" w:type="dxa"/>
            <w:shd w:val="clear" w:color="auto" w:fill="auto"/>
            <w:noWrap/>
            <w:vAlign w:val="bottom"/>
            <w:hideMark/>
          </w:tcPr>
          <w:p w14:paraId="23884A6F" w14:textId="3EC7508C"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30.7</w:t>
            </w:r>
          </w:p>
        </w:tc>
        <w:tc>
          <w:tcPr>
            <w:tcW w:w="1728" w:type="dxa"/>
            <w:shd w:val="clear" w:color="auto" w:fill="auto"/>
            <w:noWrap/>
            <w:vAlign w:val="bottom"/>
            <w:hideMark/>
          </w:tcPr>
          <w:p w14:paraId="3E9C3B2C" w14:textId="1D718D73" w:rsidR="00DB2FF9" w:rsidRPr="002C3979" w:rsidRDefault="00923E3B" w:rsidP="00DB2FF9">
            <w:pPr>
              <w:pStyle w:val="TableTextRight"/>
              <w:rPr>
                <w:rFonts w:asciiTheme="minorHAnsi" w:hAnsiTheme="minorHAnsi" w:cstheme="minorHAnsi"/>
                <w:szCs w:val="18"/>
              </w:rPr>
            </w:pPr>
            <w:r w:rsidRPr="002C3979">
              <w:rPr>
                <w:rFonts w:asciiTheme="minorHAnsi" w:hAnsiTheme="minorHAnsi" w:cstheme="minorHAnsi"/>
                <w:szCs w:val="18"/>
              </w:rPr>
              <w:t>8</w:t>
            </w:r>
            <w:r w:rsidR="00806939" w:rsidRPr="002C3979">
              <w:rPr>
                <w:rFonts w:asciiTheme="minorHAnsi" w:hAnsiTheme="minorHAnsi" w:cstheme="minorHAnsi"/>
                <w:szCs w:val="18"/>
              </w:rPr>
              <w:t>.0</w:t>
            </w:r>
          </w:p>
        </w:tc>
      </w:tr>
      <w:tr w:rsidR="00DB2FF9" w:rsidRPr="005566B0" w14:paraId="4145EC94" w14:textId="77777777" w:rsidTr="002C3979">
        <w:trPr>
          <w:trHeight w:val="57"/>
        </w:trPr>
        <w:tc>
          <w:tcPr>
            <w:tcW w:w="5615" w:type="dxa"/>
            <w:tcBorders>
              <w:bottom w:val="single" w:sz="4" w:space="0" w:color="3A6FAF" w:themeColor="accent2"/>
            </w:tcBorders>
            <w:shd w:val="clear" w:color="auto" w:fill="auto"/>
            <w:noWrap/>
            <w:vAlign w:val="bottom"/>
            <w:hideMark/>
          </w:tcPr>
          <w:p w14:paraId="590252E9" w14:textId="1065AC9C" w:rsidR="00DB2FF9" w:rsidRPr="002C3979" w:rsidRDefault="00A65D19" w:rsidP="00DB2FF9">
            <w:pPr>
              <w:pStyle w:val="TableTextLeft"/>
              <w:rPr>
                <w:rFonts w:asciiTheme="minorHAnsi" w:hAnsiTheme="minorHAnsi" w:cstheme="minorHAnsi"/>
                <w:szCs w:val="18"/>
              </w:rPr>
            </w:pPr>
            <w:r w:rsidRPr="002C3979">
              <w:rPr>
                <w:rFonts w:asciiTheme="minorHAnsi" w:hAnsiTheme="minorHAnsi" w:cstheme="minorHAnsi"/>
                <w:szCs w:val="18"/>
              </w:rPr>
              <w:t>Financial</w:t>
            </w:r>
            <w:r w:rsidR="00DB2FF9" w:rsidRPr="002C3979">
              <w:rPr>
                <w:rFonts w:asciiTheme="minorHAnsi" w:hAnsiTheme="minorHAnsi" w:cstheme="minorHAnsi"/>
                <w:szCs w:val="18"/>
              </w:rPr>
              <w:t xml:space="preserve"> and </w:t>
            </w:r>
            <w:r w:rsidRPr="002C3979">
              <w:rPr>
                <w:rFonts w:asciiTheme="minorHAnsi" w:hAnsiTheme="minorHAnsi" w:cstheme="minorHAnsi"/>
                <w:szCs w:val="18"/>
              </w:rPr>
              <w:t>Insurance</w:t>
            </w:r>
            <w:r w:rsidR="00DB2FF9" w:rsidRPr="002C3979">
              <w:rPr>
                <w:rFonts w:asciiTheme="minorHAnsi" w:hAnsiTheme="minorHAnsi" w:cstheme="minorHAnsi"/>
                <w:szCs w:val="18"/>
              </w:rPr>
              <w:t xml:space="preserve"> Services</w:t>
            </w:r>
          </w:p>
        </w:tc>
        <w:tc>
          <w:tcPr>
            <w:tcW w:w="1728" w:type="dxa"/>
            <w:tcBorders>
              <w:bottom w:val="single" w:sz="4" w:space="0" w:color="3A6FAF" w:themeColor="accent2"/>
            </w:tcBorders>
            <w:shd w:val="clear" w:color="auto" w:fill="auto"/>
            <w:noWrap/>
            <w:vAlign w:val="bottom"/>
            <w:hideMark/>
          </w:tcPr>
          <w:p w14:paraId="493393BA" w14:textId="190F2FC9"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17.8</w:t>
            </w:r>
          </w:p>
        </w:tc>
        <w:tc>
          <w:tcPr>
            <w:tcW w:w="1728" w:type="dxa"/>
            <w:tcBorders>
              <w:bottom w:val="single" w:sz="4" w:space="0" w:color="3A6FAF" w:themeColor="accent2"/>
            </w:tcBorders>
            <w:shd w:val="clear" w:color="auto" w:fill="auto"/>
            <w:noWrap/>
            <w:vAlign w:val="bottom"/>
            <w:hideMark/>
          </w:tcPr>
          <w:p w14:paraId="5AB733AA" w14:textId="4A6D344E" w:rsidR="00DB2FF9" w:rsidRPr="002C3979" w:rsidRDefault="00A65D19" w:rsidP="00DB2FF9">
            <w:pPr>
              <w:pStyle w:val="TableTextRight"/>
              <w:rPr>
                <w:rFonts w:asciiTheme="minorHAnsi" w:hAnsiTheme="minorHAnsi" w:cstheme="minorHAnsi"/>
                <w:szCs w:val="18"/>
              </w:rPr>
            </w:pPr>
            <w:r w:rsidRPr="002C3979">
              <w:rPr>
                <w:rFonts w:asciiTheme="minorHAnsi" w:hAnsiTheme="minorHAnsi" w:cstheme="minorHAnsi"/>
                <w:szCs w:val="18"/>
              </w:rPr>
              <w:t>7.5</w:t>
            </w:r>
          </w:p>
        </w:tc>
      </w:tr>
    </w:tbl>
    <w:p w14:paraId="75E3A039" w14:textId="7E583411" w:rsidR="003C4C4A" w:rsidRPr="003C4C4A" w:rsidRDefault="003C4C4A" w:rsidP="00CD1525">
      <w:pPr>
        <w:pStyle w:val="ChartorTableNote"/>
        <w:rPr>
          <w:szCs w:val="16"/>
        </w:rPr>
      </w:pPr>
      <w:r>
        <w:rPr>
          <w:szCs w:val="16"/>
        </w:rPr>
        <w:t xml:space="preserve">Data underlying </w:t>
      </w:r>
      <w:r w:rsidR="00066FC6">
        <w:rPr>
          <w:szCs w:val="16"/>
        </w:rPr>
        <w:t>F</w:t>
      </w:r>
      <w:r w:rsidRPr="00734FA1">
        <w:rPr>
          <w:szCs w:val="16"/>
        </w:rPr>
        <w:t xml:space="preserve">igure </w:t>
      </w:r>
      <w:r w:rsidR="006D740C">
        <w:rPr>
          <w:szCs w:val="16"/>
        </w:rPr>
        <w:t>10</w:t>
      </w:r>
      <w:r w:rsidR="004133D6">
        <w:rPr>
          <w:szCs w:val="16"/>
        </w:rPr>
        <w:t>.</w:t>
      </w:r>
    </w:p>
    <w:p w14:paraId="1B30A1C0" w14:textId="1825F183" w:rsidR="001162C5" w:rsidRDefault="00B533D9" w:rsidP="001162C5">
      <w:pPr>
        <w:pStyle w:val="ChartorTableNote"/>
      </w:pPr>
      <w:r>
        <w:t xml:space="preserve">Note: </w:t>
      </w:r>
      <w:r w:rsidR="000702F3">
        <w:t>Entities that received JobKeeper included companies, not</w:t>
      </w:r>
      <w:r w:rsidR="0038520A">
        <w:noBreakHyphen/>
      </w:r>
      <w:r w:rsidR="000702F3">
        <w:t>for</w:t>
      </w:r>
      <w:r w:rsidR="0038520A">
        <w:noBreakHyphen/>
      </w:r>
      <w:r w:rsidR="000702F3">
        <w:t xml:space="preserve">profits, sole traders, trusts, and </w:t>
      </w:r>
      <w:r w:rsidR="00150002">
        <w:t>partnerships. Some</w:t>
      </w:r>
      <w:r w:rsidR="000702F3">
        <w:t xml:space="preserve"> of </w:t>
      </w:r>
      <w:r w:rsidR="00150002">
        <w:t>those entity types</w:t>
      </w:r>
      <w:r w:rsidR="000702F3">
        <w:t xml:space="preserve"> may not be </w:t>
      </w:r>
      <w:r w:rsidR="00150002">
        <w:t>represented</w:t>
      </w:r>
      <w:r w:rsidR="000702F3">
        <w:t xml:space="preserve"> in the ATO data on income tax return</w:t>
      </w:r>
      <w:r w:rsidR="00150002">
        <w:t>s</w:t>
      </w:r>
      <w:r w:rsidR="000702F3">
        <w:t xml:space="preserve"> and payment summary lodgements</w:t>
      </w:r>
      <w:r w:rsidR="004508BC">
        <w:t>.</w:t>
      </w:r>
    </w:p>
    <w:p w14:paraId="6409EC4B" w14:textId="09F859CB" w:rsidR="001E3A13" w:rsidRPr="00B533D9" w:rsidRDefault="001E3A13" w:rsidP="001E3A13">
      <w:pPr>
        <w:pStyle w:val="ChartorTableNote"/>
      </w:pPr>
      <w:r w:rsidRPr="002C73BA">
        <w:t>Source: ATO administrative data</w:t>
      </w:r>
      <w:r>
        <w:t xml:space="preserve"> as at 15 August 2021</w:t>
      </w:r>
      <w:r w:rsidR="008813D2">
        <w:t xml:space="preserve"> and</w:t>
      </w:r>
      <w:r w:rsidRPr="002C73BA">
        <w:t xml:space="preserve"> </w:t>
      </w:r>
      <w:r>
        <w:t>2018</w:t>
      </w:r>
      <w:r w:rsidR="0038520A">
        <w:noBreakHyphen/>
      </w:r>
      <w:r>
        <w:t>19 income tax return and payment summary lodgements</w:t>
      </w:r>
      <w:r w:rsidR="00EE3BB9">
        <w:t>.</w:t>
      </w:r>
    </w:p>
    <w:p w14:paraId="15CED233" w14:textId="77777777" w:rsidR="001E3A13" w:rsidRPr="001E3A13" w:rsidRDefault="001E3A13" w:rsidP="001E3A13"/>
    <w:p w14:paraId="20E3B6FA" w14:textId="77777777" w:rsidR="0001403C" w:rsidRDefault="0001403C">
      <w:pPr>
        <w:spacing w:before="0" w:after="200" w:line="276" w:lineRule="auto"/>
        <w:rPr>
          <w:rFonts w:cs="Arial"/>
          <w:b/>
          <w:color w:val="3A6FAF" w:themeColor="accent2"/>
          <w:kern w:val="32"/>
          <w:sz w:val="28"/>
          <w:szCs w:val="26"/>
        </w:rPr>
      </w:pPr>
      <w:r>
        <w:br w:type="page"/>
      </w:r>
    </w:p>
    <w:p w14:paraId="55EC2438" w14:textId="32805A5E" w:rsidR="006C129B" w:rsidRPr="005566B0" w:rsidRDefault="006C129B" w:rsidP="008B271B">
      <w:pPr>
        <w:pStyle w:val="TableMainHeading"/>
      </w:pPr>
      <w:bookmarkStart w:id="221" w:name="_Toc84842606"/>
      <w:r>
        <w:lastRenderedPageBreak/>
        <w:t xml:space="preserve">JobKeeper </w:t>
      </w:r>
      <w:r w:rsidR="006B6E31">
        <w:t xml:space="preserve">first </w:t>
      </w:r>
      <w:r w:rsidR="006B6E31">
        <w:rPr>
          <w:rFonts w:asciiTheme="minorHAnsi" w:hAnsiTheme="minorHAnsi" w:cstheme="minorHAnsi"/>
        </w:rPr>
        <w:t>phase</w:t>
      </w:r>
      <w:r>
        <w:t xml:space="preserve"> coverage of pre</w:t>
      </w:r>
      <w:r w:rsidR="0038520A">
        <w:noBreakHyphen/>
      </w:r>
      <w:r>
        <w:t>COVID</w:t>
      </w:r>
      <w:r w:rsidR="0038520A">
        <w:noBreakHyphen/>
      </w:r>
      <w:r w:rsidR="003233D3">
        <w:t xml:space="preserve">19 </w:t>
      </w:r>
      <w:r>
        <w:t>employment, distribution by SA4</w:t>
      </w:r>
      <w:bookmarkEnd w:id="221"/>
      <w:r>
        <w:t xml:space="preserve"> </w:t>
      </w:r>
    </w:p>
    <w:tbl>
      <w:tblPr>
        <w:tblW w:w="5006" w:type="pct"/>
        <w:tblCellMar>
          <w:left w:w="0" w:type="dxa"/>
          <w:right w:w="28" w:type="dxa"/>
        </w:tblCellMar>
        <w:tblLook w:val="04A0" w:firstRow="1" w:lastRow="0" w:firstColumn="1" w:lastColumn="0" w:noHBand="0" w:noVBand="1"/>
      </w:tblPr>
      <w:tblGrid>
        <w:gridCol w:w="1077"/>
        <w:gridCol w:w="4252"/>
        <w:gridCol w:w="3753"/>
      </w:tblGrid>
      <w:tr w:rsidR="006C129B" w:rsidRPr="00666791" w14:paraId="48B2C620" w14:textId="77777777" w:rsidTr="0008058E">
        <w:trPr>
          <w:trHeight w:val="1062"/>
          <w:tblHeader/>
        </w:trPr>
        <w:tc>
          <w:tcPr>
            <w:tcW w:w="1077" w:type="dxa"/>
            <w:tcBorders>
              <w:top w:val="single" w:sz="4" w:space="0" w:color="3A6FAF" w:themeColor="accent2"/>
              <w:bottom w:val="single" w:sz="4" w:space="0" w:color="3A6FAF" w:themeColor="accent2"/>
            </w:tcBorders>
            <w:shd w:val="clear" w:color="000000" w:fill="FFFFFF"/>
            <w:vAlign w:val="center"/>
            <w:hideMark/>
          </w:tcPr>
          <w:p w14:paraId="646C6A31" w14:textId="77777777" w:rsidR="006C129B" w:rsidRPr="00666791" w:rsidRDefault="006C129B" w:rsidP="00505F02">
            <w:pPr>
              <w:pStyle w:val="TableColumnHeadingLeft"/>
            </w:pPr>
            <w:r w:rsidRPr="00666791">
              <w:t>SA4 CODE</w:t>
            </w:r>
          </w:p>
        </w:tc>
        <w:tc>
          <w:tcPr>
            <w:tcW w:w="4252" w:type="dxa"/>
            <w:tcBorders>
              <w:top w:val="single" w:sz="4" w:space="0" w:color="3A6FAF" w:themeColor="accent2"/>
              <w:bottom w:val="single" w:sz="4" w:space="0" w:color="3A6FAF" w:themeColor="accent2"/>
            </w:tcBorders>
            <w:shd w:val="clear" w:color="000000" w:fill="FFFFFF"/>
            <w:vAlign w:val="center"/>
            <w:hideMark/>
          </w:tcPr>
          <w:p w14:paraId="2E32D642" w14:textId="77777777" w:rsidR="006C129B" w:rsidRPr="00666791" w:rsidRDefault="006C129B" w:rsidP="00505F02">
            <w:pPr>
              <w:pStyle w:val="TableColumnHeadingLeft"/>
            </w:pPr>
            <w:r w:rsidRPr="00666791">
              <w:t xml:space="preserve">SA4 REGION </w:t>
            </w:r>
          </w:p>
        </w:tc>
        <w:tc>
          <w:tcPr>
            <w:tcW w:w="3753" w:type="dxa"/>
            <w:tcBorders>
              <w:top w:val="single" w:sz="4" w:space="0" w:color="3A6FAF" w:themeColor="accent2"/>
              <w:bottom w:val="single" w:sz="4" w:space="0" w:color="3A6FAF" w:themeColor="accent2"/>
            </w:tcBorders>
            <w:shd w:val="clear" w:color="000000" w:fill="FFFFFF"/>
            <w:vAlign w:val="center"/>
            <w:hideMark/>
          </w:tcPr>
          <w:p w14:paraId="79E7E0AC" w14:textId="04381EE2" w:rsidR="006C129B" w:rsidRDefault="006C129B" w:rsidP="00505F02">
            <w:pPr>
              <w:pStyle w:val="TableColumnHeadingRight"/>
            </w:pPr>
            <w:r>
              <w:t>Share of pre</w:t>
            </w:r>
            <w:r w:rsidR="0038520A">
              <w:noBreakHyphen/>
            </w:r>
            <w:r>
              <w:t>COVID</w:t>
            </w:r>
            <w:r w:rsidR="0038520A">
              <w:noBreakHyphen/>
            </w:r>
            <w:r w:rsidR="003233D3">
              <w:t xml:space="preserve">19 </w:t>
            </w:r>
            <w:r>
              <w:t>employment</w:t>
            </w:r>
          </w:p>
          <w:p w14:paraId="6F527080" w14:textId="46636587" w:rsidR="006C129B" w:rsidRPr="00666791" w:rsidRDefault="00DC400F" w:rsidP="00505F02">
            <w:pPr>
              <w:pStyle w:val="TableColumnHeadingRight"/>
            </w:pPr>
            <w:r>
              <w:t>%</w:t>
            </w:r>
          </w:p>
        </w:tc>
      </w:tr>
      <w:tr w:rsidR="006C129B" w:rsidRPr="00505F02" w14:paraId="07AEEAD4" w14:textId="77777777" w:rsidTr="005D79A0">
        <w:trPr>
          <w:trHeight w:val="510"/>
        </w:trPr>
        <w:tc>
          <w:tcPr>
            <w:tcW w:w="1077" w:type="dxa"/>
            <w:tcBorders>
              <w:top w:val="single" w:sz="4" w:space="0" w:color="3A6FAF" w:themeColor="accent2"/>
              <w:bottom w:val="single" w:sz="4" w:space="0" w:color="3A6FAF" w:themeColor="accent2"/>
            </w:tcBorders>
            <w:shd w:val="clear" w:color="000000" w:fill="FFFFFF"/>
            <w:vAlign w:val="bottom"/>
            <w:hideMark/>
          </w:tcPr>
          <w:p w14:paraId="0D679B8F" w14:textId="77777777" w:rsidR="006C129B" w:rsidRPr="00505F02" w:rsidRDefault="006C129B" w:rsidP="00505F02">
            <w:pPr>
              <w:pStyle w:val="TableTextCentered"/>
              <w:rPr>
                <w:b/>
                <w:bCs/>
              </w:rPr>
            </w:pPr>
            <w:r w:rsidRPr="00505F02">
              <w:rPr>
                <w:b/>
                <w:bCs/>
              </w:rPr>
              <w:t> </w:t>
            </w:r>
          </w:p>
        </w:tc>
        <w:tc>
          <w:tcPr>
            <w:tcW w:w="4252" w:type="dxa"/>
            <w:tcBorders>
              <w:top w:val="single" w:sz="4" w:space="0" w:color="3A6FAF" w:themeColor="accent2"/>
              <w:bottom w:val="single" w:sz="4" w:space="0" w:color="3A6FAF" w:themeColor="accent2"/>
            </w:tcBorders>
            <w:shd w:val="clear" w:color="000000" w:fill="FFFFFF"/>
            <w:vAlign w:val="center"/>
            <w:hideMark/>
          </w:tcPr>
          <w:p w14:paraId="5AC77FEF" w14:textId="77777777" w:rsidR="006C129B" w:rsidRPr="00505F02" w:rsidRDefault="006C129B" w:rsidP="00505F02">
            <w:pPr>
              <w:pStyle w:val="TableTextLeft"/>
              <w:rPr>
                <w:b/>
                <w:bCs/>
              </w:rPr>
            </w:pPr>
            <w:r w:rsidRPr="00505F02">
              <w:rPr>
                <w:b/>
                <w:bCs/>
              </w:rPr>
              <w:t>National Average</w:t>
            </w:r>
          </w:p>
        </w:tc>
        <w:tc>
          <w:tcPr>
            <w:tcW w:w="3753" w:type="dxa"/>
            <w:tcBorders>
              <w:top w:val="single" w:sz="4" w:space="0" w:color="3A6FAF" w:themeColor="accent2"/>
              <w:bottom w:val="single" w:sz="4" w:space="0" w:color="3A6FAF" w:themeColor="accent2"/>
            </w:tcBorders>
            <w:shd w:val="clear" w:color="000000" w:fill="FFFFFF"/>
            <w:hideMark/>
          </w:tcPr>
          <w:p w14:paraId="3283DC80" w14:textId="4C429A89" w:rsidR="006C129B" w:rsidRPr="00505F02" w:rsidRDefault="006C129B" w:rsidP="00505F02">
            <w:pPr>
              <w:pStyle w:val="TableTextRight"/>
              <w:rPr>
                <w:b/>
                <w:bCs/>
              </w:rPr>
            </w:pPr>
            <w:r w:rsidRPr="00505F02">
              <w:rPr>
                <w:b/>
                <w:bCs/>
              </w:rPr>
              <w:t>31.</w:t>
            </w:r>
            <w:r w:rsidR="005D79A0" w:rsidRPr="005D79A0">
              <w:rPr>
                <w:b/>
                <w:bCs/>
              </w:rPr>
              <w:t>3</w:t>
            </w:r>
          </w:p>
        </w:tc>
      </w:tr>
      <w:tr w:rsidR="006C129B" w:rsidRPr="00505F02" w14:paraId="5F0DF2DC" w14:textId="77777777" w:rsidTr="005D79A0">
        <w:trPr>
          <w:trHeight w:val="315"/>
        </w:trPr>
        <w:tc>
          <w:tcPr>
            <w:tcW w:w="1077" w:type="dxa"/>
            <w:tcBorders>
              <w:top w:val="single" w:sz="4" w:space="0" w:color="3A6FAF" w:themeColor="accent2"/>
            </w:tcBorders>
            <w:shd w:val="clear" w:color="000000" w:fill="FFFFFF"/>
            <w:vAlign w:val="bottom"/>
            <w:hideMark/>
          </w:tcPr>
          <w:p w14:paraId="5C736FB3" w14:textId="77777777" w:rsidR="006C129B" w:rsidRPr="00505F02" w:rsidRDefault="006C129B" w:rsidP="00505F02">
            <w:pPr>
              <w:pStyle w:val="TableTextCentered"/>
              <w:rPr>
                <w:b/>
                <w:bCs/>
              </w:rPr>
            </w:pPr>
            <w:r w:rsidRPr="00505F02">
              <w:rPr>
                <w:b/>
                <w:bCs/>
              </w:rPr>
              <w:t>100</w:t>
            </w:r>
          </w:p>
        </w:tc>
        <w:tc>
          <w:tcPr>
            <w:tcW w:w="4252" w:type="dxa"/>
            <w:tcBorders>
              <w:top w:val="single" w:sz="4" w:space="0" w:color="3A6FAF" w:themeColor="accent2"/>
            </w:tcBorders>
            <w:shd w:val="clear" w:color="000000" w:fill="FFFFFF"/>
            <w:vAlign w:val="bottom"/>
            <w:hideMark/>
          </w:tcPr>
          <w:p w14:paraId="53911811" w14:textId="0D5B308E" w:rsidR="006C129B" w:rsidRPr="00505F02" w:rsidRDefault="006C129B" w:rsidP="00505F02">
            <w:pPr>
              <w:pStyle w:val="TableTextLeft"/>
              <w:rPr>
                <w:b/>
                <w:bCs/>
              </w:rPr>
            </w:pPr>
            <w:r w:rsidRPr="00505F02">
              <w:rPr>
                <w:b/>
                <w:bCs/>
              </w:rPr>
              <w:t>NEW SOUTH WALES</w:t>
            </w:r>
            <w:r w:rsidR="0038520A">
              <w:rPr>
                <w:b/>
                <w:bCs/>
              </w:rPr>
              <w:t xml:space="preserve"> – </w:t>
            </w:r>
            <w:r w:rsidRPr="00505F02">
              <w:rPr>
                <w:b/>
                <w:bCs/>
              </w:rPr>
              <w:t>TOTAL</w:t>
            </w:r>
          </w:p>
        </w:tc>
        <w:tc>
          <w:tcPr>
            <w:tcW w:w="3753" w:type="dxa"/>
            <w:tcBorders>
              <w:top w:val="single" w:sz="4" w:space="0" w:color="3A6FAF" w:themeColor="accent2"/>
            </w:tcBorders>
            <w:shd w:val="clear" w:color="000000" w:fill="FFFFFF"/>
            <w:hideMark/>
          </w:tcPr>
          <w:p w14:paraId="00552F8D" w14:textId="5F143D68" w:rsidR="006C129B" w:rsidRPr="00505F02" w:rsidRDefault="006C129B" w:rsidP="00505F02">
            <w:pPr>
              <w:pStyle w:val="TableTextRight"/>
              <w:rPr>
                <w:b/>
                <w:bCs/>
              </w:rPr>
            </w:pPr>
            <w:r w:rsidRPr="00505F02">
              <w:rPr>
                <w:b/>
                <w:bCs/>
              </w:rPr>
              <w:t>31.</w:t>
            </w:r>
            <w:r w:rsidR="005D79A0" w:rsidRPr="005D79A0">
              <w:rPr>
                <w:b/>
                <w:bCs/>
              </w:rPr>
              <w:t>2</w:t>
            </w:r>
          </w:p>
        </w:tc>
      </w:tr>
      <w:tr w:rsidR="006C129B" w:rsidRPr="00666791" w14:paraId="7B3441D2" w14:textId="77777777" w:rsidTr="005D79A0">
        <w:trPr>
          <w:trHeight w:val="300"/>
        </w:trPr>
        <w:tc>
          <w:tcPr>
            <w:tcW w:w="1077" w:type="dxa"/>
            <w:shd w:val="clear" w:color="000000" w:fill="FFFFFF"/>
            <w:vAlign w:val="bottom"/>
            <w:hideMark/>
          </w:tcPr>
          <w:p w14:paraId="352ADC6F" w14:textId="77777777" w:rsidR="006C129B" w:rsidRPr="00666791" w:rsidRDefault="006C129B" w:rsidP="00505F02">
            <w:pPr>
              <w:pStyle w:val="TableTextCentered"/>
              <w:rPr>
                <w:rFonts w:cs="Calibri"/>
                <w:color w:val="000000"/>
                <w:szCs w:val="22"/>
              </w:rPr>
            </w:pPr>
            <w:r w:rsidRPr="00666791">
              <w:rPr>
                <w:rFonts w:cs="Calibri"/>
                <w:color w:val="000000"/>
                <w:szCs w:val="22"/>
              </w:rPr>
              <w:t>101</w:t>
            </w:r>
          </w:p>
        </w:tc>
        <w:tc>
          <w:tcPr>
            <w:tcW w:w="4252" w:type="dxa"/>
            <w:shd w:val="clear" w:color="000000" w:fill="FFFFFF"/>
            <w:vAlign w:val="bottom"/>
            <w:hideMark/>
          </w:tcPr>
          <w:p w14:paraId="48574F83" w14:textId="77777777" w:rsidR="006C129B" w:rsidRPr="00666791" w:rsidRDefault="006C129B" w:rsidP="00505F02">
            <w:pPr>
              <w:pStyle w:val="TableTextLeft"/>
              <w:rPr>
                <w:rFonts w:cs="Calibri"/>
                <w:szCs w:val="22"/>
              </w:rPr>
            </w:pPr>
            <w:r w:rsidRPr="00666791">
              <w:rPr>
                <w:rFonts w:cs="Calibri"/>
                <w:szCs w:val="22"/>
              </w:rPr>
              <w:t>Capital Region</w:t>
            </w:r>
          </w:p>
        </w:tc>
        <w:tc>
          <w:tcPr>
            <w:tcW w:w="3753" w:type="dxa"/>
            <w:shd w:val="clear" w:color="000000" w:fill="FFFFFF"/>
            <w:hideMark/>
          </w:tcPr>
          <w:p w14:paraId="58922F7A" w14:textId="4C636972" w:rsidR="006C129B" w:rsidRPr="00666791" w:rsidRDefault="006C129B" w:rsidP="00505F02">
            <w:pPr>
              <w:pStyle w:val="TableTextRight"/>
              <w:rPr>
                <w:rFonts w:cs="Calibri"/>
                <w:szCs w:val="22"/>
              </w:rPr>
            </w:pPr>
            <w:r w:rsidRPr="00666791">
              <w:rPr>
                <w:rFonts w:cs="Calibri"/>
                <w:szCs w:val="22"/>
              </w:rPr>
              <w:t>27.</w:t>
            </w:r>
            <w:r w:rsidR="005D79A0" w:rsidRPr="000042BE">
              <w:t>0</w:t>
            </w:r>
          </w:p>
        </w:tc>
      </w:tr>
      <w:tr w:rsidR="006C129B" w:rsidRPr="00666791" w14:paraId="176BCB6D" w14:textId="77777777" w:rsidTr="005D79A0">
        <w:trPr>
          <w:trHeight w:val="300"/>
        </w:trPr>
        <w:tc>
          <w:tcPr>
            <w:tcW w:w="1077" w:type="dxa"/>
            <w:shd w:val="clear" w:color="000000" w:fill="FFFFFF"/>
            <w:vAlign w:val="bottom"/>
            <w:hideMark/>
          </w:tcPr>
          <w:p w14:paraId="1ECE01B6" w14:textId="77777777" w:rsidR="006C129B" w:rsidRPr="00666791" w:rsidRDefault="006C129B" w:rsidP="00505F02">
            <w:pPr>
              <w:pStyle w:val="TableTextCentered"/>
              <w:rPr>
                <w:rFonts w:cs="Calibri"/>
                <w:color w:val="000000"/>
                <w:szCs w:val="22"/>
              </w:rPr>
            </w:pPr>
            <w:r w:rsidRPr="00666791">
              <w:rPr>
                <w:rFonts w:cs="Calibri"/>
                <w:color w:val="000000"/>
                <w:szCs w:val="22"/>
              </w:rPr>
              <w:t>102</w:t>
            </w:r>
          </w:p>
        </w:tc>
        <w:tc>
          <w:tcPr>
            <w:tcW w:w="4252" w:type="dxa"/>
            <w:shd w:val="clear" w:color="000000" w:fill="FFFFFF"/>
            <w:vAlign w:val="bottom"/>
            <w:hideMark/>
          </w:tcPr>
          <w:p w14:paraId="602476A9" w14:textId="77777777" w:rsidR="006C129B" w:rsidRPr="00666791" w:rsidRDefault="006C129B" w:rsidP="00505F02">
            <w:pPr>
              <w:pStyle w:val="TableTextLeft"/>
              <w:rPr>
                <w:rFonts w:cs="Calibri"/>
                <w:szCs w:val="22"/>
              </w:rPr>
            </w:pPr>
            <w:r w:rsidRPr="00666791">
              <w:rPr>
                <w:rFonts w:cs="Calibri"/>
                <w:szCs w:val="22"/>
              </w:rPr>
              <w:t>Central Coast</w:t>
            </w:r>
          </w:p>
        </w:tc>
        <w:tc>
          <w:tcPr>
            <w:tcW w:w="3753" w:type="dxa"/>
            <w:shd w:val="clear" w:color="000000" w:fill="FFFFFF"/>
            <w:hideMark/>
          </w:tcPr>
          <w:p w14:paraId="71E91F89" w14:textId="1AE36038" w:rsidR="006C129B" w:rsidRPr="00666791" w:rsidRDefault="005D79A0" w:rsidP="00505F02">
            <w:pPr>
              <w:pStyle w:val="TableTextRight"/>
              <w:rPr>
                <w:rFonts w:cs="Calibri"/>
                <w:szCs w:val="22"/>
              </w:rPr>
            </w:pPr>
            <w:r w:rsidRPr="000042BE">
              <w:t>33.6</w:t>
            </w:r>
          </w:p>
        </w:tc>
      </w:tr>
      <w:tr w:rsidR="006C129B" w:rsidRPr="00666791" w14:paraId="7CB08F65" w14:textId="77777777" w:rsidTr="005D79A0">
        <w:trPr>
          <w:trHeight w:val="300"/>
        </w:trPr>
        <w:tc>
          <w:tcPr>
            <w:tcW w:w="1077" w:type="dxa"/>
            <w:shd w:val="clear" w:color="000000" w:fill="FFFFFF"/>
            <w:vAlign w:val="bottom"/>
            <w:hideMark/>
          </w:tcPr>
          <w:p w14:paraId="1D67C36E" w14:textId="77777777" w:rsidR="006C129B" w:rsidRPr="00666791" w:rsidRDefault="006C129B" w:rsidP="00505F02">
            <w:pPr>
              <w:pStyle w:val="TableTextCentered"/>
              <w:rPr>
                <w:rFonts w:cs="Calibri"/>
                <w:color w:val="000000"/>
                <w:szCs w:val="22"/>
              </w:rPr>
            </w:pPr>
            <w:r w:rsidRPr="00666791">
              <w:rPr>
                <w:rFonts w:cs="Calibri"/>
                <w:color w:val="000000"/>
                <w:szCs w:val="22"/>
              </w:rPr>
              <w:t>103</w:t>
            </w:r>
          </w:p>
        </w:tc>
        <w:tc>
          <w:tcPr>
            <w:tcW w:w="4252" w:type="dxa"/>
            <w:shd w:val="clear" w:color="000000" w:fill="FFFFFF"/>
            <w:vAlign w:val="bottom"/>
            <w:hideMark/>
          </w:tcPr>
          <w:p w14:paraId="30C11A98" w14:textId="2397B51F" w:rsidR="006C129B" w:rsidRPr="00666791" w:rsidRDefault="006C129B" w:rsidP="00505F02">
            <w:pPr>
              <w:pStyle w:val="TableTextLeft"/>
              <w:rPr>
                <w:rFonts w:cs="Calibri"/>
                <w:szCs w:val="22"/>
              </w:rPr>
            </w:pPr>
            <w:r w:rsidRPr="00666791">
              <w:rPr>
                <w:rFonts w:cs="Calibri"/>
                <w:szCs w:val="22"/>
              </w:rPr>
              <w:t>New South Wales</w:t>
            </w:r>
            <w:r w:rsidR="0038520A">
              <w:rPr>
                <w:rFonts w:cs="Calibri"/>
                <w:szCs w:val="22"/>
              </w:rPr>
              <w:t xml:space="preserve"> – </w:t>
            </w:r>
            <w:r w:rsidRPr="00666791">
              <w:rPr>
                <w:rFonts w:cs="Calibri"/>
                <w:szCs w:val="22"/>
              </w:rPr>
              <w:t>Central West</w:t>
            </w:r>
          </w:p>
        </w:tc>
        <w:tc>
          <w:tcPr>
            <w:tcW w:w="3753" w:type="dxa"/>
            <w:shd w:val="clear" w:color="000000" w:fill="FFFFFF"/>
            <w:hideMark/>
          </w:tcPr>
          <w:p w14:paraId="7B260591" w14:textId="31D91498" w:rsidR="006C129B" w:rsidRPr="00666791" w:rsidRDefault="006C129B" w:rsidP="00505F02">
            <w:pPr>
              <w:pStyle w:val="TableTextRight"/>
              <w:rPr>
                <w:rFonts w:cs="Calibri"/>
                <w:szCs w:val="22"/>
              </w:rPr>
            </w:pPr>
            <w:r w:rsidRPr="00666791">
              <w:rPr>
                <w:rFonts w:cs="Calibri"/>
                <w:szCs w:val="22"/>
              </w:rPr>
              <w:t>25.</w:t>
            </w:r>
            <w:r w:rsidR="005D79A0" w:rsidRPr="000042BE">
              <w:t>3</w:t>
            </w:r>
          </w:p>
        </w:tc>
      </w:tr>
      <w:tr w:rsidR="006C129B" w:rsidRPr="00666791" w14:paraId="25C49D08" w14:textId="77777777" w:rsidTr="005D79A0">
        <w:trPr>
          <w:trHeight w:val="300"/>
        </w:trPr>
        <w:tc>
          <w:tcPr>
            <w:tcW w:w="1077" w:type="dxa"/>
            <w:shd w:val="clear" w:color="000000" w:fill="FFFFFF"/>
            <w:vAlign w:val="bottom"/>
            <w:hideMark/>
          </w:tcPr>
          <w:p w14:paraId="1C7A227C" w14:textId="77777777" w:rsidR="006C129B" w:rsidRPr="00666791" w:rsidRDefault="006C129B" w:rsidP="00505F02">
            <w:pPr>
              <w:pStyle w:val="TableTextCentered"/>
              <w:rPr>
                <w:rFonts w:cs="Calibri"/>
                <w:color w:val="000000"/>
                <w:szCs w:val="22"/>
              </w:rPr>
            </w:pPr>
            <w:r w:rsidRPr="00666791">
              <w:rPr>
                <w:rFonts w:cs="Calibri"/>
                <w:color w:val="000000"/>
                <w:szCs w:val="22"/>
              </w:rPr>
              <w:t>104</w:t>
            </w:r>
          </w:p>
        </w:tc>
        <w:tc>
          <w:tcPr>
            <w:tcW w:w="4252" w:type="dxa"/>
            <w:shd w:val="clear" w:color="000000" w:fill="FFFFFF"/>
            <w:vAlign w:val="bottom"/>
            <w:hideMark/>
          </w:tcPr>
          <w:p w14:paraId="1489AE37" w14:textId="02D6A73B" w:rsidR="006C129B" w:rsidRPr="00666791" w:rsidRDefault="006C129B" w:rsidP="00505F02">
            <w:pPr>
              <w:pStyle w:val="TableTextLeft"/>
              <w:rPr>
                <w:rFonts w:cs="Calibri"/>
                <w:szCs w:val="22"/>
              </w:rPr>
            </w:pPr>
            <w:r w:rsidRPr="00666791">
              <w:rPr>
                <w:rFonts w:cs="Calibri"/>
                <w:szCs w:val="22"/>
              </w:rPr>
              <w:t>Coffs Harbour</w:t>
            </w:r>
            <w:r w:rsidR="0038520A">
              <w:rPr>
                <w:rFonts w:cs="Calibri"/>
                <w:szCs w:val="22"/>
              </w:rPr>
              <w:t xml:space="preserve"> – </w:t>
            </w:r>
            <w:r w:rsidRPr="00666791">
              <w:rPr>
                <w:rFonts w:cs="Calibri"/>
                <w:szCs w:val="22"/>
              </w:rPr>
              <w:t>Grafton</w:t>
            </w:r>
          </w:p>
        </w:tc>
        <w:tc>
          <w:tcPr>
            <w:tcW w:w="3753" w:type="dxa"/>
            <w:shd w:val="clear" w:color="000000" w:fill="FFFFFF"/>
            <w:hideMark/>
          </w:tcPr>
          <w:p w14:paraId="00ED2C2E" w14:textId="13074E8A" w:rsidR="006C129B" w:rsidRPr="00666791" w:rsidRDefault="006C129B" w:rsidP="00505F02">
            <w:pPr>
              <w:pStyle w:val="TableTextRight"/>
              <w:rPr>
                <w:rFonts w:cs="Calibri"/>
                <w:szCs w:val="22"/>
              </w:rPr>
            </w:pPr>
            <w:r w:rsidRPr="00666791">
              <w:rPr>
                <w:rFonts w:cs="Calibri"/>
                <w:szCs w:val="22"/>
              </w:rPr>
              <w:t>31.</w:t>
            </w:r>
            <w:r w:rsidR="005D79A0" w:rsidRPr="000042BE">
              <w:t>4</w:t>
            </w:r>
          </w:p>
        </w:tc>
      </w:tr>
      <w:tr w:rsidR="006C129B" w:rsidRPr="00666791" w14:paraId="58CC74C2" w14:textId="77777777" w:rsidTr="005D79A0">
        <w:trPr>
          <w:trHeight w:val="300"/>
        </w:trPr>
        <w:tc>
          <w:tcPr>
            <w:tcW w:w="1077" w:type="dxa"/>
            <w:shd w:val="clear" w:color="000000" w:fill="FFFFFF"/>
            <w:vAlign w:val="bottom"/>
            <w:hideMark/>
          </w:tcPr>
          <w:p w14:paraId="02C8F7DB" w14:textId="77777777" w:rsidR="006C129B" w:rsidRPr="00666791" w:rsidRDefault="006C129B" w:rsidP="00505F02">
            <w:pPr>
              <w:pStyle w:val="TableTextCentered"/>
              <w:rPr>
                <w:rFonts w:cs="Calibri"/>
                <w:color w:val="000000"/>
                <w:szCs w:val="22"/>
              </w:rPr>
            </w:pPr>
            <w:r w:rsidRPr="00666791">
              <w:rPr>
                <w:rFonts w:cs="Calibri"/>
                <w:color w:val="000000"/>
                <w:szCs w:val="22"/>
              </w:rPr>
              <w:t>105</w:t>
            </w:r>
          </w:p>
        </w:tc>
        <w:tc>
          <w:tcPr>
            <w:tcW w:w="4252" w:type="dxa"/>
            <w:shd w:val="clear" w:color="000000" w:fill="FFFFFF"/>
            <w:vAlign w:val="bottom"/>
            <w:hideMark/>
          </w:tcPr>
          <w:p w14:paraId="72D93129" w14:textId="77777777" w:rsidR="006C129B" w:rsidRPr="00666791" w:rsidRDefault="006C129B" w:rsidP="00505F02">
            <w:pPr>
              <w:pStyle w:val="TableTextLeft"/>
              <w:rPr>
                <w:rFonts w:cs="Calibri"/>
                <w:szCs w:val="22"/>
              </w:rPr>
            </w:pPr>
            <w:r w:rsidRPr="00666791">
              <w:rPr>
                <w:rFonts w:cs="Calibri"/>
                <w:szCs w:val="22"/>
              </w:rPr>
              <w:t>Far West and Orana</w:t>
            </w:r>
          </w:p>
        </w:tc>
        <w:tc>
          <w:tcPr>
            <w:tcW w:w="3753" w:type="dxa"/>
            <w:shd w:val="clear" w:color="000000" w:fill="FFFFFF"/>
            <w:hideMark/>
          </w:tcPr>
          <w:p w14:paraId="113FD49E" w14:textId="73BD192B" w:rsidR="006C129B" w:rsidRPr="00666791" w:rsidRDefault="005D79A0" w:rsidP="00505F02">
            <w:pPr>
              <w:pStyle w:val="TableTextRight"/>
              <w:rPr>
                <w:rFonts w:cs="Calibri"/>
                <w:szCs w:val="22"/>
              </w:rPr>
            </w:pPr>
            <w:r w:rsidRPr="000042BE">
              <w:t>28.9</w:t>
            </w:r>
          </w:p>
        </w:tc>
      </w:tr>
      <w:tr w:rsidR="006C129B" w:rsidRPr="00666791" w14:paraId="64FB23CC" w14:textId="77777777" w:rsidTr="005D79A0">
        <w:trPr>
          <w:trHeight w:val="300"/>
        </w:trPr>
        <w:tc>
          <w:tcPr>
            <w:tcW w:w="1077" w:type="dxa"/>
            <w:shd w:val="clear" w:color="000000" w:fill="FFFFFF"/>
            <w:vAlign w:val="bottom"/>
            <w:hideMark/>
          </w:tcPr>
          <w:p w14:paraId="36A81BA1" w14:textId="77777777" w:rsidR="006C129B" w:rsidRPr="00666791" w:rsidRDefault="006C129B" w:rsidP="00505F02">
            <w:pPr>
              <w:pStyle w:val="TableTextCentered"/>
              <w:rPr>
                <w:rFonts w:cs="Calibri"/>
                <w:color w:val="000000"/>
                <w:szCs w:val="22"/>
              </w:rPr>
            </w:pPr>
            <w:r w:rsidRPr="00666791">
              <w:rPr>
                <w:rFonts w:cs="Calibri"/>
                <w:color w:val="000000"/>
                <w:szCs w:val="22"/>
              </w:rPr>
              <w:t>106</w:t>
            </w:r>
          </w:p>
        </w:tc>
        <w:tc>
          <w:tcPr>
            <w:tcW w:w="4252" w:type="dxa"/>
            <w:shd w:val="clear" w:color="000000" w:fill="FFFFFF"/>
            <w:vAlign w:val="bottom"/>
            <w:hideMark/>
          </w:tcPr>
          <w:p w14:paraId="6A38D191" w14:textId="77777777" w:rsidR="006C129B" w:rsidRPr="00666791" w:rsidRDefault="006C129B" w:rsidP="00505F02">
            <w:pPr>
              <w:pStyle w:val="TableTextLeft"/>
              <w:rPr>
                <w:rFonts w:cs="Calibri"/>
                <w:szCs w:val="22"/>
              </w:rPr>
            </w:pPr>
            <w:r w:rsidRPr="00666791">
              <w:rPr>
                <w:rFonts w:cs="Calibri"/>
                <w:szCs w:val="22"/>
              </w:rPr>
              <w:t>Hunter Valley exc Newcastle</w:t>
            </w:r>
          </w:p>
        </w:tc>
        <w:tc>
          <w:tcPr>
            <w:tcW w:w="3753" w:type="dxa"/>
            <w:shd w:val="clear" w:color="000000" w:fill="FFFFFF"/>
            <w:hideMark/>
          </w:tcPr>
          <w:p w14:paraId="20CC9EF7" w14:textId="7183915A" w:rsidR="006C129B" w:rsidRPr="00666791" w:rsidRDefault="006C129B" w:rsidP="00505F02">
            <w:pPr>
              <w:pStyle w:val="TableTextRight"/>
              <w:rPr>
                <w:rFonts w:cs="Calibri"/>
                <w:szCs w:val="22"/>
              </w:rPr>
            </w:pPr>
            <w:r w:rsidRPr="00666791">
              <w:rPr>
                <w:rFonts w:cs="Calibri"/>
                <w:szCs w:val="22"/>
              </w:rPr>
              <w:t>28.</w:t>
            </w:r>
            <w:r w:rsidR="005D79A0" w:rsidRPr="000042BE">
              <w:t>3</w:t>
            </w:r>
          </w:p>
        </w:tc>
      </w:tr>
      <w:tr w:rsidR="006C129B" w:rsidRPr="00666791" w14:paraId="1A818271" w14:textId="77777777" w:rsidTr="005D79A0">
        <w:trPr>
          <w:trHeight w:val="300"/>
        </w:trPr>
        <w:tc>
          <w:tcPr>
            <w:tcW w:w="1077" w:type="dxa"/>
            <w:shd w:val="clear" w:color="000000" w:fill="FFFFFF"/>
            <w:vAlign w:val="bottom"/>
            <w:hideMark/>
          </w:tcPr>
          <w:p w14:paraId="1199408C" w14:textId="77777777" w:rsidR="006C129B" w:rsidRPr="00666791" w:rsidRDefault="006C129B" w:rsidP="00505F02">
            <w:pPr>
              <w:pStyle w:val="TableTextCentered"/>
              <w:rPr>
                <w:rFonts w:cs="Calibri"/>
                <w:color w:val="000000"/>
                <w:szCs w:val="22"/>
              </w:rPr>
            </w:pPr>
            <w:r w:rsidRPr="00666791">
              <w:rPr>
                <w:rFonts w:cs="Calibri"/>
                <w:color w:val="000000"/>
                <w:szCs w:val="22"/>
              </w:rPr>
              <w:t>107</w:t>
            </w:r>
          </w:p>
        </w:tc>
        <w:tc>
          <w:tcPr>
            <w:tcW w:w="4252" w:type="dxa"/>
            <w:shd w:val="clear" w:color="000000" w:fill="FFFFFF"/>
            <w:vAlign w:val="bottom"/>
            <w:hideMark/>
          </w:tcPr>
          <w:p w14:paraId="3F4E02DE" w14:textId="77777777" w:rsidR="006C129B" w:rsidRPr="00666791" w:rsidRDefault="006C129B" w:rsidP="00505F02">
            <w:pPr>
              <w:pStyle w:val="TableTextLeft"/>
              <w:rPr>
                <w:rFonts w:cs="Calibri"/>
                <w:szCs w:val="22"/>
              </w:rPr>
            </w:pPr>
            <w:r w:rsidRPr="00666791">
              <w:rPr>
                <w:rFonts w:cs="Calibri"/>
                <w:szCs w:val="22"/>
              </w:rPr>
              <w:t>Illawarra</w:t>
            </w:r>
          </w:p>
        </w:tc>
        <w:tc>
          <w:tcPr>
            <w:tcW w:w="3753" w:type="dxa"/>
            <w:shd w:val="clear" w:color="000000" w:fill="FFFFFF"/>
            <w:hideMark/>
          </w:tcPr>
          <w:p w14:paraId="2ED0C77B" w14:textId="50A7AFB9" w:rsidR="006C129B" w:rsidRPr="00666791" w:rsidRDefault="005D79A0" w:rsidP="00505F02">
            <w:pPr>
              <w:pStyle w:val="TableTextRight"/>
              <w:rPr>
                <w:rFonts w:cs="Calibri"/>
                <w:szCs w:val="22"/>
              </w:rPr>
            </w:pPr>
            <w:r w:rsidRPr="000042BE">
              <w:t>30.6</w:t>
            </w:r>
          </w:p>
        </w:tc>
      </w:tr>
      <w:tr w:rsidR="006C129B" w:rsidRPr="00666791" w14:paraId="42FBB8D6" w14:textId="77777777" w:rsidTr="005D79A0">
        <w:trPr>
          <w:trHeight w:val="300"/>
        </w:trPr>
        <w:tc>
          <w:tcPr>
            <w:tcW w:w="1077" w:type="dxa"/>
            <w:shd w:val="clear" w:color="000000" w:fill="FFFFFF"/>
            <w:vAlign w:val="bottom"/>
            <w:hideMark/>
          </w:tcPr>
          <w:p w14:paraId="7575EAD6" w14:textId="77777777" w:rsidR="006C129B" w:rsidRPr="00666791" w:rsidRDefault="006C129B" w:rsidP="00505F02">
            <w:pPr>
              <w:pStyle w:val="TableTextCentered"/>
              <w:rPr>
                <w:rFonts w:cs="Calibri"/>
                <w:color w:val="000000"/>
                <w:szCs w:val="22"/>
              </w:rPr>
            </w:pPr>
            <w:r w:rsidRPr="00666791">
              <w:rPr>
                <w:rFonts w:cs="Calibri"/>
                <w:color w:val="000000"/>
                <w:szCs w:val="22"/>
              </w:rPr>
              <w:t>108</w:t>
            </w:r>
          </w:p>
        </w:tc>
        <w:tc>
          <w:tcPr>
            <w:tcW w:w="4252" w:type="dxa"/>
            <w:shd w:val="clear" w:color="000000" w:fill="FFFFFF"/>
            <w:vAlign w:val="bottom"/>
            <w:hideMark/>
          </w:tcPr>
          <w:p w14:paraId="47BF0003" w14:textId="77777777" w:rsidR="006C129B" w:rsidRPr="00666791" w:rsidRDefault="006C129B" w:rsidP="00505F02">
            <w:pPr>
              <w:pStyle w:val="TableTextLeft"/>
              <w:rPr>
                <w:rFonts w:cs="Calibri"/>
                <w:szCs w:val="22"/>
              </w:rPr>
            </w:pPr>
            <w:r w:rsidRPr="00666791">
              <w:rPr>
                <w:rFonts w:cs="Calibri"/>
                <w:szCs w:val="22"/>
              </w:rPr>
              <w:t>Mid North Coast</w:t>
            </w:r>
          </w:p>
        </w:tc>
        <w:tc>
          <w:tcPr>
            <w:tcW w:w="3753" w:type="dxa"/>
            <w:shd w:val="clear" w:color="000000" w:fill="FFFFFF"/>
            <w:hideMark/>
          </w:tcPr>
          <w:p w14:paraId="05705F11" w14:textId="2E629894" w:rsidR="006C129B" w:rsidRPr="00666791" w:rsidRDefault="005D79A0" w:rsidP="00505F02">
            <w:pPr>
              <w:pStyle w:val="TableTextRight"/>
              <w:rPr>
                <w:rFonts w:cs="Calibri"/>
                <w:szCs w:val="22"/>
              </w:rPr>
            </w:pPr>
            <w:r w:rsidRPr="000042BE">
              <w:t>33.5</w:t>
            </w:r>
          </w:p>
        </w:tc>
      </w:tr>
      <w:tr w:rsidR="006C129B" w:rsidRPr="00666791" w14:paraId="074134B4" w14:textId="77777777" w:rsidTr="005D79A0">
        <w:trPr>
          <w:trHeight w:val="300"/>
        </w:trPr>
        <w:tc>
          <w:tcPr>
            <w:tcW w:w="1077" w:type="dxa"/>
            <w:shd w:val="clear" w:color="000000" w:fill="FFFFFF"/>
            <w:vAlign w:val="bottom"/>
            <w:hideMark/>
          </w:tcPr>
          <w:p w14:paraId="4DEEC348" w14:textId="77777777" w:rsidR="006C129B" w:rsidRPr="00666791" w:rsidRDefault="006C129B" w:rsidP="00505F02">
            <w:pPr>
              <w:pStyle w:val="TableTextCentered"/>
              <w:rPr>
                <w:rFonts w:cs="Calibri"/>
                <w:color w:val="000000"/>
                <w:szCs w:val="22"/>
              </w:rPr>
            </w:pPr>
            <w:r w:rsidRPr="00666791">
              <w:rPr>
                <w:rFonts w:cs="Calibri"/>
                <w:color w:val="000000"/>
                <w:szCs w:val="22"/>
              </w:rPr>
              <w:t>109</w:t>
            </w:r>
          </w:p>
        </w:tc>
        <w:tc>
          <w:tcPr>
            <w:tcW w:w="4252" w:type="dxa"/>
            <w:shd w:val="clear" w:color="000000" w:fill="FFFFFF"/>
            <w:vAlign w:val="bottom"/>
            <w:hideMark/>
          </w:tcPr>
          <w:p w14:paraId="5BC67D51" w14:textId="77777777" w:rsidR="006C129B" w:rsidRPr="00666791" w:rsidRDefault="006C129B" w:rsidP="00505F02">
            <w:pPr>
              <w:pStyle w:val="TableTextLeft"/>
              <w:rPr>
                <w:rFonts w:cs="Calibri"/>
                <w:szCs w:val="22"/>
              </w:rPr>
            </w:pPr>
            <w:r w:rsidRPr="00666791">
              <w:rPr>
                <w:rFonts w:cs="Calibri"/>
                <w:szCs w:val="22"/>
              </w:rPr>
              <w:t>Murray</w:t>
            </w:r>
          </w:p>
        </w:tc>
        <w:tc>
          <w:tcPr>
            <w:tcW w:w="3753" w:type="dxa"/>
            <w:shd w:val="clear" w:color="000000" w:fill="FFFFFF"/>
            <w:hideMark/>
          </w:tcPr>
          <w:p w14:paraId="68C2764C" w14:textId="4421F62B" w:rsidR="006C129B" w:rsidRPr="00666791" w:rsidRDefault="005D79A0" w:rsidP="00505F02">
            <w:pPr>
              <w:pStyle w:val="TableTextRight"/>
              <w:rPr>
                <w:rFonts w:cs="Calibri"/>
                <w:szCs w:val="22"/>
              </w:rPr>
            </w:pPr>
            <w:r w:rsidRPr="000042BE">
              <w:t>28.6</w:t>
            </w:r>
          </w:p>
        </w:tc>
      </w:tr>
      <w:tr w:rsidR="006C129B" w:rsidRPr="00666791" w14:paraId="68283FC0" w14:textId="77777777" w:rsidTr="005D79A0">
        <w:trPr>
          <w:trHeight w:val="300"/>
        </w:trPr>
        <w:tc>
          <w:tcPr>
            <w:tcW w:w="1077" w:type="dxa"/>
            <w:shd w:val="clear" w:color="000000" w:fill="FFFFFF"/>
            <w:vAlign w:val="bottom"/>
            <w:hideMark/>
          </w:tcPr>
          <w:p w14:paraId="6B8F90DD" w14:textId="77777777" w:rsidR="006C129B" w:rsidRPr="00666791" w:rsidRDefault="006C129B" w:rsidP="00505F02">
            <w:pPr>
              <w:pStyle w:val="TableTextCentered"/>
              <w:rPr>
                <w:rFonts w:cs="Calibri"/>
                <w:color w:val="000000"/>
                <w:szCs w:val="22"/>
              </w:rPr>
            </w:pPr>
            <w:r w:rsidRPr="00666791">
              <w:rPr>
                <w:rFonts w:cs="Calibri"/>
                <w:color w:val="000000"/>
                <w:szCs w:val="22"/>
              </w:rPr>
              <w:t>110</w:t>
            </w:r>
          </w:p>
        </w:tc>
        <w:tc>
          <w:tcPr>
            <w:tcW w:w="4252" w:type="dxa"/>
            <w:shd w:val="clear" w:color="000000" w:fill="FFFFFF"/>
            <w:vAlign w:val="bottom"/>
            <w:hideMark/>
          </w:tcPr>
          <w:p w14:paraId="7DB56651" w14:textId="77777777" w:rsidR="006C129B" w:rsidRPr="00666791" w:rsidRDefault="006C129B" w:rsidP="00505F02">
            <w:pPr>
              <w:pStyle w:val="TableTextLeft"/>
              <w:rPr>
                <w:rFonts w:cs="Calibri"/>
                <w:szCs w:val="22"/>
              </w:rPr>
            </w:pPr>
            <w:r w:rsidRPr="00666791">
              <w:rPr>
                <w:rFonts w:cs="Calibri"/>
                <w:szCs w:val="22"/>
              </w:rPr>
              <w:t>New England and North West</w:t>
            </w:r>
          </w:p>
        </w:tc>
        <w:tc>
          <w:tcPr>
            <w:tcW w:w="3753" w:type="dxa"/>
            <w:shd w:val="clear" w:color="000000" w:fill="FFFFFF"/>
            <w:hideMark/>
          </w:tcPr>
          <w:p w14:paraId="33233154" w14:textId="66E1A430" w:rsidR="006C129B" w:rsidRPr="00666791" w:rsidRDefault="006C129B" w:rsidP="00505F02">
            <w:pPr>
              <w:pStyle w:val="TableTextRight"/>
              <w:rPr>
                <w:rFonts w:cs="Calibri"/>
                <w:szCs w:val="22"/>
              </w:rPr>
            </w:pPr>
            <w:r w:rsidRPr="00666791">
              <w:rPr>
                <w:rFonts w:cs="Calibri"/>
                <w:szCs w:val="22"/>
              </w:rPr>
              <w:t>27.</w:t>
            </w:r>
            <w:r w:rsidR="005D79A0" w:rsidRPr="000042BE">
              <w:t>3</w:t>
            </w:r>
          </w:p>
        </w:tc>
      </w:tr>
      <w:tr w:rsidR="006C129B" w:rsidRPr="00666791" w14:paraId="0EDBCEAC" w14:textId="77777777" w:rsidTr="005D79A0">
        <w:trPr>
          <w:trHeight w:val="300"/>
        </w:trPr>
        <w:tc>
          <w:tcPr>
            <w:tcW w:w="1077" w:type="dxa"/>
            <w:shd w:val="clear" w:color="000000" w:fill="FFFFFF"/>
            <w:vAlign w:val="bottom"/>
            <w:hideMark/>
          </w:tcPr>
          <w:p w14:paraId="6B229997" w14:textId="77777777" w:rsidR="006C129B" w:rsidRPr="00666791" w:rsidRDefault="006C129B" w:rsidP="00505F02">
            <w:pPr>
              <w:pStyle w:val="TableTextCentered"/>
              <w:rPr>
                <w:rFonts w:cs="Calibri"/>
                <w:color w:val="000000"/>
                <w:szCs w:val="22"/>
              </w:rPr>
            </w:pPr>
            <w:r w:rsidRPr="00666791">
              <w:rPr>
                <w:rFonts w:cs="Calibri"/>
                <w:color w:val="000000"/>
                <w:szCs w:val="22"/>
              </w:rPr>
              <w:t>111</w:t>
            </w:r>
          </w:p>
        </w:tc>
        <w:tc>
          <w:tcPr>
            <w:tcW w:w="4252" w:type="dxa"/>
            <w:shd w:val="clear" w:color="000000" w:fill="FFFFFF"/>
            <w:vAlign w:val="bottom"/>
            <w:hideMark/>
          </w:tcPr>
          <w:p w14:paraId="296B24D3" w14:textId="77777777" w:rsidR="006C129B" w:rsidRPr="00666791" w:rsidRDefault="006C129B" w:rsidP="00505F02">
            <w:pPr>
              <w:pStyle w:val="TableTextLeft"/>
              <w:rPr>
                <w:rFonts w:cs="Calibri"/>
                <w:szCs w:val="22"/>
              </w:rPr>
            </w:pPr>
            <w:r w:rsidRPr="00666791">
              <w:rPr>
                <w:rFonts w:cs="Calibri"/>
                <w:szCs w:val="22"/>
              </w:rPr>
              <w:t>Newcastle and Lake Macquarie</w:t>
            </w:r>
          </w:p>
        </w:tc>
        <w:tc>
          <w:tcPr>
            <w:tcW w:w="3753" w:type="dxa"/>
            <w:shd w:val="clear" w:color="000000" w:fill="FFFFFF"/>
            <w:hideMark/>
          </w:tcPr>
          <w:p w14:paraId="0E708CF2" w14:textId="26D17ADA" w:rsidR="006C129B" w:rsidRPr="00666791" w:rsidRDefault="006C129B" w:rsidP="00505F02">
            <w:pPr>
              <w:pStyle w:val="TableTextRight"/>
              <w:rPr>
                <w:rFonts w:cs="Calibri"/>
                <w:szCs w:val="22"/>
              </w:rPr>
            </w:pPr>
            <w:r w:rsidRPr="00666791">
              <w:rPr>
                <w:rFonts w:cs="Calibri"/>
                <w:szCs w:val="22"/>
              </w:rPr>
              <w:t>27.</w:t>
            </w:r>
            <w:r w:rsidR="005D79A0" w:rsidRPr="000042BE">
              <w:t>0</w:t>
            </w:r>
          </w:p>
        </w:tc>
      </w:tr>
      <w:tr w:rsidR="006C129B" w:rsidRPr="00666791" w14:paraId="10C41F18" w14:textId="77777777" w:rsidTr="005D79A0">
        <w:trPr>
          <w:trHeight w:val="300"/>
        </w:trPr>
        <w:tc>
          <w:tcPr>
            <w:tcW w:w="1077" w:type="dxa"/>
            <w:shd w:val="clear" w:color="000000" w:fill="FFFFFF"/>
            <w:vAlign w:val="bottom"/>
            <w:hideMark/>
          </w:tcPr>
          <w:p w14:paraId="21945D26" w14:textId="77777777" w:rsidR="006C129B" w:rsidRPr="00666791" w:rsidRDefault="006C129B" w:rsidP="00505F02">
            <w:pPr>
              <w:pStyle w:val="TableTextCentered"/>
              <w:rPr>
                <w:rFonts w:cs="Calibri"/>
                <w:color w:val="000000"/>
                <w:szCs w:val="22"/>
              </w:rPr>
            </w:pPr>
            <w:r w:rsidRPr="00666791">
              <w:rPr>
                <w:rFonts w:cs="Calibri"/>
                <w:color w:val="000000"/>
                <w:szCs w:val="22"/>
              </w:rPr>
              <w:t>112</w:t>
            </w:r>
          </w:p>
        </w:tc>
        <w:tc>
          <w:tcPr>
            <w:tcW w:w="4252" w:type="dxa"/>
            <w:shd w:val="clear" w:color="000000" w:fill="FFFFFF"/>
            <w:vAlign w:val="bottom"/>
            <w:hideMark/>
          </w:tcPr>
          <w:p w14:paraId="53C64B47" w14:textId="710840AE" w:rsidR="006C129B" w:rsidRPr="00666791" w:rsidRDefault="006C129B" w:rsidP="00505F02">
            <w:pPr>
              <w:pStyle w:val="TableTextLeft"/>
              <w:rPr>
                <w:rFonts w:cs="Calibri"/>
                <w:szCs w:val="22"/>
              </w:rPr>
            </w:pPr>
            <w:r w:rsidRPr="00666791">
              <w:rPr>
                <w:rFonts w:cs="Calibri"/>
                <w:szCs w:val="22"/>
              </w:rPr>
              <w:t>Richmond</w:t>
            </w:r>
            <w:r w:rsidR="0038520A">
              <w:rPr>
                <w:rFonts w:cs="Calibri"/>
                <w:szCs w:val="22"/>
              </w:rPr>
              <w:t xml:space="preserve"> – </w:t>
            </w:r>
            <w:r w:rsidRPr="00666791">
              <w:rPr>
                <w:rFonts w:cs="Calibri"/>
                <w:szCs w:val="22"/>
              </w:rPr>
              <w:t>Tweed</w:t>
            </w:r>
          </w:p>
        </w:tc>
        <w:tc>
          <w:tcPr>
            <w:tcW w:w="3753" w:type="dxa"/>
            <w:shd w:val="clear" w:color="000000" w:fill="FFFFFF"/>
            <w:hideMark/>
          </w:tcPr>
          <w:p w14:paraId="7942BFC7" w14:textId="605F6E4A" w:rsidR="006C129B" w:rsidRPr="00666791" w:rsidRDefault="006C129B" w:rsidP="00505F02">
            <w:pPr>
              <w:pStyle w:val="TableTextRight"/>
              <w:rPr>
                <w:rFonts w:cs="Calibri"/>
                <w:szCs w:val="22"/>
              </w:rPr>
            </w:pPr>
            <w:r w:rsidRPr="00666791">
              <w:rPr>
                <w:rFonts w:cs="Calibri"/>
                <w:szCs w:val="22"/>
              </w:rPr>
              <w:t>34.</w:t>
            </w:r>
            <w:r w:rsidR="005D79A0" w:rsidRPr="000042BE">
              <w:t>2</w:t>
            </w:r>
          </w:p>
        </w:tc>
      </w:tr>
      <w:tr w:rsidR="006C129B" w:rsidRPr="00666791" w14:paraId="5B8E8920" w14:textId="77777777" w:rsidTr="005D79A0">
        <w:trPr>
          <w:trHeight w:val="300"/>
        </w:trPr>
        <w:tc>
          <w:tcPr>
            <w:tcW w:w="1077" w:type="dxa"/>
            <w:shd w:val="clear" w:color="000000" w:fill="FFFFFF"/>
            <w:vAlign w:val="bottom"/>
            <w:hideMark/>
          </w:tcPr>
          <w:p w14:paraId="4EE9A17A" w14:textId="77777777" w:rsidR="006C129B" w:rsidRPr="00666791" w:rsidRDefault="006C129B" w:rsidP="00505F02">
            <w:pPr>
              <w:pStyle w:val="TableTextCentered"/>
              <w:rPr>
                <w:rFonts w:cs="Calibri"/>
                <w:color w:val="000000"/>
                <w:szCs w:val="22"/>
              </w:rPr>
            </w:pPr>
            <w:r w:rsidRPr="00666791">
              <w:rPr>
                <w:rFonts w:cs="Calibri"/>
                <w:color w:val="000000"/>
                <w:szCs w:val="22"/>
              </w:rPr>
              <w:t>113</w:t>
            </w:r>
          </w:p>
        </w:tc>
        <w:tc>
          <w:tcPr>
            <w:tcW w:w="4252" w:type="dxa"/>
            <w:shd w:val="clear" w:color="000000" w:fill="FFFFFF"/>
            <w:vAlign w:val="bottom"/>
            <w:hideMark/>
          </w:tcPr>
          <w:p w14:paraId="73E4A347" w14:textId="77777777" w:rsidR="006C129B" w:rsidRPr="00666791" w:rsidRDefault="006C129B" w:rsidP="00505F02">
            <w:pPr>
              <w:pStyle w:val="TableTextLeft"/>
              <w:rPr>
                <w:rFonts w:cs="Calibri"/>
                <w:szCs w:val="22"/>
              </w:rPr>
            </w:pPr>
            <w:r w:rsidRPr="00666791">
              <w:rPr>
                <w:rFonts w:cs="Calibri"/>
                <w:szCs w:val="22"/>
              </w:rPr>
              <w:t>Riverina</w:t>
            </w:r>
          </w:p>
        </w:tc>
        <w:tc>
          <w:tcPr>
            <w:tcW w:w="3753" w:type="dxa"/>
            <w:shd w:val="clear" w:color="000000" w:fill="FFFFFF"/>
            <w:hideMark/>
          </w:tcPr>
          <w:p w14:paraId="2558D275" w14:textId="3483B784" w:rsidR="006C129B" w:rsidRPr="00666791" w:rsidRDefault="005D79A0" w:rsidP="00505F02">
            <w:pPr>
              <w:pStyle w:val="TableTextRight"/>
              <w:rPr>
                <w:rFonts w:cs="Calibri"/>
                <w:szCs w:val="22"/>
              </w:rPr>
            </w:pPr>
            <w:r w:rsidRPr="000042BE">
              <w:t>24.9</w:t>
            </w:r>
          </w:p>
        </w:tc>
      </w:tr>
      <w:tr w:rsidR="006C129B" w:rsidRPr="00666791" w14:paraId="12DB031E" w14:textId="77777777" w:rsidTr="005D79A0">
        <w:trPr>
          <w:trHeight w:val="300"/>
        </w:trPr>
        <w:tc>
          <w:tcPr>
            <w:tcW w:w="1077" w:type="dxa"/>
            <w:shd w:val="clear" w:color="000000" w:fill="FFFFFF"/>
            <w:vAlign w:val="bottom"/>
            <w:hideMark/>
          </w:tcPr>
          <w:p w14:paraId="062F7A6D" w14:textId="77777777" w:rsidR="006C129B" w:rsidRPr="00666791" w:rsidRDefault="006C129B" w:rsidP="00505F02">
            <w:pPr>
              <w:pStyle w:val="TableTextCentered"/>
              <w:rPr>
                <w:rFonts w:cs="Calibri"/>
                <w:color w:val="000000"/>
                <w:szCs w:val="22"/>
              </w:rPr>
            </w:pPr>
            <w:r w:rsidRPr="00666791">
              <w:rPr>
                <w:rFonts w:cs="Calibri"/>
                <w:color w:val="000000"/>
                <w:szCs w:val="22"/>
              </w:rPr>
              <w:t>114</w:t>
            </w:r>
          </w:p>
        </w:tc>
        <w:tc>
          <w:tcPr>
            <w:tcW w:w="4252" w:type="dxa"/>
            <w:shd w:val="clear" w:color="000000" w:fill="FFFFFF"/>
            <w:vAlign w:val="bottom"/>
            <w:hideMark/>
          </w:tcPr>
          <w:p w14:paraId="66786D5B" w14:textId="77777777" w:rsidR="006C129B" w:rsidRPr="00666791" w:rsidRDefault="006C129B" w:rsidP="00505F02">
            <w:pPr>
              <w:pStyle w:val="TableTextLeft"/>
              <w:rPr>
                <w:rFonts w:cs="Calibri"/>
                <w:szCs w:val="22"/>
              </w:rPr>
            </w:pPr>
            <w:r w:rsidRPr="00666791">
              <w:rPr>
                <w:rFonts w:cs="Calibri"/>
                <w:szCs w:val="22"/>
              </w:rPr>
              <w:t>Southern Highlands and Shoalhaven</w:t>
            </w:r>
          </w:p>
        </w:tc>
        <w:tc>
          <w:tcPr>
            <w:tcW w:w="3753" w:type="dxa"/>
            <w:shd w:val="clear" w:color="000000" w:fill="FFFFFF"/>
            <w:hideMark/>
          </w:tcPr>
          <w:p w14:paraId="35081A05" w14:textId="4C441987" w:rsidR="006C129B" w:rsidRPr="00666791" w:rsidRDefault="006C129B" w:rsidP="00505F02">
            <w:pPr>
              <w:pStyle w:val="TableTextRight"/>
              <w:rPr>
                <w:rFonts w:cs="Calibri"/>
                <w:szCs w:val="22"/>
              </w:rPr>
            </w:pPr>
            <w:r w:rsidRPr="00666791">
              <w:rPr>
                <w:rFonts w:cs="Calibri"/>
                <w:szCs w:val="22"/>
              </w:rPr>
              <w:t>36.</w:t>
            </w:r>
            <w:r w:rsidR="005D79A0" w:rsidRPr="000042BE">
              <w:t>3</w:t>
            </w:r>
          </w:p>
        </w:tc>
      </w:tr>
      <w:tr w:rsidR="006C129B" w:rsidRPr="00666791" w14:paraId="3C3C62A9" w14:textId="77777777" w:rsidTr="005D79A0">
        <w:trPr>
          <w:trHeight w:val="300"/>
        </w:trPr>
        <w:tc>
          <w:tcPr>
            <w:tcW w:w="1077" w:type="dxa"/>
            <w:shd w:val="clear" w:color="000000" w:fill="FFFFFF"/>
            <w:vAlign w:val="bottom"/>
            <w:hideMark/>
          </w:tcPr>
          <w:p w14:paraId="77134C71" w14:textId="77777777" w:rsidR="006C129B" w:rsidRPr="00666791" w:rsidRDefault="006C129B" w:rsidP="00505F02">
            <w:pPr>
              <w:pStyle w:val="TableTextCentered"/>
              <w:rPr>
                <w:rFonts w:cs="Calibri"/>
                <w:color w:val="000000"/>
                <w:szCs w:val="22"/>
              </w:rPr>
            </w:pPr>
            <w:r w:rsidRPr="00666791">
              <w:rPr>
                <w:rFonts w:cs="Calibri"/>
                <w:color w:val="000000"/>
                <w:szCs w:val="22"/>
              </w:rPr>
              <w:t>115</w:t>
            </w:r>
          </w:p>
        </w:tc>
        <w:tc>
          <w:tcPr>
            <w:tcW w:w="4252" w:type="dxa"/>
            <w:shd w:val="clear" w:color="000000" w:fill="FFFFFF"/>
            <w:vAlign w:val="bottom"/>
            <w:hideMark/>
          </w:tcPr>
          <w:p w14:paraId="3A68943F" w14:textId="584E841F"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Baulkham Hills and Hawkesbury</w:t>
            </w:r>
          </w:p>
        </w:tc>
        <w:tc>
          <w:tcPr>
            <w:tcW w:w="3753" w:type="dxa"/>
            <w:shd w:val="clear" w:color="000000" w:fill="FFFFFF"/>
            <w:hideMark/>
          </w:tcPr>
          <w:p w14:paraId="590BFED7" w14:textId="2DCCD823" w:rsidR="006C129B" w:rsidRPr="00666791" w:rsidRDefault="005D79A0" w:rsidP="00505F02">
            <w:pPr>
              <w:pStyle w:val="TableTextRight"/>
              <w:rPr>
                <w:rFonts w:cs="Calibri"/>
                <w:szCs w:val="22"/>
              </w:rPr>
            </w:pPr>
            <w:r w:rsidRPr="000042BE">
              <w:t>38.5</w:t>
            </w:r>
          </w:p>
        </w:tc>
      </w:tr>
      <w:tr w:rsidR="006C129B" w:rsidRPr="00666791" w14:paraId="7012C708" w14:textId="77777777" w:rsidTr="005D79A0">
        <w:trPr>
          <w:trHeight w:val="300"/>
        </w:trPr>
        <w:tc>
          <w:tcPr>
            <w:tcW w:w="1077" w:type="dxa"/>
            <w:shd w:val="clear" w:color="000000" w:fill="FFFFFF"/>
            <w:vAlign w:val="bottom"/>
            <w:hideMark/>
          </w:tcPr>
          <w:p w14:paraId="73A1BE17" w14:textId="77777777" w:rsidR="006C129B" w:rsidRPr="00666791" w:rsidRDefault="006C129B" w:rsidP="00505F02">
            <w:pPr>
              <w:pStyle w:val="TableTextCentered"/>
              <w:rPr>
                <w:rFonts w:cs="Calibri"/>
                <w:color w:val="000000"/>
                <w:szCs w:val="22"/>
              </w:rPr>
            </w:pPr>
            <w:r w:rsidRPr="00666791">
              <w:rPr>
                <w:rFonts w:cs="Calibri"/>
                <w:color w:val="000000"/>
                <w:szCs w:val="22"/>
              </w:rPr>
              <w:t>116</w:t>
            </w:r>
          </w:p>
        </w:tc>
        <w:tc>
          <w:tcPr>
            <w:tcW w:w="4252" w:type="dxa"/>
            <w:shd w:val="clear" w:color="000000" w:fill="FFFFFF"/>
            <w:vAlign w:val="bottom"/>
            <w:hideMark/>
          </w:tcPr>
          <w:p w14:paraId="1F066A40" w14:textId="5309167C"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Blacktown</w:t>
            </w:r>
          </w:p>
        </w:tc>
        <w:tc>
          <w:tcPr>
            <w:tcW w:w="3753" w:type="dxa"/>
            <w:shd w:val="clear" w:color="000000" w:fill="FFFFFF"/>
            <w:hideMark/>
          </w:tcPr>
          <w:p w14:paraId="5426D052" w14:textId="785077BD" w:rsidR="006C129B" w:rsidRPr="00666791" w:rsidRDefault="005D79A0" w:rsidP="00505F02">
            <w:pPr>
              <w:pStyle w:val="TableTextRight"/>
              <w:rPr>
                <w:rFonts w:cs="Calibri"/>
                <w:szCs w:val="22"/>
              </w:rPr>
            </w:pPr>
            <w:r w:rsidRPr="000042BE">
              <w:t>26.9</w:t>
            </w:r>
          </w:p>
        </w:tc>
      </w:tr>
      <w:tr w:rsidR="006C129B" w:rsidRPr="00666791" w14:paraId="257F0A9A" w14:textId="77777777" w:rsidTr="005D79A0">
        <w:trPr>
          <w:trHeight w:val="300"/>
        </w:trPr>
        <w:tc>
          <w:tcPr>
            <w:tcW w:w="1077" w:type="dxa"/>
            <w:shd w:val="clear" w:color="000000" w:fill="FFFFFF"/>
            <w:vAlign w:val="bottom"/>
            <w:hideMark/>
          </w:tcPr>
          <w:p w14:paraId="1B6A77AB" w14:textId="77777777" w:rsidR="006C129B" w:rsidRPr="00666791" w:rsidRDefault="006C129B" w:rsidP="00505F02">
            <w:pPr>
              <w:pStyle w:val="TableTextCentered"/>
              <w:rPr>
                <w:rFonts w:cs="Calibri"/>
                <w:color w:val="000000"/>
                <w:szCs w:val="22"/>
              </w:rPr>
            </w:pPr>
            <w:r w:rsidRPr="00666791">
              <w:rPr>
                <w:rFonts w:cs="Calibri"/>
                <w:color w:val="000000"/>
                <w:szCs w:val="22"/>
              </w:rPr>
              <w:t>117</w:t>
            </w:r>
          </w:p>
        </w:tc>
        <w:tc>
          <w:tcPr>
            <w:tcW w:w="4252" w:type="dxa"/>
            <w:shd w:val="clear" w:color="000000" w:fill="FFFFFF"/>
            <w:vAlign w:val="bottom"/>
            <w:hideMark/>
          </w:tcPr>
          <w:p w14:paraId="5E7D950A" w14:textId="750B4711"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City and Inner South</w:t>
            </w:r>
          </w:p>
        </w:tc>
        <w:tc>
          <w:tcPr>
            <w:tcW w:w="3753" w:type="dxa"/>
            <w:shd w:val="clear" w:color="000000" w:fill="FFFFFF"/>
            <w:hideMark/>
          </w:tcPr>
          <w:p w14:paraId="12CB8A23" w14:textId="4381E7BD" w:rsidR="006C129B" w:rsidRPr="00666791" w:rsidRDefault="006C129B" w:rsidP="00505F02">
            <w:pPr>
              <w:pStyle w:val="TableTextRight"/>
              <w:rPr>
                <w:rFonts w:cs="Calibri"/>
                <w:szCs w:val="22"/>
              </w:rPr>
            </w:pPr>
            <w:r w:rsidRPr="00666791">
              <w:rPr>
                <w:rFonts w:cs="Calibri"/>
                <w:szCs w:val="22"/>
              </w:rPr>
              <w:t>27.</w:t>
            </w:r>
            <w:r w:rsidR="005D79A0" w:rsidRPr="000042BE">
              <w:t>4</w:t>
            </w:r>
          </w:p>
        </w:tc>
      </w:tr>
      <w:tr w:rsidR="006C129B" w:rsidRPr="00666791" w14:paraId="4467D278" w14:textId="77777777" w:rsidTr="005D79A0">
        <w:trPr>
          <w:trHeight w:val="300"/>
        </w:trPr>
        <w:tc>
          <w:tcPr>
            <w:tcW w:w="1077" w:type="dxa"/>
            <w:shd w:val="clear" w:color="000000" w:fill="FFFFFF"/>
            <w:vAlign w:val="bottom"/>
            <w:hideMark/>
          </w:tcPr>
          <w:p w14:paraId="15C67E07" w14:textId="77777777" w:rsidR="006C129B" w:rsidRPr="00666791" w:rsidRDefault="006C129B" w:rsidP="00505F02">
            <w:pPr>
              <w:pStyle w:val="TableTextCentered"/>
              <w:rPr>
                <w:rFonts w:cs="Calibri"/>
                <w:color w:val="000000"/>
                <w:szCs w:val="22"/>
              </w:rPr>
            </w:pPr>
            <w:r w:rsidRPr="00666791">
              <w:rPr>
                <w:rFonts w:cs="Calibri"/>
                <w:color w:val="000000"/>
                <w:szCs w:val="22"/>
              </w:rPr>
              <w:t>118</w:t>
            </w:r>
          </w:p>
        </w:tc>
        <w:tc>
          <w:tcPr>
            <w:tcW w:w="4252" w:type="dxa"/>
            <w:shd w:val="clear" w:color="000000" w:fill="FFFFFF"/>
            <w:vAlign w:val="bottom"/>
            <w:hideMark/>
          </w:tcPr>
          <w:p w14:paraId="7ADDA257" w14:textId="720E07B4"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Eastern Suburbs</w:t>
            </w:r>
          </w:p>
        </w:tc>
        <w:tc>
          <w:tcPr>
            <w:tcW w:w="3753" w:type="dxa"/>
            <w:shd w:val="clear" w:color="000000" w:fill="FFFFFF"/>
            <w:hideMark/>
          </w:tcPr>
          <w:p w14:paraId="23A9CE9B" w14:textId="57B334D5" w:rsidR="006C129B" w:rsidRPr="00666791" w:rsidRDefault="005D79A0" w:rsidP="00505F02">
            <w:pPr>
              <w:pStyle w:val="TableTextRight"/>
              <w:rPr>
                <w:rFonts w:cs="Calibri"/>
                <w:szCs w:val="22"/>
              </w:rPr>
            </w:pPr>
            <w:r w:rsidRPr="000042BE">
              <w:t>33.6</w:t>
            </w:r>
          </w:p>
        </w:tc>
      </w:tr>
      <w:tr w:rsidR="006C129B" w:rsidRPr="00666791" w14:paraId="0195E91F" w14:textId="77777777" w:rsidTr="005D79A0">
        <w:trPr>
          <w:trHeight w:val="300"/>
        </w:trPr>
        <w:tc>
          <w:tcPr>
            <w:tcW w:w="1077" w:type="dxa"/>
            <w:shd w:val="clear" w:color="000000" w:fill="FFFFFF"/>
            <w:vAlign w:val="bottom"/>
            <w:hideMark/>
          </w:tcPr>
          <w:p w14:paraId="5E022E58" w14:textId="77777777" w:rsidR="006C129B" w:rsidRPr="00666791" w:rsidRDefault="006C129B" w:rsidP="00505F02">
            <w:pPr>
              <w:pStyle w:val="TableTextCentered"/>
              <w:rPr>
                <w:rFonts w:cs="Calibri"/>
                <w:color w:val="000000"/>
                <w:szCs w:val="22"/>
              </w:rPr>
            </w:pPr>
            <w:r w:rsidRPr="00666791">
              <w:rPr>
                <w:rFonts w:cs="Calibri"/>
                <w:color w:val="000000"/>
                <w:szCs w:val="22"/>
              </w:rPr>
              <w:t>119</w:t>
            </w:r>
          </w:p>
        </w:tc>
        <w:tc>
          <w:tcPr>
            <w:tcW w:w="4252" w:type="dxa"/>
            <w:shd w:val="clear" w:color="000000" w:fill="FFFFFF"/>
            <w:vAlign w:val="bottom"/>
            <w:hideMark/>
          </w:tcPr>
          <w:p w14:paraId="14B8BD43" w14:textId="058352F0"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Inner South West</w:t>
            </w:r>
          </w:p>
        </w:tc>
        <w:tc>
          <w:tcPr>
            <w:tcW w:w="3753" w:type="dxa"/>
            <w:shd w:val="clear" w:color="000000" w:fill="FFFFFF"/>
            <w:hideMark/>
          </w:tcPr>
          <w:p w14:paraId="0E417E46" w14:textId="18D90B0A" w:rsidR="006C129B" w:rsidRPr="00666791" w:rsidRDefault="005D79A0" w:rsidP="00505F02">
            <w:pPr>
              <w:pStyle w:val="TableTextRight"/>
              <w:rPr>
                <w:rFonts w:cs="Calibri"/>
                <w:szCs w:val="22"/>
              </w:rPr>
            </w:pPr>
            <w:r w:rsidRPr="000042BE">
              <w:t>34.6</w:t>
            </w:r>
          </w:p>
        </w:tc>
      </w:tr>
      <w:tr w:rsidR="006C129B" w:rsidRPr="00666791" w14:paraId="113CFA2B" w14:textId="77777777" w:rsidTr="005D79A0">
        <w:trPr>
          <w:trHeight w:val="300"/>
        </w:trPr>
        <w:tc>
          <w:tcPr>
            <w:tcW w:w="1077" w:type="dxa"/>
            <w:shd w:val="clear" w:color="000000" w:fill="FFFFFF"/>
            <w:vAlign w:val="bottom"/>
            <w:hideMark/>
          </w:tcPr>
          <w:p w14:paraId="6F1D0BBF" w14:textId="77777777" w:rsidR="006C129B" w:rsidRPr="00666791" w:rsidRDefault="006C129B" w:rsidP="00505F02">
            <w:pPr>
              <w:pStyle w:val="TableTextCentered"/>
              <w:rPr>
                <w:rFonts w:cs="Calibri"/>
                <w:color w:val="000000"/>
                <w:szCs w:val="22"/>
              </w:rPr>
            </w:pPr>
            <w:r w:rsidRPr="00666791">
              <w:rPr>
                <w:rFonts w:cs="Calibri"/>
                <w:color w:val="000000"/>
                <w:szCs w:val="22"/>
              </w:rPr>
              <w:t>120</w:t>
            </w:r>
          </w:p>
        </w:tc>
        <w:tc>
          <w:tcPr>
            <w:tcW w:w="4252" w:type="dxa"/>
            <w:shd w:val="clear" w:color="000000" w:fill="FFFFFF"/>
            <w:vAlign w:val="bottom"/>
            <w:hideMark/>
          </w:tcPr>
          <w:p w14:paraId="48589526" w14:textId="29B59AF1"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Inner West</w:t>
            </w:r>
          </w:p>
        </w:tc>
        <w:tc>
          <w:tcPr>
            <w:tcW w:w="3753" w:type="dxa"/>
            <w:shd w:val="clear" w:color="000000" w:fill="FFFFFF"/>
            <w:hideMark/>
          </w:tcPr>
          <w:p w14:paraId="095EB471" w14:textId="001A84ED" w:rsidR="006C129B" w:rsidRPr="00666791" w:rsidRDefault="006C129B" w:rsidP="00505F02">
            <w:pPr>
              <w:pStyle w:val="TableTextRight"/>
              <w:rPr>
                <w:rFonts w:cs="Calibri"/>
                <w:szCs w:val="22"/>
              </w:rPr>
            </w:pPr>
            <w:r w:rsidRPr="00666791">
              <w:rPr>
                <w:rFonts w:cs="Calibri"/>
                <w:szCs w:val="22"/>
              </w:rPr>
              <w:t>30.</w:t>
            </w:r>
            <w:r w:rsidR="005D79A0" w:rsidRPr="000042BE">
              <w:t>4</w:t>
            </w:r>
          </w:p>
        </w:tc>
      </w:tr>
      <w:tr w:rsidR="006C129B" w:rsidRPr="00666791" w14:paraId="377C2407" w14:textId="77777777" w:rsidTr="005D79A0">
        <w:trPr>
          <w:trHeight w:val="300"/>
        </w:trPr>
        <w:tc>
          <w:tcPr>
            <w:tcW w:w="1077" w:type="dxa"/>
            <w:shd w:val="clear" w:color="000000" w:fill="FFFFFF"/>
            <w:vAlign w:val="bottom"/>
            <w:hideMark/>
          </w:tcPr>
          <w:p w14:paraId="6B55F00D" w14:textId="77777777" w:rsidR="006C129B" w:rsidRPr="00666791" w:rsidRDefault="006C129B" w:rsidP="00505F02">
            <w:pPr>
              <w:pStyle w:val="TableTextCentered"/>
              <w:rPr>
                <w:rFonts w:cs="Calibri"/>
                <w:color w:val="000000"/>
                <w:szCs w:val="22"/>
              </w:rPr>
            </w:pPr>
            <w:r w:rsidRPr="00666791">
              <w:rPr>
                <w:rFonts w:cs="Calibri"/>
                <w:color w:val="000000"/>
                <w:szCs w:val="22"/>
              </w:rPr>
              <w:t>121</w:t>
            </w:r>
          </w:p>
        </w:tc>
        <w:tc>
          <w:tcPr>
            <w:tcW w:w="4252" w:type="dxa"/>
            <w:shd w:val="clear" w:color="000000" w:fill="FFFFFF"/>
            <w:vAlign w:val="bottom"/>
            <w:hideMark/>
          </w:tcPr>
          <w:p w14:paraId="5AE717E9" w14:textId="763F70DF"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North Sydney and Hornsby</w:t>
            </w:r>
          </w:p>
        </w:tc>
        <w:tc>
          <w:tcPr>
            <w:tcW w:w="3753" w:type="dxa"/>
            <w:shd w:val="clear" w:color="000000" w:fill="FFFFFF"/>
            <w:hideMark/>
          </w:tcPr>
          <w:p w14:paraId="6E8D22C7" w14:textId="45A6B424" w:rsidR="006C129B" w:rsidRPr="00666791" w:rsidRDefault="005D79A0" w:rsidP="00505F02">
            <w:pPr>
              <w:pStyle w:val="TableTextRight"/>
              <w:rPr>
                <w:rFonts w:cs="Calibri"/>
                <w:szCs w:val="22"/>
              </w:rPr>
            </w:pPr>
            <w:r w:rsidRPr="000042BE">
              <w:t>31.9</w:t>
            </w:r>
          </w:p>
        </w:tc>
      </w:tr>
      <w:tr w:rsidR="006C129B" w:rsidRPr="00666791" w14:paraId="33954B17" w14:textId="77777777" w:rsidTr="005D79A0">
        <w:trPr>
          <w:trHeight w:val="300"/>
        </w:trPr>
        <w:tc>
          <w:tcPr>
            <w:tcW w:w="1077" w:type="dxa"/>
            <w:shd w:val="clear" w:color="000000" w:fill="FFFFFF"/>
            <w:vAlign w:val="bottom"/>
            <w:hideMark/>
          </w:tcPr>
          <w:p w14:paraId="307F0493" w14:textId="77777777" w:rsidR="006C129B" w:rsidRPr="00666791" w:rsidRDefault="006C129B" w:rsidP="00505F02">
            <w:pPr>
              <w:pStyle w:val="TableTextCentered"/>
              <w:rPr>
                <w:rFonts w:cs="Calibri"/>
                <w:color w:val="000000"/>
                <w:szCs w:val="22"/>
              </w:rPr>
            </w:pPr>
            <w:r w:rsidRPr="00666791">
              <w:rPr>
                <w:rFonts w:cs="Calibri"/>
                <w:color w:val="000000"/>
                <w:szCs w:val="22"/>
              </w:rPr>
              <w:t>122</w:t>
            </w:r>
          </w:p>
        </w:tc>
        <w:tc>
          <w:tcPr>
            <w:tcW w:w="4252" w:type="dxa"/>
            <w:shd w:val="clear" w:color="000000" w:fill="FFFFFF"/>
            <w:vAlign w:val="bottom"/>
            <w:hideMark/>
          </w:tcPr>
          <w:p w14:paraId="13DF41B0" w14:textId="1B308BDE"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Northern Beaches</w:t>
            </w:r>
          </w:p>
        </w:tc>
        <w:tc>
          <w:tcPr>
            <w:tcW w:w="3753" w:type="dxa"/>
            <w:shd w:val="clear" w:color="000000" w:fill="FFFFFF"/>
            <w:hideMark/>
          </w:tcPr>
          <w:p w14:paraId="76E7BEF2" w14:textId="32EB20B1" w:rsidR="006C129B" w:rsidRPr="00666791" w:rsidRDefault="005D79A0" w:rsidP="00505F02">
            <w:pPr>
              <w:pStyle w:val="TableTextRight"/>
              <w:rPr>
                <w:rFonts w:cs="Calibri"/>
                <w:szCs w:val="22"/>
              </w:rPr>
            </w:pPr>
            <w:r w:rsidRPr="000042BE">
              <w:t>39.7</w:t>
            </w:r>
          </w:p>
        </w:tc>
      </w:tr>
      <w:tr w:rsidR="006C129B" w:rsidRPr="00666791" w14:paraId="46F2DE7D" w14:textId="77777777" w:rsidTr="005D79A0">
        <w:trPr>
          <w:trHeight w:val="300"/>
        </w:trPr>
        <w:tc>
          <w:tcPr>
            <w:tcW w:w="1077" w:type="dxa"/>
            <w:shd w:val="clear" w:color="000000" w:fill="FFFFFF"/>
            <w:vAlign w:val="bottom"/>
            <w:hideMark/>
          </w:tcPr>
          <w:p w14:paraId="016E90E5" w14:textId="77777777" w:rsidR="006C129B" w:rsidRPr="00666791" w:rsidRDefault="006C129B" w:rsidP="00505F02">
            <w:pPr>
              <w:pStyle w:val="TableTextCentered"/>
              <w:rPr>
                <w:rFonts w:cs="Calibri"/>
                <w:color w:val="000000"/>
                <w:szCs w:val="22"/>
              </w:rPr>
            </w:pPr>
            <w:r w:rsidRPr="00666791">
              <w:rPr>
                <w:rFonts w:cs="Calibri"/>
                <w:color w:val="000000"/>
                <w:szCs w:val="22"/>
              </w:rPr>
              <w:t>123</w:t>
            </w:r>
          </w:p>
        </w:tc>
        <w:tc>
          <w:tcPr>
            <w:tcW w:w="4252" w:type="dxa"/>
            <w:shd w:val="clear" w:color="000000" w:fill="FFFFFF"/>
            <w:vAlign w:val="bottom"/>
            <w:hideMark/>
          </w:tcPr>
          <w:p w14:paraId="09B94503" w14:textId="337BCAD9"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Outer South West</w:t>
            </w:r>
          </w:p>
        </w:tc>
        <w:tc>
          <w:tcPr>
            <w:tcW w:w="3753" w:type="dxa"/>
            <w:shd w:val="clear" w:color="000000" w:fill="FFFFFF"/>
            <w:hideMark/>
          </w:tcPr>
          <w:p w14:paraId="239930D3" w14:textId="41DC36C0" w:rsidR="006C129B" w:rsidRPr="00666791" w:rsidRDefault="006C129B" w:rsidP="00505F02">
            <w:pPr>
              <w:pStyle w:val="TableTextRight"/>
              <w:rPr>
                <w:rFonts w:cs="Calibri"/>
                <w:szCs w:val="22"/>
              </w:rPr>
            </w:pPr>
            <w:r w:rsidRPr="00666791">
              <w:rPr>
                <w:rFonts w:cs="Calibri"/>
                <w:szCs w:val="22"/>
              </w:rPr>
              <w:t>33.</w:t>
            </w:r>
            <w:r w:rsidR="005D79A0" w:rsidRPr="000042BE">
              <w:t>4</w:t>
            </w:r>
          </w:p>
        </w:tc>
      </w:tr>
      <w:tr w:rsidR="006C129B" w:rsidRPr="00666791" w14:paraId="2931B4C0" w14:textId="77777777" w:rsidTr="005D79A0">
        <w:trPr>
          <w:trHeight w:val="300"/>
        </w:trPr>
        <w:tc>
          <w:tcPr>
            <w:tcW w:w="1077" w:type="dxa"/>
            <w:shd w:val="clear" w:color="000000" w:fill="FFFFFF"/>
            <w:vAlign w:val="bottom"/>
            <w:hideMark/>
          </w:tcPr>
          <w:p w14:paraId="6E4E3CB5" w14:textId="77777777" w:rsidR="006C129B" w:rsidRPr="00666791" w:rsidRDefault="006C129B" w:rsidP="00505F02">
            <w:pPr>
              <w:pStyle w:val="TableTextCentered"/>
              <w:rPr>
                <w:rFonts w:cs="Calibri"/>
                <w:color w:val="000000"/>
                <w:szCs w:val="22"/>
              </w:rPr>
            </w:pPr>
            <w:r w:rsidRPr="00666791">
              <w:rPr>
                <w:rFonts w:cs="Calibri"/>
                <w:color w:val="000000"/>
                <w:szCs w:val="22"/>
              </w:rPr>
              <w:t>124</w:t>
            </w:r>
          </w:p>
        </w:tc>
        <w:tc>
          <w:tcPr>
            <w:tcW w:w="4252" w:type="dxa"/>
            <w:shd w:val="clear" w:color="000000" w:fill="FFFFFF"/>
            <w:vAlign w:val="bottom"/>
            <w:hideMark/>
          </w:tcPr>
          <w:p w14:paraId="4A7BE570" w14:textId="3BDB2450"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Outer West and Blue Mountains</w:t>
            </w:r>
          </w:p>
        </w:tc>
        <w:tc>
          <w:tcPr>
            <w:tcW w:w="3753" w:type="dxa"/>
            <w:shd w:val="clear" w:color="000000" w:fill="FFFFFF"/>
            <w:hideMark/>
          </w:tcPr>
          <w:p w14:paraId="0E1DD2EE" w14:textId="3A8F67C5" w:rsidR="006C129B" w:rsidRPr="00666791" w:rsidRDefault="006C129B" w:rsidP="00505F02">
            <w:pPr>
              <w:pStyle w:val="TableTextRight"/>
              <w:rPr>
                <w:rFonts w:cs="Calibri"/>
                <w:szCs w:val="22"/>
              </w:rPr>
            </w:pPr>
            <w:r w:rsidRPr="00666791">
              <w:rPr>
                <w:rFonts w:cs="Calibri"/>
                <w:szCs w:val="22"/>
              </w:rPr>
              <w:t>29.</w:t>
            </w:r>
            <w:r w:rsidR="005D79A0" w:rsidRPr="000042BE">
              <w:t>5</w:t>
            </w:r>
          </w:p>
        </w:tc>
      </w:tr>
      <w:tr w:rsidR="006C129B" w:rsidRPr="00666791" w14:paraId="1FDFD5D0" w14:textId="77777777" w:rsidTr="005D79A0">
        <w:trPr>
          <w:trHeight w:val="300"/>
        </w:trPr>
        <w:tc>
          <w:tcPr>
            <w:tcW w:w="1077" w:type="dxa"/>
            <w:shd w:val="clear" w:color="000000" w:fill="FFFFFF"/>
            <w:vAlign w:val="bottom"/>
            <w:hideMark/>
          </w:tcPr>
          <w:p w14:paraId="72EFFDBE" w14:textId="77777777" w:rsidR="006C129B" w:rsidRPr="00666791" w:rsidRDefault="006C129B" w:rsidP="00505F02">
            <w:pPr>
              <w:pStyle w:val="TableTextCentered"/>
              <w:rPr>
                <w:rFonts w:cs="Calibri"/>
                <w:color w:val="000000"/>
                <w:szCs w:val="22"/>
              </w:rPr>
            </w:pPr>
            <w:r w:rsidRPr="00666791">
              <w:rPr>
                <w:rFonts w:cs="Calibri"/>
                <w:color w:val="000000"/>
                <w:szCs w:val="22"/>
              </w:rPr>
              <w:t>125</w:t>
            </w:r>
          </w:p>
        </w:tc>
        <w:tc>
          <w:tcPr>
            <w:tcW w:w="4252" w:type="dxa"/>
            <w:shd w:val="clear" w:color="000000" w:fill="FFFFFF"/>
            <w:vAlign w:val="bottom"/>
            <w:hideMark/>
          </w:tcPr>
          <w:p w14:paraId="7BE6539D" w14:textId="481AEBE6"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Parramatta</w:t>
            </w:r>
          </w:p>
        </w:tc>
        <w:tc>
          <w:tcPr>
            <w:tcW w:w="3753" w:type="dxa"/>
            <w:shd w:val="clear" w:color="000000" w:fill="FFFFFF"/>
            <w:hideMark/>
          </w:tcPr>
          <w:p w14:paraId="4E2295F6" w14:textId="72EDCF9A" w:rsidR="006C129B" w:rsidRPr="00666791" w:rsidRDefault="005D79A0" w:rsidP="00505F02">
            <w:pPr>
              <w:pStyle w:val="TableTextRight"/>
              <w:rPr>
                <w:rFonts w:cs="Calibri"/>
                <w:szCs w:val="22"/>
              </w:rPr>
            </w:pPr>
            <w:r w:rsidRPr="000042BE">
              <w:t>29.6</w:t>
            </w:r>
          </w:p>
        </w:tc>
      </w:tr>
      <w:tr w:rsidR="006C129B" w:rsidRPr="00666791" w14:paraId="7B163928" w14:textId="77777777" w:rsidTr="005D79A0">
        <w:trPr>
          <w:trHeight w:val="300"/>
        </w:trPr>
        <w:tc>
          <w:tcPr>
            <w:tcW w:w="1077" w:type="dxa"/>
            <w:shd w:val="clear" w:color="000000" w:fill="FFFFFF"/>
            <w:vAlign w:val="bottom"/>
            <w:hideMark/>
          </w:tcPr>
          <w:p w14:paraId="691A3F10" w14:textId="77777777" w:rsidR="006C129B" w:rsidRPr="00666791" w:rsidRDefault="006C129B" w:rsidP="00505F02">
            <w:pPr>
              <w:pStyle w:val="TableTextCentered"/>
              <w:rPr>
                <w:rFonts w:cs="Calibri"/>
                <w:color w:val="000000"/>
                <w:szCs w:val="22"/>
              </w:rPr>
            </w:pPr>
            <w:r w:rsidRPr="00666791">
              <w:rPr>
                <w:rFonts w:cs="Calibri"/>
                <w:color w:val="000000"/>
                <w:szCs w:val="22"/>
              </w:rPr>
              <w:t>126</w:t>
            </w:r>
          </w:p>
        </w:tc>
        <w:tc>
          <w:tcPr>
            <w:tcW w:w="4252" w:type="dxa"/>
            <w:shd w:val="clear" w:color="000000" w:fill="FFFFFF"/>
            <w:vAlign w:val="bottom"/>
            <w:hideMark/>
          </w:tcPr>
          <w:p w14:paraId="2EF232FD" w14:textId="54751308"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Ryde</w:t>
            </w:r>
          </w:p>
        </w:tc>
        <w:tc>
          <w:tcPr>
            <w:tcW w:w="3753" w:type="dxa"/>
            <w:shd w:val="clear" w:color="000000" w:fill="FFFFFF"/>
            <w:hideMark/>
          </w:tcPr>
          <w:p w14:paraId="1C9AD626" w14:textId="0FD603F8" w:rsidR="006C129B" w:rsidRPr="00666791" w:rsidRDefault="006C129B" w:rsidP="00505F02">
            <w:pPr>
              <w:pStyle w:val="TableTextRight"/>
              <w:rPr>
                <w:rFonts w:cs="Calibri"/>
                <w:szCs w:val="22"/>
              </w:rPr>
            </w:pPr>
            <w:r w:rsidRPr="00666791">
              <w:rPr>
                <w:rFonts w:cs="Calibri"/>
                <w:szCs w:val="22"/>
              </w:rPr>
              <w:t>29.</w:t>
            </w:r>
            <w:r w:rsidR="005D79A0" w:rsidRPr="000042BE">
              <w:t>4</w:t>
            </w:r>
          </w:p>
        </w:tc>
      </w:tr>
      <w:tr w:rsidR="006C129B" w:rsidRPr="00666791" w14:paraId="3E9B9002" w14:textId="77777777" w:rsidTr="005D79A0">
        <w:trPr>
          <w:trHeight w:val="300"/>
        </w:trPr>
        <w:tc>
          <w:tcPr>
            <w:tcW w:w="1077" w:type="dxa"/>
            <w:shd w:val="clear" w:color="000000" w:fill="FFFFFF"/>
            <w:vAlign w:val="bottom"/>
            <w:hideMark/>
          </w:tcPr>
          <w:p w14:paraId="1E9BAD11" w14:textId="77777777" w:rsidR="006C129B" w:rsidRPr="00666791" w:rsidRDefault="006C129B" w:rsidP="00505F02">
            <w:pPr>
              <w:pStyle w:val="TableTextCentered"/>
              <w:rPr>
                <w:rFonts w:cs="Calibri"/>
                <w:color w:val="000000"/>
                <w:szCs w:val="22"/>
              </w:rPr>
            </w:pPr>
            <w:r w:rsidRPr="00666791">
              <w:rPr>
                <w:rFonts w:cs="Calibri"/>
                <w:color w:val="000000"/>
                <w:szCs w:val="22"/>
              </w:rPr>
              <w:t>127</w:t>
            </w:r>
          </w:p>
        </w:tc>
        <w:tc>
          <w:tcPr>
            <w:tcW w:w="4252" w:type="dxa"/>
            <w:shd w:val="clear" w:color="000000" w:fill="FFFFFF"/>
            <w:vAlign w:val="bottom"/>
            <w:hideMark/>
          </w:tcPr>
          <w:p w14:paraId="554B30A1" w14:textId="746890BE"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South West</w:t>
            </w:r>
          </w:p>
        </w:tc>
        <w:tc>
          <w:tcPr>
            <w:tcW w:w="3753" w:type="dxa"/>
            <w:shd w:val="clear" w:color="000000" w:fill="FFFFFF"/>
            <w:hideMark/>
          </w:tcPr>
          <w:p w14:paraId="409566F5" w14:textId="0FBD71AC" w:rsidR="006C129B" w:rsidRPr="00666791" w:rsidRDefault="005D79A0" w:rsidP="00505F02">
            <w:pPr>
              <w:pStyle w:val="TableTextRight"/>
              <w:rPr>
                <w:rFonts w:cs="Calibri"/>
                <w:szCs w:val="22"/>
              </w:rPr>
            </w:pPr>
            <w:r w:rsidRPr="000042BE">
              <w:t>32.5</w:t>
            </w:r>
          </w:p>
        </w:tc>
      </w:tr>
      <w:tr w:rsidR="006C129B" w:rsidRPr="00666791" w14:paraId="40E631DA" w14:textId="77777777" w:rsidTr="005D79A0">
        <w:trPr>
          <w:trHeight w:val="315"/>
        </w:trPr>
        <w:tc>
          <w:tcPr>
            <w:tcW w:w="1077" w:type="dxa"/>
            <w:shd w:val="clear" w:color="000000" w:fill="FFFFFF"/>
            <w:vAlign w:val="bottom"/>
            <w:hideMark/>
          </w:tcPr>
          <w:p w14:paraId="70F06FBF" w14:textId="77777777" w:rsidR="006C129B" w:rsidRPr="00666791" w:rsidRDefault="006C129B" w:rsidP="00505F02">
            <w:pPr>
              <w:pStyle w:val="TableTextCentered"/>
              <w:rPr>
                <w:rFonts w:cs="Calibri"/>
                <w:color w:val="000000"/>
                <w:szCs w:val="22"/>
              </w:rPr>
            </w:pPr>
            <w:r w:rsidRPr="00666791">
              <w:rPr>
                <w:rFonts w:cs="Calibri"/>
                <w:color w:val="000000"/>
                <w:szCs w:val="22"/>
              </w:rPr>
              <w:t>128</w:t>
            </w:r>
          </w:p>
        </w:tc>
        <w:tc>
          <w:tcPr>
            <w:tcW w:w="4252" w:type="dxa"/>
            <w:shd w:val="clear" w:color="000000" w:fill="FFFFFF"/>
            <w:vAlign w:val="bottom"/>
            <w:hideMark/>
          </w:tcPr>
          <w:p w14:paraId="52FBD61E" w14:textId="25AE740C" w:rsidR="006C129B" w:rsidRPr="00666791" w:rsidRDefault="006C129B" w:rsidP="00505F02">
            <w:pPr>
              <w:pStyle w:val="TableTextLeft"/>
              <w:rPr>
                <w:rFonts w:cs="Calibri"/>
                <w:szCs w:val="22"/>
              </w:rPr>
            </w:pPr>
            <w:r w:rsidRPr="00666791">
              <w:rPr>
                <w:rFonts w:cs="Calibri"/>
                <w:szCs w:val="22"/>
              </w:rPr>
              <w:t>Sydney</w:t>
            </w:r>
            <w:r w:rsidR="0038520A">
              <w:rPr>
                <w:rFonts w:cs="Calibri"/>
                <w:szCs w:val="22"/>
              </w:rPr>
              <w:t xml:space="preserve"> – </w:t>
            </w:r>
            <w:r w:rsidRPr="00666791">
              <w:rPr>
                <w:rFonts w:cs="Calibri"/>
                <w:szCs w:val="22"/>
              </w:rPr>
              <w:t>Sutherland</w:t>
            </w:r>
          </w:p>
        </w:tc>
        <w:tc>
          <w:tcPr>
            <w:tcW w:w="3753" w:type="dxa"/>
            <w:shd w:val="clear" w:color="000000" w:fill="FFFFFF"/>
            <w:hideMark/>
          </w:tcPr>
          <w:p w14:paraId="22520DC0" w14:textId="34244A5C" w:rsidR="006C129B" w:rsidRPr="00666791" w:rsidRDefault="005D79A0" w:rsidP="00505F02">
            <w:pPr>
              <w:pStyle w:val="TableTextRight"/>
              <w:rPr>
                <w:rFonts w:cs="Calibri"/>
                <w:szCs w:val="22"/>
              </w:rPr>
            </w:pPr>
            <w:r w:rsidRPr="000042BE">
              <w:t>37.4</w:t>
            </w:r>
          </w:p>
        </w:tc>
      </w:tr>
      <w:tr w:rsidR="006C129B" w:rsidRPr="00666791" w14:paraId="6D947134" w14:textId="77777777" w:rsidTr="005D79A0">
        <w:trPr>
          <w:trHeight w:val="315"/>
        </w:trPr>
        <w:tc>
          <w:tcPr>
            <w:tcW w:w="1077" w:type="dxa"/>
            <w:tcBorders>
              <w:bottom w:val="single" w:sz="4" w:space="0" w:color="3A6FAF" w:themeColor="accent2"/>
            </w:tcBorders>
            <w:shd w:val="clear" w:color="000000" w:fill="FFFFFF"/>
            <w:vAlign w:val="bottom"/>
            <w:hideMark/>
          </w:tcPr>
          <w:p w14:paraId="5A134D63" w14:textId="5A2CD280" w:rsidR="006C129B" w:rsidRPr="00666791" w:rsidRDefault="006C129B" w:rsidP="00505F02">
            <w:pPr>
              <w:pStyle w:val="TableTextCentered"/>
              <w:rPr>
                <w:rFonts w:cs="Calibri"/>
                <w:color w:val="000000"/>
                <w:szCs w:val="22"/>
              </w:rPr>
            </w:pPr>
          </w:p>
        </w:tc>
        <w:tc>
          <w:tcPr>
            <w:tcW w:w="4252" w:type="dxa"/>
            <w:tcBorders>
              <w:bottom w:val="single" w:sz="4" w:space="0" w:color="3A6FAF" w:themeColor="accent2"/>
            </w:tcBorders>
            <w:shd w:val="clear" w:color="000000" w:fill="FFFFFF"/>
            <w:vAlign w:val="bottom"/>
            <w:hideMark/>
          </w:tcPr>
          <w:p w14:paraId="318CBCF6" w14:textId="77777777" w:rsidR="006C129B" w:rsidRPr="00666791" w:rsidRDefault="006C129B" w:rsidP="00505F02">
            <w:pPr>
              <w:pStyle w:val="TableTextLeft"/>
              <w:rPr>
                <w:rFonts w:cs="Calibri"/>
                <w:szCs w:val="22"/>
              </w:rPr>
            </w:pPr>
            <w:r w:rsidRPr="00666791">
              <w:rPr>
                <w:rFonts w:cs="Calibri"/>
                <w:szCs w:val="22"/>
              </w:rPr>
              <w:t> </w:t>
            </w:r>
          </w:p>
        </w:tc>
        <w:tc>
          <w:tcPr>
            <w:tcW w:w="3753" w:type="dxa"/>
            <w:tcBorders>
              <w:bottom w:val="single" w:sz="4" w:space="0" w:color="3A6FAF" w:themeColor="accent2"/>
            </w:tcBorders>
            <w:shd w:val="clear" w:color="000000" w:fill="FFFFFF"/>
            <w:hideMark/>
          </w:tcPr>
          <w:p w14:paraId="7F39F5B7" w14:textId="6F45875B" w:rsidR="006C129B" w:rsidRPr="00666791" w:rsidRDefault="006C129B" w:rsidP="00505F02">
            <w:pPr>
              <w:pStyle w:val="TableTextRight"/>
              <w:rPr>
                <w:rFonts w:cs="Calibri"/>
                <w:szCs w:val="22"/>
              </w:rPr>
            </w:pPr>
          </w:p>
        </w:tc>
      </w:tr>
      <w:tr w:rsidR="006C129B" w:rsidRPr="00505F02" w14:paraId="706CB827" w14:textId="77777777" w:rsidTr="005D79A0">
        <w:trPr>
          <w:trHeight w:val="315"/>
        </w:trPr>
        <w:tc>
          <w:tcPr>
            <w:tcW w:w="1077" w:type="dxa"/>
            <w:tcBorders>
              <w:top w:val="single" w:sz="4" w:space="0" w:color="3A6FAF" w:themeColor="accent2"/>
            </w:tcBorders>
            <w:shd w:val="clear" w:color="000000" w:fill="FFFFFF"/>
            <w:vAlign w:val="bottom"/>
            <w:hideMark/>
          </w:tcPr>
          <w:p w14:paraId="72C7BE51" w14:textId="77777777" w:rsidR="006C129B" w:rsidRPr="00505F02" w:rsidRDefault="006C129B" w:rsidP="00505F02">
            <w:pPr>
              <w:pStyle w:val="TableTextCentered"/>
              <w:rPr>
                <w:b/>
                <w:bCs/>
              </w:rPr>
            </w:pPr>
            <w:r w:rsidRPr="00505F02">
              <w:rPr>
                <w:b/>
                <w:bCs/>
              </w:rPr>
              <w:t>200</w:t>
            </w:r>
          </w:p>
        </w:tc>
        <w:tc>
          <w:tcPr>
            <w:tcW w:w="4252" w:type="dxa"/>
            <w:tcBorders>
              <w:top w:val="single" w:sz="4" w:space="0" w:color="3A6FAF" w:themeColor="accent2"/>
            </w:tcBorders>
            <w:shd w:val="clear" w:color="000000" w:fill="FFFFFF"/>
            <w:vAlign w:val="bottom"/>
            <w:hideMark/>
          </w:tcPr>
          <w:p w14:paraId="73DD0EF3" w14:textId="0920BE48" w:rsidR="006C129B" w:rsidRPr="00505F02" w:rsidRDefault="006C129B" w:rsidP="00505F02">
            <w:pPr>
              <w:pStyle w:val="TableTextLeft"/>
              <w:rPr>
                <w:b/>
                <w:bCs/>
              </w:rPr>
            </w:pPr>
            <w:r w:rsidRPr="00505F02">
              <w:rPr>
                <w:b/>
                <w:bCs/>
              </w:rPr>
              <w:t>VICTORIA</w:t>
            </w:r>
            <w:r w:rsidR="0038520A">
              <w:rPr>
                <w:b/>
                <w:bCs/>
              </w:rPr>
              <w:t xml:space="preserve"> – </w:t>
            </w:r>
            <w:r w:rsidRPr="00505F02">
              <w:rPr>
                <w:b/>
                <w:bCs/>
              </w:rPr>
              <w:t>TOTAL</w:t>
            </w:r>
          </w:p>
        </w:tc>
        <w:tc>
          <w:tcPr>
            <w:tcW w:w="3753" w:type="dxa"/>
            <w:tcBorders>
              <w:top w:val="single" w:sz="4" w:space="0" w:color="3A6FAF" w:themeColor="accent2"/>
            </w:tcBorders>
            <w:shd w:val="clear" w:color="000000" w:fill="FFFFFF"/>
            <w:hideMark/>
          </w:tcPr>
          <w:p w14:paraId="02938547" w14:textId="527D3A91" w:rsidR="006C129B" w:rsidRPr="00505F02" w:rsidRDefault="005D79A0" w:rsidP="00505F02">
            <w:pPr>
              <w:pStyle w:val="TableTextRight"/>
              <w:rPr>
                <w:b/>
                <w:bCs/>
              </w:rPr>
            </w:pPr>
            <w:r w:rsidRPr="005D79A0">
              <w:rPr>
                <w:b/>
                <w:bCs/>
              </w:rPr>
              <w:t>34.7</w:t>
            </w:r>
          </w:p>
        </w:tc>
      </w:tr>
      <w:tr w:rsidR="006C129B" w:rsidRPr="00666791" w14:paraId="6DC73294" w14:textId="77777777" w:rsidTr="005D79A0">
        <w:trPr>
          <w:trHeight w:val="300"/>
        </w:trPr>
        <w:tc>
          <w:tcPr>
            <w:tcW w:w="1077" w:type="dxa"/>
            <w:shd w:val="clear" w:color="000000" w:fill="FFFFFF"/>
            <w:vAlign w:val="bottom"/>
            <w:hideMark/>
          </w:tcPr>
          <w:p w14:paraId="15E19554" w14:textId="77777777" w:rsidR="006C129B" w:rsidRPr="00666791" w:rsidRDefault="006C129B" w:rsidP="00505F02">
            <w:pPr>
              <w:pStyle w:val="TableTextCentered"/>
              <w:rPr>
                <w:rFonts w:cs="Calibri"/>
                <w:color w:val="000000"/>
                <w:szCs w:val="22"/>
              </w:rPr>
            </w:pPr>
            <w:r w:rsidRPr="00666791">
              <w:rPr>
                <w:rFonts w:cs="Calibri"/>
                <w:color w:val="000000"/>
                <w:szCs w:val="22"/>
              </w:rPr>
              <w:t>201</w:t>
            </w:r>
          </w:p>
        </w:tc>
        <w:tc>
          <w:tcPr>
            <w:tcW w:w="4252" w:type="dxa"/>
            <w:shd w:val="clear" w:color="000000" w:fill="FFFFFF"/>
            <w:vAlign w:val="bottom"/>
            <w:hideMark/>
          </w:tcPr>
          <w:p w14:paraId="0A2A63F4" w14:textId="77777777" w:rsidR="006C129B" w:rsidRPr="00666791" w:rsidRDefault="006C129B" w:rsidP="00505F02">
            <w:pPr>
              <w:pStyle w:val="TableTextLeft"/>
              <w:rPr>
                <w:rFonts w:cs="Calibri"/>
                <w:szCs w:val="22"/>
              </w:rPr>
            </w:pPr>
            <w:r w:rsidRPr="00666791">
              <w:rPr>
                <w:rFonts w:cs="Calibri"/>
                <w:szCs w:val="22"/>
              </w:rPr>
              <w:t>Ballarat</w:t>
            </w:r>
          </w:p>
        </w:tc>
        <w:tc>
          <w:tcPr>
            <w:tcW w:w="3753" w:type="dxa"/>
            <w:shd w:val="clear" w:color="000000" w:fill="FFFFFF"/>
            <w:hideMark/>
          </w:tcPr>
          <w:p w14:paraId="1749301B" w14:textId="18B87183" w:rsidR="006C129B" w:rsidRPr="00666791" w:rsidRDefault="005D79A0" w:rsidP="00505F02">
            <w:pPr>
              <w:pStyle w:val="TableTextRight"/>
              <w:rPr>
                <w:rFonts w:cs="Calibri"/>
                <w:szCs w:val="22"/>
              </w:rPr>
            </w:pPr>
            <w:r w:rsidRPr="000042BE">
              <w:t>32.9</w:t>
            </w:r>
          </w:p>
        </w:tc>
      </w:tr>
      <w:tr w:rsidR="006C129B" w:rsidRPr="00666791" w14:paraId="49CA2050" w14:textId="77777777" w:rsidTr="005D79A0">
        <w:trPr>
          <w:trHeight w:val="300"/>
        </w:trPr>
        <w:tc>
          <w:tcPr>
            <w:tcW w:w="1077" w:type="dxa"/>
            <w:shd w:val="clear" w:color="000000" w:fill="FFFFFF"/>
            <w:vAlign w:val="bottom"/>
            <w:hideMark/>
          </w:tcPr>
          <w:p w14:paraId="0DEC4F81" w14:textId="77777777" w:rsidR="006C129B" w:rsidRPr="00666791" w:rsidRDefault="006C129B" w:rsidP="00505F02">
            <w:pPr>
              <w:pStyle w:val="TableTextCentered"/>
              <w:rPr>
                <w:rFonts w:cs="Calibri"/>
                <w:color w:val="000000"/>
                <w:szCs w:val="22"/>
              </w:rPr>
            </w:pPr>
            <w:r w:rsidRPr="00666791">
              <w:rPr>
                <w:rFonts w:cs="Calibri"/>
                <w:color w:val="000000"/>
                <w:szCs w:val="22"/>
              </w:rPr>
              <w:t>202</w:t>
            </w:r>
          </w:p>
        </w:tc>
        <w:tc>
          <w:tcPr>
            <w:tcW w:w="4252" w:type="dxa"/>
            <w:shd w:val="clear" w:color="000000" w:fill="FFFFFF"/>
            <w:vAlign w:val="bottom"/>
            <w:hideMark/>
          </w:tcPr>
          <w:p w14:paraId="3DB2C588" w14:textId="77777777" w:rsidR="006C129B" w:rsidRPr="00666791" w:rsidRDefault="006C129B" w:rsidP="00505F02">
            <w:pPr>
              <w:pStyle w:val="TableTextLeft"/>
              <w:rPr>
                <w:rFonts w:cs="Calibri"/>
                <w:szCs w:val="22"/>
              </w:rPr>
            </w:pPr>
            <w:r w:rsidRPr="00666791">
              <w:rPr>
                <w:rFonts w:cs="Calibri"/>
                <w:szCs w:val="22"/>
              </w:rPr>
              <w:t>Bendigo</w:t>
            </w:r>
          </w:p>
        </w:tc>
        <w:tc>
          <w:tcPr>
            <w:tcW w:w="3753" w:type="dxa"/>
            <w:shd w:val="clear" w:color="000000" w:fill="FFFFFF"/>
            <w:hideMark/>
          </w:tcPr>
          <w:p w14:paraId="0E50B8B1" w14:textId="29392EDA" w:rsidR="006C129B" w:rsidRPr="00666791" w:rsidRDefault="006C129B" w:rsidP="00505F02">
            <w:pPr>
              <w:pStyle w:val="TableTextRight"/>
              <w:rPr>
                <w:rFonts w:cs="Calibri"/>
                <w:szCs w:val="22"/>
              </w:rPr>
            </w:pPr>
            <w:r w:rsidRPr="00666791">
              <w:rPr>
                <w:rFonts w:cs="Calibri"/>
                <w:szCs w:val="22"/>
              </w:rPr>
              <w:t>30.</w:t>
            </w:r>
            <w:r w:rsidR="005D79A0" w:rsidRPr="000042BE">
              <w:t>4</w:t>
            </w:r>
          </w:p>
        </w:tc>
      </w:tr>
      <w:tr w:rsidR="006C129B" w:rsidRPr="00666791" w14:paraId="75B718BF" w14:textId="77777777" w:rsidTr="005D79A0">
        <w:trPr>
          <w:trHeight w:val="300"/>
        </w:trPr>
        <w:tc>
          <w:tcPr>
            <w:tcW w:w="1077" w:type="dxa"/>
            <w:shd w:val="clear" w:color="000000" w:fill="FFFFFF"/>
            <w:vAlign w:val="bottom"/>
            <w:hideMark/>
          </w:tcPr>
          <w:p w14:paraId="6A4677E0" w14:textId="77777777" w:rsidR="006C129B" w:rsidRPr="00666791" w:rsidRDefault="006C129B" w:rsidP="00505F02">
            <w:pPr>
              <w:pStyle w:val="TableTextCentered"/>
              <w:rPr>
                <w:rFonts w:cs="Calibri"/>
                <w:color w:val="000000"/>
                <w:szCs w:val="22"/>
              </w:rPr>
            </w:pPr>
            <w:r w:rsidRPr="00666791">
              <w:rPr>
                <w:rFonts w:cs="Calibri"/>
                <w:color w:val="000000"/>
                <w:szCs w:val="22"/>
              </w:rPr>
              <w:t>203</w:t>
            </w:r>
          </w:p>
        </w:tc>
        <w:tc>
          <w:tcPr>
            <w:tcW w:w="4252" w:type="dxa"/>
            <w:shd w:val="clear" w:color="000000" w:fill="FFFFFF"/>
            <w:vAlign w:val="bottom"/>
            <w:hideMark/>
          </w:tcPr>
          <w:p w14:paraId="2C71ABE9" w14:textId="77777777" w:rsidR="006C129B" w:rsidRPr="00666791" w:rsidRDefault="006C129B" w:rsidP="00505F02">
            <w:pPr>
              <w:pStyle w:val="TableTextLeft"/>
              <w:rPr>
                <w:rFonts w:cs="Calibri"/>
                <w:szCs w:val="22"/>
              </w:rPr>
            </w:pPr>
            <w:r w:rsidRPr="00666791">
              <w:rPr>
                <w:rFonts w:cs="Calibri"/>
                <w:szCs w:val="22"/>
              </w:rPr>
              <w:t>Geelong</w:t>
            </w:r>
          </w:p>
        </w:tc>
        <w:tc>
          <w:tcPr>
            <w:tcW w:w="3753" w:type="dxa"/>
            <w:shd w:val="clear" w:color="000000" w:fill="FFFFFF"/>
            <w:hideMark/>
          </w:tcPr>
          <w:p w14:paraId="1FDCD3D3" w14:textId="22D49E15" w:rsidR="006C129B" w:rsidRPr="00666791" w:rsidRDefault="005D79A0" w:rsidP="00505F02">
            <w:pPr>
              <w:pStyle w:val="TableTextRight"/>
              <w:rPr>
                <w:rFonts w:cs="Calibri"/>
                <w:szCs w:val="22"/>
              </w:rPr>
            </w:pPr>
            <w:r w:rsidRPr="000042BE">
              <w:t>35.9</w:t>
            </w:r>
          </w:p>
        </w:tc>
      </w:tr>
      <w:tr w:rsidR="006C129B" w:rsidRPr="00666791" w14:paraId="12B4FF5C" w14:textId="77777777" w:rsidTr="005D79A0">
        <w:trPr>
          <w:trHeight w:val="300"/>
        </w:trPr>
        <w:tc>
          <w:tcPr>
            <w:tcW w:w="1077" w:type="dxa"/>
            <w:shd w:val="clear" w:color="000000" w:fill="FFFFFF"/>
            <w:vAlign w:val="bottom"/>
            <w:hideMark/>
          </w:tcPr>
          <w:p w14:paraId="0C3D4217" w14:textId="77777777" w:rsidR="006C129B" w:rsidRPr="00666791" w:rsidRDefault="006C129B" w:rsidP="00505F02">
            <w:pPr>
              <w:pStyle w:val="TableTextCentered"/>
              <w:rPr>
                <w:rFonts w:cs="Calibri"/>
                <w:color w:val="000000"/>
                <w:szCs w:val="22"/>
              </w:rPr>
            </w:pPr>
            <w:r w:rsidRPr="00666791">
              <w:rPr>
                <w:rFonts w:cs="Calibri"/>
                <w:color w:val="000000"/>
                <w:szCs w:val="22"/>
              </w:rPr>
              <w:t>204</w:t>
            </w:r>
          </w:p>
        </w:tc>
        <w:tc>
          <w:tcPr>
            <w:tcW w:w="4252" w:type="dxa"/>
            <w:shd w:val="clear" w:color="000000" w:fill="FFFFFF"/>
            <w:vAlign w:val="bottom"/>
            <w:hideMark/>
          </w:tcPr>
          <w:p w14:paraId="251D12A5" w14:textId="77777777" w:rsidR="006C129B" w:rsidRPr="00666791" w:rsidRDefault="006C129B" w:rsidP="00505F02">
            <w:pPr>
              <w:pStyle w:val="TableTextLeft"/>
              <w:rPr>
                <w:rFonts w:cs="Calibri"/>
                <w:szCs w:val="22"/>
              </w:rPr>
            </w:pPr>
            <w:r w:rsidRPr="00666791">
              <w:rPr>
                <w:rFonts w:cs="Calibri"/>
                <w:szCs w:val="22"/>
              </w:rPr>
              <w:t>Hume</w:t>
            </w:r>
          </w:p>
        </w:tc>
        <w:tc>
          <w:tcPr>
            <w:tcW w:w="3753" w:type="dxa"/>
            <w:shd w:val="clear" w:color="000000" w:fill="FFFFFF"/>
            <w:hideMark/>
          </w:tcPr>
          <w:p w14:paraId="676116CF" w14:textId="0011644B" w:rsidR="006C129B" w:rsidRPr="00666791" w:rsidRDefault="006C129B" w:rsidP="00505F02">
            <w:pPr>
              <w:pStyle w:val="TableTextRight"/>
              <w:rPr>
                <w:rFonts w:cs="Calibri"/>
                <w:szCs w:val="22"/>
              </w:rPr>
            </w:pPr>
            <w:r w:rsidRPr="00666791">
              <w:rPr>
                <w:rFonts w:cs="Calibri"/>
                <w:szCs w:val="22"/>
              </w:rPr>
              <w:t>30.</w:t>
            </w:r>
            <w:r w:rsidR="005D79A0" w:rsidRPr="000042BE">
              <w:t>1</w:t>
            </w:r>
          </w:p>
        </w:tc>
      </w:tr>
      <w:tr w:rsidR="006C129B" w:rsidRPr="00666791" w14:paraId="1CED1904" w14:textId="77777777" w:rsidTr="005D79A0">
        <w:trPr>
          <w:trHeight w:val="300"/>
        </w:trPr>
        <w:tc>
          <w:tcPr>
            <w:tcW w:w="1077" w:type="dxa"/>
            <w:shd w:val="clear" w:color="000000" w:fill="FFFFFF"/>
            <w:vAlign w:val="bottom"/>
            <w:hideMark/>
          </w:tcPr>
          <w:p w14:paraId="44B51F13" w14:textId="77777777" w:rsidR="006C129B" w:rsidRPr="00666791" w:rsidRDefault="006C129B" w:rsidP="00505F02">
            <w:pPr>
              <w:pStyle w:val="TableTextCentered"/>
              <w:rPr>
                <w:rFonts w:cs="Calibri"/>
                <w:color w:val="000000"/>
                <w:szCs w:val="22"/>
              </w:rPr>
            </w:pPr>
            <w:r w:rsidRPr="00666791">
              <w:rPr>
                <w:rFonts w:cs="Calibri"/>
                <w:color w:val="000000"/>
                <w:szCs w:val="22"/>
              </w:rPr>
              <w:t>205</w:t>
            </w:r>
          </w:p>
        </w:tc>
        <w:tc>
          <w:tcPr>
            <w:tcW w:w="4252" w:type="dxa"/>
            <w:shd w:val="clear" w:color="000000" w:fill="FFFFFF"/>
            <w:vAlign w:val="bottom"/>
            <w:hideMark/>
          </w:tcPr>
          <w:p w14:paraId="7375EDA5" w14:textId="086D4D12" w:rsidR="006C129B" w:rsidRPr="00666791" w:rsidRDefault="006C129B" w:rsidP="00505F02">
            <w:pPr>
              <w:pStyle w:val="TableTextLeft"/>
              <w:rPr>
                <w:rFonts w:cs="Calibri"/>
                <w:szCs w:val="22"/>
              </w:rPr>
            </w:pPr>
            <w:r w:rsidRPr="00666791">
              <w:rPr>
                <w:rFonts w:cs="Calibri"/>
                <w:szCs w:val="22"/>
              </w:rPr>
              <w:t>Latrobe</w:t>
            </w:r>
            <w:r w:rsidR="0038520A">
              <w:rPr>
                <w:rFonts w:cs="Calibri"/>
                <w:szCs w:val="22"/>
              </w:rPr>
              <w:t xml:space="preserve"> – </w:t>
            </w:r>
            <w:r w:rsidRPr="00666791">
              <w:rPr>
                <w:rFonts w:cs="Calibri"/>
                <w:szCs w:val="22"/>
              </w:rPr>
              <w:t>Gippsland</w:t>
            </w:r>
          </w:p>
        </w:tc>
        <w:tc>
          <w:tcPr>
            <w:tcW w:w="3753" w:type="dxa"/>
            <w:shd w:val="clear" w:color="000000" w:fill="FFFFFF"/>
            <w:hideMark/>
          </w:tcPr>
          <w:p w14:paraId="0E2AD9AA" w14:textId="7E7DDB54" w:rsidR="006C129B" w:rsidRPr="00666791" w:rsidRDefault="006C129B" w:rsidP="00505F02">
            <w:pPr>
              <w:pStyle w:val="TableTextRight"/>
              <w:rPr>
                <w:rFonts w:cs="Calibri"/>
                <w:szCs w:val="22"/>
              </w:rPr>
            </w:pPr>
            <w:r w:rsidRPr="00666791">
              <w:rPr>
                <w:rFonts w:cs="Calibri"/>
                <w:szCs w:val="22"/>
              </w:rPr>
              <w:t>29.</w:t>
            </w:r>
            <w:r w:rsidR="005D79A0" w:rsidRPr="000042BE">
              <w:t>2</w:t>
            </w:r>
          </w:p>
        </w:tc>
      </w:tr>
      <w:tr w:rsidR="006C129B" w:rsidRPr="00666791" w14:paraId="7E3905DA" w14:textId="77777777" w:rsidTr="005D79A0">
        <w:trPr>
          <w:trHeight w:val="300"/>
        </w:trPr>
        <w:tc>
          <w:tcPr>
            <w:tcW w:w="1077" w:type="dxa"/>
            <w:shd w:val="clear" w:color="000000" w:fill="FFFFFF"/>
            <w:vAlign w:val="bottom"/>
            <w:hideMark/>
          </w:tcPr>
          <w:p w14:paraId="4EE56227" w14:textId="77777777" w:rsidR="006C129B" w:rsidRPr="00666791" w:rsidRDefault="006C129B" w:rsidP="00505F02">
            <w:pPr>
              <w:pStyle w:val="TableTextCentered"/>
              <w:rPr>
                <w:rFonts w:cs="Calibri"/>
                <w:color w:val="000000"/>
                <w:szCs w:val="22"/>
              </w:rPr>
            </w:pPr>
            <w:r w:rsidRPr="00666791">
              <w:rPr>
                <w:rFonts w:cs="Calibri"/>
                <w:color w:val="000000"/>
                <w:szCs w:val="22"/>
              </w:rPr>
              <w:t>206</w:t>
            </w:r>
          </w:p>
        </w:tc>
        <w:tc>
          <w:tcPr>
            <w:tcW w:w="4252" w:type="dxa"/>
            <w:shd w:val="clear" w:color="000000" w:fill="FFFFFF"/>
            <w:vAlign w:val="bottom"/>
            <w:hideMark/>
          </w:tcPr>
          <w:p w14:paraId="50F358BE" w14:textId="7B26519D" w:rsidR="006C129B" w:rsidRPr="00666791" w:rsidRDefault="006C129B" w:rsidP="00505F02">
            <w:pPr>
              <w:pStyle w:val="TableTextLeft"/>
              <w:rPr>
                <w:rFonts w:cs="Calibri"/>
                <w:szCs w:val="22"/>
              </w:rPr>
            </w:pPr>
            <w:r w:rsidRPr="00666791">
              <w:rPr>
                <w:rFonts w:cs="Calibri"/>
                <w:szCs w:val="22"/>
              </w:rPr>
              <w:t>Melbourne</w:t>
            </w:r>
            <w:r w:rsidR="0038520A">
              <w:rPr>
                <w:rFonts w:cs="Calibri"/>
                <w:szCs w:val="22"/>
              </w:rPr>
              <w:t xml:space="preserve"> – </w:t>
            </w:r>
            <w:r w:rsidRPr="00666791">
              <w:rPr>
                <w:rFonts w:cs="Calibri"/>
                <w:szCs w:val="22"/>
              </w:rPr>
              <w:t>Inner</w:t>
            </w:r>
          </w:p>
        </w:tc>
        <w:tc>
          <w:tcPr>
            <w:tcW w:w="3753" w:type="dxa"/>
            <w:shd w:val="clear" w:color="000000" w:fill="FFFFFF"/>
            <w:hideMark/>
          </w:tcPr>
          <w:p w14:paraId="22A0646A" w14:textId="60155724" w:rsidR="006C129B" w:rsidRPr="00666791" w:rsidRDefault="005D79A0" w:rsidP="00505F02">
            <w:pPr>
              <w:pStyle w:val="TableTextRight"/>
              <w:rPr>
                <w:rFonts w:cs="Calibri"/>
                <w:szCs w:val="22"/>
              </w:rPr>
            </w:pPr>
            <w:r w:rsidRPr="000042BE">
              <w:t>31.7</w:t>
            </w:r>
          </w:p>
        </w:tc>
      </w:tr>
      <w:tr w:rsidR="006C129B" w:rsidRPr="00666791" w14:paraId="6EB86259" w14:textId="77777777" w:rsidTr="005D79A0">
        <w:trPr>
          <w:trHeight w:val="300"/>
        </w:trPr>
        <w:tc>
          <w:tcPr>
            <w:tcW w:w="1077" w:type="dxa"/>
            <w:shd w:val="clear" w:color="000000" w:fill="FFFFFF"/>
            <w:vAlign w:val="bottom"/>
            <w:hideMark/>
          </w:tcPr>
          <w:p w14:paraId="6CA28A1B" w14:textId="77777777" w:rsidR="006C129B" w:rsidRPr="00666791" w:rsidRDefault="006C129B" w:rsidP="00505F02">
            <w:pPr>
              <w:pStyle w:val="TableTextCentered"/>
              <w:rPr>
                <w:rFonts w:cs="Calibri"/>
                <w:color w:val="000000"/>
                <w:szCs w:val="22"/>
              </w:rPr>
            </w:pPr>
            <w:r w:rsidRPr="00666791">
              <w:rPr>
                <w:rFonts w:cs="Calibri"/>
                <w:color w:val="000000"/>
                <w:szCs w:val="22"/>
              </w:rPr>
              <w:t>207</w:t>
            </w:r>
          </w:p>
        </w:tc>
        <w:tc>
          <w:tcPr>
            <w:tcW w:w="4252" w:type="dxa"/>
            <w:shd w:val="clear" w:color="000000" w:fill="FFFFFF"/>
            <w:vAlign w:val="bottom"/>
            <w:hideMark/>
          </w:tcPr>
          <w:p w14:paraId="32992F36" w14:textId="4CA3C15A" w:rsidR="006C129B" w:rsidRPr="00666791" w:rsidRDefault="006C129B" w:rsidP="00505F02">
            <w:pPr>
              <w:pStyle w:val="TableTextLeft"/>
              <w:rPr>
                <w:rFonts w:cs="Calibri"/>
                <w:szCs w:val="22"/>
              </w:rPr>
            </w:pPr>
            <w:r w:rsidRPr="00666791">
              <w:rPr>
                <w:rFonts w:cs="Calibri"/>
                <w:szCs w:val="22"/>
              </w:rPr>
              <w:t>Melbourne</w:t>
            </w:r>
            <w:r w:rsidR="0038520A">
              <w:rPr>
                <w:rFonts w:cs="Calibri"/>
                <w:szCs w:val="22"/>
              </w:rPr>
              <w:t xml:space="preserve"> – </w:t>
            </w:r>
            <w:r w:rsidRPr="00666791">
              <w:rPr>
                <w:rFonts w:cs="Calibri"/>
                <w:szCs w:val="22"/>
              </w:rPr>
              <w:t>Inner East</w:t>
            </w:r>
          </w:p>
        </w:tc>
        <w:tc>
          <w:tcPr>
            <w:tcW w:w="3753" w:type="dxa"/>
            <w:shd w:val="clear" w:color="000000" w:fill="FFFFFF"/>
            <w:hideMark/>
          </w:tcPr>
          <w:p w14:paraId="39B4F8C5" w14:textId="43A45FA7" w:rsidR="006C129B" w:rsidRPr="00666791" w:rsidRDefault="006C129B" w:rsidP="00505F02">
            <w:pPr>
              <w:pStyle w:val="TableTextRight"/>
              <w:rPr>
                <w:rFonts w:cs="Calibri"/>
                <w:szCs w:val="22"/>
              </w:rPr>
            </w:pPr>
            <w:r w:rsidRPr="00666791">
              <w:rPr>
                <w:rFonts w:cs="Calibri"/>
                <w:szCs w:val="22"/>
              </w:rPr>
              <w:t>38.</w:t>
            </w:r>
            <w:r w:rsidR="005D79A0" w:rsidRPr="000042BE">
              <w:t>0</w:t>
            </w:r>
          </w:p>
        </w:tc>
      </w:tr>
      <w:tr w:rsidR="006C129B" w:rsidRPr="00666791" w14:paraId="45B2A5CF" w14:textId="77777777" w:rsidTr="005D79A0">
        <w:trPr>
          <w:trHeight w:val="300"/>
        </w:trPr>
        <w:tc>
          <w:tcPr>
            <w:tcW w:w="1077" w:type="dxa"/>
            <w:shd w:val="clear" w:color="000000" w:fill="FFFFFF"/>
            <w:vAlign w:val="bottom"/>
            <w:hideMark/>
          </w:tcPr>
          <w:p w14:paraId="32A1E6CB" w14:textId="77777777" w:rsidR="006C129B" w:rsidRPr="00666791" w:rsidRDefault="006C129B" w:rsidP="00505F02">
            <w:pPr>
              <w:pStyle w:val="TableTextCentered"/>
              <w:rPr>
                <w:rFonts w:cs="Calibri"/>
                <w:color w:val="000000"/>
                <w:szCs w:val="22"/>
              </w:rPr>
            </w:pPr>
            <w:r w:rsidRPr="00666791">
              <w:rPr>
                <w:rFonts w:cs="Calibri"/>
                <w:color w:val="000000"/>
                <w:szCs w:val="22"/>
              </w:rPr>
              <w:lastRenderedPageBreak/>
              <w:t>208</w:t>
            </w:r>
          </w:p>
        </w:tc>
        <w:tc>
          <w:tcPr>
            <w:tcW w:w="4252" w:type="dxa"/>
            <w:shd w:val="clear" w:color="000000" w:fill="FFFFFF"/>
            <w:vAlign w:val="bottom"/>
            <w:hideMark/>
          </w:tcPr>
          <w:p w14:paraId="081FDA55" w14:textId="7040A103" w:rsidR="006C129B" w:rsidRPr="00666791" w:rsidRDefault="006C129B" w:rsidP="00505F02">
            <w:pPr>
              <w:pStyle w:val="TableTextLeft"/>
              <w:rPr>
                <w:rFonts w:cs="Calibri"/>
                <w:szCs w:val="22"/>
              </w:rPr>
            </w:pPr>
            <w:r w:rsidRPr="00666791">
              <w:rPr>
                <w:rFonts w:cs="Calibri"/>
                <w:szCs w:val="22"/>
              </w:rPr>
              <w:t>Melbourne</w:t>
            </w:r>
            <w:r w:rsidR="0038520A">
              <w:rPr>
                <w:rFonts w:cs="Calibri"/>
                <w:szCs w:val="22"/>
              </w:rPr>
              <w:t xml:space="preserve"> – </w:t>
            </w:r>
            <w:r w:rsidRPr="00666791">
              <w:rPr>
                <w:rFonts w:cs="Calibri"/>
                <w:szCs w:val="22"/>
              </w:rPr>
              <w:t>Inner South</w:t>
            </w:r>
          </w:p>
        </w:tc>
        <w:tc>
          <w:tcPr>
            <w:tcW w:w="3753" w:type="dxa"/>
            <w:shd w:val="clear" w:color="000000" w:fill="FFFFFF"/>
            <w:hideMark/>
          </w:tcPr>
          <w:p w14:paraId="4907A786" w14:textId="6CDBB4D6" w:rsidR="006C129B" w:rsidRPr="00666791" w:rsidRDefault="005D79A0" w:rsidP="00505F02">
            <w:pPr>
              <w:pStyle w:val="TableTextRight"/>
              <w:rPr>
                <w:rFonts w:cs="Calibri"/>
                <w:szCs w:val="22"/>
              </w:rPr>
            </w:pPr>
            <w:r w:rsidRPr="000042BE">
              <w:t>36.5</w:t>
            </w:r>
          </w:p>
        </w:tc>
      </w:tr>
      <w:tr w:rsidR="006C129B" w:rsidRPr="00666791" w14:paraId="0D14FFAB" w14:textId="77777777" w:rsidTr="005D79A0">
        <w:trPr>
          <w:trHeight w:val="300"/>
        </w:trPr>
        <w:tc>
          <w:tcPr>
            <w:tcW w:w="1077" w:type="dxa"/>
            <w:shd w:val="clear" w:color="000000" w:fill="FFFFFF"/>
            <w:vAlign w:val="bottom"/>
            <w:hideMark/>
          </w:tcPr>
          <w:p w14:paraId="718FBFC7" w14:textId="77777777" w:rsidR="006C129B" w:rsidRPr="00666791" w:rsidRDefault="006C129B" w:rsidP="00505F02">
            <w:pPr>
              <w:pStyle w:val="TableTextCentered"/>
              <w:rPr>
                <w:rFonts w:cs="Calibri"/>
                <w:color w:val="000000"/>
                <w:szCs w:val="22"/>
              </w:rPr>
            </w:pPr>
            <w:r w:rsidRPr="00666791">
              <w:rPr>
                <w:rFonts w:cs="Calibri"/>
                <w:color w:val="000000"/>
                <w:szCs w:val="22"/>
              </w:rPr>
              <w:t>209</w:t>
            </w:r>
          </w:p>
        </w:tc>
        <w:tc>
          <w:tcPr>
            <w:tcW w:w="4252" w:type="dxa"/>
            <w:shd w:val="clear" w:color="000000" w:fill="FFFFFF"/>
            <w:vAlign w:val="bottom"/>
            <w:hideMark/>
          </w:tcPr>
          <w:p w14:paraId="32BD1D5F" w14:textId="65FEA68C" w:rsidR="006C129B" w:rsidRPr="00666791" w:rsidRDefault="006C129B" w:rsidP="00505F02">
            <w:pPr>
              <w:pStyle w:val="TableTextLeft"/>
              <w:rPr>
                <w:rFonts w:cs="Calibri"/>
                <w:szCs w:val="22"/>
              </w:rPr>
            </w:pPr>
            <w:r w:rsidRPr="00666791">
              <w:rPr>
                <w:rFonts w:cs="Calibri"/>
                <w:szCs w:val="22"/>
              </w:rPr>
              <w:t>Melbourne</w:t>
            </w:r>
            <w:r w:rsidR="0038520A">
              <w:rPr>
                <w:rFonts w:cs="Calibri"/>
                <w:szCs w:val="22"/>
              </w:rPr>
              <w:t xml:space="preserve"> – </w:t>
            </w:r>
            <w:r w:rsidRPr="00666791">
              <w:rPr>
                <w:rFonts w:cs="Calibri"/>
                <w:szCs w:val="22"/>
              </w:rPr>
              <w:t>North East</w:t>
            </w:r>
          </w:p>
        </w:tc>
        <w:tc>
          <w:tcPr>
            <w:tcW w:w="3753" w:type="dxa"/>
            <w:shd w:val="clear" w:color="000000" w:fill="FFFFFF"/>
            <w:hideMark/>
          </w:tcPr>
          <w:p w14:paraId="1C1C8487" w14:textId="23D3B2BB" w:rsidR="006C129B" w:rsidRPr="00666791" w:rsidRDefault="005D79A0" w:rsidP="00505F02">
            <w:pPr>
              <w:pStyle w:val="TableTextRight"/>
              <w:rPr>
                <w:rFonts w:cs="Calibri"/>
                <w:szCs w:val="22"/>
              </w:rPr>
            </w:pPr>
            <w:r w:rsidRPr="000042BE">
              <w:t>35.5</w:t>
            </w:r>
          </w:p>
        </w:tc>
      </w:tr>
      <w:tr w:rsidR="006C129B" w:rsidRPr="00666791" w14:paraId="5311C28F" w14:textId="77777777" w:rsidTr="005D79A0">
        <w:trPr>
          <w:trHeight w:val="300"/>
        </w:trPr>
        <w:tc>
          <w:tcPr>
            <w:tcW w:w="1077" w:type="dxa"/>
            <w:shd w:val="clear" w:color="000000" w:fill="FFFFFF"/>
            <w:vAlign w:val="bottom"/>
            <w:hideMark/>
          </w:tcPr>
          <w:p w14:paraId="79A107AD" w14:textId="77777777" w:rsidR="006C129B" w:rsidRPr="00666791" w:rsidRDefault="006C129B" w:rsidP="00505F02">
            <w:pPr>
              <w:pStyle w:val="TableTextCentered"/>
              <w:rPr>
                <w:rFonts w:cs="Calibri"/>
                <w:color w:val="000000"/>
                <w:szCs w:val="22"/>
              </w:rPr>
            </w:pPr>
            <w:r w:rsidRPr="00666791">
              <w:rPr>
                <w:rFonts w:cs="Calibri"/>
                <w:color w:val="000000"/>
                <w:szCs w:val="22"/>
              </w:rPr>
              <w:t>210</w:t>
            </w:r>
          </w:p>
        </w:tc>
        <w:tc>
          <w:tcPr>
            <w:tcW w:w="4252" w:type="dxa"/>
            <w:shd w:val="clear" w:color="000000" w:fill="FFFFFF"/>
            <w:vAlign w:val="bottom"/>
            <w:hideMark/>
          </w:tcPr>
          <w:p w14:paraId="31B07FC5" w14:textId="6D4AE8F8" w:rsidR="006C129B" w:rsidRPr="00666791" w:rsidRDefault="006C129B" w:rsidP="00505F02">
            <w:pPr>
              <w:pStyle w:val="TableTextLeft"/>
              <w:rPr>
                <w:rFonts w:cs="Calibri"/>
                <w:szCs w:val="22"/>
              </w:rPr>
            </w:pPr>
            <w:r w:rsidRPr="00666791">
              <w:rPr>
                <w:rFonts w:cs="Calibri"/>
                <w:szCs w:val="22"/>
              </w:rPr>
              <w:t>Melbourne</w:t>
            </w:r>
            <w:r w:rsidR="0038520A">
              <w:rPr>
                <w:rFonts w:cs="Calibri"/>
                <w:szCs w:val="22"/>
              </w:rPr>
              <w:t xml:space="preserve"> – </w:t>
            </w:r>
            <w:r w:rsidRPr="00666791">
              <w:rPr>
                <w:rFonts w:cs="Calibri"/>
                <w:szCs w:val="22"/>
              </w:rPr>
              <w:t>North West</w:t>
            </w:r>
          </w:p>
        </w:tc>
        <w:tc>
          <w:tcPr>
            <w:tcW w:w="3753" w:type="dxa"/>
            <w:shd w:val="clear" w:color="000000" w:fill="FFFFFF"/>
            <w:hideMark/>
          </w:tcPr>
          <w:p w14:paraId="5B226F39" w14:textId="3E1E2365" w:rsidR="006C129B" w:rsidRPr="00666791" w:rsidRDefault="005D79A0" w:rsidP="00505F02">
            <w:pPr>
              <w:pStyle w:val="TableTextRight"/>
              <w:rPr>
                <w:rFonts w:cs="Calibri"/>
                <w:szCs w:val="22"/>
              </w:rPr>
            </w:pPr>
            <w:r w:rsidRPr="000042BE">
              <w:t>39.7</w:t>
            </w:r>
          </w:p>
        </w:tc>
      </w:tr>
      <w:tr w:rsidR="006C129B" w:rsidRPr="00666791" w14:paraId="3880273D" w14:textId="77777777" w:rsidTr="005D79A0">
        <w:trPr>
          <w:trHeight w:val="300"/>
        </w:trPr>
        <w:tc>
          <w:tcPr>
            <w:tcW w:w="1077" w:type="dxa"/>
            <w:shd w:val="clear" w:color="000000" w:fill="FFFFFF"/>
            <w:vAlign w:val="bottom"/>
            <w:hideMark/>
          </w:tcPr>
          <w:p w14:paraId="6B61D485" w14:textId="77777777" w:rsidR="006C129B" w:rsidRPr="00666791" w:rsidRDefault="006C129B" w:rsidP="00505F02">
            <w:pPr>
              <w:pStyle w:val="TableTextCentered"/>
              <w:rPr>
                <w:rFonts w:cs="Calibri"/>
                <w:color w:val="000000"/>
                <w:szCs w:val="22"/>
              </w:rPr>
            </w:pPr>
            <w:r w:rsidRPr="00666791">
              <w:rPr>
                <w:rFonts w:cs="Calibri"/>
                <w:color w:val="000000"/>
                <w:szCs w:val="22"/>
              </w:rPr>
              <w:t>211</w:t>
            </w:r>
          </w:p>
        </w:tc>
        <w:tc>
          <w:tcPr>
            <w:tcW w:w="4252" w:type="dxa"/>
            <w:shd w:val="clear" w:color="000000" w:fill="FFFFFF"/>
            <w:vAlign w:val="bottom"/>
            <w:hideMark/>
          </w:tcPr>
          <w:p w14:paraId="2322D3BA" w14:textId="235522FB" w:rsidR="006C129B" w:rsidRPr="00666791" w:rsidRDefault="006C129B" w:rsidP="00505F02">
            <w:pPr>
              <w:pStyle w:val="TableTextLeft"/>
              <w:rPr>
                <w:rFonts w:cs="Calibri"/>
                <w:szCs w:val="22"/>
              </w:rPr>
            </w:pPr>
            <w:r w:rsidRPr="00666791">
              <w:rPr>
                <w:rFonts w:cs="Calibri"/>
                <w:szCs w:val="22"/>
              </w:rPr>
              <w:t>Melbourne</w:t>
            </w:r>
            <w:r w:rsidR="0038520A">
              <w:rPr>
                <w:rFonts w:cs="Calibri"/>
                <w:szCs w:val="22"/>
              </w:rPr>
              <w:t xml:space="preserve"> – </w:t>
            </w:r>
            <w:r w:rsidRPr="00666791">
              <w:rPr>
                <w:rFonts w:cs="Calibri"/>
                <w:szCs w:val="22"/>
              </w:rPr>
              <w:t>Outer East</w:t>
            </w:r>
          </w:p>
        </w:tc>
        <w:tc>
          <w:tcPr>
            <w:tcW w:w="3753" w:type="dxa"/>
            <w:shd w:val="clear" w:color="000000" w:fill="FFFFFF"/>
            <w:hideMark/>
          </w:tcPr>
          <w:p w14:paraId="0A213F25" w14:textId="3D17A6E2" w:rsidR="006C129B" w:rsidRPr="00666791" w:rsidRDefault="005D79A0" w:rsidP="00505F02">
            <w:pPr>
              <w:pStyle w:val="TableTextRight"/>
              <w:rPr>
                <w:rFonts w:cs="Calibri"/>
                <w:szCs w:val="22"/>
              </w:rPr>
            </w:pPr>
            <w:r w:rsidRPr="000042BE">
              <w:t>39.8</w:t>
            </w:r>
          </w:p>
        </w:tc>
      </w:tr>
      <w:tr w:rsidR="006C129B" w:rsidRPr="00666791" w14:paraId="601147C0" w14:textId="77777777" w:rsidTr="005D79A0">
        <w:trPr>
          <w:trHeight w:val="300"/>
        </w:trPr>
        <w:tc>
          <w:tcPr>
            <w:tcW w:w="1077" w:type="dxa"/>
            <w:shd w:val="clear" w:color="000000" w:fill="FFFFFF"/>
            <w:vAlign w:val="bottom"/>
            <w:hideMark/>
          </w:tcPr>
          <w:p w14:paraId="276E1CDD" w14:textId="77777777" w:rsidR="006C129B" w:rsidRPr="00666791" w:rsidRDefault="006C129B" w:rsidP="00505F02">
            <w:pPr>
              <w:pStyle w:val="TableTextCentered"/>
              <w:rPr>
                <w:rFonts w:cs="Calibri"/>
                <w:color w:val="000000"/>
                <w:szCs w:val="22"/>
              </w:rPr>
            </w:pPr>
            <w:r w:rsidRPr="00666791">
              <w:rPr>
                <w:rFonts w:cs="Calibri"/>
                <w:color w:val="000000"/>
                <w:szCs w:val="22"/>
              </w:rPr>
              <w:t>212</w:t>
            </w:r>
          </w:p>
        </w:tc>
        <w:tc>
          <w:tcPr>
            <w:tcW w:w="4252" w:type="dxa"/>
            <w:shd w:val="clear" w:color="000000" w:fill="FFFFFF"/>
            <w:vAlign w:val="bottom"/>
            <w:hideMark/>
          </w:tcPr>
          <w:p w14:paraId="46560B9F" w14:textId="6B475B2B" w:rsidR="006C129B" w:rsidRPr="00666791" w:rsidRDefault="006C129B" w:rsidP="00505F02">
            <w:pPr>
              <w:pStyle w:val="TableTextLeft"/>
              <w:rPr>
                <w:rFonts w:cs="Calibri"/>
                <w:szCs w:val="22"/>
              </w:rPr>
            </w:pPr>
            <w:r w:rsidRPr="00666791">
              <w:rPr>
                <w:rFonts w:cs="Calibri"/>
                <w:szCs w:val="22"/>
              </w:rPr>
              <w:t>Melbourne</w:t>
            </w:r>
            <w:r w:rsidR="0038520A">
              <w:rPr>
                <w:rFonts w:cs="Calibri"/>
                <w:szCs w:val="22"/>
              </w:rPr>
              <w:t xml:space="preserve"> – </w:t>
            </w:r>
            <w:r w:rsidRPr="00666791">
              <w:rPr>
                <w:rFonts w:cs="Calibri"/>
                <w:szCs w:val="22"/>
              </w:rPr>
              <w:t>South East</w:t>
            </w:r>
          </w:p>
        </w:tc>
        <w:tc>
          <w:tcPr>
            <w:tcW w:w="3753" w:type="dxa"/>
            <w:shd w:val="clear" w:color="000000" w:fill="FFFFFF"/>
            <w:hideMark/>
          </w:tcPr>
          <w:p w14:paraId="6E08BB95" w14:textId="2F47F92F" w:rsidR="006C129B" w:rsidRPr="00666791" w:rsidRDefault="005D79A0" w:rsidP="00505F02">
            <w:pPr>
              <w:pStyle w:val="TableTextRight"/>
              <w:rPr>
                <w:rFonts w:cs="Calibri"/>
                <w:szCs w:val="22"/>
              </w:rPr>
            </w:pPr>
            <w:r w:rsidRPr="000042BE">
              <w:t>35.7</w:t>
            </w:r>
          </w:p>
        </w:tc>
      </w:tr>
      <w:tr w:rsidR="006C129B" w:rsidRPr="00666791" w14:paraId="1B4DBD45" w14:textId="77777777" w:rsidTr="005D79A0">
        <w:trPr>
          <w:trHeight w:val="300"/>
        </w:trPr>
        <w:tc>
          <w:tcPr>
            <w:tcW w:w="1077" w:type="dxa"/>
            <w:shd w:val="clear" w:color="000000" w:fill="FFFFFF"/>
            <w:vAlign w:val="bottom"/>
            <w:hideMark/>
          </w:tcPr>
          <w:p w14:paraId="11FA7E13" w14:textId="77777777" w:rsidR="006C129B" w:rsidRPr="00666791" w:rsidRDefault="006C129B" w:rsidP="00505F02">
            <w:pPr>
              <w:pStyle w:val="TableTextCentered"/>
              <w:rPr>
                <w:rFonts w:cs="Calibri"/>
                <w:color w:val="000000"/>
                <w:szCs w:val="22"/>
              </w:rPr>
            </w:pPr>
            <w:r w:rsidRPr="00666791">
              <w:rPr>
                <w:rFonts w:cs="Calibri"/>
                <w:color w:val="000000"/>
                <w:szCs w:val="22"/>
              </w:rPr>
              <w:t>213</w:t>
            </w:r>
          </w:p>
        </w:tc>
        <w:tc>
          <w:tcPr>
            <w:tcW w:w="4252" w:type="dxa"/>
            <w:shd w:val="clear" w:color="000000" w:fill="FFFFFF"/>
            <w:vAlign w:val="bottom"/>
            <w:hideMark/>
          </w:tcPr>
          <w:p w14:paraId="51C352E7" w14:textId="1D136BA2" w:rsidR="006C129B" w:rsidRPr="00666791" w:rsidRDefault="006C129B" w:rsidP="00505F02">
            <w:pPr>
              <w:pStyle w:val="TableTextLeft"/>
              <w:rPr>
                <w:rFonts w:cs="Calibri"/>
                <w:szCs w:val="22"/>
              </w:rPr>
            </w:pPr>
            <w:r w:rsidRPr="00666791">
              <w:rPr>
                <w:rFonts w:cs="Calibri"/>
                <w:szCs w:val="22"/>
              </w:rPr>
              <w:t>Melbourne</w:t>
            </w:r>
            <w:r w:rsidR="0038520A">
              <w:rPr>
                <w:rFonts w:cs="Calibri"/>
                <w:szCs w:val="22"/>
              </w:rPr>
              <w:t xml:space="preserve"> – </w:t>
            </w:r>
            <w:r w:rsidRPr="00666791">
              <w:rPr>
                <w:rFonts w:cs="Calibri"/>
                <w:szCs w:val="22"/>
              </w:rPr>
              <w:t>West</w:t>
            </w:r>
          </w:p>
        </w:tc>
        <w:tc>
          <w:tcPr>
            <w:tcW w:w="3753" w:type="dxa"/>
            <w:shd w:val="clear" w:color="000000" w:fill="FFFFFF"/>
            <w:hideMark/>
          </w:tcPr>
          <w:p w14:paraId="4D504401" w14:textId="6CFE2A2C" w:rsidR="006C129B" w:rsidRPr="00666791" w:rsidRDefault="006C129B" w:rsidP="00505F02">
            <w:pPr>
              <w:pStyle w:val="TableTextRight"/>
              <w:rPr>
                <w:rFonts w:cs="Calibri"/>
                <w:szCs w:val="22"/>
              </w:rPr>
            </w:pPr>
            <w:r w:rsidRPr="00666791">
              <w:rPr>
                <w:rFonts w:cs="Calibri"/>
                <w:szCs w:val="22"/>
              </w:rPr>
              <w:t>33.</w:t>
            </w:r>
            <w:r w:rsidR="005D79A0" w:rsidRPr="000042BE">
              <w:t>4</w:t>
            </w:r>
          </w:p>
        </w:tc>
      </w:tr>
      <w:tr w:rsidR="006C129B" w:rsidRPr="00666791" w14:paraId="50CB24CC" w14:textId="77777777" w:rsidTr="005D79A0">
        <w:trPr>
          <w:trHeight w:val="300"/>
        </w:trPr>
        <w:tc>
          <w:tcPr>
            <w:tcW w:w="1077" w:type="dxa"/>
            <w:shd w:val="clear" w:color="000000" w:fill="FFFFFF"/>
            <w:vAlign w:val="bottom"/>
            <w:hideMark/>
          </w:tcPr>
          <w:p w14:paraId="1062D0EB" w14:textId="77777777" w:rsidR="006C129B" w:rsidRPr="00666791" w:rsidRDefault="006C129B" w:rsidP="00505F02">
            <w:pPr>
              <w:pStyle w:val="TableTextCentered"/>
              <w:rPr>
                <w:rFonts w:cs="Calibri"/>
                <w:color w:val="000000"/>
                <w:szCs w:val="22"/>
              </w:rPr>
            </w:pPr>
            <w:r w:rsidRPr="00666791">
              <w:rPr>
                <w:rFonts w:cs="Calibri"/>
                <w:color w:val="000000"/>
                <w:szCs w:val="22"/>
              </w:rPr>
              <w:t>214</w:t>
            </w:r>
          </w:p>
        </w:tc>
        <w:tc>
          <w:tcPr>
            <w:tcW w:w="4252" w:type="dxa"/>
            <w:shd w:val="clear" w:color="000000" w:fill="FFFFFF"/>
            <w:vAlign w:val="bottom"/>
            <w:hideMark/>
          </w:tcPr>
          <w:p w14:paraId="39F57A79" w14:textId="77777777" w:rsidR="006C129B" w:rsidRPr="00666791" w:rsidRDefault="006C129B" w:rsidP="00505F02">
            <w:pPr>
              <w:pStyle w:val="TableTextLeft"/>
              <w:rPr>
                <w:rFonts w:cs="Calibri"/>
                <w:szCs w:val="22"/>
              </w:rPr>
            </w:pPr>
            <w:r w:rsidRPr="00666791">
              <w:rPr>
                <w:rFonts w:cs="Calibri"/>
                <w:szCs w:val="22"/>
              </w:rPr>
              <w:t>Mornington Peninsula</w:t>
            </w:r>
          </w:p>
        </w:tc>
        <w:tc>
          <w:tcPr>
            <w:tcW w:w="3753" w:type="dxa"/>
            <w:shd w:val="clear" w:color="000000" w:fill="FFFFFF"/>
            <w:hideMark/>
          </w:tcPr>
          <w:p w14:paraId="19684927" w14:textId="6498E01E" w:rsidR="006C129B" w:rsidRPr="00666791" w:rsidRDefault="005D79A0" w:rsidP="00505F02">
            <w:pPr>
              <w:pStyle w:val="TableTextRight"/>
              <w:rPr>
                <w:rFonts w:cs="Calibri"/>
                <w:szCs w:val="22"/>
              </w:rPr>
            </w:pPr>
            <w:r w:rsidRPr="000042BE">
              <w:t>37.4</w:t>
            </w:r>
          </w:p>
        </w:tc>
      </w:tr>
      <w:tr w:rsidR="006C129B" w:rsidRPr="00666791" w14:paraId="1FF196AB" w14:textId="77777777" w:rsidTr="005D79A0">
        <w:trPr>
          <w:trHeight w:val="300"/>
        </w:trPr>
        <w:tc>
          <w:tcPr>
            <w:tcW w:w="1077" w:type="dxa"/>
            <w:shd w:val="clear" w:color="000000" w:fill="FFFFFF"/>
            <w:vAlign w:val="bottom"/>
            <w:hideMark/>
          </w:tcPr>
          <w:p w14:paraId="1C4F98D4" w14:textId="77777777" w:rsidR="006C129B" w:rsidRPr="00666791" w:rsidRDefault="006C129B" w:rsidP="00505F02">
            <w:pPr>
              <w:pStyle w:val="TableTextCentered"/>
              <w:rPr>
                <w:rFonts w:cs="Calibri"/>
                <w:color w:val="000000"/>
                <w:szCs w:val="22"/>
              </w:rPr>
            </w:pPr>
            <w:r w:rsidRPr="00666791">
              <w:rPr>
                <w:rFonts w:cs="Calibri"/>
                <w:color w:val="000000"/>
                <w:szCs w:val="22"/>
              </w:rPr>
              <w:t>215</w:t>
            </w:r>
          </w:p>
        </w:tc>
        <w:tc>
          <w:tcPr>
            <w:tcW w:w="4252" w:type="dxa"/>
            <w:shd w:val="clear" w:color="000000" w:fill="FFFFFF"/>
            <w:vAlign w:val="bottom"/>
            <w:hideMark/>
          </w:tcPr>
          <w:p w14:paraId="34A6B404" w14:textId="760184BE" w:rsidR="006C129B" w:rsidRPr="00666791" w:rsidRDefault="006C129B" w:rsidP="00505F02">
            <w:pPr>
              <w:pStyle w:val="TableTextLeft"/>
              <w:rPr>
                <w:rFonts w:cs="Calibri"/>
                <w:szCs w:val="22"/>
              </w:rPr>
            </w:pPr>
            <w:r w:rsidRPr="00666791">
              <w:rPr>
                <w:rFonts w:cs="Calibri"/>
                <w:szCs w:val="22"/>
              </w:rPr>
              <w:t>Victoria</w:t>
            </w:r>
            <w:r w:rsidR="0038520A">
              <w:rPr>
                <w:rFonts w:cs="Calibri"/>
                <w:szCs w:val="22"/>
              </w:rPr>
              <w:t xml:space="preserve"> – </w:t>
            </w:r>
            <w:r w:rsidRPr="00666791">
              <w:rPr>
                <w:rFonts w:cs="Calibri"/>
                <w:szCs w:val="22"/>
              </w:rPr>
              <w:t>North West</w:t>
            </w:r>
          </w:p>
        </w:tc>
        <w:tc>
          <w:tcPr>
            <w:tcW w:w="3753" w:type="dxa"/>
            <w:shd w:val="clear" w:color="000000" w:fill="FFFFFF"/>
            <w:hideMark/>
          </w:tcPr>
          <w:p w14:paraId="7A54BD5D" w14:textId="01BC44FC" w:rsidR="006C129B" w:rsidRPr="00666791" w:rsidRDefault="005D79A0" w:rsidP="00505F02">
            <w:pPr>
              <w:pStyle w:val="TableTextRight"/>
              <w:rPr>
                <w:rFonts w:cs="Calibri"/>
                <w:szCs w:val="22"/>
              </w:rPr>
            </w:pPr>
            <w:r w:rsidRPr="000042BE">
              <w:t>28.8</w:t>
            </w:r>
          </w:p>
        </w:tc>
      </w:tr>
      <w:tr w:rsidR="006C129B" w:rsidRPr="00666791" w14:paraId="71C5EBCF" w14:textId="77777777" w:rsidTr="005D79A0">
        <w:trPr>
          <w:trHeight w:val="300"/>
        </w:trPr>
        <w:tc>
          <w:tcPr>
            <w:tcW w:w="1077" w:type="dxa"/>
            <w:shd w:val="clear" w:color="000000" w:fill="FFFFFF"/>
            <w:vAlign w:val="bottom"/>
            <w:hideMark/>
          </w:tcPr>
          <w:p w14:paraId="122DD798" w14:textId="77777777" w:rsidR="006C129B" w:rsidRPr="00666791" w:rsidRDefault="006C129B" w:rsidP="00505F02">
            <w:pPr>
              <w:pStyle w:val="TableTextCentered"/>
              <w:rPr>
                <w:rFonts w:cs="Calibri"/>
                <w:color w:val="000000"/>
                <w:szCs w:val="22"/>
              </w:rPr>
            </w:pPr>
            <w:r w:rsidRPr="00666791">
              <w:rPr>
                <w:rFonts w:cs="Calibri"/>
                <w:color w:val="000000"/>
                <w:szCs w:val="22"/>
              </w:rPr>
              <w:t>216</w:t>
            </w:r>
          </w:p>
        </w:tc>
        <w:tc>
          <w:tcPr>
            <w:tcW w:w="4252" w:type="dxa"/>
            <w:shd w:val="clear" w:color="000000" w:fill="FFFFFF"/>
            <w:vAlign w:val="bottom"/>
            <w:hideMark/>
          </w:tcPr>
          <w:p w14:paraId="03B4A1E9" w14:textId="77777777" w:rsidR="006C129B" w:rsidRPr="00666791" w:rsidRDefault="006C129B" w:rsidP="00505F02">
            <w:pPr>
              <w:pStyle w:val="TableTextLeft"/>
              <w:rPr>
                <w:rFonts w:cs="Calibri"/>
                <w:szCs w:val="22"/>
              </w:rPr>
            </w:pPr>
            <w:r w:rsidRPr="00666791">
              <w:rPr>
                <w:rFonts w:cs="Calibri"/>
                <w:szCs w:val="22"/>
              </w:rPr>
              <w:t>Shepparton</w:t>
            </w:r>
          </w:p>
        </w:tc>
        <w:tc>
          <w:tcPr>
            <w:tcW w:w="3753" w:type="dxa"/>
            <w:shd w:val="clear" w:color="000000" w:fill="FFFFFF"/>
            <w:hideMark/>
          </w:tcPr>
          <w:p w14:paraId="43B42A42" w14:textId="11239615" w:rsidR="006C129B" w:rsidRPr="00666791" w:rsidRDefault="006C129B" w:rsidP="00505F02">
            <w:pPr>
              <w:pStyle w:val="TableTextRight"/>
              <w:rPr>
                <w:rFonts w:cs="Calibri"/>
                <w:szCs w:val="22"/>
              </w:rPr>
            </w:pPr>
            <w:r w:rsidRPr="00666791">
              <w:rPr>
                <w:rFonts w:cs="Calibri"/>
                <w:szCs w:val="22"/>
              </w:rPr>
              <w:t>28.</w:t>
            </w:r>
            <w:r w:rsidR="005D79A0" w:rsidRPr="000042BE">
              <w:t>4</w:t>
            </w:r>
          </w:p>
        </w:tc>
      </w:tr>
      <w:tr w:rsidR="006C129B" w:rsidRPr="00666791" w14:paraId="2C0D09B2" w14:textId="77777777" w:rsidTr="005D79A0">
        <w:trPr>
          <w:trHeight w:val="315"/>
        </w:trPr>
        <w:tc>
          <w:tcPr>
            <w:tcW w:w="1077" w:type="dxa"/>
            <w:shd w:val="clear" w:color="000000" w:fill="FFFFFF"/>
            <w:vAlign w:val="bottom"/>
            <w:hideMark/>
          </w:tcPr>
          <w:p w14:paraId="50F44920" w14:textId="77777777" w:rsidR="006C129B" w:rsidRPr="00666791" w:rsidRDefault="006C129B" w:rsidP="00505F02">
            <w:pPr>
              <w:pStyle w:val="TableTextCentered"/>
              <w:rPr>
                <w:rFonts w:cs="Calibri"/>
                <w:color w:val="000000"/>
                <w:szCs w:val="22"/>
              </w:rPr>
            </w:pPr>
            <w:r w:rsidRPr="00666791">
              <w:rPr>
                <w:rFonts w:cs="Calibri"/>
                <w:color w:val="000000"/>
                <w:szCs w:val="22"/>
              </w:rPr>
              <w:t>217</w:t>
            </w:r>
          </w:p>
        </w:tc>
        <w:tc>
          <w:tcPr>
            <w:tcW w:w="4252" w:type="dxa"/>
            <w:shd w:val="clear" w:color="000000" w:fill="FFFFFF"/>
            <w:vAlign w:val="bottom"/>
            <w:hideMark/>
          </w:tcPr>
          <w:p w14:paraId="46A6443D" w14:textId="77777777" w:rsidR="006C129B" w:rsidRPr="00666791" w:rsidRDefault="006C129B" w:rsidP="00505F02">
            <w:pPr>
              <w:pStyle w:val="TableTextLeft"/>
              <w:rPr>
                <w:rFonts w:cs="Calibri"/>
                <w:szCs w:val="22"/>
              </w:rPr>
            </w:pPr>
            <w:r w:rsidRPr="00666791">
              <w:rPr>
                <w:rFonts w:cs="Calibri"/>
                <w:szCs w:val="22"/>
              </w:rPr>
              <w:t>Warrnambool and South West</w:t>
            </w:r>
          </w:p>
        </w:tc>
        <w:tc>
          <w:tcPr>
            <w:tcW w:w="3753" w:type="dxa"/>
            <w:shd w:val="clear" w:color="000000" w:fill="FFFFFF"/>
            <w:hideMark/>
          </w:tcPr>
          <w:p w14:paraId="7394BC69" w14:textId="6E641C3A" w:rsidR="006C129B" w:rsidRPr="00666791" w:rsidRDefault="006C129B" w:rsidP="00505F02">
            <w:pPr>
              <w:pStyle w:val="TableTextRight"/>
              <w:rPr>
                <w:rFonts w:cs="Calibri"/>
                <w:szCs w:val="22"/>
              </w:rPr>
            </w:pPr>
            <w:r w:rsidRPr="00666791">
              <w:rPr>
                <w:rFonts w:cs="Calibri"/>
                <w:szCs w:val="22"/>
              </w:rPr>
              <w:t>24.</w:t>
            </w:r>
            <w:r w:rsidR="005D79A0" w:rsidRPr="000042BE">
              <w:t>1</w:t>
            </w:r>
          </w:p>
        </w:tc>
      </w:tr>
      <w:tr w:rsidR="006C129B" w:rsidRPr="00666791" w14:paraId="5F8F6333" w14:textId="77777777" w:rsidTr="005D79A0">
        <w:trPr>
          <w:trHeight w:val="315"/>
        </w:trPr>
        <w:tc>
          <w:tcPr>
            <w:tcW w:w="1077" w:type="dxa"/>
            <w:tcBorders>
              <w:bottom w:val="single" w:sz="4" w:space="0" w:color="3A6FAF" w:themeColor="accent2"/>
            </w:tcBorders>
            <w:shd w:val="clear" w:color="000000" w:fill="FFFFFF"/>
            <w:vAlign w:val="bottom"/>
            <w:hideMark/>
          </w:tcPr>
          <w:p w14:paraId="0B39CDC1" w14:textId="0494527E" w:rsidR="006C129B" w:rsidRPr="00666791" w:rsidRDefault="006C129B" w:rsidP="00505F02">
            <w:pPr>
              <w:pStyle w:val="TableTextCentered"/>
              <w:rPr>
                <w:rFonts w:cs="Calibri"/>
                <w:color w:val="000000"/>
                <w:szCs w:val="22"/>
              </w:rPr>
            </w:pPr>
          </w:p>
        </w:tc>
        <w:tc>
          <w:tcPr>
            <w:tcW w:w="4252" w:type="dxa"/>
            <w:tcBorders>
              <w:bottom w:val="single" w:sz="4" w:space="0" w:color="3A6FAF" w:themeColor="accent2"/>
            </w:tcBorders>
            <w:shd w:val="clear" w:color="000000" w:fill="FFFFFF"/>
            <w:vAlign w:val="bottom"/>
            <w:hideMark/>
          </w:tcPr>
          <w:p w14:paraId="439721A8" w14:textId="77777777" w:rsidR="006C129B" w:rsidRPr="00666791" w:rsidRDefault="006C129B" w:rsidP="00505F02">
            <w:pPr>
              <w:pStyle w:val="TableTextLeft"/>
              <w:rPr>
                <w:rFonts w:cs="Calibri"/>
                <w:szCs w:val="22"/>
              </w:rPr>
            </w:pPr>
            <w:r w:rsidRPr="00666791">
              <w:rPr>
                <w:rFonts w:cs="Calibri"/>
                <w:szCs w:val="22"/>
              </w:rPr>
              <w:t> </w:t>
            </w:r>
          </w:p>
        </w:tc>
        <w:tc>
          <w:tcPr>
            <w:tcW w:w="3753" w:type="dxa"/>
            <w:tcBorders>
              <w:bottom w:val="single" w:sz="4" w:space="0" w:color="3A6FAF" w:themeColor="accent2"/>
            </w:tcBorders>
            <w:shd w:val="clear" w:color="000000" w:fill="FFFFFF"/>
            <w:hideMark/>
          </w:tcPr>
          <w:p w14:paraId="17F2FAE2" w14:textId="119BE13F" w:rsidR="006C129B" w:rsidRPr="00666791" w:rsidRDefault="006C129B" w:rsidP="00505F02">
            <w:pPr>
              <w:pStyle w:val="TableTextRight"/>
              <w:rPr>
                <w:rFonts w:cs="Calibri"/>
                <w:szCs w:val="22"/>
              </w:rPr>
            </w:pPr>
          </w:p>
        </w:tc>
      </w:tr>
      <w:tr w:rsidR="006C129B" w:rsidRPr="00505F02" w14:paraId="50D0F1AE" w14:textId="77777777" w:rsidTr="005D79A0">
        <w:trPr>
          <w:trHeight w:val="315"/>
        </w:trPr>
        <w:tc>
          <w:tcPr>
            <w:tcW w:w="1077" w:type="dxa"/>
            <w:tcBorders>
              <w:top w:val="single" w:sz="4" w:space="0" w:color="3A6FAF" w:themeColor="accent2"/>
            </w:tcBorders>
            <w:shd w:val="clear" w:color="000000" w:fill="FFFFFF"/>
            <w:vAlign w:val="bottom"/>
            <w:hideMark/>
          </w:tcPr>
          <w:p w14:paraId="1ADD9716" w14:textId="77777777" w:rsidR="006C129B" w:rsidRPr="00505F02" w:rsidRDefault="006C129B" w:rsidP="00505F02">
            <w:pPr>
              <w:pStyle w:val="TableTextCentered"/>
              <w:rPr>
                <w:b/>
                <w:bCs/>
              </w:rPr>
            </w:pPr>
            <w:r w:rsidRPr="00505F02">
              <w:rPr>
                <w:b/>
                <w:bCs/>
              </w:rPr>
              <w:t>300</w:t>
            </w:r>
          </w:p>
        </w:tc>
        <w:tc>
          <w:tcPr>
            <w:tcW w:w="4252" w:type="dxa"/>
            <w:tcBorders>
              <w:top w:val="single" w:sz="4" w:space="0" w:color="3A6FAF" w:themeColor="accent2"/>
            </w:tcBorders>
            <w:shd w:val="clear" w:color="000000" w:fill="FFFFFF"/>
            <w:vAlign w:val="bottom"/>
            <w:hideMark/>
          </w:tcPr>
          <w:p w14:paraId="41F9EEA0" w14:textId="60F250B6" w:rsidR="006C129B" w:rsidRPr="00505F02" w:rsidRDefault="006C129B" w:rsidP="00505F02">
            <w:pPr>
              <w:pStyle w:val="TableTextLeft"/>
              <w:rPr>
                <w:b/>
                <w:bCs/>
              </w:rPr>
            </w:pPr>
            <w:r w:rsidRPr="00505F02">
              <w:rPr>
                <w:b/>
                <w:bCs/>
              </w:rPr>
              <w:t>QUEENSLAND</w:t>
            </w:r>
            <w:r w:rsidR="0038520A">
              <w:rPr>
                <w:b/>
                <w:bCs/>
              </w:rPr>
              <w:t xml:space="preserve"> – </w:t>
            </w:r>
            <w:r w:rsidRPr="00505F02">
              <w:rPr>
                <w:b/>
                <w:bCs/>
              </w:rPr>
              <w:t>TOTAL</w:t>
            </w:r>
          </w:p>
        </w:tc>
        <w:tc>
          <w:tcPr>
            <w:tcW w:w="3753" w:type="dxa"/>
            <w:tcBorders>
              <w:top w:val="single" w:sz="4" w:space="0" w:color="3A6FAF" w:themeColor="accent2"/>
            </w:tcBorders>
            <w:shd w:val="clear" w:color="000000" w:fill="FFFFFF"/>
            <w:hideMark/>
          </w:tcPr>
          <w:p w14:paraId="2C443C7A" w14:textId="055FE30B" w:rsidR="006C129B" w:rsidRPr="00505F02" w:rsidRDefault="006C129B" w:rsidP="00505F02">
            <w:pPr>
              <w:pStyle w:val="TableTextRight"/>
              <w:rPr>
                <w:b/>
                <w:bCs/>
              </w:rPr>
            </w:pPr>
            <w:r w:rsidRPr="00505F02">
              <w:rPr>
                <w:b/>
                <w:bCs/>
              </w:rPr>
              <w:t>30.</w:t>
            </w:r>
            <w:r w:rsidR="005D79A0" w:rsidRPr="005D79A0">
              <w:rPr>
                <w:b/>
                <w:bCs/>
              </w:rPr>
              <w:t>3</w:t>
            </w:r>
          </w:p>
        </w:tc>
      </w:tr>
      <w:tr w:rsidR="006C129B" w:rsidRPr="00666791" w14:paraId="13E0C784" w14:textId="77777777" w:rsidTr="005D79A0">
        <w:trPr>
          <w:trHeight w:val="300"/>
        </w:trPr>
        <w:tc>
          <w:tcPr>
            <w:tcW w:w="1077" w:type="dxa"/>
            <w:shd w:val="clear" w:color="000000" w:fill="FFFFFF"/>
            <w:vAlign w:val="bottom"/>
            <w:hideMark/>
          </w:tcPr>
          <w:p w14:paraId="7AD4867C" w14:textId="77777777" w:rsidR="006C129B" w:rsidRPr="00666791" w:rsidRDefault="006C129B" w:rsidP="00505F02">
            <w:pPr>
              <w:pStyle w:val="TableTextCentered"/>
              <w:rPr>
                <w:rFonts w:cs="Calibri"/>
                <w:color w:val="000000"/>
                <w:szCs w:val="22"/>
              </w:rPr>
            </w:pPr>
            <w:r w:rsidRPr="00666791">
              <w:rPr>
                <w:rFonts w:cs="Calibri"/>
                <w:color w:val="000000"/>
                <w:szCs w:val="22"/>
              </w:rPr>
              <w:t>301</w:t>
            </w:r>
          </w:p>
        </w:tc>
        <w:tc>
          <w:tcPr>
            <w:tcW w:w="4252" w:type="dxa"/>
            <w:shd w:val="clear" w:color="000000" w:fill="FFFFFF"/>
            <w:vAlign w:val="bottom"/>
            <w:hideMark/>
          </w:tcPr>
          <w:p w14:paraId="463840ED" w14:textId="246710DF"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Brisbane</w:t>
            </w:r>
            <w:r w:rsidR="0038520A">
              <w:rPr>
                <w:rFonts w:asciiTheme="minorHAnsi" w:hAnsiTheme="minorHAnsi" w:cstheme="minorHAnsi"/>
                <w:szCs w:val="18"/>
              </w:rPr>
              <w:t xml:space="preserve"> – </w:t>
            </w:r>
            <w:r w:rsidRPr="00E62225">
              <w:rPr>
                <w:rFonts w:asciiTheme="minorHAnsi" w:hAnsiTheme="minorHAnsi" w:cstheme="minorHAnsi"/>
                <w:szCs w:val="18"/>
              </w:rPr>
              <w:t>East</w:t>
            </w:r>
          </w:p>
        </w:tc>
        <w:tc>
          <w:tcPr>
            <w:tcW w:w="3753" w:type="dxa"/>
            <w:shd w:val="clear" w:color="000000" w:fill="FFFFFF"/>
            <w:hideMark/>
          </w:tcPr>
          <w:p w14:paraId="771FA3EE" w14:textId="71A7B566" w:rsidR="006C129B" w:rsidRPr="00E62225" w:rsidRDefault="006C129B" w:rsidP="00505F02">
            <w:pPr>
              <w:pStyle w:val="TableTextRight"/>
              <w:rPr>
                <w:rFonts w:asciiTheme="minorHAnsi" w:hAnsiTheme="minorHAnsi" w:cstheme="minorHAnsi"/>
                <w:szCs w:val="18"/>
              </w:rPr>
            </w:pPr>
            <w:r w:rsidRPr="000042BE">
              <w:t>31.</w:t>
            </w:r>
            <w:r w:rsidR="005D79A0" w:rsidRPr="000042BE">
              <w:t>3</w:t>
            </w:r>
          </w:p>
        </w:tc>
      </w:tr>
      <w:tr w:rsidR="006C129B" w:rsidRPr="00666791" w14:paraId="4D4AF51D" w14:textId="77777777" w:rsidTr="005D79A0">
        <w:trPr>
          <w:trHeight w:val="300"/>
        </w:trPr>
        <w:tc>
          <w:tcPr>
            <w:tcW w:w="1077" w:type="dxa"/>
            <w:shd w:val="clear" w:color="000000" w:fill="FFFFFF"/>
            <w:vAlign w:val="bottom"/>
            <w:hideMark/>
          </w:tcPr>
          <w:p w14:paraId="3152D5B7" w14:textId="77777777" w:rsidR="006C129B" w:rsidRPr="00666791" w:rsidRDefault="006C129B" w:rsidP="00505F02">
            <w:pPr>
              <w:pStyle w:val="TableTextCentered"/>
              <w:rPr>
                <w:rFonts w:cs="Calibri"/>
                <w:color w:val="000000"/>
                <w:szCs w:val="22"/>
              </w:rPr>
            </w:pPr>
            <w:r w:rsidRPr="00666791">
              <w:rPr>
                <w:rFonts w:cs="Calibri"/>
                <w:color w:val="000000"/>
                <w:szCs w:val="22"/>
              </w:rPr>
              <w:t>302</w:t>
            </w:r>
          </w:p>
        </w:tc>
        <w:tc>
          <w:tcPr>
            <w:tcW w:w="4252" w:type="dxa"/>
            <w:shd w:val="clear" w:color="000000" w:fill="FFFFFF"/>
            <w:vAlign w:val="bottom"/>
            <w:hideMark/>
          </w:tcPr>
          <w:p w14:paraId="51DDA140" w14:textId="718B4680"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Brisbane</w:t>
            </w:r>
            <w:r w:rsidR="0038520A">
              <w:rPr>
                <w:rFonts w:asciiTheme="minorHAnsi" w:hAnsiTheme="minorHAnsi" w:cstheme="minorHAnsi"/>
                <w:szCs w:val="18"/>
              </w:rPr>
              <w:t xml:space="preserve"> – </w:t>
            </w:r>
            <w:r w:rsidRPr="00E62225">
              <w:rPr>
                <w:rFonts w:asciiTheme="minorHAnsi" w:hAnsiTheme="minorHAnsi" w:cstheme="minorHAnsi"/>
                <w:szCs w:val="18"/>
              </w:rPr>
              <w:t>North</w:t>
            </w:r>
          </w:p>
        </w:tc>
        <w:tc>
          <w:tcPr>
            <w:tcW w:w="3753" w:type="dxa"/>
            <w:shd w:val="clear" w:color="000000" w:fill="FFFFFF"/>
            <w:hideMark/>
          </w:tcPr>
          <w:p w14:paraId="3E7FF0F0" w14:textId="407E4C58" w:rsidR="006C129B" w:rsidRPr="00E62225" w:rsidRDefault="005D79A0" w:rsidP="00505F02">
            <w:pPr>
              <w:pStyle w:val="TableTextRight"/>
              <w:rPr>
                <w:rFonts w:asciiTheme="minorHAnsi" w:hAnsiTheme="minorHAnsi" w:cstheme="minorHAnsi"/>
                <w:szCs w:val="18"/>
              </w:rPr>
            </w:pPr>
            <w:r w:rsidRPr="000042BE">
              <w:t>30.6</w:t>
            </w:r>
          </w:p>
        </w:tc>
      </w:tr>
      <w:tr w:rsidR="006C129B" w:rsidRPr="00666791" w14:paraId="167432BF" w14:textId="77777777" w:rsidTr="005D79A0">
        <w:trPr>
          <w:trHeight w:val="300"/>
        </w:trPr>
        <w:tc>
          <w:tcPr>
            <w:tcW w:w="1077" w:type="dxa"/>
            <w:shd w:val="clear" w:color="000000" w:fill="FFFFFF"/>
            <w:vAlign w:val="bottom"/>
            <w:hideMark/>
          </w:tcPr>
          <w:p w14:paraId="4FAA2FC7" w14:textId="77777777" w:rsidR="006C129B" w:rsidRPr="00666791" w:rsidRDefault="006C129B" w:rsidP="00505F02">
            <w:pPr>
              <w:pStyle w:val="TableTextCentered"/>
              <w:rPr>
                <w:rFonts w:cs="Calibri"/>
                <w:color w:val="000000"/>
                <w:szCs w:val="22"/>
              </w:rPr>
            </w:pPr>
            <w:r w:rsidRPr="00666791">
              <w:rPr>
                <w:rFonts w:cs="Calibri"/>
                <w:color w:val="000000"/>
                <w:szCs w:val="22"/>
              </w:rPr>
              <w:t>303</w:t>
            </w:r>
          </w:p>
        </w:tc>
        <w:tc>
          <w:tcPr>
            <w:tcW w:w="4252" w:type="dxa"/>
            <w:shd w:val="clear" w:color="000000" w:fill="FFFFFF"/>
            <w:vAlign w:val="bottom"/>
            <w:hideMark/>
          </w:tcPr>
          <w:p w14:paraId="4EF7C1C1" w14:textId="6B61C900"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Brisbane</w:t>
            </w:r>
            <w:r w:rsidR="0038520A">
              <w:rPr>
                <w:rFonts w:asciiTheme="minorHAnsi" w:hAnsiTheme="minorHAnsi" w:cstheme="minorHAnsi"/>
                <w:szCs w:val="18"/>
              </w:rPr>
              <w:t xml:space="preserve"> – </w:t>
            </w:r>
            <w:r w:rsidRPr="00E62225">
              <w:rPr>
                <w:rFonts w:asciiTheme="minorHAnsi" w:hAnsiTheme="minorHAnsi" w:cstheme="minorHAnsi"/>
                <w:szCs w:val="18"/>
              </w:rPr>
              <w:t>South</w:t>
            </w:r>
          </w:p>
        </w:tc>
        <w:tc>
          <w:tcPr>
            <w:tcW w:w="3753" w:type="dxa"/>
            <w:shd w:val="clear" w:color="000000" w:fill="FFFFFF"/>
            <w:hideMark/>
          </w:tcPr>
          <w:p w14:paraId="11D0E880" w14:textId="649BFA9F" w:rsidR="006C129B" w:rsidRPr="00E62225" w:rsidRDefault="005D79A0" w:rsidP="00505F02">
            <w:pPr>
              <w:pStyle w:val="TableTextRight"/>
              <w:rPr>
                <w:rFonts w:asciiTheme="minorHAnsi" w:hAnsiTheme="minorHAnsi" w:cstheme="minorHAnsi"/>
                <w:szCs w:val="18"/>
              </w:rPr>
            </w:pPr>
            <w:r w:rsidRPr="000042BE">
              <w:t>28.6</w:t>
            </w:r>
          </w:p>
        </w:tc>
      </w:tr>
      <w:tr w:rsidR="006C129B" w:rsidRPr="00666791" w14:paraId="65D0AEF9" w14:textId="77777777" w:rsidTr="005D79A0">
        <w:trPr>
          <w:trHeight w:val="300"/>
        </w:trPr>
        <w:tc>
          <w:tcPr>
            <w:tcW w:w="1077" w:type="dxa"/>
            <w:shd w:val="clear" w:color="000000" w:fill="FFFFFF"/>
            <w:vAlign w:val="bottom"/>
            <w:hideMark/>
          </w:tcPr>
          <w:p w14:paraId="02CB7E5D" w14:textId="77777777" w:rsidR="006C129B" w:rsidRPr="00666791" w:rsidRDefault="006C129B" w:rsidP="00505F02">
            <w:pPr>
              <w:pStyle w:val="TableTextCentered"/>
              <w:rPr>
                <w:rFonts w:cs="Calibri"/>
                <w:color w:val="000000"/>
                <w:szCs w:val="22"/>
              </w:rPr>
            </w:pPr>
            <w:r w:rsidRPr="00666791">
              <w:rPr>
                <w:rFonts w:cs="Calibri"/>
                <w:color w:val="000000"/>
                <w:szCs w:val="22"/>
              </w:rPr>
              <w:t>304</w:t>
            </w:r>
          </w:p>
        </w:tc>
        <w:tc>
          <w:tcPr>
            <w:tcW w:w="4252" w:type="dxa"/>
            <w:shd w:val="clear" w:color="000000" w:fill="FFFFFF"/>
            <w:vAlign w:val="bottom"/>
            <w:hideMark/>
          </w:tcPr>
          <w:p w14:paraId="53BB795F" w14:textId="534D20FB"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Brisbane</w:t>
            </w:r>
            <w:r w:rsidR="0038520A">
              <w:rPr>
                <w:rFonts w:asciiTheme="minorHAnsi" w:hAnsiTheme="minorHAnsi" w:cstheme="minorHAnsi"/>
                <w:szCs w:val="18"/>
              </w:rPr>
              <w:t xml:space="preserve"> – </w:t>
            </w:r>
            <w:r w:rsidRPr="00E62225">
              <w:rPr>
                <w:rFonts w:asciiTheme="minorHAnsi" w:hAnsiTheme="minorHAnsi" w:cstheme="minorHAnsi"/>
                <w:szCs w:val="18"/>
              </w:rPr>
              <w:t>West</w:t>
            </w:r>
          </w:p>
        </w:tc>
        <w:tc>
          <w:tcPr>
            <w:tcW w:w="3753" w:type="dxa"/>
            <w:shd w:val="clear" w:color="000000" w:fill="FFFFFF"/>
            <w:hideMark/>
          </w:tcPr>
          <w:p w14:paraId="5A2C0535" w14:textId="186CC33F" w:rsidR="006C129B" w:rsidRPr="00E62225" w:rsidRDefault="006C129B" w:rsidP="00505F02">
            <w:pPr>
              <w:pStyle w:val="TableTextRight"/>
              <w:rPr>
                <w:rFonts w:asciiTheme="minorHAnsi" w:hAnsiTheme="minorHAnsi" w:cstheme="minorHAnsi"/>
                <w:szCs w:val="18"/>
              </w:rPr>
            </w:pPr>
            <w:r w:rsidRPr="000042BE">
              <w:t>26.</w:t>
            </w:r>
            <w:r w:rsidR="005D79A0" w:rsidRPr="000042BE">
              <w:t>0</w:t>
            </w:r>
          </w:p>
        </w:tc>
      </w:tr>
      <w:tr w:rsidR="006C129B" w:rsidRPr="00666791" w14:paraId="03C56748" w14:textId="77777777" w:rsidTr="005D79A0">
        <w:trPr>
          <w:trHeight w:val="300"/>
        </w:trPr>
        <w:tc>
          <w:tcPr>
            <w:tcW w:w="1077" w:type="dxa"/>
            <w:shd w:val="clear" w:color="000000" w:fill="FFFFFF"/>
            <w:vAlign w:val="bottom"/>
            <w:hideMark/>
          </w:tcPr>
          <w:p w14:paraId="11D575CE" w14:textId="77777777" w:rsidR="006C129B" w:rsidRPr="00666791" w:rsidRDefault="006C129B" w:rsidP="00505F02">
            <w:pPr>
              <w:pStyle w:val="TableTextCentered"/>
              <w:rPr>
                <w:rFonts w:cs="Calibri"/>
                <w:color w:val="000000"/>
                <w:szCs w:val="22"/>
              </w:rPr>
            </w:pPr>
            <w:r w:rsidRPr="00666791">
              <w:rPr>
                <w:rFonts w:cs="Calibri"/>
                <w:color w:val="000000"/>
                <w:szCs w:val="22"/>
              </w:rPr>
              <w:t>305</w:t>
            </w:r>
          </w:p>
        </w:tc>
        <w:tc>
          <w:tcPr>
            <w:tcW w:w="4252" w:type="dxa"/>
            <w:shd w:val="clear" w:color="000000" w:fill="FFFFFF"/>
            <w:vAlign w:val="bottom"/>
            <w:hideMark/>
          </w:tcPr>
          <w:p w14:paraId="4515102A" w14:textId="77777777"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Brisbane Inner City</w:t>
            </w:r>
          </w:p>
        </w:tc>
        <w:tc>
          <w:tcPr>
            <w:tcW w:w="3753" w:type="dxa"/>
            <w:shd w:val="clear" w:color="000000" w:fill="FFFFFF"/>
            <w:hideMark/>
          </w:tcPr>
          <w:p w14:paraId="5419FB2A" w14:textId="31869435" w:rsidR="006C129B" w:rsidRPr="00E62225" w:rsidRDefault="005D79A0" w:rsidP="00505F02">
            <w:pPr>
              <w:pStyle w:val="TableTextRight"/>
              <w:rPr>
                <w:rFonts w:asciiTheme="minorHAnsi" w:hAnsiTheme="minorHAnsi" w:cstheme="minorHAnsi"/>
                <w:szCs w:val="18"/>
              </w:rPr>
            </w:pPr>
            <w:r w:rsidRPr="000042BE">
              <w:t>30.6</w:t>
            </w:r>
          </w:p>
        </w:tc>
      </w:tr>
      <w:tr w:rsidR="006C129B" w:rsidRPr="00666791" w14:paraId="21BB6493" w14:textId="77777777" w:rsidTr="005D79A0">
        <w:trPr>
          <w:trHeight w:val="300"/>
        </w:trPr>
        <w:tc>
          <w:tcPr>
            <w:tcW w:w="1077" w:type="dxa"/>
            <w:shd w:val="clear" w:color="000000" w:fill="FFFFFF"/>
            <w:vAlign w:val="bottom"/>
            <w:hideMark/>
          </w:tcPr>
          <w:p w14:paraId="4717F3A5" w14:textId="77777777" w:rsidR="006C129B" w:rsidRPr="00666791" w:rsidRDefault="006C129B" w:rsidP="00505F02">
            <w:pPr>
              <w:pStyle w:val="TableTextCentered"/>
              <w:rPr>
                <w:rFonts w:cs="Calibri"/>
                <w:color w:val="000000"/>
                <w:szCs w:val="22"/>
              </w:rPr>
            </w:pPr>
            <w:r w:rsidRPr="00666791">
              <w:rPr>
                <w:rFonts w:cs="Calibri"/>
                <w:color w:val="000000"/>
                <w:szCs w:val="22"/>
              </w:rPr>
              <w:t>306</w:t>
            </w:r>
          </w:p>
        </w:tc>
        <w:tc>
          <w:tcPr>
            <w:tcW w:w="4252" w:type="dxa"/>
            <w:shd w:val="clear" w:color="000000" w:fill="FFFFFF"/>
            <w:vAlign w:val="bottom"/>
            <w:hideMark/>
          </w:tcPr>
          <w:p w14:paraId="7CEAED82" w14:textId="77777777"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Cairns</w:t>
            </w:r>
          </w:p>
        </w:tc>
        <w:tc>
          <w:tcPr>
            <w:tcW w:w="3753" w:type="dxa"/>
            <w:shd w:val="clear" w:color="000000" w:fill="FFFFFF"/>
            <w:hideMark/>
          </w:tcPr>
          <w:p w14:paraId="5BA69BFF" w14:textId="3246B68A" w:rsidR="006C129B" w:rsidRPr="00E62225" w:rsidRDefault="006C129B" w:rsidP="00505F02">
            <w:pPr>
              <w:pStyle w:val="TableTextRight"/>
              <w:rPr>
                <w:rFonts w:asciiTheme="minorHAnsi" w:hAnsiTheme="minorHAnsi" w:cstheme="minorHAnsi"/>
                <w:szCs w:val="18"/>
              </w:rPr>
            </w:pPr>
            <w:r w:rsidRPr="000042BE">
              <w:t>31.</w:t>
            </w:r>
            <w:r w:rsidR="005D79A0" w:rsidRPr="000042BE">
              <w:t>3</w:t>
            </w:r>
          </w:p>
        </w:tc>
      </w:tr>
      <w:tr w:rsidR="006C129B" w:rsidRPr="00666791" w14:paraId="6CB08C64" w14:textId="77777777" w:rsidTr="005D79A0">
        <w:trPr>
          <w:trHeight w:val="300"/>
        </w:trPr>
        <w:tc>
          <w:tcPr>
            <w:tcW w:w="1077" w:type="dxa"/>
            <w:shd w:val="clear" w:color="000000" w:fill="FFFFFF"/>
            <w:vAlign w:val="bottom"/>
            <w:hideMark/>
          </w:tcPr>
          <w:p w14:paraId="2D0E1433" w14:textId="77777777" w:rsidR="006C129B" w:rsidRPr="00666791" w:rsidRDefault="006C129B" w:rsidP="00505F02">
            <w:pPr>
              <w:pStyle w:val="TableTextCentered"/>
              <w:rPr>
                <w:rFonts w:cs="Calibri"/>
                <w:color w:val="000000"/>
                <w:szCs w:val="22"/>
              </w:rPr>
            </w:pPr>
            <w:r w:rsidRPr="00666791">
              <w:rPr>
                <w:rFonts w:cs="Calibri"/>
                <w:color w:val="000000"/>
                <w:szCs w:val="22"/>
              </w:rPr>
              <w:t>307</w:t>
            </w:r>
          </w:p>
        </w:tc>
        <w:tc>
          <w:tcPr>
            <w:tcW w:w="4252" w:type="dxa"/>
            <w:shd w:val="clear" w:color="000000" w:fill="FFFFFF"/>
            <w:vAlign w:val="bottom"/>
            <w:hideMark/>
          </w:tcPr>
          <w:p w14:paraId="1029B63B" w14:textId="34491B30"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Darling Downs</w:t>
            </w:r>
            <w:r w:rsidR="0038520A">
              <w:rPr>
                <w:rFonts w:asciiTheme="minorHAnsi" w:hAnsiTheme="minorHAnsi" w:cstheme="minorHAnsi"/>
                <w:szCs w:val="18"/>
              </w:rPr>
              <w:t xml:space="preserve"> – </w:t>
            </w:r>
            <w:r w:rsidRPr="00E62225">
              <w:rPr>
                <w:rFonts w:asciiTheme="minorHAnsi" w:hAnsiTheme="minorHAnsi" w:cstheme="minorHAnsi"/>
                <w:szCs w:val="18"/>
              </w:rPr>
              <w:t>Maranoa</w:t>
            </w:r>
          </w:p>
        </w:tc>
        <w:tc>
          <w:tcPr>
            <w:tcW w:w="3753" w:type="dxa"/>
            <w:shd w:val="clear" w:color="000000" w:fill="FFFFFF"/>
            <w:hideMark/>
          </w:tcPr>
          <w:p w14:paraId="2B40B6C6" w14:textId="643F61D0" w:rsidR="006C129B" w:rsidRPr="00E62225" w:rsidRDefault="005D79A0" w:rsidP="00505F02">
            <w:pPr>
              <w:pStyle w:val="TableTextRight"/>
              <w:rPr>
                <w:rFonts w:asciiTheme="minorHAnsi" w:hAnsiTheme="minorHAnsi" w:cstheme="minorHAnsi"/>
                <w:szCs w:val="18"/>
              </w:rPr>
            </w:pPr>
            <w:r w:rsidRPr="000042BE">
              <w:t>25.9</w:t>
            </w:r>
          </w:p>
        </w:tc>
      </w:tr>
      <w:tr w:rsidR="006C129B" w:rsidRPr="00666791" w14:paraId="0A149E30" w14:textId="77777777" w:rsidTr="005D79A0">
        <w:trPr>
          <w:trHeight w:val="300"/>
        </w:trPr>
        <w:tc>
          <w:tcPr>
            <w:tcW w:w="1077" w:type="dxa"/>
            <w:shd w:val="clear" w:color="000000" w:fill="FFFFFF"/>
            <w:vAlign w:val="bottom"/>
            <w:hideMark/>
          </w:tcPr>
          <w:p w14:paraId="4C06B696" w14:textId="77777777" w:rsidR="006C129B" w:rsidRPr="00666791" w:rsidRDefault="006C129B" w:rsidP="00505F02">
            <w:pPr>
              <w:pStyle w:val="TableTextCentered"/>
              <w:rPr>
                <w:rFonts w:cs="Calibri"/>
                <w:color w:val="000000"/>
                <w:szCs w:val="22"/>
              </w:rPr>
            </w:pPr>
            <w:r w:rsidRPr="00666791">
              <w:rPr>
                <w:rFonts w:cs="Calibri"/>
                <w:color w:val="000000"/>
                <w:szCs w:val="22"/>
              </w:rPr>
              <w:t>308</w:t>
            </w:r>
          </w:p>
        </w:tc>
        <w:tc>
          <w:tcPr>
            <w:tcW w:w="4252" w:type="dxa"/>
            <w:shd w:val="clear" w:color="000000" w:fill="FFFFFF"/>
            <w:vAlign w:val="bottom"/>
            <w:hideMark/>
          </w:tcPr>
          <w:p w14:paraId="389785D0" w14:textId="77777777"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Central Queensland</w:t>
            </w:r>
          </w:p>
        </w:tc>
        <w:tc>
          <w:tcPr>
            <w:tcW w:w="3753" w:type="dxa"/>
            <w:shd w:val="clear" w:color="000000" w:fill="FFFFFF"/>
            <w:hideMark/>
          </w:tcPr>
          <w:p w14:paraId="27F556EE" w14:textId="66A1E843" w:rsidR="006C129B" w:rsidRPr="00E62225" w:rsidRDefault="006C129B" w:rsidP="00505F02">
            <w:pPr>
              <w:pStyle w:val="TableTextRight"/>
              <w:rPr>
                <w:rFonts w:asciiTheme="minorHAnsi" w:hAnsiTheme="minorHAnsi" w:cstheme="minorHAnsi"/>
                <w:szCs w:val="18"/>
              </w:rPr>
            </w:pPr>
            <w:r w:rsidRPr="000042BE">
              <w:t>20.</w:t>
            </w:r>
            <w:r w:rsidR="005D79A0" w:rsidRPr="000042BE">
              <w:t>3</w:t>
            </w:r>
          </w:p>
        </w:tc>
      </w:tr>
      <w:tr w:rsidR="006C129B" w:rsidRPr="00666791" w14:paraId="62BE6ADA" w14:textId="77777777" w:rsidTr="005D79A0">
        <w:trPr>
          <w:trHeight w:val="300"/>
        </w:trPr>
        <w:tc>
          <w:tcPr>
            <w:tcW w:w="1077" w:type="dxa"/>
            <w:shd w:val="clear" w:color="000000" w:fill="FFFFFF"/>
            <w:vAlign w:val="bottom"/>
            <w:hideMark/>
          </w:tcPr>
          <w:p w14:paraId="540553FB" w14:textId="77777777" w:rsidR="006C129B" w:rsidRPr="00666791" w:rsidRDefault="006C129B" w:rsidP="00505F02">
            <w:pPr>
              <w:pStyle w:val="TableTextCentered"/>
              <w:rPr>
                <w:rFonts w:cs="Calibri"/>
                <w:color w:val="000000"/>
                <w:szCs w:val="22"/>
              </w:rPr>
            </w:pPr>
            <w:r w:rsidRPr="00666791">
              <w:rPr>
                <w:rFonts w:cs="Calibri"/>
                <w:color w:val="000000"/>
                <w:szCs w:val="22"/>
              </w:rPr>
              <w:t>309</w:t>
            </w:r>
          </w:p>
        </w:tc>
        <w:tc>
          <w:tcPr>
            <w:tcW w:w="4252" w:type="dxa"/>
            <w:shd w:val="clear" w:color="000000" w:fill="FFFFFF"/>
            <w:vAlign w:val="bottom"/>
            <w:hideMark/>
          </w:tcPr>
          <w:p w14:paraId="6B739507" w14:textId="77777777"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Gold Coast</w:t>
            </w:r>
          </w:p>
        </w:tc>
        <w:tc>
          <w:tcPr>
            <w:tcW w:w="3753" w:type="dxa"/>
            <w:shd w:val="clear" w:color="000000" w:fill="FFFFFF"/>
            <w:hideMark/>
          </w:tcPr>
          <w:p w14:paraId="4C292D5F" w14:textId="1215FF2C" w:rsidR="006C129B" w:rsidRPr="00E62225" w:rsidRDefault="005D79A0" w:rsidP="00505F02">
            <w:pPr>
              <w:pStyle w:val="TableTextRight"/>
              <w:rPr>
                <w:rFonts w:asciiTheme="minorHAnsi" w:hAnsiTheme="minorHAnsi" w:cstheme="minorHAnsi"/>
                <w:szCs w:val="18"/>
              </w:rPr>
            </w:pPr>
            <w:r w:rsidRPr="000042BE">
              <w:t>37.7</w:t>
            </w:r>
          </w:p>
        </w:tc>
      </w:tr>
      <w:tr w:rsidR="006C129B" w:rsidRPr="00666791" w14:paraId="5727F309" w14:textId="77777777" w:rsidTr="005D79A0">
        <w:trPr>
          <w:trHeight w:val="300"/>
        </w:trPr>
        <w:tc>
          <w:tcPr>
            <w:tcW w:w="1077" w:type="dxa"/>
            <w:shd w:val="clear" w:color="000000" w:fill="FFFFFF"/>
            <w:vAlign w:val="bottom"/>
            <w:hideMark/>
          </w:tcPr>
          <w:p w14:paraId="3E162921" w14:textId="77777777" w:rsidR="006C129B" w:rsidRPr="00666791" w:rsidRDefault="006C129B" w:rsidP="00505F02">
            <w:pPr>
              <w:pStyle w:val="TableTextCentered"/>
              <w:rPr>
                <w:rFonts w:cs="Calibri"/>
                <w:color w:val="000000"/>
                <w:szCs w:val="22"/>
              </w:rPr>
            </w:pPr>
            <w:r w:rsidRPr="00666791">
              <w:rPr>
                <w:rFonts w:cs="Calibri"/>
                <w:color w:val="000000"/>
                <w:szCs w:val="22"/>
              </w:rPr>
              <w:t>310</w:t>
            </w:r>
          </w:p>
        </w:tc>
        <w:tc>
          <w:tcPr>
            <w:tcW w:w="4252" w:type="dxa"/>
            <w:shd w:val="clear" w:color="000000" w:fill="FFFFFF"/>
            <w:vAlign w:val="bottom"/>
            <w:hideMark/>
          </w:tcPr>
          <w:p w14:paraId="73349B18" w14:textId="77777777"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Ipswich</w:t>
            </w:r>
          </w:p>
        </w:tc>
        <w:tc>
          <w:tcPr>
            <w:tcW w:w="3753" w:type="dxa"/>
            <w:shd w:val="clear" w:color="000000" w:fill="FFFFFF"/>
            <w:hideMark/>
          </w:tcPr>
          <w:p w14:paraId="442EEC31" w14:textId="0265D88A" w:rsidR="006C129B" w:rsidRPr="00E62225" w:rsidRDefault="006C129B" w:rsidP="00505F02">
            <w:pPr>
              <w:pStyle w:val="TableTextRight"/>
              <w:rPr>
                <w:rFonts w:asciiTheme="minorHAnsi" w:hAnsiTheme="minorHAnsi" w:cstheme="minorHAnsi"/>
                <w:szCs w:val="18"/>
              </w:rPr>
            </w:pPr>
            <w:r w:rsidRPr="000042BE">
              <w:t>26.</w:t>
            </w:r>
            <w:r w:rsidR="005D79A0" w:rsidRPr="000042BE">
              <w:t>3</w:t>
            </w:r>
          </w:p>
        </w:tc>
      </w:tr>
      <w:tr w:rsidR="006C129B" w:rsidRPr="00666791" w14:paraId="1C46E029" w14:textId="77777777" w:rsidTr="005D79A0">
        <w:trPr>
          <w:trHeight w:val="300"/>
        </w:trPr>
        <w:tc>
          <w:tcPr>
            <w:tcW w:w="1077" w:type="dxa"/>
            <w:shd w:val="clear" w:color="000000" w:fill="FFFFFF"/>
            <w:vAlign w:val="bottom"/>
            <w:hideMark/>
          </w:tcPr>
          <w:p w14:paraId="32A374F1" w14:textId="77777777" w:rsidR="006C129B" w:rsidRPr="00666791" w:rsidRDefault="006C129B" w:rsidP="00505F02">
            <w:pPr>
              <w:pStyle w:val="TableTextCentered"/>
              <w:rPr>
                <w:rFonts w:cs="Calibri"/>
                <w:color w:val="000000"/>
                <w:szCs w:val="22"/>
              </w:rPr>
            </w:pPr>
            <w:r w:rsidRPr="00666791">
              <w:rPr>
                <w:rFonts w:cs="Calibri"/>
                <w:color w:val="000000"/>
                <w:szCs w:val="22"/>
              </w:rPr>
              <w:t>311</w:t>
            </w:r>
          </w:p>
        </w:tc>
        <w:tc>
          <w:tcPr>
            <w:tcW w:w="4252" w:type="dxa"/>
            <w:shd w:val="clear" w:color="000000" w:fill="FFFFFF"/>
            <w:vAlign w:val="bottom"/>
            <w:hideMark/>
          </w:tcPr>
          <w:p w14:paraId="43C9FEC4" w14:textId="127CB3D4"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Logan</w:t>
            </w:r>
            <w:r w:rsidR="0038520A">
              <w:rPr>
                <w:rFonts w:asciiTheme="minorHAnsi" w:hAnsiTheme="minorHAnsi" w:cstheme="minorHAnsi"/>
                <w:szCs w:val="18"/>
              </w:rPr>
              <w:t xml:space="preserve"> – </w:t>
            </w:r>
            <w:r w:rsidRPr="00E62225">
              <w:rPr>
                <w:rFonts w:asciiTheme="minorHAnsi" w:hAnsiTheme="minorHAnsi" w:cstheme="minorHAnsi"/>
                <w:szCs w:val="18"/>
              </w:rPr>
              <w:t>Beaudesert</w:t>
            </w:r>
          </w:p>
        </w:tc>
        <w:tc>
          <w:tcPr>
            <w:tcW w:w="3753" w:type="dxa"/>
            <w:shd w:val="clear" w:color="000000" w:fill="FFFFFF"/>
            <w:hideMark/>
          </w:tcPr>
          <w:p w14:paraId="373F8E67" w14:textId="258082B1" w:rsidR="006C129B" w:rsidRPr="00E62225" w:rsidRDefault="005D79A0" w:rsidP="00505F02">
            <w:pPr>
              <w:pStyle w:val="TableTextRight"/>
              <w:rPr>
                <w:rFonts w:asciiTheme="minorHAnsi" w:hAnsiTheme="minorHAnsi" w:cstheme="minorHAnsi"/>
                <w:szCs w:val="18"/>
              </w:rPr>
            </w:pPr>
            <w:r w:rsidRPr="000042BE">
              <w:t>32.7</w:t>
            </w:r>
          </w:p>
        </w:tc>
      </w:tr>
      <w:tr w:rsidR="006C129B" w:rsidRPr="00666791" w14:paraId="42CE3A02" w14:textId="77777777" w:rsidTr="005D79A0">
        <w:trPr>
          <w:trHeight w:val="300"/>
        </w:trPr>
        <w:tc>
          <w:tcPr>
            <w:tcW w:w="1077" w:type="dxa"/>
            <w:shd w:val="clear" w:color="000000" w:fill="FFFFFF"/>
            <w:vAlign w:val="bottom"/>
            <w:hideMark/>
          </w:tcPr>
          <w:p w14:paraId="66123718" w14:textId="77777777" w:rsidR="006C129B" w:rsidRPr="00666791" w:rsidRDefault="006C129B" w:rsidP="00505F02">
            <w:pPr>
              <w:pStyle w:val="TableTextCentered"/>
              <w:rPr>
                <w:rFonts w:cs="Calibri"/>
                <w:color w:val="000000"/>
                <w:szCs w:val="22"/>
              </w:rPr>
            </w:pPr>
            <w:r w:rsidRPr="00666791">
              <w:rPr>
                <w:rFonts w:cs="Calibri"/>
                <w:color w:val="000000"/>
                <w:szCs w:val="22"/>
              </w:rPr>
              <w:t>312</w:t>
            </w:r>
          </w:p>
        </w:tc>
        <w:tc>
          <w:tcPr>
            <w:tcW w:w="4252" w:type="dxa"/>
            <w:shd w:val="clear" w:color="000000" w:fill="FFFFFF"/>
            <w:vAlign w:val="bottom"/>
            <w:hideMark/>
          </w:tcPr>
          <w:p w14:paraId="63D88861" w14:textId="62D0D807"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Mackay</w:t>
            </w:r>
            <w:r w:rsidR="0038520A">
              <w:rPr>
                <w:rFonts w:asciiTheme="minorHAnsi" w:hAnsiTheme="minorHAnsi" w:cstheme="minorHAnsi"/>
                <w:szCs w:val="18"/>
              </w:rPr>
              <w:t xml:space="preserve"> – </w:t>
            </w:r>
            <w:r w:rsidRPr="00E62225">
              <w:rPr>
                <w:rFonts w:asciiTheme="minorHAnsi" w:hAnsiTheme="minorHAnsi" w:cstheme="minorHAnsi"/>
                <w:szCs w:val="18"/>
              </w:rPr>
              <w:t>Isaac</w:t>
            </w:r>
            <w:r w:rsidR="0038520A">
              <w:rPr>
                <w:rFonts w:asciiTheme="minorHAnsi" w:hAnsiTheme="minorHAnsi" w:cstheme="minorHAnsi"/>
                <w:szCs w:val="18"/>
              </w:rPr>
              <w:t xml:space="preserve"> – </w:t>
            </w:r>
            <w:r w:rsidRPr="00E62225">
              <w:rPr>
                <w:rFonts w:asciiTheme="minorHAnsi" w:hAnsiTheme="minorHAnsi" w:cstheme="minorHAnsi"/>
                <w:szCs w:val="18"/>
              </w:rPr>
              <w:t>Whitsunday</w:t>
            </w:r>
          </w:p>
        </w:tc>
        <w:tc>
          <w:tcPr>
            <w:tcW w:w="3753" w:type="dxa"/>
            <w:shd w:val="clear" w:color="000000" w:fill="FFFFFF"/>
            <w:hideMark/>
          </w:tcPr>
          <w:p w14:paraId="04F4EA54" w14:textId="1EE51B3F" w:rsidR="006C129B" w:rsidRPr="00E62225" w:rsidRDefault="006C129B" w:rsidP="00505F02">
            <w:pPr>
              <w:pStyle w:val="TableTextRight"/>
              <w:rPr>
                <w:rFonts w:asciiTheme="minorHAnsi" w:hAnsiTheme="minorHAnsi" w:cstheme="minorHAnsi"/>
                <w:szCs w:val="18"/>
              </w:rPr>
            </w:pPr>
            <w:r w:rsidRPr="000042BE">
              <w:t>23.</w:t>
            </w:r>
            <w:r w:rsidR="005D79A0" w:rsidRPr="000042BE">
              <w:t>1</w:t>
            </w:r>
          </w:p>
        </w:tc>
      </w:tr>
      <w:tr w:rsidR="006C129B" w:rsidRPr="00666791" w14:paraId="434C8260" w14:textId="77777777" w:rsidTr="005D79A0">
        <w:trPr>
          <w:trHeight w:val="300"/>
        </w:trPr>
        <w:tc>
          <w:tcPr>
            <w:tcW w:w="1077" w:type="dxa"/>
            <w:shd w:val="clear" w:color="000000" w:fill="FFFFFF"/>
            <w:vAlign w:val="bottom"/>
            <w:hideMark/>
          </w:tcPr>
          <w:p w14:paraId="7C943FFB" w14:textId="77777777" w:rsidR="006C129B" w:rsidRPr="00666791" w:rsidRDefault="006C129B" w:rsidP="00505F02">
            <w:pPr>
              <w:pStyle w:val="TableTextCentered"/>
              <w:rPr>
                <w:rFonts w:cs="Calibri"/>
                <w:color w:val="000000"/>
                <w:szCs w:val="22"/>
              </w:rPr>
            </w:pPr>
            <w:r w:rsidRPr="00666791">
              <w:rPr>
                <w:rFonts w:cs="Calibri"/>
                <w:color w:val="000000"/>
                <w:szCs w:val="22"/>
              </w:rPr>
              <w:t>313</w:t>
            </w:r>
          </w:p>
        </w:tc>
        <w:tc>
          <w:tcPr>
            <w:tcW w:w="4252" w:type="dxa"/>
            <w:shd w:val="clear" w:color="000000" w:fill="FFFFFF"/>
            <w:vAlign w:val="bottom"/>
            <w:hideMark/>
          </w:tcPr>
          <w:p w14:paraId="5E67778B" w14:textId="6EB79082"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Moreton Bay</w:t>
            </w:r>
            <w:r w:rsidR="0038520A">
              <w:rPr>
                <w:rFonts w:asciiTheme="minorHAnsi" w:hAnsiTheme="minorHAnsi" w:cstheme="minorHAnsi"/>
                <w:szCs w:val="18"/>
              </w:rPr>
              <w:t xml:space="preserve"> – </w:t>
            </w:r>
            <w:r w:rsidRPr="00E62225">
              <w:rPr>
                <w:rFonts w:asciiTheme="minorHAnsi" w:hAnsiTheme="minorHAnsi" w:cstheme="minorHAnsi"/>
                <w:szCs w:val="18"/>
              </w:rPr>
              <w:t>North</w:t>
            </w:r>
          </w:p>
        </w:tc>
        <w:tc>
          <w:tcPr>
            <w:tcW w:w="3753" w:type="dxa"/>
            <w:shd w:val="clear" w:color="000000" w:fill="FFFFFF"/>
            <w:hideMark/>
          </w:tcPr>
          <w:p w14:paraId="4261F6F9" w14:textId="4951914F" w:rsidR="006C129B" w:rsidRPr="00E62225" w:rsidRDefault="005D79A0" w:rsidP="00505F02">
            <w:pPr>
              <w:pStyle w:val="TableTextRight"/>
              <w:rPr>
                <w:rFonts w:asciiTheme="minorHAnsi" w:hAnsiTheme="minorHAnsi" w:cstheme="minorHAnsi"/>
                <w:szCs w:val="18"/>
              </w:rPr>
            </w:pPr>
            <w:r w:rsidRPr="000042BE">
              <w:t>32.9</w:t>
            </w:r>
          </w:p>
        </w:tc>
      </w:tr>
      <w:tr w:rsidR="006C129B" w:rsidRPr="00666791" w14:paraId="2083B299" w14:textId="77777777" w:rsidTr="005D79A0">
        <w:trPr>
          <w:trHeight w:val="300"/>
        </w:trPr>
        <w:tc>
          <w:tcPr>
            <w:tcW w:w="1077" w:type="dxa"/>
            <w:shd w:val="clear" w:color="000000" w:fill="FFFFFF"/>
            <w:vAlign w:val="bottom"/>
            <w:hideMark/>
          </w:tcPr>
          <w:p w14:paraId="6932877F" w14:textId="77777777" w:rsidR="006C129B" w:rsidRPr="00666791" w:rsidRDefault="006C129B" w:rsidP="00505F02">
            <w:pPr>
              <w:pStyle w:val="TableTextCentered"/>
              <w:rPr>
                <w:rFonts w:cs="Calibri"/>
                <w:color w:val="000000"/>
                <w:szCs w:val="22"/>
              </w:rPr>
            </w:pPr>
            <w:r w:rsidRPr="00666791">
              <w:rPr>
                <w:rFonts w:cs="Calibri"/>
                <w:color w:val="000000"/>
                <w:szCs w:val="22"/>
              </w:rPr>
              <w:t>314</w:t>
            </w:r>
          </w:p>
        </w:tc>
        <w:tc>
          <w:tcPr>
            <w:tcW w:w="4252" w:type="dxa"/>
            <w:shd w:val="clear" w:color="000000" w:fill="FFFFFF"/>
            <w:vAlign w:val="bottom"/>
            <w:hideMark/>
          </w:tcPr>
          <w:p w14:paraId="5284FF2F" w14:textId="2C14D2D1"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Moreton Bay</w:t>
            </w:r>
            <w:r w:rsidR="0038520A">
              <w:rPr>
                <w:rFonts w:asciiTheme="minorHAnsi" w:hAnsiTheme="minorHAnsi" w:cstheme="minorHAnsi"/>
                <w:szCs w:val="18"/>
              </w:rPr>
              <w:t xml:space="preserve"> – </w:t>
            </w:r>
            <w:r w:rsidRPr="00E62225">
              <w:rPr>
                <w:rFonts w:asciiTheme="minorHAnsi" w:hAnsiTheme="minorHAnsi" w:cstheme="minorHAnsi"/>
                <w:szCs w:val="18"/>
              </w:rPr>
              <w:t>South</w:t>
            </w:r>
          </w:p>
        </w:tc>
        <w:tc>
          <w:tcPr>
            <w:tcW w:w="3753" w:type="dxa"/>
            <w:shd w:val="clear" w:color="000000" w:fill="FFFFFF"/>
            <w:hideMark/>
          </w:tcPr>
          <w:p w14:paraId="533E8511" w14:textId="13EFB8B7" w:rsidR="006C129B" w:rsidRPr="00E62225" w:rsidRDefault="005D79A0" w:rsidP="00505F02">
            <w:pPr>
              <w:pStyle w:val="TableTextRight"/>
              <w:rPr>
                <w:rFonts w:asciiTheme="minorHAnsi" w:hAnsiTheme="minorHAnsi" w:cstheme="minorHAnsi"/>
                <w:szCs w:val="18"/>
              </w:rPr>
            </w:pPr>
            <w:r w:rsidRPr="000042BE">
              <w:t>33.9</w:t>
            </w:r>
          </w:p>
        </w:tc>
      </w:tr>
      <w:tr w:rsidR="006C129B" w:rsidRPr="00666791" w14:paraId="65F371EF" w14:textId="77777777" w:rsidTr="005D79A0">
        <w:trPr>
          <w:trHeight w:val="300"/>
        </w:trPr>
        <w:tc>
          <w:tcPr>
            <w:tcW w:w="1077" w:type="dxa"/>
            <w:shd w:val="clear" w:color="000000" w:fill="FFFFFF"/>
            <w:vAlign w:val="bottom"/>
            <w:hideMark/>
          </w:tcPr>
          <w:p w14:paraId="77674DC1" w14:textId="77777777" w:rsidR="006C129B" w:rsidRPr="00666791" w:rsidRDefault="006C129B" w:rsidP="00505F02">
            <w:pPr>
              <w:pStyle w:val="TableTextCentered"/>
              <w:rPr>
                <w:rFonts w:cs="Calibri"/>
                <w:color w:val="000000"/>
                <w:szCs w:val="22"/>
              </w:rPr>
            </w:pPr>
            <w:r w:rsidRPr="00666791">
              <w:rPr>
                <w:rFonts w:cs="Calibri"/>
                <w:color w:val="000000"/>
                <w:szCs w:val="22"/>
              </w:rPr>
              <w:t>315</w:t>
            </w:r>
          </w:p>
        </w:tc>
        <w:tc>
          <w:tcPr>
            <w:tcW w:w="4252" w:type="dxa"/>
            <w:shd w:val="clear" w:color="000000" w:fill="FFFFFF"/>
            <w:vAlign w:val="bottom"/>
            <w:hideMark/>
          </w:tcPr>
          <w:p w14:paraId="511ECB77" w14:textId="2FDB6A52"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Queensland</w:t>
            </w:r>
            <w:r w:rsidR="0038520A">
              <w:rPr>
                <w:rFonts w:asciiTheme="minorHAnsi" w:hAnsiTheme="minorHAnsi" w:cstheme="minorHAnsi"/>
                <w:szCs w:val="18"/>
              </w:rPr>
              <w:t xml:space="preserve"> – </w:t>
            </w:r>
            <w:r w:rsidRPr="00E62225">
              <w:rPr>
                <w:rFonts w:asciiTheme="minorHAnsi" w:hAnsiTheme="minorHAnsi" w:cstheme="minorHAnsi"/>
                <w:szCs w:val="18"/>
              </w:rPr>
              <w:t>Outback</w:t>
            </w:r>
          </w:p>
        </w:tc>
        <w:tc>
          <w:tcPr>
            <w:tcW w:w="3753" w:type="dxa"/>
            <w:shd w:val="clear" w:color="000000" w:fill="FFFFFF"/>
            <w:hideMark/>
          </w:tcPr>
          <w:p w14:paraId="257072DE" w14:textId="5896565B" w:rsidR="006C129B" w:rsidRPr="00E62225" w:rsidRDefault="005D79A0" w:rsidP="00505F02">
            <w:pPr>
              <w:pStyle w:val="TableTextRight"/>
              <w:rPr>
                <w:rFonts w:asciiTheme="minorHAnsi" w:hAnsiTheme="minorHAnsi" w:cstheme="minorHAnsi"/>
                <w:szCs w:val="18"/>
              </w:rPr>
            </w:pPr>
            <w:r w:rsidRPr="000042BE">
              <w:t>12.8</w:t>
            </w:r>
          </w:p>
        </w:tc>
      </w:tr>
      <w:tr w:rsidR="006C129B" w:rsidRPr="00666791" w14:paraId="1313CDAF" w14:textId="77777777" w:rsidTr="005D79A0">
        <w:trPr>
          <w:trHeight w:val="300"/>
        </w:trPr>
        <w:tc>
          <w:tcPr>
            <w:tcW w:w="1077" w:type="dxa"/>
            <w:shd w:val="clear" w:color="000000" w:fill="FFFFFF"/>
            <w:vAlign w:val="bottom"/>
            <w:hideMark/>
          </w:tcPr>
          <w:p w14:paraId="4766BC02" w14:textId="77777777" w:rsidR="006C129B" w:rsidRPr="00666791" w:rsidRDefault="006C129B" w:rsidP="00505F02">
            <w:pPr>
              <w:pStyle w:val="TableTextCentered"/>
              <w:rPr>
                <w:rFonts w:cs="Calibri"/>
                <w:color w:val="000000"/>
                <w:szCs w:val="22"/>
              </w:rPr>
            </w:pPr>
            <w:r w:rsidRPr="00666791">
              <w:rPr>
                <w:rFonts w:cs="Calibri"/>
                <w:color w:val="000000"/>
                <w:szCs w:val="22"/>
              </w:rPr>
              <w:t>316</w:t>
            </w:r>
          </w:p>
        </w:tc>
        <w:tc>
          <w:tcPr>
            <w:tcW w:w="4252" w:type="dxa"/>
            <w:shd w:val="clear" w:color="000000" w:fill="FFFFFF"/>
            <w:vAlign w:val="bottom"/>
            <w:hideMark/>
          </w:tcPr>
          <w:p w14:paraId="4B477EEE" w14:textId="77777777"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Sunshine Coast</w:t>
            </w:r>
          </w:p>
        </w:tc>
        <w:tc>
          <w:tcPr>
            <w:tcW w:w="3753" w:type="dxa"/>
            <w:shd w:val="clear" w:color="000000" w:fill="FFFFFF"/>
            <w:hideMark/>
          </w:tcPr>
          <w:p w14:paraId="10DD4103" w14:textId="1750A025" w:rsidR="006C129B" w:rsidRPr="00E62225" w:rsidRDefault="006C129B" w:rsidP="00505F02">
            <w:pPr>
              <w:pStyle w:val="TableTextRight"/>
              <w:rPr>
                <w:rFonts w:asciiTheme="minorHAnsi" w:hAnsiTheme="minorHAnsi" w:cstheme="minorHAnsi"/>
                <w:szCs w:val="18"/>
              </w:rPr>
            </w:pPr>
            <w:r w:rsidRPr="000042BE">
              <w:t>35.</w:t>
            </w:r>
            <w:r w:rsidR="005D79A0" w:rsidRPr="000042BE">
              <w:t>3</w:t>
            </w:r>
          </w:p>
        </w:tc>
      </w:tr>
      <w:tr w:rsidR="006C129B" w:rsidRPr="00666791" w14:paraId="7897E1E3" w14:textId="77777777" w:rsidTr="005D79A0">
        <w:trPr>
          <w:trHeight w:val="300"/>
        </w:trPr>
        <w:tc>
          <w:tcPr>
            <w:tcW w:w="1077" w:type="dxa"/>
            <w:shd w:val="clear" w:color="000000" w:fill="FFFFFF"/>
            <w:vAlign w:val="bottom"/>
            <w:hideMark/>
          </w:tcPr>
          <w:p w14:paraId="79C671E3" w14:textId="77777777" w:rsidR="006C129B" w:rsidRPr="00666791" w:rsidRDefault="006C129B" w:rsidP="00505F02">
            <w:pPr>
              <w:pStyle w:val="TableTextCentered"/>
              <w:rPr>
                <w:rFonts w:cs="Calibri"/>
                <w:color w:val="000000"/>
                <w:szCs w:val="22"/>
              </w:rPr>
            </w:pPr>
            <w:r w:rsidRPr="00666791">
              <w:rPr>
                <w:rFonts w:cs="Calibri"/>
                <w:color w:val="000000"/>
                <w:szCs w:val="22"/>
              </w:rPr>
              <w:t>317</w:t>
            </w:r>
          </w:p>
        </w:tc>
        <w:tc>
          <w:tcPr>
            <w:tcW w:w="4252" w:type="dxa"/>
            <w:shd w:val="clear" w:color="000000" w:fill="FFFFFF"/>
            <w:vAlign w:val="bottom"/>
            <w:hideMark/>
          </w:tcPr>
          <w:p w14:paraId="4D0BFDF6" w14:textId="77777777"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Toowoomba</w:t>
            </w:r>
          </w:p>
        </w:tc>
        <w:tc>
          <w:tcPr>
            <w:tcW w:w="3753" w:type="dxa"/>
            <w:shd w:val="clear" w:color="000000" w:fill="FFFFFF"/>
            <w:hideMark/>
          </w:tcPr>
          <w:p w14:paraId="601AA0CE" w14:textId="5AD9AA63" w:rsidR="006C129B" w:rsidRPr="00E62225" w:rsidRDefault="005D79A0" w:rsidP="00505F02">
            <w:pPr>
              <w:pStyle w:val="TableTextRight"/>
              <w:rPr>
                <w:rFonts w:asciiTheme="minorHAnsi" w:hAnsiTheme="minorHAnsi" w:cstheme="minorHAnsi"/>
                <w:szCs w:val="18"/>
              </w:rPr>
            </w:pPr>
            <w:r w:rsidRPr="000042BE">
              <w:t>35.9</w:t>
            </w:r>
          </w:p>
        </w:tc>
      </w:tr>
      <w:tr w:rsidR="006C129B" w:rsidRPr="00666791" w14:paraId="6E2A9315" w14:textId="77777777" w:rsidTr="005D79A0">
        <w:trPr>
          <w:trHeight w:val="300"/>
        </w:trPr>
        <w:tc>
          <w:tcPr>
            <w:tcW w:w="1077" w:type="dxa"/>
            <w:shd w:val="clear" w:color="000000" w:fill="FFFFFF"/>
            <w:vAlign w:val="bottom"/>
            <w:hideMark/>
          </w:tcPr>
          <w:p w14:paraId="75C1C69C" w14:textId="77777777" w:rsidR="006C129B" w:rsidRPr="00666791" w:rsidRDefault="006C129B" w:rsidP="00505F02">
            <w:pPr>
              <w:pStyle w:val="TableTextCentered"/>
              <w:rPr>
                <w:rFonts w:cs="Calibri"/>
                <w:color w:val="000000"/>
                <w:szCs w:val="22"/>
              </w:rPr>
            </w:pPr>
            <w:r w:rsidRPr="00666791">
              <w:rPr>
                <w:rFonts w:cs="Calibri"/>
                <w:color w:val="000000"/>
                <w:szCs w:val="22"/>
              </w:rPr>
              <w:t>318</w:t>
            </w:r>
          </w:p>
        </w:tc>
        <w:tc>
          <w:tcPr>
            <w:tcW w:w="4252" w:type="dxa"/>
            <w:shd w:val="clear" w:color="000000" w:fill="FFFFFF"/>
            <w:vAlign w:val="bottom"/>
            <w:hideMark/>
          </w:tcPr>
          <w:p w14:paraId="25ED4656" w14:textId="77777777"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Townsville</w:t>
            </w:r>
          </w:p>
        </w:tc>
        <w:tc>
          <w:tcPr>
            <w:tcW w:w="3753" w:type="dxa"/>
            <w:shd w:val="clear" w:color="000000" w:fill="FFFFFF"/>
            <w:hideMark/>
          </w:tcPr>
          <w:p w14:paraId="1AB007DE" w14:textId="6E4EF57D" w:rsidR="006C129B" w:rsidRPr="00E62225" w:rsidRDefault="005D79A0" w:rsidP="00505F02">
            <w:pPr>
              <w:pStyle w:val="TableTextRight"/>
              <w:rPr>
                <w:rFonts w:asciiTheme="minorHAnsi" w:hAnsiTheme="minorHAnsi" w:cstheme="minorHAnsi"/>
                <w:szCs w:val="18"/>
              </w:rPr>
            </w:pPr>
            <w:r w:rsidRPr="000042BE">
              <w:t>25.9</w:t>
            </w:r>
          </w:p>
        </w:tc>
      </w:tr>
      <w:tr w:rsidR="006C129B" w:rsidRPr="00666791" w14:paraId="11E7B742" w14:textId="77777777" w:rsidTr="005D79A0">
        <w:trPr>
          <w:trHeight w:val="315"/>
        </w:trPr>
        <w:tc>
          <w:tcPr>
            <w:tcW w:w="1077" w:type="dxa"/>
            <w:shd w:val="clear" w:color="000000" w:fill="FFFFFF"/>
            <w:vAlign w:val="bottom"/>
            <w:hideMark/>
          </w:tcPr>
          <w:p w14:paraId="725978BF" w14:textId="77777777" w:rsidR="006C129B" w:rsidRPr="00666791" w:rsidRDefault="006C129B" w:rsidP="00505F02">
            <w:pPr>
              <w:pStyle w:val="TableTextCentered"/>
              <w:rPr>
                <w:rFonts w:cs="Calibri"/>
                <w:color w:val="000000"/>
                <w:szCs w:val="22"/>
              </w:rPr>
            </w:pPr>
            <w:r w:rsidRPr="00666791">
              <w:rPr>
                <w:rFonts w:cs="Calibri"/>
                <w:color w:val="000000"/>
                <w:szCs w:val="22"/>
              </w:rPr>
              <w:t>319</w:t>
            </w:r>
          </w:p>
        </w:tc>
        <w:tc>
          <w:tcPr>
            <w:tcW w:w="4252" w:type="dxa"/>
            <w:shd w:val="clear" w:color="000000" w:fill="FFFFFF"/>
            <w:vAlign w:val="bottom"/>
            <w:hideMark/>
          </w:tcPr>
          <w:p w14:paraId="6D7A3BC8" w14:textId="77777777" w:rsidR="006C129B" w:rsidRPr="00E62225" w:rsidRDefault="006C129B" w:rsidP="00505F02">
            <w:pPr>
              <w:pStyle w:val="TableTextLeft"/>
              <w:rPr>
                <w:rFonts w:asciiTheme="minorHAnsi" w:hAnsiTheme="minorHAnsi" w:cstheme="minorHAnsi"/>
                <w:szCs w:val="18"/>
              </w:rPr>
            </w:pPr>
            <w:r w:rsidRPr="00E62225">
              <w:rPr>
                <w:rFonts w:asciiTheme="minorHAnsi" w:hAnsiTheme="minorHAnsi" w:cstheme="minorHAnsi"/>
                <w:szCs w:val="18"/>
              </w:rPr>
              <w:t>Wide Bay</w:t>
            </w:r>
          </w:p>
        </w:tc>
        <w:tc>
          <w:tcPr>
            <w:tcW w:w="3753" w:type="dxa"/>
            <w:shd w:val="clear" w:color="000000" w:fill="FFFFFF"/>
            <w:hideMark/>
          </w:tcPr>
          <w:p w14:paraId="0554665D" w14:textId="596FD145" w:rsidR="006C129B" w:rsidRPr="00E62225" w:rsidRDefault="006C129B" w:rsidP="00505F02">
            <w:pPr>
              <w:pStyle w:val="TableTextRight"/>
              <w:rPr>
                <w:rFonts w:asciiTheme="minorHAnsi" w:hAnsiTheme="minorHAnsi" w:cstheme="minorHAnsi"/>
                <w:szCs w:val="18"/>
              </w:rPr>
            </w:pPr>
            <w:r w:rsidRPr="000042BE">
              <w:t>26.</w:t>
            </w:r>
            <w:r w:rsidR="005D79A0" w:rsidRPr="000042BE">
              <w:t>0</w:t>
            </w:r>
          </w:p>
        </w:tc>
      </w:tr>
      <w:tr w:rsidR="006C129B" w:rsidRPr="00666791" w14:paraId="1AF15475" w14:textId="77777777" w:rsidTr="005D79A0">
        <w:trPr>
          <w:trHeight w:val="315"/>
        </w:trPr>
        <w:tc>
          <w:tcPr>
            <w:tcW w:w="1077" w:type="dxa"/>
            <w:tcBorders>
              <w:bottom w:val="single" w:sz="4" w:space="0" w:color="3A6FAF" w:themeColor="accent2"/>
            </w:tcBorders>
            <w:shd w:val="clear" w:color="000000" w:fill="FFFFFF"/>
            <w:vAlign w:val="bottom"/>
            <w:hideMark/>
          </w:tcPr>
          <w:p w14:paraId="016E1EAB" w14:textId="492D6505" w:rsidR="006C129B" w:rsidRPr="00666791" w:rsidRDefault="006C129B" w:rsidP="00505F02">
            <w:pPr>
              <w:pStyle w:val="TableTextCentered"/>
              <w:rPr>
                <w:rFonts w:cs="Calibri"/>
                <w:color w:val="000000"/>
                <w:szCs w:val="22"/>
              </w:rPr>
            </w:pPr>
          </w:p>
        </w:tc>
        <w:tc>
          <w:tcPr>
            <w:tcW w:w="4252" w:type="dxa"/>
            <w:tcBorders>
              <w:bottom w:val="single" w:sz="4" w:space="0" w:color="3A6FAF" w:themeColor="accent2"/>
            </w:tcBorders>
            <w:shd w:val="clear" w:color="000000" w:fill="FFFFFF"/>
            <w:vAlign w:val="bottom"/>
            <w:hideMark/>
          </w:tcPr>
          <w:p w14:paraId="789B48BB" w14:textId="77777777" w:rsidR="006C129B" w:rsidRPr="00666791" w:rsidRDefault="006C129B" w:rsidP="00505F02">
            <w:pPr>
              <w:pStyle w:val="TableTextLeft"/>
              <w:rPr>
                <w:rFonts w:cs="Calibri"/>
                <w:szCs w:val="22"/>
              </w:rPr>
            </w:pPr>
            <w:r w:rsidRPr="00666791">
              <w:rPr>
                <w:rFonts w:cs="Calibri"/>
                <w:szCs w:val="22"/>
              </w:rPr>
              <w:t> </w:t>
            </w:r>
          </w:p>
        </w:tc>
        <w:tc>
          <w:tcPr>
            <w:tcW w:w="3753" w:type="dxa"/>
            <w:tcBorders>
              <w:bottom w:val="single" w:sz="4" w:space="0" w:color="3A6FAF" w:themeColor="accent2"/>
            </w:tcBorders>
            <w:shd w:val="clear" w:color="000000" w:fill="FFFFFF"/>
            <w:hideMark/>
          </w:tcPr>
          <w:p w14:paraId="78421A21" w14:textId="31BC22A1" w:rsidR="006C129B" w:rsidRPr="00666791" w:rsidRDefault="006C129B" w:rsidP="00505F02">
            <w:pPr>
              <w:pStyle w:val="TableTextRight"/>
              <w:rPr>
                <w:rFonts w:cs="Calibri"/>
                <w:szCs w:val="22"/>
              </w:rPr>
            </w:pPr>
          </w:p>
        </w:tc>
      </w:tr>
      <w:tr w:rsidR="006C129B" w:rsidRPr="00505F02" w14:paraId="08B2767E" w14:textId="77777777" w:rsidTr="005D79A0">
        <w:trPr>
          <w:trHeight w:val="315"/>
        </w:trPr>
        <w:tc>
          <w:tcPr>
            <w:tcW w:w="1077" w:type="dxa"/>
            <w:tcBorders>
              <w:top w:val="single" w:sz="4" w:space="0" w:color="3A6FAF" w:themeColor="accent2"/>
            </w:tcBorders>
            <w:shd w:val="clear" w:color="000000" w:fill="FFFFFF"/>
            <w:vAlign w:val="bottom"/>
            <w:hideMark/>
          </w:tcPr>
          <w:p w14:paraId="3741D8B5" w14:textId="77777777" w:rsidR="006C129B" w:rsidRPr="00505F02" w:rsidRDefault="006C129B" w:rsidP="00505F02">
            <w:pPr>
              <w:pStyle w:val="TableTextCentered"/>
              <w:rPr>
                <w:b/>
                <w:bCs/>
              </w:rPr>
            </w:pPr>
            <w:r w:rsidRPr="00505F02">
              <w:rPr>
                <w:b/>
                <w:bCs/>
              </w:rPr>
              <w:t>400</w:t>
            </w:r>
          </w:p>
        </w:tc>
        <w:tc>
          <w:tcPr>
            <w:tcW w:w="4252" w:type="dxa"/>
            <w:tcBorders>
              <w:top w:val="single" w:sz="4" w:space="0" w:color="3A6FAF" w:themeColor="accent2"/>
            </w:tcBorders>
            <w:shd w:val="clear" w:color="000000" w:fill="FFFFFF"/>
            <w:vAlign w:val="bottom"/>
            <w:hideMark/>
          </w:tcPr>
          <w:p w14:paraId="7423672D" w14:textId="50ED721B" w:rsidR="006C129B" w:rsidRPr="00505F02" w:rsidRDefault="006C129B" w:rsidP="00505F02">
            <w:pPr>
              <w:pStyle w:val="TableTextLeft"/>
              <w:rPr>
                <w:b/>
                <w:bCs/>
              </w:rPr>
            </w:pPr>
            <w:r w:rsidRPr="00505F02">
              <w:rPr>
                <w:b/>
                <w:bCs/>
              </w:rPr>
              <w:t>SOUTH AUSTRALIA</w:t>
            </w:r>
            <w:r w:rsidR="0038520A">
              <w:rPr>
                <w:b/>
                <w:bCs/>
              </w:rPr>
              <w:t xml:space="preserve"> – </w:t>
            </w:r>
            <w:r w:rsidRPr="00505F02">
              <w:rPr>
                <w:b/>
                <w:bCs/>
              </w:rPr>
              <w:t>TOTAL</w:t>
            </w:r>
          </w:p>
        </w:tc>
        <w:tc>
          <w:tcPr>
            <w:tcW w:w="3753" w:type="dxa"/>
            <w:tcBorders>
              <w:top w:val="single" w:sz="4" w:space="0" w:color="3A6FAF" w:themeColor="accent2"/>
            </w:tcBorders>
            <w:shd w:val="clear" w:color="000000" w:fill="FFFFFF"/>
            <w:hideMark/>
          </w:tcPr>
          <w:p w14:paraId="0D3A17DF" w14:textId="40085F24" w:rsidR="006C129B" w:rsidRPr="00505F02" w:rsidRDefault="005D79A0" w:rsidP="00505F02">
            <w:pPr>
              <w:pStyle w:val="TableTextRight"/>
              <w:rPr>
                <w:b/>
                <w:bCs/>
              </w:rPr>
            </w:pPr>
            <w:r w:rsidRPr="005D79A0">
              <w:rPr>
                <w:b/>
                <w:bCs/>
              </w:rPr>
              <w:t>28.8</w:t>
            </w:r>
          </w:p>
        </w:tc>
      </w:tr>
      <w:tr w:rsidR="006C129B" w:rsidRPr="00666791" w14:paraId="25E921FE" w14:textId="77777777" w:rsidTr="005D79A0">
        <w:trPr>
          <w:trHeight w:val="300"/>
        </w:trPr>
        <w:tc>
          <w:tcPr>
            <w:tcW w:w="1077" w:type="dxa"/>
            <w:shd w:val="clear" w:color="000000" w:fill="FFFFFF"/>
            <w:vAlign w:val="bottom"/>
            <w:hideMark/>
          </w:tcPr>
          <w:p w14:paraId="41788741" w14:textId="77777777" w:rsidR="006C129B" w:rsidRPr="00666791" w:rsidRDefault="006C129B" w:rsidP="00505F02">
            <w:pPr>
              <w:pStyle w:val="TableTextCentered"/>
              <w:rPr>
                <w:rFonts w:cs="Calibri"/>
                <w:color w:val="000000"/>
                <w:szCs w:val="22"/>
              </w:rPr>
            </w:pPr>
            <w:r w:rsidRPr="00666791">
              <w:rPr>
                <w:rFonts w:cs="Calibri"/>
                <w:color w:val="000000"/>
                <w:szCs w:val="22"/>
              </w:rPr>
              <w:t>401</w:t>
            </w:r>
          </w:p>
        </w:tc>
        <w:tc>
          <w:tcPr>
            <w:tcW w:w="4252" w:type="dxa"/>
            <w:shd w:val="clear" w:color="000000" w:fill="FFFFFF"/>
            <w:vAlign w:val="bottom"/>
            <w:hideMark/>
          </w:tcPr>
          <w:p w14:paraId="47E9AD64" w14:textId="57C58624" w:rsidR="006C129B" w:rsidRPr="00666791" w:rsidRDefault="006C129B" w:rsidP="00505F02">
            <w:pPr>
              <w:pStyle w:val="TableTextLeft"/>
              <w:rPr>
                <w:rFonts w:cs="Calibri"/>
                <w:szCs w:val="22"/>
              </w:rPr>
            </w:pPr>
            <w:r w:rsidRPr="00666791">
              <w:rPr>
                <w:rFonts w:cs="Calibri"/>
                <w:szCs w:val="22"/>
              </w:rPr>
              <w:t>Adelaide</w:t>
            </w:r>
            <w:r w:rsidR="0038520A">
              <w:rPr>
                <w:rFonts w:cs="Calibri"/>
                <w:szCs w:val="22"/>
              </w:rPr>
              <w:t xml:space="preserve"> – </w:t>
            </w:r>
            <w:r w:rsidRPr="00666791">
              <w:rPr>
                <w:rFonts w:cs="Calibri"/>
                <w:szCs w:val="22"/>
              </w:rPr>
              <w:t>Central and Hills</w:t>
            </w:r>
          </w:p>
        </w:tc>
        <w:tc>
          <w:tcPr>
            <w:tcW w:w="3753" w:type="dxa"/>
            <w:shd w:val="clear" w:color="000000" w:fill="FFFFFF"/>
            <w:hideMark/>
          </w:tcPr>
          <w:p w14:paraId="6AADBAEE" w14:textId="7D861159" w:rsidR="006C129B" w:rsidRPr="00666791" w:rsidRDefault="005D79A0" w:rsidP="00505F02">
            <w:pPr>
              <w:pStyle w:val="TableTextRight"/>
              <w:rPr>
                <w:rFonts w:cs="Calibri"/>
                <w:szCs w:val="22"/>
              </w:rPr>
            </w:pPr>
            <w:r w:rsidRPr="000042BE">
              <w:t>31.5</w:t>
            </w:r>
          </w:p>
        </w:tc>
      </w:tr>
      <w:tr w:rsidR="006C129B" w:rsidRPr="00666791" w14:paraId="0DBE9C00" w14:textId="77777777" w:rsidTr="005D79A0">
        <w:trPr>
          <w:trHeight w:val="300"/>
        </w:trPr>
        <w:tc>
          <w:tcPr>
            <w:tcW w:w="1077" w:type="dxa"/>
            <w:shd w:val="clear" w:color="000000" w:fill="FFFFFF"/>
            <w:vAlign w:val="bottom"/>
            <w:hideMark/>
          </w:tcPr>
          <w:p w14:paraId="7BC9C577" w14:textId="77777777" w:rsidR="006C129B" w:rsidRPr="00666791" w:rsidRDefault="006C129B" w:rsidP="00505F02">
            <w:pPr>
              <w:pStyle w:val="TableTextCentered"/>
              <w:rPr>
                <w:rFonts w:cs="Calibri"/>
                <w:color w:val="000000"/>
                <w:szCs w:val="22"/>
              </w:rPr>
            </w:pPr>
            <w:r w:rsidRPr="00666791">
              <w:rPr>
                <w:rFonts w:cs="Calibri"/>
                <w:color w:val="000000"/>
                <w:szCs w:val="22"/>
              </w:rPr>
              <w:t>402</w:t>
            </w:r>
          </w:p>
        </w:tc>
        <w:tc>
          <w:tcPr>
            <w:tcW w:w="4252" w:type="dxa"/>
            <w:shd w:val="clear" w:color="000000" w:fill="FFFFFF"/>
            <w:vAlign w:val="bottom"/>
            <w:hideMark/>
          </w:tcPr>
          <w:p w14:paraId="06A96F47" w14:textId="5DC6A804" w:rsidR="006C129B" w:rsidRPr="00666791" w:rsidRDefault="006C129B" w:rsidP="00505F02">
            <w:pPr>
              <w:pStyle w:val="TableTextLeft"/>
              <w:rPr>
                <w:rFonts w:cs="Calibri"/>
                <w:szCs w:val="22"/>
              </w:rPr>
            </w:pPr>
            <w:r w:rsidRPr="00666791">
              <w:rPr>
                <w:rFonts w:cs="Calibri"/>
                <w:szCs w:val="22"/>
              </w:rPr>
              <w:t>Adelaide</w:t>
            </w:r>
            <w:r w:rsidR="0038520A">
              <w:rPr>
                <w:rFonts w:cs="Calibri"/>
                <w:szCs w:val="22"/>
              </w:rPr>
              <w:t xml:space="preserve"> – </w:t>
            </w:r>
            <w:r w:rsidRPr="00666791">
              <w:rPr>
                <w:rFonts w:cs="Calibri"/>
                <w:szCs w:val="22"/>
              </w:rPr>
              <w:t>North</w:t>
            </w:r>
          </w:p>
        </w:tc>
        <w:tc>
          <w:tcPr>
            <w:tcW w:w="3753" w:type="dxa"/>
            <w:shd w:val="clear" w:color="000000" w:fill="FFFFFF"/>
            <w:hideMark/>
          </w:tcPr>
          <w:p w14:paraId="2D1EB2D0" w14:textId="1321BDB6" w:rsidR="006C129B" w:rsidRPr="00666791" w:rsidRDefault="006C129B" w:rsidP="00505F02">
            <w:pPr>
              <w:pStyle w:val="TableTextRight"/>
              <w:rPr>
                <w:rFonts w:cs="Calibri"/>
                <w:szCs w:val="22"/>
              </w:rPr>
            </w:pPr>
            <w:r w:rsidRPr="00666791">
              <w:rPr>
                <w:rFonts w:cs="Calibri"/>
                <w:szCs w:val="22"/>
              </w:rPr>
              <w:t>28.</w:t>
            </w:r>
            <w:r w:rsidR="005D79A0" w:rsidRPr="000042BE">
              <w:t>1</w:t>
            </w:r>
          </w:p>
        </w:tc>
      </w:tr>
      <w:tr w:rsidR="006C129B" w:rsidRPr="00666791" w14:paraId="253A0E38" w14:textId="77777777" w:rsidTr="005D79A0">
        <w:trPr>
          <w:trHeight w:val="300"/>
        </w:trPr>
        <w:tc>
          <w:tcPr>
            <w:tcW w:w="1077" w:type="dxa"/>
            <w:shd w:val="clear" w:color="000000" w:fill="FFFFFF"/>
            <w:vAlign w:val="bottom"/>
            <w:hideMark/>
          </w:tcPr>
          <w:p w14:paraId="64735595" w14:textId="77777777" w:rsidR="006C129B" w:rsidRPr="00666791" w:rsidRDefault="006C129B" w:rsidP="00505F02">
            <w:pPr>
              <w:pStyle w:val="TableTextCentered"/>
              <w:rPr>
                <w:rFonts w:cs="Calibri"/>
                <w:color w:val="000000"/>
                <w:szCs w:val="22"/>
              </w:rPr>
            </w:pPr>
            <w:r w:rsidRPr="00666791">
              <w:rPr>
                <w:rFonts w:cs="Calibri"/>
                <w:color w:val="000000"/>
                <w:szCs w:val="22"/>
              </w:rPr>
              <w:t>403</w:t>
            </w:r>
          </w:p>
        </w:tc>
        <w:tc>
          <w:tcPr>
            <w:tcW w:w="4252" w:type="dxa"/>
            <w:shd w:val="clear" w:color="000000" w:fill="FFFFFF"/>
            <w:vAlign w:val="bottom"/>
            <w:hideMark/>
          </w:tcPr>
          <w:p w14:paraId="37A72E10" w14:textId="13B23F88" w:rsidR="006C129B" w:rsidRPr="00666791" w:rsidRDefault="006C129B" w:rsidP="00505F02">
            <w:pPr>
              <w:pStyle w:val="TableTextLeft"/>
              <w:rPr>
                <w:rFonts w:cs="Calibri"/>
                <w:szCs w:val="22"/>
              </w:rPr>
            </w:pPr>
            <w:r w:rsidRPr="00666791">
              <w:rPr>
                <w:rFonts w:cs="Calibri"/>
                <w:szCs w:val="22"/>
              </w:rPr>
              <w:t>Adelaide</w:t>
            </w:r>
            <w:r w:rsidR="0038520A">
              <w:rPr>
                <w:rFonts w:cs="Calibri"/>
                <w:szCs w:val="22"/>
              </w:rPr>
              <w:t xml:space="preserve"> – </w:t>
            </w:r>
            <w:r w:rsidRPr="00666791">
              <w:rPr>
                <w:rFonts w:cs="Calibri"/>
                <w:szCs w:val="22"/>
              </w:rPr>
              <w:t>South</w:t>
            </w:r>
          </w:p>
        </w:tc>
        <w:tc>
          <w:tcPr>
            <w:tcW w:w="3753" w:type="dxa"/>
            <w:shd w:val="clear" w:color="000000" w:fill="FFFFFF"/>
            <w:hideMark/>
          </w:tcPr>
          <w:p w14:paraId="239EFC19" w14:textId="59604A7C" w:rsidR="006C129B" w:rsidRPr="00666791" w:rsidRDefault="006C129B" w:rsidP="00505F02">
            <w:pPr>
              <w:pStyle w:val="TableTextRight"/>
              <w:rPr>
                <w:rFonts w:cs="Calibri"/>
                <w:szCs w:val="22"/>
              </w:rPr>
            </w:pPr>
            <w:r w:rsidRPr="00666791">
              <w:rPr>
                <w:rFonts w:cs="Calibri"/>
                <w:szCs w:val="22"/>
              </w:rPr>
              <w:t>29.</w:t>
            </w:r>
            <w:r w:rsidR="005D79A0" w:rsidRPr="000042BE">
              <w:t>5</w:t>
            </w:r>
          </w:p>
        </w:tc>
      </w:tr>
      <w:tr w:rsidR="006C129B" w:rsidRPr="00666791" w14:paraId="44C87E90" w14:textId="77777777" w:rsidTr="005D79A0">
        <w:trPr>
          <w:trHeight w:val="300"/>
        </w:trPr>
        <w:tc>
          <w:tcPr>
            <w:tcW w:w="1077" w:type="dxa"/>
            <w:shd w:val="clear" w:color="000000" w:fill="FFFFFF"/>
            <w:vAlign w:val="bottom"/>
            <w:hideMark/>
          </w:tcPr>
          <w:p w14:paraId="3F404A98" w14:textId="77777777" w:rsidR="006C129B" w:rsidRPr="00666791" w:rsidRDefault="006C129B" w:rsidP="00505F02">
            <w:pPr>
              <w:pStyle w:val="TableTextCentered"/>
              <w:rPr>
                <w:rFonts w:cs="Calibri"/>
                <w:color w:val="000000"/>
                <w:szCs w:val="22"/>
              </w:rPr>
            </w:pPr>
            <w:r w:rsidRPr="00666791">
              <w:rPr>
                <w:rFonts w:cs="Calibri"/>
                <w:color w:val="000000"/>
                <w:szCs w:val="22"/>
              </w:rPr>
              <w:t>404</w:t>
            </w:r>
          </w:p>
        </w:tc>
        <w:tc>
          <w:tcPr>
            <w:tcW w:w="4252" w:type="dxa"/>
            <w:shd w:val="clear" w:color="000000" w:fill="FFFFFF"/>
            <w:vAlign w:val="bottom"/>
            <w:hideMark/>
          </w:tcPr>
          <w:p w14:paraId="207A714D" w14:textId="6E28DBB6" w:rsidR="006C129B" w:rsidRPr="00666791" w:rsidRDefault="006C129B" w:rsidP="00505F02">
            <w:pPr>
              <w:pStyle w:val="TableTextLeft"/>
              <w:rPr>
                <w:rFonts w:cs="Calibri"/>
                <w:szCs w:val="22"/>
              </w:rPr>
            </w:pPr>
            <w:r w:rsidRPr="00666791">
              <w:rPr>
                <w:rFonts w:cs="Calibri"/>
                <w:szCs w:val="22"/>
              </w:rPr>
              <w:t>Adelaide</w:t>
            </w:r>
            <w:r w:rsidR="0038520A">
              <w:rPr>
                <w:rFonts w:cs="Calibri"/>
                <w:szCs w:val="22"/>
              </w:rPr>
              <w:t xml:space="preserve"> – </w:t>
            </w:r>
            <w:r w:rsidRPr="00666791">
              <w:rPr>
                <w:rFonts w:cs="Calibri"/>
                <w:szCs w:val="22"/>
              </w:rPr>
              <w:t>West</w:t>
            </w:r>
          </w:p>
        </w:tc>
        <w:tc>
          <w:tcPr>
            <w:tcW w:w="3753" w:type="dxa"/>
            <w:shd w:val="clear" w:color="000000" w:fill="FFFFFF"/>
            <w:hideMark/>
          </w:tcPr>
          <w:p w14:paraId="145966C6" w14:textId="193285C0" w:rsidR="006C129B" w:rsidRPr="00666791" w:rsidRDefault="006C129B" w:rsidP="00505F02">
            <w:pPr>
              <w:pStyle w:val="TableTextRight"/>
              <w:rPr>
                <w:rFonts w:cs="Calibri"/>
                <w:szCs w:val="22"/>
              </w:rPr>
            </w:pPr>
            <w:r w:rsidRPr="00666791">
              <w:rPr>
                <w:rFonts w:cs="Calibri"/>
                <w:szCs w:val="22"/>
              </w:rPr>
              <w:t>32.</w:t>
            </w:r>
            <w:r w:rsidR="005D79A0" w:rsidRPr="000042BE">
              <w:t>0</w:t>
            </w:r>
          </w:p>
        </w:tc>
      </w:tr>
      <w:tr w:rsidR="006C129B" w:rsidRPr="00666791" w14:paraId="7ADB201A" w14:textId="77777777" w:rsidTr="005D79A0">
        <w:trPr>
          <w:trHeight w:val="300"/>
        </w:trPr>
        <w:tc>
          <w:tcPr>
            <w:tcW w:w="1077" w:type="dxa"/>
            <w:shd w:val="clear" w:color="000000" w:fill="FFFFFF"/>
            <w:vAlign w:val="bottom"/>
            <w:hideMark/>
          </w:tcPr>
          <w:p w14:paraId="5AAC42D6" w14:textId="77777777" w:rsidR="006C129B" w:rsidRPr="00666791" w:rsidRDefault="006C129B" w:rsidP="00505F02">
            <w:pPr>
              <w:pStyle w:val="TableTextCentered"/>
              <w:rPr>
                <w:rFonts w:cs="Calibri"/>
                <w:color w:val="000000"/>
                <w:szCs w:val="22"/>
              </w:rPr>
            </w:pPr>
            <w:r w:rsidRPr="00666791">
              <w:rPr>
                <w:rFonts w:cs="Calibri"/>
                <w:color w:val="000000"/>
                <w:szCs w:val="22"/>
              </w:rPr>
              <w:t>405</w:t>
            </w:r>
          </w:p>
        </w:tc>
        <w:tc>
          <w:tcPr>
            <w:tcW w:w="4252" w:type="dxa"/>
            <w:shd w:val="clear" w:color="000000" w:fill="FFFFFF"/>
            <w:vAlign w:val="bottom"/>
            <w:hideMark/>
          </w:tcPr>
          <w:p w14:paraId="1D8CF47F" w14:textId="24BF0046" w:rsidR="006C129B" w:rsidRPr="00666791" w:rsidRDefault="006C129B" w:rsidP="00505F02">
            <w:pPr>
              <w:pStyle w:val="TableTextLeft"/>
              <w:rPr>
                <w:rFonts w:cs="Calibri"/>
                <w:szCs w:val="22"/>
              </w:rPr>
            </w:pPr>
            <w:r w:rsidRPr="00666791">
              <w:rPr>
                <w:rFonts w:cs="Calibri"/>
                <w:szCs w:val="22"/>
              </w:rPr>
              <w:t>Barossa</w:t>
            </w:r>
            <w:r w:rsidR="0038520A">
              <w:rPr>
                <w:rFonts w:cs="Calibri"/>
                <w:szCs w:val="22"/>
              </w:rPr>
              <w:t xml:space="preserve"> – </w:t>
            </w:r>
            <w:r w:rsidRPr="00666791">
              <w:rPr>
                <w:rFonts w:cs="Calibri"/>
                <w:szCs w:val="22"/>
              </w:rPr>
              <w:t>Yorke</w:t>
            </w:r>
            <w:r w:rsidR="0038520A">
              <w:rPr>
                <w:rFonts w:cs="Calibri"/>
                <w:szCs w:val="22"/>
              </w:rPr>
              <w:t xml:space="preserve"> – </w:t>
            </w:r>
            <w:r w:rsidRPr="00666791">
              <w:rPr>
                <w:rFonts w:cs="Calibri"/>
                <w:szCs w:val="22"/>
              </w:rPr>
              <w:t>Mid North</w:t>
            </w:r>
          </w:p>
        </w:tc>
        <w:tc>
          <w:tcPr>
            <w:tcW w:w="3753" w:type="dxa"/>
            <w:shd w:val="clear" w:color="000000" w:fill="FFFFFF"/>
            <w:hideMark/>
          </w:tcPr>
          <w:p w14:paraId="438C5D11" w14:textId="74CC18A4" w:rsidR="006C129B" w:rsidRPr="00666791" w:rsidRDefault="006C129B" w:rsidP="00505F02">
            <w:pPr>
              <w:pStyle w:val="TableTextRight"/>
              <w:rPr>
                <w:rFonts w:cs="Calibri"/>
                <w:szCs w:val="22"/>
              </w:rPr>
            </w:pPr>
            <w:r w:rsidRPr="00666791">
              <w:rPr>
                <w:rFonts w:cs="Calibri"/>
                <w:szCs w:val="22"/>
              </w:rPr>
              <w:t>26.</w:t>
            </w:r>
            <w:r w:rsidR="005D79A0" w:rsidRPr="000042BE">
              <w:t>0</w:t>
            </w:r>
          </w:p>
        </w:tc>
      </w:tr>
      <w:tr w:rsidR="006C129B" w:rsidRPr="00666791" w14:paraId="26EF4C6D" w14:textId="77777777" w:rsidTr="005D79A0">
        <w:trPr>
          <w:trHeight w:val="300"/>
        </w:trPr>
        <w:tc>
          <w:tcPr>
            <w:tcW w:w="1077" w:type="dxa"/>
            <w:shd w:val="clear" w:color="000000" w:fill="FFFFFF"/>
            <w:vAlign w:val="bottom"/>
            <w:hideMark/>
          </w:tcPr>
          <w:p w14:paraId="436B77DC" w14:textId="77777777" w:rsidR="006C129B" w:rsidRPr="00666791" w:rsidRDefault="006C129B" w:rsidP="00505F02">
            <w:pPr>
              <w:pStyle w:val="TableTextCentered"/>
              <w:rPr>
                <w:rFonts w:cs="Calibri"/>
                <w:color w:val="000000"/>
                <w:szCs w:val="22"/>
              </w:rPr>
            </w:pPr>
            <w:r w:rsidRPr="00666791">
              <w:rPr>
                <w:rFonts w:cs="Calibri"/>
                <w:color w:val="000000"/>
                <w:szCs w:val="22"/>
              </w:rPr>
              <w:t>406</w:t>
            </w:r>
          </w:p>
        </w:tc>
        <w:tc>
          <w:tcPr>
            <w:tcW w:w="4252" w:type="dxa"/>
            <w:shd w:val="clear" w:color="000000" w:fill="FFFFFF"/>
            <w:vAlign w:val="bottom"/>
            <w:hideMark/>
          </w:tcPr>
          <w:p w14:paraId="0CE21ADA" w14:textId="41BE59ED" w:rsidR="006C129B" w:rsidRPr="00666791" w:rsidRDefault="006C129B" w:rsidP="00505F02">
            <w:pPr>
              <w:pStyle w:val="TableTextLeft"/>
              <w:rPr>
                <w:rFonts w:cs="Calibri"/>
                <w:szCs w:val="22"/>
              </w:rPr>
            </w:pPr>
            <w:r w:rsidRPr="00666791">
              <w:rPr>
                <w:rFonts w:cs="Calibri"/>
                <w:szCs w:val="22"/>
              </w:rPr>
              <w:t>South Australia</w:t>
            </w:r>
            <w:r w:rsidR="0038520A">
              <w:rPr>
                <w:rFonts w:cs="Calibri"/>
                <w:szCs w:val="22"/>
              </w:rPr>
              <w:t xml:space="preserve"> – </w:t>
            </w:r>
            <w:r w:rsidRPr="00666791">
              <w:rPr>
                <w:rFonts w:cs="Calibri"/>
                <w:szCs w:val="22"/>
              </w:rPr>
              <w:t>Outback</w:t>
            </w:r>
          </w:p>
        </w:tc>
        <w:tc>
          <w:tcPr>
            <w:tcW w:w="3753" w:type="dxa"/>
            <w:shd w:val="clear" w:color="000000" w:fill="FFFFFF"/>
            <w:hideMark/>
          </w:tcPr>
          <w:p w14:paraId="592CCE32" w14:textId="51E85406" w:rsidR="006C129B" w:rsidRPr="00666791" w:rsidRDefault="006C129B" w:rsidP="00505F02">
            <w:pPr>
              <w:pStyle w:val="TableTextRight"/>
              <w:rPr>
                <w:rFonts w:cs="Calibri"/>
                <w:szCs w:val="22"/>
              </w:rPr>
            </w:pPr>
            <w:r w:rsidRPr="00666791">
              <w:rPr>
                <w:rFonts w:cs="Calibri"/>
                <w:szCs w:val="22"/>
              </w:rPr>
              <w:t>23.</w:t>
            </w:r>
            <w:r w:rsidR="005D79A0" w:rsidRPr="000042BE">
              <w:t>1</w:t>
            </w:r>
          </w:p>
        </w:tc>
      </w:tr>
      <w:tr w:rsidR="006C129B" w:rsidRPr="00666791" w14:paraId="00D0D455" w14:textId="77777777" w:rsidTr="005D79A0">
        <w:trPr>
          <w:trHeight w:val="315"/>
        </w:trPr>
        <w:tc>
          <w:tcPr>
            <w:tcW w:w="1077" w:type="dxa"/>
            <w:shd w:val="clear" w:color="000000" w:fill="FFFFFF"/>
            <w:vAlign w:val="bottom"/>
            <w:hideMark/>
          </w:tcPr>
          <w:p w14:paraId="4553B987" w14:textId="77777777" w:rsidR="006C129B" w:rsidRPr="00666791" w:rsidRDefault="006C129B" w:rsidP="00505F02">
            <w:pPr>
              <w:pStyle w:val="TableTextCentered"/>
              <w:rPr>
                <w:rFonts w:cs="Calibri"/>
                <w:color w:val="000000"/>
                <w:szCs w:val="22"/>
              </w:rPr>
            </w:pPr>
            <w:r w:rsidRPr="00666791">
              <w:rPr>
                <w:rFonts w:cs="Calibri"/>
                <w:color w:val="000000"/>
                <w:szCs w:val="22"/>
              </w:rPr>
              <w:t>407</w:t>
            </w:r>
          </w:p>
        </w:tc>
        <w:tc>
          <w:tcPr>
            <w:tcW w:w="4252" w:type="dxa"/>
            <w:shd w:val="clear" w:color="000000" w:fill="FFFFFF"/>
            <w:vAlign w:val="bottom"/>
            <w:hideMark/>
          </w:tcPr>
          <w:p w14:paraId="38015845" w14:textId="36B692FD" w:rsidR="006C129B" w:rsidRPr="00666791" w:rsidRDefault="006C129B" w:rsidP="00505F02">
            <w:pPr>
              <w:pStyle w:val="TableTextLeft"/>
              <w:rPr>
                <w:rFonts w:cs="Calibri"/>
                <w:szCs w:val="22"/>
              </w:rPr>
            </w:pPr>
            <w:r w:rsidRPr="00666791">
              <w:rPr>
                <w:rFonts w:cs="Calibri"/>
                <w:szCs w:val="22"/>
              </w:rPr>
              <w:t>South Australia</w:t>
            </w:r>
            <w:r w:rsidR="0038520A">
              <w:rPr>
                <w:rFonts w:cs="Calibri"/>
                <w:szCs w:val="22"/>
              </w:rPr>
              <w:t xml:space="preserve"> – </w:t>
            </w:r>
            <w:r w:rsidRPr="00666791">
              <w:rPr>
                <w:rFonts w:cs="Calibri"/>
                <w:szCs w:val="22"/>
              </w:rPr>
              <w:t>South East</w:t>
            </w:r>
          </w:p>
        </w:tc>
        <w:tc>
          <w:tcPr>
            <w:tcW w:w="3753" w:type="dxa"/>
            <w:shd w:val="clear" w:color="000000" w:fill="FFFFFF"/>
            <w:hideMark/>
          </w:tcPr>
          <w:p w14:paraId="26A41BF2" w14:textId="7EF6B793" w:rsidR="006C129B" w:rsidRPr="00666791" w:rsidRDefault="006C129B" w:rsidP="00505F02">
            <w:pPr>
              <w:pStyle w:val="TableTextRight"/>
              <w:rPr>
                <w:rFonts w:cs="Calibri"/>
                <w:szCs w:val="22"/>
              </w:rPr>
            </w:pPr>
            <w:r w:rsidRPr="00666791">
              <w:rPr>
                <w:rFonts w:cs="Calibri"/>
                <w:szCs w:val="22"/>
              </w:rPr>
              <w:t>24.</w:t>
            </w:r>
            <w:r w:rsidR="005D79A0" w:rsidRPr="000042BE">
              <w:t>3</w:t>
            </w:r>
          </w:p>
        </w:tc>
      </w:tr>
      <w:tr w:rsidR="006C129B" w:rsidRPr="00666791" w14:paraId="7BACC92E" w14:textId="77777777" w:rsidTr="005D79A0">
        <w:trPr>
          <w:trHeight w:val="315"/>
        </w:trPr>
        <w:tc>
          <w:tcPr>
            <w:tcW w:w="1077" w:type="dxa"/>
            <w:tcBorders>
              <w:bottom w:val="single" w:sz="4" w:space="0" w:color="3A6FAF" w:themeColor="accent2"/>
            </w:tcBorders>
            <w:shd w:val="clear" w:color="000000" w:fill="FFFFFF"/>
            <w:vAlign w:val="bottom"/>
            <w:hideMark/>
          </w:tcPr>
          <w:p w14:paraId="666E63F1" w14:textId="4A490891" w:rsidR="006C129B" w:rsidRPr="00666791" w:rsidRDefault="006C129B" w:rsidP="00505F02">
            <w:pPr>
              <w:pStyle w:val="TableTextCentered"/>
              <w:rPr>
                <w:rFonts w:cs="Calibri"/>
                <w:color w:val="000000"/>
                <w:szCs w:val="22"/>
              </w:rPr>
            </w:pPr>
          </w:p>
        </w:tc>
        <w:tc>
          <w:tcPr>
            <w:tcW w:w="4252" w:type="dxa"/>
            <w:tcBorders>
              <w:bottom w:val="single" w:sz="4" w:space="0" w:color="3A6FAF" w:themeColor="accent2"/>
            </w:tcBorders>
            <w:shd w:val="clear" w:color="000000" w:fill="FFFFFF"/>
            <w:vAlign w:val="bottom"/>
            <w:hideMark/>
          </w:tcPr>
          <w:p w14:paraId="33FD150E" w14:textId="77777777" w:rsidR="006C129B" w:rsidRPr="00666791" w:rsidRDefault="006C129B" w:rsidP="00505F02">
            <w:pPr>
              <w:pStyle w:val="TableTextLeft"/>
              <w:rPr>
                <w:rFonts w:cs="Calibri"/>
                <w:szCs w:val="22"/>
              </w:rPr>
            </w:pPr>
            <w:r w:rsidRPr="00666791">
              <w:rPr>
                <w:rFonts w:cs="Calibri"/>
                <w:szCs w:val="22"/>
              </w:rPr>
              <w:t> </w:t>
            </w:r>
          </w:p>
        </w:tc>
        <w:tc>
          <w:tcPr>
            <w:tcW w:w="3753" w:type="dxa"/>
            <w:tcBorders>
              <w:bottom w:val="single" w:sz="4" w:space="0" w:color="3A6FAF" w:themeColor="accent2"/>
            </w:tcBorders>
            <w:shd w:val="clear" w:color="000000" w:fill="FFFFFF"/>
            <w:hideMark/>
          </w:tcPr>
          <w:p w14:paraId="0F1D8CBC" w14:textId="59ED7CFC" w:rsidR="006C129B" w:rsidRPr="00666791" w:rsidRDefault="006C129B" w:rsidP="00505F02">
            <w:pPr>
              <w:pStyle w:val="TableTextRight"/>
              <w:rPr>
                <w:rFonts w:cs="Calibri"/>
                <w:szCs w:val="22"/>
              </w:rPr>
            </w:pPr>
          </w:p>
        </w:tc>
      </w:tr>
      <w:tr w:rsidR="006C129B" w:rsidRPr="00505F02" w14:paraId="1463464A" w14:textId="77777777" w:rsidTr="005D79A0">
        <w:trPr>
          <w:trHeight w:val="315"/>
        </w:trPr>
        <w:tc>
          <w:tcPr>
            <w:tcW w:w="1077" w:type="dxa"/>
            <w:tcBorders>
              <w:top w:val="single" w:sz="4" w:space="0" w:color="3A6FAF" w:themeColor="accent2"/>
            </w:tcBorders>
            <w:shd w:val="clear" w:color="000000" w:fill="FFFFFF"/>
            <w:vAlign w:val="bottom"/>
            <w:hideMark/>
          </w:tcPr>
          <w:p w14:paraId="2EAEF574" w14:textId="77777777" w:rsidR="006C129B" w:rsidRPr="00505F02" w:rsidRDefault="006C129B" w:rsidP="0044198C">
            <w:pPr>
              <w:pStyle w:val="TableTextCentered"/>
              <w:keepNext/>
              <w:rPr>
                <w:b/>
                <w:bCs/>
              </w:rPr>
            </w:pPr>
            <w:r w:rsidRPr="00505F02">
              <w:rPr>
                <w:b/>
                <w:bCs/>
              </w:rPr>
              <w:lastRenderedPageBreak/>
              <w:t>500</w:t>
            </w:r>
          </w:p>
        </w:tc>
        <w:tc>
          <w:tcPr>
            <w:tcW w:w="4252" w:type="dxa"/>
            <w:tcBorders>
              <w:top w:val="single" w:sz="4" w:space="0" w:color="3A6FAF" w:themeColor="accent2"/>
            </w:tcBorders>
            <w:shd w:val="clear" w:color="000000" w:fill="FFFFFF"/>
            <w:vAlign w:val="bottom"/>
            <w:hideMark/>
          </w:tcPr>
          <w:p w14:paraId="090B33D8" w14:textId="333BEA16" w:rsidR="006C129B" w:rsidRPr="00505F02" w:rsidRDefault="006C129B" w:rsidP="0044198C">
            <w:pPr>
              <w:pStyle w:val="TableTextLeft"/>
              <w:keepNext/>
              <w:rPr>
                <w:b/>
                <w:bCs/>
              </w:rPr>
            </w:pPr>
            <w:r w:rsidRPr="00505F02">
              <w:rPr>
                <w:b/>
                <w:bCs/>
              </w:rPr>
              <w:t>WESTERN AUSTRALIA</w:t>
            </w:r>
            <w:r w:rsidR="0038520A">
              <w:rPr>
                <w:b/>
                <w:bCs/>
              </w:rPr>
              <w:t xml:space="preserve"> – </w:t>
            </w:r>
            <w:r w:rsidRPr="00505F02">
              <w:rPr>
                <w:b/>
                <w:bCs/>
              </w:rPr>
              <w:t>TOTAL</w:t>
            </w:r>
          </w:p>
        </w:tc>
        <w:tc>
          <w:tcPr>
            <w:tcW w:w="3753" w:type="dxa"/>
            <w:tcBorders>
              <w:top w:val="single" w:sz="4" w:space="0" w:color="3A6FAF" w:themeColor="accent2"/>
            </w:tcBorders>
            <w:shd w:val="clear" w:color="000000" w:fill="FFFFFF"/>
            <w:hideMark/>
          </w:tcPr>
          <w:p w14:paraId="0DD08AA3" w14:textId="74C081C5" w:rsidR="006C129B" w:rsidRPr="00505F02" w:rsidRDefault="006C129B" w:rsidP="0044198C">
            <w:pPr>
              <w:pStyle w:val="TableTextRight"/>
              <w:keepNext/>
              <w:rPr>
                <w:b/>
                <w:bCs/>
              </w:rPr>
            </w:pPr>
            <w:r w:rsidRPr="00505F02">
              <w:rPr>
                <w:b/>
                <w:bCs/>
              </w:rPr>
              <w:t>27.</w:t>
            </w:r>
            <w:r w:rsidR="005D79A0" w:rsidRPr="005D79A0">
              <w:rPr>
                <w:b/>
                <w:bCs/>
              </w:rPr>
              <w:t>5</w:t>
            </w:r>
          </w:p>
        </w:tc>
      </w:tr>
      <w:tr w:rsidR="006C129B" w:rsidRPr="00666791" w14:paraId="39FB59EA" w14:textId="77777777" w:rsidTr="005D79A0">
        <w:trPr>
          <w:trHeight w:val="300"/>
        </w:trPr>
        <w:tc>
          <w:tcPr>
            <w:tcW w:w="1077" w:type="dxa"/>
            <w:shd w:val="clear" w:color="000000" w:fill="FFFFFF"/>
            <w:vAlign w:val="bottom"/>
            <w:hideMark/>
          </w:tcPr>
          <w:p w14:paraId="3F8C4BC4" w14:textId="77777777" w:rsidR="006C129B" w:rsidRPr="00666791" w:rsidRDefault="006C129B" w:rsidP="00505F02">
            <w:pPr>
              <w:pStyle w:val="TableTextCentered"/>
              <w:rPr>
                <w:rFonts w:cs="Calibri"/>
                <w:color w:val="000000"/>
                <w:szCs w:val="22"/>
              </w:rPr>
            </w:pPr>
            <w:r w:rsidRPr="00666791">
              <w:rPr>
                <w:rFonts w:cs="Calibri"/>
                <w:color w:val="000000"/>
                <w:szCs w:val="22"/>
              </w:rPr>
              <w:t>501</w:t>
            </w:r>
          </w:p>
        </w:tc>
        <w:tc>
          <w:tcPr>
            <w:tcW w:w="4252" w:type="dxa"/>
            <w:shd w:val="clear" w:color="000000" w:fill="FFFFFF"/>
            <w:vAlign w:val="bottom"/>
            <w:hideMark/>
          </w:tcPr>
          <w:p w14:paraId="0443719A" w14:textId="77777777" w:rsidR="006C129B" w:rsidRPr="00666791" w:rsidRDefault="006C129B" w:rsidP="00505F02">
            <w:pPr>
              <w:pStyle w:val="TableTextLeft"/>
              <w:rPr>
                <w:rFonts w:cs="Calibri"/>
                <w:szCs w:val="22"/>
              </w:rPr>
            </w:pPr>
            <w:r w:rsidRPr="00666791">
              <w:rPr>
                <w:rFonts w:cs="Calibri"/>
                <w:szCs w:val="22"/>
              </w:rPr>
              <w:t>Bunbury</w:t>
            </w:r>
          </w:p>
        </w:tc>
        <w:tc>
          <w:tcPr>
            <w:tcW w:w="3753" w:type="dxa"/>
            <w:shd w:val="clear" w:color="000000" w:fill="FFFFFF"/>
            <w:hideMark/>
          </w:tcPr>
          <w:p w14:paraId="2A69DACB" w14:textId="528933A4" w:rsidR="006C129B" w:rsidRPr="00666791" w:rsidRDefault="006C129B" w:rsidP="00505F02">
            <w:pPr>
              <w:pStyle w:val="TableTextRight"/>
              <w:rPr>
                <w:rFonts w:cs="Calibri"/>
                <w:szCs w:val="22"/>
              </w:rPr>
            </w:pPr>
            <w:r w:rsidRPr="00666791">
              <w:rPr>
                <w:rFonts w:cs="Calibri"/>
                <w:szCs w:val="22"/>
              </w:rPr>
              <w:t>26.</w:t>
            </w:r>
            <w:r w:rsidR="005D79A0" w:rsidRPr="000042BE">
              <w:t>2</w:t>
            </w:r>
          </w:p>
        </w:tc>
      </w:tr>
      <w:tr w:rsidR="006C129B" w:rsidRPr="00666791" w14:paraId="30B403E9" w14:textId="77777777" w:rsidTr="005D79A0">
        <w:trPr>
          <w:trHeight w:val="300"/>
        </w:trPr>
        <w:tc>
          <w:tcPr>
            <w:tcW w:w="1077" w:type="dxa"/>
            <w:shd w:val="clear" w:color="000000" w:fill="FFFFFF"/>
            <w:vAlign w:val="bottom"/>
            <w:hideMark/>
          </w:tcPr>
          <w:p w14:paraId="7AB53A60" w14:textId="77777777" w:rsidR="006C129B" w:rsidRPr="00666791" w:rsidRDefault="006C129B" w:rsidP="00505F02">
            <w:pPr>
              <w:pStyle w:val="TableTextCentered"/>
              <w:rPr>
                <w:rFonts w:cs="Calibri"/>
                <w:color w:val="000000"/>
                <w:szCs w:val="22"/>
              </w:rPr>
            </w:pPr>
            <w:r w:rsidRPr="00666791">
              <w:rPr>
                <w:rFonts w:cs="Calibri"/>
                <w:color w:val="000000"/>
                <w:szCs w:val="22"/>
              </w:rPr>
              <w:t>502</w:t>
            </w:r>
          </w:p>
        </w:tc>
        <w:tc>
          <w:tcPr>
            <w:tcW w:w="4252" w:type="dxa"/>
            <w:shd w:val="clear" w:color="000000" w:fill="FFFFFF"/>
            <w:vAlign w:val="bottom"/>
            <w:hideMark/>
          </w:tcPr>
          <w:p w14:paraId="158D62F3" w14:textId="77777777" w:rsidR="006C129B" w:rsidRPr="00666791" w:rsidRDefault="006C129B" w:rsidP="00505F02">
            <w:pPr>
              <w:pStyle w:val="TableTextLeft"/>
              <w:rPr>
                <w:rFonts w:cs="Calibri"/>
                <w:szCs w:val="22"/>
              </w:rPr>
            </w:pPr>
            <w:r w:rsidRPr="00666791">
              <w:rPr>
                <w:rFonts w:cs="Calibri"/>
                <w:szCs w:val="22"/>
              </w:rPr>
              <w:t>Mandurah</w:t>
            </w:r>
          </w:p>
        </w:tc>
        <w:tc>
          <w:tcPr>
            <w:tcW w:w="3753" w:type="dxa"/>
            <w:shd w:val="clear" w:color="000000" w:fill="FFFFFF"/>
            <w:hideMark/>
          </w:tcPr>
          <w:p w14:paraId="6C19B14F" w14:textId="2BDBD7B1" w:rsidR="006C129B" w:rsidRPr="00666791" w:rsidRDefault="005D79A0" w:rsidP="00505F02">
            <w:pPr>
              <w:pStyle w:val="TableTextRight"/>
              <w:rPr>
                <w:rFonts w:cs="Calibri"/>
                <w:szCs w:val="22"/>
              </w:rPr>
            </w:pPr>
            <w:r w:rsidRPr="000042BE">
              <w:t>23.9</w:t>
            </w:r>
          </w:p>
        </w:tc>
      </w:tr>
      <w:tr w:rsidR="006C129B" w:rsidRPr="00666791" w14:paraId="67F054CD" w14:textId="77777777" w:rsidTr="005D79A0">
        <w:trPr>
          <w:trHeight w:val="300"/>
        </w:trPr>
        <w:tc>
          <w:tcPr>
            <w:tcW w:w="1077" w:type="dxa"/>
            <w:shd w:val="clear" w:color="000000" w:fill="FFFFFF"/>
            <w:vAlign w:val="bottom"/>
            <w:hideMark/>
          </w:tcPr>
          <w:p w14:paraId="0506BDD1" w14:textId="77777777" w:rsidR="006C129B" w:rsidRPr="00666791" w:rsidRDefault="006C129B" w:rsidP="00505F02">
            <w:pPr>
              <w:pStyle w:val="TableTextCentered"/>
              <w:rPr>
                <w:rFonts w:cs="Calibri"/>
                <w:color w:val="000000"/>
                <w:szCs w:val="22"/>
              </w:rPr>
            </w:pPr>
            <w:r w:rsidRPr="00666791">
              <w:rPr>
                <w:rFonts w:cs="Calibri"/>
                <w:color w:val="000000"/>
                <w:szCs w:val="22"/>
              </w:rPr>
              <w:t>503</w:t>
            </w:r>
          </w:p>
        </w:tc>
        <w:tc>
          <w:tcPr>
            <w:tcW w:w="4252" w:type="dxa"/>
            <w:shd w:val="clear" w:color="000000" w:fill="FFFFFF"/>
            <w:vAlign w:val="bottom"/>
            <w:hideMark/>
          </w:tcPr>
          <w:p w14:paraId="6EACA8EE" w14:textId="5FBF9A49" w:rsidR="006C129B" w:rsidRPr="00666791" w:rsidRDefault="006C129B" w:rsidP="00505F02">
            <w:pPr>
              <w:pStyle w:val="TableTextLeft"/>
              <w:rPr>
                <w:rFonts w:cs="Calibri"/>
                <w:szCs w:val="22"/>
              </w:rPr>
            </w:pPr>
            <w:r w:rsidRPr="00666791">
              <w:rPr>
                <w:rFonts w:cs="Calibri"/>
                <w:szCs w:val="22"/>
              </w:rPr>
              <w:t>Perth</w:t>
            </w:r>
            <w:r w:rsidR="0038520A">
              <w:rPr>
                <w:rFonts w:cs="Calibri"/>
                <w:szCs w:val="22"/>
              </w:rPr>
              <w:t xml:space="preserve"> – </w:t>
            </w:r>
            <w:r w:rsidRPr="00666791">
              <w:rPr>
                <w:rFonts w:cs="Calibri"/>
                <w:szCs w:val="22"/>
              </w:rPr>
              <w:t>Inner</w:t>
            </w:r>
          </w:p>
        </w:tc>
        <w:tc>
          <w:tcPr>
            <w:tcW w:w="3753" w:type="dxa"/>
            <w:shd w:val="clear" w:color="000000" w:fill="FFFFFF"/>
            <w:hideMark/>
          </w:tcPr>
          <w:p w14:paraId="70D9A087" w14:textId="72EC144E" w:rsidR="006C129B" w:rsidRPr="00666791" w:rsidRDefault="005D79A0" w:rsidP="00505F02">
            <w:pPr>
              <w:pStyle w:val="TableTextRight"/>
              <w:rPr>
                <w:rFonts w:cs="Calibri"/>
                <w:szCs w:val="22"/>
              </w:rPr>
            </w:pPr>
            <w:r w:rsidRPr="000042BE">
              <w:t>29.6</w:t>
            </w:r>
          </w:p>
        </w:tc>
      </w:tr>
      <w:tr w:rsidR="006C129B" w:rsidRPr="00666791" w14:paraId="68E91C99" w14:textId="77777777" w:rsidTr="005D79A0">
        <w:trPr>
          <w:trHeight w:val="300"/>
        </w:trPr>
        <w:tc>
          <w:tcPr>
            <w:tcW w:w="1077" w:type="dxa"/>
            <w:shd w:val="clear" w:color="000000" w:fill="FFFFFF"/>
            <w:vAlign w:val="bottom"/>
            <w:hideMark/>
          </w:tcPr>
          <w:p w14:paraId="09F21CC2" w14:textId="77777777" w:rsidR="006C129B" w:rsidRPr="00666791" w:rsidRDefault="006C129B" w:rsidP="00505F02">
            <w:pPr>
              <w:pStyle w:val="TableTextCentered"/>
              <w:rPr>
                <w:rFonts w:cs="Calibri"/>
                <w:color w:val="000000"/>
                <w:szCs w:val="22"/>
              </w:rPr>
            </w:pPr>
            <w:r w:rsidRPr="00666791">
              <w:rPr>
                <w:rFonts w:cs="Calibri"/>
                <w:color w:val="000000"/>
                <w:szCs w:val="22"/>
              </w:rPr>
              <w:t>504</w:t>
            </w:r>
          </w:p>
        </w:tc>
        <w:tc>
          <w:tcPr>
            <w:tcW w:w="4252" w:type="dxa"/>
            <w:shd w:val="clear" w:color="000000" w:fill="FFFFFF"/>
            <w:vAlign w:val="bottom"/>
            <w:hideMark/>
          </w:tcPr>
          <w:p w14:paraId="2846019D" w14:textId="03A33E2D" w:rsidR="006C129B" w:rsidRPr="00666791" w:rsidRDefault="006C129B" w:rsidP="00505F02">
            <w:pPr>
              <w:pStyle w:val="TableTextLeft"/>
              <w:rPr>
                <w:rFonts w:cs="Calibri"/>
                <w:szCs w:val="22"/>
              </w:rPr>
            </w:pPr>
            <w:r w:rsidRPr="00666791">
              <w:rPr>
                <w:rFonts w:cs="Calibri"/>
                <w:szCs w:val="22"/>
              </w:rPr>
              <w:t>Perth</w:t>
            </w:r>
            <w:r w:rsidR="0038520A">
              <w:rPr>
                <w:rFonts w:cs="Calibri"/>
                <w:szCs w:val="22"/>
              </w:rPr>
              <w:t xml:space="preserve"> – </w:t>
            </w:r>
            <w:r w:rsidRPr="00666791">
              <w:rPr>
                <w:rFonts w:cs="Calibri"/>
                <w:szCs w:val="22"/>
              </w:rPr>
              <w:t>North East</w:t>
            </w:r>
          </w:p>
        </w:tc>
        <w:tc>
          <w:tcPr>
            <w:tcW w:w="3753" w:type="dxa"/>
            <w:shd w:val="clear" w:color="000000" w:fill="FFFFFF"/>
            <w:hideMark/>
          </w:tcPr>
          <w:p w14:paraId="20B8B449" w14:textId="0D64FA63" w:rsidR="006C129B" w:rsidRPr="00666791" w:rsidRDefault="006C129B" w:rsidP="00505F02">
            <w:pPr>
              <w:pStyle w:val="TableTextRight"/>
              <w:rPr>
                <w:rFonts w:cs="Calibri"/>
                <w:szCs w:val="22"/>
              </w:rPr>
            </w:pPr>
            <w:r w:rsidRPr="00666791">
              <w:rPr>
                <w:rFonts w:cs="Calibri"/>
                <w:szCs w:val="22"/>
              </w:rPr>
              <w:t>29.</w:t>
            </w:r>
            <w:r w:rsidR="005D79A0" w:rsidRPr="000042BE">
              <w:t>3</w:t>
            </w:r>
          </w:p>
        </w:tc>
      </w:tr>
      <w:tr w:rsidR="006C129B" w:rsidRPr="00666791" w14:paraId="0EF2C95C" w14:textId="77777777" w:rsidTr="005D79A0">
        <w:trPr>
          <w:trHeight w:val="300"/>
        </w:trPr>
        <w:tc>
          <w:tcPr>
            <w:tcW w:w="1077" w:type="dxa"/>
            <w:shd w:val="clear" w:color="000000" w:fill="FFFFFF"/>
            <w:vAlign w:val="bottom"/>
            <w:hideMark/>
          </w:tcPr>
          <w:p w14:paraId="51FB0FBE" w14:textId="77777777" w:rsidR="006C129B" w:rsidRPr="00666791" w:rsidRDefault="006C129B" w:rsidP="00505F02">
            <w:pPr>
              <w:pStyle w:val="TableTextCentered"/>
              <w:rPr>
                <w:rFonts w:cs="Calibri"/>
                <w:color w:val="000000"/>
                <w:szCs w:val="22"/>
              </w:rPr>
            </w:pPr>
            <w:r w:rsidRPr="00666791">
              <w:rPr>
                <w:rFonts w:cs="Calibri"/>
                <w:color w:val="000000"/>
                <w:szCs w:val="22"/>
              </w:rPr>
              <w:t>505</w:t>
            </w:r>
          </w:p>
        </w:tc>
        <w:tc>
          <w:tcPr>
            <w:tcW w:w="4252" w:type="dxa"/>
            <w:shd w:val="clear" w:color="000000" w:fill="FFFFFF"/>
            <w:vAlign w:val="bottom"/>
            <w:hideMark/>
          </w:tcPr>
          <w:p w14:paraId="2797D706" w14:textId="73846763" w:rsidR="006C129B" w:rsidRPr="00666791" w:rsidRDefault="006C129B" w:rsidP="00505F02">
            <w:pPr>
              <w:pStyle w:val="TableTextLeft"/>
              <w:rPr>
                <w:rFonts w:cs="Calibri"/>
                <w:szCs w:val="22"/>
              </w:rPr>
            </w:pPr>
            <w:r w:rsidRPr="00666791">
              <w:rPr>
                <w:rFonts w:cs="Calibri"/>
                <w:szCs w:val="22"/>
              </w:rPr>
              <w:t>Perth</w:t>
            </w:r>
            <w:r w:rsidR="0038520A">
              <w:rPr>
                <w:rFonts w:cs="Calibri"/>
                <w:szCs w:val="22"/>
              </w:rPr>
              <w:t xml:space="preserve"> – </w:t>
            </w:r>
            <w:r w:rsidRPr="00666791">
              <w:rPr>
                <w:rFonts w:cs="Calibri"/>
                <w:szCs w:val="22"/>
              </w:rPr>
              <w:t>North West</w:t>
            </w:r>
          </w:p>
        </w:tc>
        <w:tc>
          <w:tcPr>
            <w:tcW w:w="3753" w:type="dxa"/>
            <w:shd w:val="clear" w:color="000000" w:fill="FFFFFF"/>
            <w:hideMark/>
          </w:tcPr>
          <w:p w14:paraId="0720C358" w14:textId="2082B8E8" w:rsidR="006C129B" w:rsidRPr="00666791" w:rsidRDefault="005D79A0" w:rsidP="00505F02">
            <w:pPr>
              <w:pStyle w:val="TableTextRight"/>
              <w:rPr>
                <w:rFonts w:cs="Calibri"/>
                <w:szCs w:val="22"/>
              </w:rPr>
            </w:pPr>
            <w:r w:rsidRPr="000042BE">
              <w:t>29.8</w:t>
            </w:r>
          </w:p>
        </w:tc>
      </w:tr>
      <w:tr w:rsidR="006C129B" w:rsidRPr="00666791" w14:paraId="5BC9CE32" w14:textId="77777777" w:rsidTr="005D79A0">
        <w:trPr>
          <w:trHeight w:val="300"/>
        </w:trPr>
        <w:tc>
          <w:tcPr>
            <w:tcW w:w="1077" w:type="dxa"/>
            <w:shd w:val="clear" w:color="000000" w:fill="FFFFFF"/>
            <w:vAlign w:val="bottom"/>
            <w:hideMark/>
          </w:tcPr>
          <w:p w14:paraId="13237F5A" w14:textId="77777777" w:rsidR="006C129B" w:rsidRPr="00666791" w:rsidRDefault="006C129B" w:rsidP="00505F02">
            <w:pPr>
              <w:pStyle w:val="TableTextCentered"/>
              <w:rPr>
                <w:rFonts w:cs="Calibri"/>
                <w:color w:val="000000"/>
                <w:szCs w:val="22"/>
              </w:rPr>
            </w:pPr>
            <w:r w:rsidRPr="00666791">
              <w:rPr>
                <w:rFonts w:cs="Calibri"/>
                <w:color w:val="000000"/>
                <w:szCs w:val="22"/>
              </w:rPr>
              <w:t>506</w:t>
            </w:r>
          </w:p>
        </w:tc>
        <w:tc>
          <w:tcPr>
            <w:tcW w:w="4252" w:type="dxa"/>
            <w:shd w:val="clear" w:color="000000" w:fill="FFFFFF"/>
            <w:vAlign w:val="bottom"/>
            <w:hideMark/>
          </w:tcPr>
          <w:p w14:paraId="53D96A9F" w14:textId="5DEBEEB8" w:rsidR="006C129B" w:rsidRPr="00666791" w:rsidRDefault="006C129B" w:rsidP="00505F02">
            <w:pPr>
              <w:pStyle w:val="TableTextLeft"/>
              <w:rPr>
                <w:rFonts w:cs="Calibri"/>
                <w:szCs w:val="22"/>
              </w:rPr>
            </w:pPr>
            <w:r w:rsidRPr="00666791">
              <w:rPr>
                <w:rFonts w:cs="Calibri"/>
                <w:szCs w:val="22"/>
              </w:rPr>
              <w:t>Perth</w:t>
            </w:r>
            <w:r w:rsidR="0038520A">
              <w:rPr>
                <w:rFonts w:cs="Calibri"/>
                <w:szCs w:val="22"/>
              </w:rPr>
              <w:t xml:space="preserve"> – </w:t>
            </w:r>
            <w:r w:rsidRPr="00666791">
              <w:rPr>
                <w:rFonts w:cs="Calibri"/>
                <w:szCs w:val="22"/>
              </w:rPr>
              <w:t>South East</w:t>
            </w:r>
          </w:p>
        </w:tc>
        <w:tc>
          <w:tcPr>
            <w:tcW w:w="3753" w:type="dxa"/>
            <w:shd w:val="clear" w:color="000000" w:fill="FFFFFF"/>
            <w:hideMark/>
          </w:tcPr>
          <w:p w14:paraId="56DC482D" w14:textId="5B18EE48" w:rsidR="006C129B" w:rsidRPr="00666791" w:rsidRDefault="005D79A0" w:rsidP="00505F02">
            <w:pPr>
              <w:pStyle w:val="TableTextRight"/>
              <w:rPr>
                <w:rFonts w:cs="Calibri"/>
                <w:szCs w:val="22"/>
              </w:rPr>
            </w:pPr>
            <w:r w:rsidRPr="000042BE">
              <w:t>27.9</w:t>
            </w:r>
          </w:p>
        </w:tc>
      </w:tr>
      <w:tr w:rsidR="006C129B" w:rsidRPr="00666791" w14:paraId="31DAD7E4" w14:textId="77777777" w:rsidTr="005D79A0">
        <w:trPr>
          <w:trHeight w:val="300"/>
        </w:trPr>
        <w:tc>
          <w:tcPr>
            <w:tcW w:w="1077" w:type="dxa"/>
            <w:shd w:val="clear" w:color="000000" w:fill="FFFFFF"/>
            <w:vAlign w:val="bottom"/>
            <w:hideMark/>
          </w:tcPr>
          <w:p w14:paraId="67F84AEC" w14:textId="77777777" w:rsidR="006C129B" w:rsidRPr="00666791" w:rsidRDefault="006C129B" w:rsidP="00505F02">
            <w:pPr>
              <w:pStyle w:val="TableTextCentered"/>
              <w:rPr>
                <w:rFonts w:cs="Calibri"/>
                <w:color w:val="000000"/>
                <w:szCs w:val="22"/>
              </w:rPr>
            </w:pPr>
            <w:r w:rsidRPr="00666791">
              <w:rPr>
                <w:rFonts w:cs="Calibri"/>
                <w:color w:val="000000"/>
                <w:szCs w:val="22"/>
              </w:rPr>
              <w:t>507</w:t>
            </w:r>
          </w:p>
        </w:tc>
        <w:tc>
          <w:tcPr>
            <w:tcW w:w="4252" w:type="dxa"/>
            <w:shd w:val="clear" w:color="000000" w:fill="FFFFFF"/>
            <w:vAlign w:val="bottom"/>
            <w:hideMark/>
          </w:tcPr>
          <w:p w14:paraId="3B5F3C1E" w14:textId="7AFFA0A5" w:rsidR="006C129B" w:rsidRPr="00666791" w:rsidRDefault="006C129B" w:rsidP="00505F02">
            <w:pPr>
              <w:pStyle w:val="TableTextLeft"/>
              <w:rPr>
                <w:rFonts w:cs="Calibri"/>
                <w:szCs w:val="22"/>
              </w:rPr>
            </w:pPr>
            <w:r w:rsidRPr="00666791">
              <w:rPr>
                <w:rFonts w:cs="Calibri"/>
                <w:szCs w:val="22"/>
              </w:rPr>
              <w:t>Perth</w:t>
            </w:r>
            <w:r w:rsidR="0038520A">
              <w:rPr>
                <w:rFonts w:cs="Calibri"/>
                <w:szCs w:val="22"/>
              </w:rPr>
              <w:t xml:space="preserve"> – </w:t>
            </w:r>
            <w:r w:rsidRPr="00666791">
              <w:rPr>
                <w:rFonts w:cs="Calibri"/>
                <w:szCs w:val="22"/>
              </w:rPr>
              <w:t>South West</w:t>
            </w:r>
          </w:p>
        </w:tc>
        <w:tc>
          <w:tcPr>
            <w:tcW w:w="3753" w:type="dxa"/>
            <w:shd w:val="clear" w:color="000000" w:fill="FFFFFF"/>
            <w:hideMark/>
          </w:tcPr>
          <w:p w14:paraId="4F921274" w14:textId="75835A76" w:rsidR="006C129B" w:rsidRPr="00666791" w:rsidRDefault="006C129B" w:rsidP="00505F02">
            <w:pPr>
              <w:pStyle w:val="TableTextRight"/>
              <w:rPr>
                <w:rFonts w:cs="Calibri"/>
                <w:szCs w:val="22"/>
              </w:rPr>
            </w:pPr>
            <w:r w:rsidRPr="00666791">
              <w:rPr>
                <w:rFonts w:cs="Calibri"/>
                <w:szCs w:val="22"/>
              </w:rPr>
              <w:t>28.</w:t>
            </w:r>
            <w:r w:rsidR="005D79A0" w:rsidRPr="000042BE">
              <w:t>5</w:t>
            </w:r>
          </w:p>
        </w:tc>
      </w:tr>
      <w:tr w:rsidR="006C129B" w:rsidRPr="00666791" w14:paraId="4EA0FECE" w14:textId="77777777" w:rsidTr="005D79A0">
        <w:trPr>
          <w:trHeight w:val="300"/>
        </w:trPr>
        <w:tc>
          <w:tcPr>
            <w:tcW w:w="1077" w:type="dxa"/>
            <w:shd w:val="clear" w:color="000000" w:fill="FFFFFF"/>
            <w:vAlign w:val="bottom"/>
            <w:hideMark/>
          </w:tcPr>
          <w:p w14:paraId="339900F3" w14:textId="77777777" w:rsidR="006C129B" w:rsidRPr="00666791" w:rsidRDefault="006C129B" w:rsidP="00505F02">
            <w:pPr>
              <w:pStyle w:val="TableTextCentered"/>
              <w:rPr>
                <w:rFonts w:cs="Calibri"/>
                <w:color w:val="000000"/>
                <w:szCs w:val="22"/>
              </w:rPr>
            </w:pPr>
            <w:r w:rsidRPr="00666791">
              <w:rPr>
                <w:rFonts w:cs="Calibri"/>
                <w:color w:val="000000"/>
                <w:szCs w:val="22"/>
              </w:rPr>
              <w:t>508</w:t>
            </w:r>
          </w:p>
        </w:tc>
        <w:tc>
          <w:tcPr>
            <w:tcW w:w="4252" w:type="dxa"/>
            <w:shd w:val="clear" w:color="000000" w:fill="FFFFFF"/>
            <w:vAlign w:val="bottom"/>
            <w:hideMark/>
          </w:tcPr>
          <w:p w14:paraId="0FC629D2" w14:textId="3AD90A67" w:rsidR="006C129B" w:rsidRPr="00666791" w:rsidRDefault="006C129B" w:rsidP="00505F02">
            <w:pPr>
              <w:pStyle w:val="TableTextLeft"/>
              <w:rPr>
                <w:rFonts w:cs="Calibri"/>
                <w:szCs w:val="22"/>
              </w:rPr>
            </w:pPr>
            <w:r w:rsidRPr="00666791">
              <w:rPr>
                <w:rFonts w:cs="Calibri"/>
                <w:szCs w:val="22"/>
              </w:rPr>
              <w:t>Western Australia</w:t>
            </w:r>
            <w:r w:rsidR="0038520A">
              <w:rPr>
                <w:rFonts w:cs="Calibri"/>
                <w:szCs w:val="22"/>
              </w:rPr>
              <w:t xml:space="preserve"> – </w:t>
            </w:r>
            <w:r w:rsidRPr="00666791">
              <w:rPr>
                <w:rFonts w:cs="Calibri"/>
                <w:szCs w:val="22"/>
              </w:rPr>
              <w:t>Outback (North and South)</w:t>
            </w:r>
          </w:p>
        </w:tc>
        <w:tc>
          <w:tcPr>
            <w:tcW w:w="3753" w:type="dxa"/>
            <w:shd w:val="clear" w:color="000000" w:fill="FFFFFF"/>
            <w:hideMark/>
          </w:tcPr>
          <w:p w14:paraId="403F11F7" w14:textId="649ADA1D" w:rsidR="006C129B" w:rsidRPr="00666791" w:rsidRDefault="006C129B" w:rsidP="00505F02">
            <w:pPr>
              <w:pStyle w:val="TableTextRight"/>
              <w:rPr>
                <w:rFonts w:cs="Calibri"/>
                <w:szCs w:val="22"/>
              </w:rPr>
            </w:pPr>
            <w:r w:rsidRPr="00666791">
              <w:rPr>
                <w:rFonts w:cs="Calibri"/>
                <w:szCs w:val="22"/>
              </w:rPr>
              <w:t>20.</w:t>
            </w:r>
            <w:r w:rsidR="005D79A0" w:rsidRPr="000042BE">
              <w:t>0</w:t>
            </w:r>
          </w:p>
        </w:tc>
      </w:tr>
      <w:tr w:rsidR="006C129B" w:rsidRPr="00666791" w14:paraId="57AA98F6" w14:textId="77777777" w:rsidTr="005D79A0">
        <w:trPr>
          <w:trHeight w:val="315"/>
        </w:trPr>
        <w:tc>
          <w:tcPr>
            <w:tcW w:w="1077" w:type="dxa"/>
            <w:shd w:val="clear" w:color="000000" w:fill="FFFFFF"/>
            <w:vAlign w:val="bottom"/>
            <w:hideMark/>
          </w:tcPr>
          <w:p w14:paraId="115C0905" w14:textId="77777777" w:rsidR="006C129B" w:rsidRPr="00666791" w:rsidRDefault="006C129B" w:rsidP="00505F02">
            <w:pPr>
              <w:pStyle w:val="TableTextCentered"/>
              <w:rPr>
                <w:rFonts w:cs="Calibri"/>
                <w:color w:val="000000"/>
                <w:szCs w:val="22"/>
              </w:rPr>
            </w:pPr>
            <w:r w:rsidRPr="00666791">
              <w:rPr>
                <w:rFonts w:cs="Calibri"/>
                <w:color w:val="000000"/>
                <w:szCs w:val="22"/>
              </w:rPr>
              <w:t>509</w:t>
            </w:r>
          </w:p>
        </w:tc>
        <w:tc>
          <w:tcPr>
            <w:tcW w:w="4252" w:type="dxa"/>
            <w:shd w:val="clear" w:color="000000" w:fill="FFFFFF"/>
            <w:vAlign w:val="bottom"/>
            <w:hideMark/>
          </w:tcPr>
          <w:p w14:paraId="12D2B2AD" w14:textId="0C014B8B" w:rsidR="006C129B" w:rsidRPr="00666791" w:rsidRDefault="006C129B" w:rsidP="00505F02">
            <w:pPr>
              <w:pStyle w:val="TableTextLeft"/>
              <w:rPr>
                <w:rFonts w:cs="Calibri"/>
                <w:szCs w:val="22"/>
              </w:rPr>
            </w:pPr>
            <w:r w:rsidRPr="00666791">
              <w:rPr>
                <w:rFonts w:cs="Calibri"/>
                <w:szCs w:val="22"/>
              </w:rPr>
              <w:t>Western Australia</w:t>
            </w:r>
            <w:r w:rsidR="0038520A">
              <w:rPr>
                <w:rFonts w:cs="Calibri"/>
                <w:szCs w:val="22"/>
              </w:rPr>
              <w:t xml:space="preserve"> – </w:t>
            </w:r>
            <w:r w:rsidRPr="00666791">
              <w:rPr>
                <w:rFonts w:cs="Calibri"/>
                <w:szCs w:val="22"/>
              </w:rPr>
              <w:t>Wheat Belt</w:t>
            </w:r>
          </w:p>
        </w:tc>
        <w:tc>
          <w:tcPr>
            <w:tcW w:w="3753" w:type="dxa"/>
            <w:shd w:val="clear" w:color="000000" w:fill="FFFFFF"/>
            <w:hideMark/>
          </w:tcPr>
          <w:p w14:paraId="381D509E" w14:textId="78DF73E8" w:rsidR="006C129B" w:rsidRPr="00666791" w:rsidRDefault="006C129B" w:rsidP="00505F02">
            <w:pPr>
              <w:pStyle w:val="TableTextRight"/>
              <w:rPr>
                <w:rFonts w:cs="Calibri"/>
                <w:szCs w:val="22"/>
              </w:rPr>
            </w:pPr>
            <w:r w:rsidRPr="00666791">
              <w:rPr>
                <w:rFonts w:cs="Calibri"/>
                <w:szCs w:val="22"/>
              </w:rPr>
              <w:t>22.</w:t>
            </w:r>
            <w:r w:rsidR="005D79A0" w:rsidRPr="000042BE">
              <w:t>1</w:t>
            </w:r>
          </w:p>
        </w:tc>
      </w:tr>
      <w:tr w:rsidR="006C129B" w:rsidRPr="00666791" w14:paraId="2C06ABFD" w14:textId="77777777" w:rsidTr="005D79A0">
        <w:trPr>
          <w:trHeight w:val="315"/>
        </w:trPr>
        <w:tc>
          <w:tcPr>
            <w:tcW w:w="1077" w:type="dxa"/>
            <w:tcBorders>
              <w:bottom w:val="single" w:sz="4" w:space="0" w:color="3A6FAF" w:themeColor="accent2"/>
            </w:tcBorders>
            <w:shd w:val="clear" w:color="000000" w:fill="FFFFFF"/>
            <w:vAlign w:val="bottom"/>
            <w:hideMark/>
          </w:tcPr>
          <w:p w14:paraId="46BAEDDB" w14:textId="6EDA90AB" w:rsidR="006C129B" w:rsidRPr="00666791" w:rsidRDefault="006C129B" w:rsidP="00505F02">
            <w:pPr>
              <w:pStyle w:val="TableTextCentered"/>
              <w:rPr>
                <w:rFonts w:cs="Calibri"/>
                <w:color w:val="000000"/>
                <w:szCs w:val="22"/>
              </w:rPr>
            </w:pPr>
          </w:p>
        </w:tc>
        <w:tc>
          <w:tcPr>
            <w:tcW w:w="4252" w:type="dxa"/>
            <w:tcBorders>
              <w:bottom w:val="single" w:sz="4" w:space="0" w:color="3A6FAF" w:themeColor="accent2"/>
            </w:tcBorders>
            <w:shd w:val="clear" w:color="000000" w:fill="FFFFFF"/>
            <w:vAlign w:val="bottom"/>
            <w:hideMark/>
          </w:tcPr>
          <w:p w14:paraId="0C43D842" w14:textId="77777777" w:rsidR="006C129B" w:rsidRPr="00666791" w:rsidRDefault="006C129B" w:rsidP="00505F02">
            <w:pPr>
              <w:pStyle w:val="TableTextLeft"/>
              <w:rPr>
                <w:rFonts w:cs="Calibri"/>
                <w:szCs w:val="22"/>
              </w:rPr>
            </w:pPr>
            <w:r w:rsidRPr="00666791">
              <w:rPr>
                <w:rFonts w:cs="Calibri"/>
                <w:szCs w:val="22"/>
              </w:rPr>
              <w:t> </w:t>
            </w:r>
          </w:p>
        </w:tc>
        <w:tc>
          <w:tcPr>
            <w:tcW w:w="3753" w:type="dxa"/>
            <w:tcBorders>
              <w:bottom w:val="single" w:sz="4" w:space="0" w:color="3A6FAF" w:themeColor="accent2"/>
            </w:tcBorders>
            <w:shd w:val="clear" w:color="000000" w:fill="FFFFFF"/>
            <w:hideMark/>
          </w:tcPr>
          <w:p w14:paraId="21CC0C75" w14:textId="2F6E95C0" w:rsidR="006C129B" w:rsidRPr="00666791" w:rsidRDefault="006C129B" w:rsidP="00505F02">
            <w:pPr>
              <w:pStyle w:val="TableTextRight"/>
              <w:rPr>
                <w:rFonts w:cs="Calibri"/>
                <w:szCs w:val="22"/>
              </w:rPr>
            </w:pPr>
          </w:p>
        </w:tc>
      </w:tr>
      <w:tr w:rsidR="006C129B" w:rsidRPr="00505F02" w14:paraId="277CFF24" w14:textId="77777777" w:rsidTr="005D79A0">
        <w:trPr>
          <w:trHeight w:val="315"/>
        </w:trPr>
        <w:tc>
          <w:tcPr>
            <w:tcW w:w="1077" w:type="dxa"/>
            <w:tcBorders>
              <w:top w:val="single" w:sz="4" w:space="0" w:color="3A6FAF" w:themeColor="accent2"/>
            </w:tcBorders>
            <w:shd w:val="clear" w:color="000000" w:fill="FFFFFF"/>
            <w:vAlign w:val="bottom"/>
            <w:hideMark/>
          </w:tcPr>
          <w:p w14:paraId="1700C754" w14:textId="77777777" w:rsidR="006C129B" w:rsidRPr="00505F02" w:rsidRDefault="006C129B" w:rsidP="00505F02">
            <w:pPr>
              <w:pStyle w:val="TableTextCentered"/>
              <w:rPr>
                <w:b/>
                <w:bCs/>
              </w:rPr>
            </w:pPr>
            <w:r w:rsidRPr="00505F02">
              <w:rPr>
                <w:b/>
                <w:bCs/>
              </w:rPr>
              <w:t>600</w:t>
            </w:r>
          </w:p>
        </w:tc>
        <w:tc>
          <w:tcPr>
            <w:tcW w:w="4252" w:type="dxa"/>
            <w:tcBorders>
              <w:top w:val="single" w:sz="4" w:space="0" w:color="3A6FAF" w:themeColor="accent2"/>
            </w:tcBorders>
            <w:shd w:val="clear" w:color="000000" w:fill="FFFFFF"/>
            <w:vAlign w:val="bottom"/>
            <w:hideMark/>
          </w:tcPr>
          <w:p w14:paraId="13EBA0C2" w14:textId="46CFF000" w:rsidR="006C129B" w:rsidRPr="00505F02" w:rsidRDefault="006C129B" w:rsidP="00505F02">
            <w:pPr>
              <w:pStyle w:val="TableTextLeft"/>
              <w:rPr>
                <w:b/>
                <w:bCs/>
              </w:rPr>
            </w:pPr>
            <w:r w:rsidRPr="00505F02">
              <w:rPr>
                <w:b/>
                <w:bCs/>
              </w:rPr>
              <w:t>TASMANIA</w:t>
            </w:r>
            <w:r w:rsidR="0038520A">
              <w:rPr>
                <w:b/>
                <w:bCs/>
              </w:rPr>
              <w:t xml:space="preserve"> – </w:t>
            </w:r>
            <w:r w:rsidRPr="00505F02">
              <w:rPr>
                <w:b/>
                <w:bCs/>
              </w:rPr>
              <w:t>TOTAL</w:t>
            </w:r>
          </w:p>
        </w:tc>
        <w:tc>
          <w:tcPr>
            <w:tcW w:w="3753" w:type="dxa"/>
            <w:tcBorders>
              <w:top w:val="single" w:sz="4" w:space="0" w:color="3A6FAF" w:themeColor="accent2"/>
            </w:tcBorders>
            <w:shd w:val="clear" w:color="000000" w:fill="FFFFFF"/>
            <w:hideMark/>
          </w:tcPr>
          <w:p w14:paraId="5182F1A4" w14:textId="31CD4841" w:rsidR="006C129B" w:rsidRPr="00505F02" w:rsidRDefault="005D79A0" w:rsidP="00505F02">
            <w:pPr>
              <w:pStyle w:val="TableTextRight"/>
              <w:rPr>
                <w:b/>
                <w:bCs/>
              </w:rPr>
            </w:pPr>
            <w:r w:rsidRPr="005D79A0">
              <w:rPr>
                <w:b/>
                <w:bCs/>
              </w:rPr>
              <w:t>28.8</w:t>
            </w:r>
          </w:p>
        </w:tc>
      </w:tr>
      <w:tr w:rsidR="006C129B" w:rsidRPr="00666791" w14:paraId="5292D8CD" w14:textId="77777777" w:rsidTr="005D79A0">
        <w:trPr>
          <w:trHeight w:val="300"/>
        </w:trPr>
        <w:tc>
          <w:tcPr>
            <w:tcW w:w="1077" w:type="dxa"/>
            <w:shd w:val="clear" w:color="000000" w:fill="FFFFFF"/>
            <w:vAlign w:val="bottom"/>
            <w:hideMark/>
          </w:tcPr>
          <w:p w14:paraId="0154C466" w14:textId="77777777" w:rsidR="006C129B" w:rsidRPr="00666791" w:rsidRDefault="006C129B" w:rsidP="00505F02">
            <w:pPr>
              <w:pStyle w:val="TableTextCentered"/>
              <w:rPr>
                <w:rFonts w:cs="Calibri"/>
                <w:color w:val="000000"/>
                <w:szCs w:val="22"/>
              </w:rPr>
            </w:pPr>
            <w:r w:rsidRPr="00666791">
              <w:rPr>
                <w:rFonts w:cs="Calibri"/>
                <w:color w:val="000000"/>
                <w:szCs w:val="22"/>
              </w:rPr>
              <w:t>601</w:t>
            </w:r>
          </w:p>
        </w:tc>
        <w:tc>
          <w:tcPr>
            <w:tcW w:w="4252" w:type="dxa"/>
            <w:shd w:val="clear" w:color="000000" w:fill="FFFFFF"/>
            <w:vAlign w:val="bottom"/>
            <w:hideMark/>
          </w:tcPr>
          <w:p w14:paraId="2BFF3900" w14:textId="77777777" w:rsidR="006C129B" w:rsidRPr="00666791" w:rsidRDefault="006C129B" w:rsidP="00505F02">
            <w:pPr>
              <w:pStyle w:val="TableTextLeft"/>
              <w:rPr>
                <w:rFonts w:cs="Calibri"/>
                <w:szCs w:val="22"/>
              </w:rPr>
            </w:pPr>
            <w:r w:rsidRPr="00666791">
              <w:rPr>
                <w:rFonts w:cs="Calibri"/>
                <w:szCs w:val="22"/>
              </w:rPr>
              <w:t>Hobart</w:t>
            </w:r>
          </w:p>
        </w:tc>
        <w:tc>
          <w:tcPr>
            <w:tcW w:w="3753" w:type="dxa"/>
            <w:shd w:val="clear" w:color="000000" w:fill="FFFFFF"/>
            <w:hideMark/>
          </w:tcPr>
          <w:p w14:paraId="793A7476" w14:textId="2D46547C" w:rsidR="006C129B" w:rsidRPr="00666791" w:rsidRDefault="005D79A0" w:rsidP="00505F02">
            <w:pPr>
              <w:pStyle w:val="TableTextRight"/>
              <w:rPr>
                <w:rFonts w:cs="Calibri"/>
                <w:szCs w:val="22"/>
              </w:rPr>
            </w:pPr>
            <w:r w:rsidRPr="000042BE">
              <w:t>29.6</w:t>
            </w:r>
          </w:p>
        </w:tc>
      </w:tr>
      <w:tr w:rsidR="006C129B" w:rsidRPr="00666791" w14:paraId="75156238" w14:textId="77777777" w:rsidTr="005D79A0">
        <w:trPr>
          <w:trHeight w:val="300"/>
        </w:trPr>
        <w:tc>
          <w:tcPr>
            <w:tcW w:w="1077" w:type="dxa"/>
            <w:shd w:val="clear" w:color="000000" w:fill="FFFFFF"/>
            <w:vAlign w:val="bottom"/>
            <w:hideMark/>
          </w:tcPr>
          <w:p w14:paraId="6694115A" w14:textId="77777777" w:rsidR="006C129B" w:rsidRPr="00666791" w:rsidRDefault="006C129B" w:rsidP="00505F02">
            <w:pPr>
              <w:pStyle w:val="TableTextCentered"/>
              <w:rPr>
                <w:rFonts w:cs="Calibri"/>
                <w:color w:val="000000"/>
                <w:szCs w:val="22"/>
              </w:rPr>
            </w:pPr>
            <w:r w:rsidRPr="00666791">
              <w:rPr>
                <w:rFonts w:cs="Calibri"/>
                <w:color w:val="000000"/>
                <w:szCs w:val="22"/>
              </w:rPr>
              <w:t>602</w:t>
            </w:r>
          </w:p>
        </w:tc>
        <w:tc>
          <w:tcPr>
            <w:tcW w:w="4252" w:type="dxa"/>
            <w:shd w:val="clear" w:color="000000" w:fill="FFFFFF"/>
            <w:vAlign w:val="bottom"/>
            <w:hideMark/>
          </w:tcPr>
          <w:p w14:paraId="596AA494" w14:textId="77777777" w:rsidR="006C129B" w:rsidRPr="00666791" w:rsidRDefault="006C129B" w:rsidP="00505F02">
            <w:pPr>
              <w:pStyle w:val="TableTextLeft"/>
              <w:rPr>
                <w:rFonts w:cs="Calibri"/>
                <w:szCs w:val="22"/>
              </w:rPr>
            </w:pPr>
            <w:r w:rsidRPr="00666791">
              <w:rPr>
                <w:rFonts w:cs="Calibri"/>
                <w:szCs w:val="22"/>
              </w:rPr>
              <w:t>Launceston and North East</w:t>
            </w:r>
          </w:p>
        </w:tc>
        <w:tc>
          <w:tcPr>
            <w:tcW w:w="3753" w:type="dxa"/>
            <w:shd w:val="clear" w:color="000000" w:fill="FFFFFF"/>
            <w:hideMark/>
          </w:tcPr>
          <w:p w14:paraId="6B389768" w14:textId="447A3C84" w:rsidR="006C129B" w:rsidRPr="00666791" w:rsidRDefault="005D79A0" w:rsidP="00505F02">
            <w:pPr>
              <w:pStyle w:val="TableTextRight"/>
              <w:rPr>
                <w:rFonts w:cs="Calibri"/>
                <w:szCs w:val="22"/>
              </w:rPr>
            </w:pPr>
            <w:r w:rsidRPr="000042BE">
              <w:t>29.6</w:t>
            </w:r>
          </w:p>
        </w:tc>
      </w:tr>
      <w:tr w:rsidR="006C129B" w:rsidRPr="00666791" w14:paraId="6FE43F2F" w14:textId="77777777" w:rsidTr="005D79A0">
        <w:trPr>
          <w:trHeight w:val="300"/>
        </w:trPr>
        <w:tc>
          <w:tcPr>
            <w:tcW w:w="1077" w:type="dxa"/>
            <w:shd w:val="clear" w:color="000000" w:fill="FFFFFF"/>
            <w:vAlign w:val="bottom"/>
            <w:hideMark/>
          </w:tcPr>
          <w:p w14:paraId="5065FED8" w14:textId="77777777" w:rsidR="006C129B" w:rsidRPr="00666791" w:rsidRDefault="006C129B" w:rsidP="00505F02">
            <w:pPr>
              <w:pStyle w:val="TableTextCentered"/>
              <w:rPr>
                <w:rFonts w:cs="Calibri"/>
                <w:color w:val="000000"/>
                <w:szCs w:val="22"/>
              </w:rPr>
            </w:pPr>
            <w:r w:rsidRPr="00666791">
              <w:rPr>
                <w:rFonts w:cs="Calibri"/>
                <w:color w:val="000000"/>
                <w:szCs w:val="22"/>
              </w:rPr>
              <w:t>603</w:t>
            </w:r>
          </w:p>
        </w:tc>
        <w:tc>
          <w:tcPr>
            <w:tcW w:w="4252" w:type="dxa"/>
            <w:shd w:val="clear" w:color="000000" w:fill="FFFFFF"/>
            <w:vAlign w:val="bottom"/>
            <w:hideMark/>
          </w:tcPr>
          <w:p w14:paraId="73EE9216" w14:textId="03D1F6AC" w:rsidR="006C129B" w:rsidRPr="00666791" w:rsidRDefault="006C129B" w:rsidP="00505F02">
            <w:pPr>
              <w:pStyle w:val="TableTextLeft"/>
              <w:rPr>
                <w:rFonts w:cs="Calibri"/>
                <w:szCs w:val="22"/>
              </w:rPr>
            </w:pPr>
            <w:r w:rsidRPr="00666791">
              <w:rPr>
                <w:rFonts w:cs="Calibri"/>
                <w:szCs w:val="22"/>
              </w:rPr>
              <w:t>Tasmania</w:t>
            </w:r>
            <w:r w:rsidR="0038520A">
              <w:rPr>
                <w:rFonts w:cs="Calibri"/>
                <w:szCs w:val="22"/>
              </w:rPr>
              <w:t xml:space="preserve"> – </w:t>
            </w:r>
            <w:r w:rsidRPr="00666791">
              <w:rPr>
                <w:rFonts w:cs="Calibri"/>
                <w:szCs w:val="22"/>
              </w:rPr>
              <w:t>South East</w:t>
            </w:r>
          </w:p>
        </w:tc>
        <w:tc>
          <w:tcPr>
            <w:tcW w:w="3753" w:type="dxa"/>
            <w:shd w:val="clear" w:color="000000" w:fill="FFFFFF"/>
            <w:hideMark/>
          </w:tcPr>
          <w:p w14:paraId="22674C3B" w14:textId="1419D775" w:rsidR="006C129B" w:rsidRPr="00666791" w:rsidRDefault="006C129B" w:rsidP="00505F02">
            <w:pPr>
              <w:pStyle w:val="TableTextRight"/>
              <w:rPr>
                <w:rFonts w:cs="Calibri"/>
                <w:szCs w:val="22"/>
              </w:rPr>
            </w:pPr>
            <w:r w:rsidRPr="00666791">
              <w:rPr>
                <w:rFonts w:cs="Calibri"/>
                <w:szCs w:val="22"/>
              </w:rPr>
              <w:t>23.</w:t>
            </w:r>
            <w:r w:rsidR="005D79A0" w:rsidRPr="000042BE">
              <w:t>0</w:t>
            </w:r>
          </w:p>
        </w:tc>
      </w:tr>
      <w:tr w:rsidR="006C129B" w:rsidRPr="00666791" w14:paraId="2EFD3942" w14:textId="77777777" w:rsidTr="005D79A0">
        <w:trPr>
          <w:trHeight w:val="315"/>
        </w:trPr>
        <w:tc>
          <w:tcPr>
            <w:tcW w:w="1077" w:type="dxa"/>
            <w:shd w:val="clear" w:color="000000" w:fill="FFFFFF"/>
            <w:vAlign w:val="bottom"/>
            <w:hideMark/>
          </w:tcPr>
          <w:p w14:paraId="2258E06B" w14:textId="77777777" w:rsidR="006C129B" w:rsidRPr="00666791" w:rsidRDefault="006C129B" w:rsidP="00505F02">
            <w:pPr>
              <w:pStyle w:val="TableTextCentered"/>
              <w:rPr>
                <w:rFonts w:cs="Calibri"/>
                <w:color w:val="000000"/>
                <w:szCs w:val="22"/>
              </w:rPr>
            </w:pPr>
            <w:r w:rsidRPr="00666791">
              <w:rPr>
                <w:rFonts w:cs="Calibri"/>
                <w:color w:val="000000"/>
                <w:szCs w:val="22"/>
              </w:rPr>
              <w:t>604</w:t>
            </w:r>
          </w:p>
        </w:tc>
        <w:tc>
          <w:tcPr>
            <w:tcW w:w="4252" w:type="dxa"/>
            <w:shd w:val="clear" w:color="000000" w:fill="FFFFFF"/>
            <w:vAlign w:val="bottom"/>
            <w:hideMark/>
          </w:tcPr>
          <w:p w14:paraId="46A6238A" w14:textId="37F6486E" w:rsidR="006C129B" w:rsidRPr="00666791" w:rsidRDefault="006C129B" w:rsidP="00505F02">
            <w:pPr>
              <w:pStyle w:val="TableTextLeft"/>
              <w:rPr>
                <w:rFonts w:cs="Calibri"/>
                <w:szCs w:val="22"/>
              </w:rPr>
            </w:pPr>
            <w:r w:rsidRPr="00666791">
              <w:rPr>
                <w:rFonts w:cs="Calibri"/>
                <w:szCs w:val="22"/>
              </w:rPr>
              <w:t>Tasmania</w:t>
            </w:r>
            <w:r w:rsidR="0038520A">
              <w:rPr>
                <w:rFonts w:cs="Calibri"/>
                <w:szCs w:val="22"/>
              </w:rPr>
              <w:t xml:space="preserve"> – </w:t>
            </w:r>
            <w:r w:rsidRPr="00666791">
              <w:rPr>
                <w:rFonts w:cs="Calibri"/>
                <w:szCs w:val="22"/>
              </w:rPr>
              <w:t>West and North West</w:t>
            </w:r>
          </w:p>
        </w:tc>
        <w:tc>
          <w:tcPr>
            <w:tcW w:w="3753" w:type="dxa"/>
            <w:shd w:val="clear" w:color="000000" w:fill="FFFFFF"/>
            <w:hideMark/>
          </w:tcPr>
          <w:p w14:paraId="6EAE4796" w14:textId="361476F2" w:rsidR="006C129B" w:rsidRPr="00666791" w:rsidRDefault="005D79A0" w:rsidP="00505F02">
            <w:pPr>
              <w:pStyle w:val="TableTextRight"/>
              <w:rPr>
                <w:rFonts w:cs="Calibri"/>
                <w:szCs w:val="22"/>
              </w:rPr>
            </w:pPr>
            <w:r w:rsidRPr="000042BE">
              <w:t>27.8</w:t>
            </w:r>
          </w:p>
        </w:tc>
      </w:tr>
      <w:tr w:rsidR="006C129B" w:rsidRPr="00666791" w14:paraId="5A657BF7" w14:textId="77777777" w:rsidTr="005D79A0">
        <w:trPr>
          <w:trHeight w:val="315"/>
        </w:trPr>
        <w:tc>
          <w:tcPr>
            <w:tcW w:w="1077" w:type="dxa"/>
            <w:tcBorders>
              <w:bottom w:val="single" w:sz="4" w:space="0" w:color="3A6FAF" w:themeColor="accent2"/>
            </w:tcBorders>
            <w:shd w:val="clear" w:color="000000" w:fill="FFFFFF"/>
            <w:vAlign w:val="bottom"/>
            <w:hideMark/>
          </w:tcPr>
          <w:p w14:paraId="438A64E1" w14:textId="51ECE2D6" w:rsidR="006C129B" w:rsidRPr="00666791" w:rsidRDefault="006C129B" w:rsidP="00505F02">
            <w:pPr>
              <w:pStyle w:val="TableTextCentered"/>
              <w:rPr>
                <w:rFonts w:cs="Calibri"/>
                <w:color w:val="000000"/>
                <w:szCs w:val="22"/>
              </w:rPr>
            </w:pPr>
          </w:p>
        </w:tc>
        <w:tc>
          <w:tcPr>
            <w:tcW w:w="4252" w:type="dxa"/>
            <w:tcBorders>
              <w:bottom w:val="single" w:sz="4" w:space="0" w:color="3A6FAF" w:themeColor="accent2"/>
            </w:tcBorders>
            <w:shd w:val="clear" w:color="000000" w:fill="FFFFFF"/>
            <w:vAlign w:val="bottom"/>
            <w:hideMark/>
          </w:tcPr>
          <w:p w14:paraId="2F4CE5A7" w14:textId="77777777" w:rsidR="006C129B" w:rsidRPr="00666791" w:rsidRDefault="006C129B" w:rsidP="00505F02">
            <w:pPr>
              <w:pStyle w:val="TableTextLeft"/>
              <w:rPr>
                <w:rFonts w:cs="Calibri"/>
                <w:szCs w:val="22"/>
              </w:rPr>
            </w:pPr>
            <w:r w:rsidRPr="00666791">
              <w:rPr>
                <w:rFonts w:cs="Calibri"/>
                <w:szCs w:val="22"/>
              </w:rPr>
              <w:t> </w:t>
            </w:r>
          </w:p>
        </w:tc>
        <w:tc>
          <w:tcPr>
            <w:tcW w:w="3753" w:type="dxa"/>
            <w:tcBorders>
              <w:bottom w:val="single" w:sz="4" w:space="0" w:color="3A6FAF" w:themeColor="accent2"/>
            </w:tcBorders>
            <w:shd w:val="clear" w:color="000000" w:fill="FFFFFF"/>
            <w:hideMark/>
          </w:tcPr>
          <w:p w14:paraId="3413104F" w14:textId="4A23E37A" w:rsidR="006C129B" w:rsidRPr="00666791" w:rsidRDefault="006C129B" w:rsidP="00505F02">
            <w:pPr>
              <w:pStyle w:val="TableTextRight"/>
              <w:rPr>
                <w:rFonts w:cs="Calibri"/>
                <w:szCs w:val="22"/>
              </w:rPr>
            </w:pPr>
          </w:p>
        </w:tc>
      </w:tr>
      <w:tr w:rsidR="00AD64C7" w:rsidRPr="00505F02" w14:paraId="671C6594" w14:textId="77777777" w:rsidTr="005D79A0">
        <w:trPr>
          <w:trHeight w:val="315"/>
        </w:trPr>
        <w:tc>
          <w:tcPr>
            <w:tcW w:w="1077" w:type="dxa"/>
            <w:tcBorders>
              <w:top w:val="single" w:sz="4" w:space="0" w:color="3A6FAF" w:themeColor="accent2"/>
            </w:tcBorders>
            <w:shd w:val="clear" w:color="000000" w:fill="FFFFFF"/>
            <w:vAlign w:val="bottom"/>
            <w:hideMark/>
          </w:tcPr>
          <w:p w14:paraId="0B71C49F" w14:textId="77777777" w:rsidR="00AD64C7" w:rsidRPr="00505F02" w:rsidRDefault="00AD64C7" w:rsidP="00AD64C7">
            <w:pPr>
              <w:pStyle w:val="TableTextCentered"/>
              <w:rPr>
                <w:b/>
                <w:bCs/>
              </w:rPr>
            </w:pPr>
            <w:r w:rsidRPr="00505F02">
              <w:rPr>
                <w:b/>
                <w:bCs/>
              </w:rPr>
              <w:t>700</w:t>
            </w:r>
          </w:p>
        </w:tc>
        <w:tc>
          <w:tcPr>
            <w:tcW w:w="4252" w:type="dxa"/>
            <w:tcBorders>
              <w:top w:val="single" w:sz="4" w:space="0" w:color="3A6FAF" w:themeColor="accent2"/>
            </w:tcBorders>
            <w:shd w:val="clear" w:color="000000" w:fill="FFFFFF"/>
            <w:vAlign w:val="bottom"/>
            <w:hideMark/>
          </w:tcPr>
          <w:p w14:paraId="2690B7F1" w14:textId="4C4E03C1" w:rsidR="00AD64C7" w:rsidRPr="00505F02" w:rsidRDefault="00AD64C7" w:rsidP="00AD64C7">
            <w:pPr>
              <w:pStyle w:val="TableTextLeft"/>
              <w:rPr>
                <w:b/>
                <w:bCs/>
              </w:rPr>
            </w:pPr>
            <w:r w:rsidRPr="00505F02">
              <w:rPr>
                <w:b/>
                <w:bCs/>
              </w:rPr>
              <w:t>NORTHERN TERRITORY</w:t>
            </w:r>
            <w:r w:rsidR="0038520A">
              <w:rPr>
                <w:b/>
                <w:bCs/>
              </w:rPr>
              <w:t xml:space="preserve"> – </w:t>
            </w:r>
            <w:r w:rsidRPr="00505F02">
              <w:rPr>
                <w:b/>
                <w:bCs/>
              </w:rPr>
              <w:t>TOTAL</w:t>
            </w:r>
          </w:p>
        </w:tc>
        <w:tc>
          <w:tcPr>
            <w:tcW w:w="3753" w:type="dxa"/>
            <w:tcBorders>
              <w:top w:val="single" w:sz="4" w:space="0" w:color="3A6FAF" w:themeColor="accent2"/>
            </w:tcBorders>
            <w:shd w:val="clear" w:color="000000" w:fill="FFFFFF"/>
            <w:hideMark/>
          </w:tcPr>
          <w:p w14:paraId="18ED6A86" w14:textId="25D3AFD6" w:rsidR="00AD64C7" w:rsidRPr="00505F02" w:rsidRDefault="00AD64C7" w:rsidP="00AD64C7">
            <w:pPr>
              <w:pStyle w:val="TableTextRight"/>
              <w:rPr>
                <w:b/>
                <w:bCs/>
              </w:rPr>
            </w:pPr>
            <w:r w:rsidRPr="00505F02">
              <w:rPr>
                <w:b/>
                <w:bCs/>
              </w:rPr>
              <w:t>17.</w:t>
            </w:r>
            <w:r w:rsidR="005D79A0" w:rsidRPr="005D79A0">
              <w:rPr>
                <w:b/>
                <w:bCs/>
              </w:rPr>
              <w:t>6</w:t>
            </w:r>
          </w:p>
        </w:tc>
      </w:tr>
      <w:tr w:rsidR="00AD64C7" w:rsidRPr="00666791" w14:paraId="4336DA8E" w14:textId="77777777" w:rsidTr="005D79A0">
        <w:trPr>
          <w:trHeight w:val="390"/>
        </w:trPr>
        <w:tc>
          <w:tcPr>
            <w:tcW w:w="1077" w:type="dxa"/>
            <w:shd w:val="clear" w:color="000000" w:fill="FFFFFF"/>
            <w:vAlign w:val="bottom"/>
            <w:hideMark/>
          </w:tcPr>
          <w:p w14:paraId="4771C2DF" w14:textId="77777777" w:rsidR="00AD64C7" w:rsidRPr="00666791" w:rsidRDefault="00AD64C7" w:rsidP="00AD64C7">
            <w:pPr>
              <w:pStyle w:val="TableTextCentered"/>
              <w:rPr>
                <w:rFonts w:cs="Calibri"/>
                <w:color w:val="000000"/>
                <w:szCs w:val="22"/>
              </w:rPr>
            </w:pPr>
            <w:r w:rsidRPr="00666791">
              <w:rPr>
                <w:rFonts w:cs="Calibri"/>
                <w:color w:val="000000"/>
                <w:szCs w:val="22"/>
              </w:rPr>
              <w:t>701</w:t>
            </w:r>
          </w:p>
        </w:tc>
        <w:tc>
          <w:tcPr>
            <w:tcW w:w="4252" w:type="dxa"/>
            <w:shd w:val="clear" w:color="000000" w:fill="FFFFFF"/>
            <w:vAlign w:val="bottom"/>
            <w:hideMark/>
          </w:tcPr>
          <w:p w14:paraId="724DB243" w14:textId="77777777" w:rsidR="00AD64C7" w:rsidRPr="00666791" w:rsidRDefault="00AD64C7" w:rsidP="00AD64C7">
            <w:pPr>
              <w:pStyle w:val="TableTextLeft"/>
              <w:rPr>
                <w:rFonts w:cs="Calibri"/>
                <w:szCs w:val="22"/>
              </w:rPr>
            </w:pPr>
            <w:r w:rsidRPr="00666791">
              <w:rPr>
                <w:rFonts w:cs="Calibri"/>
                <w:szCs w:val="22"/>
              </w:rPr>
              <w:t>Darwin</w:t>
            </w:r>
          </w:p>
        </w:tc>
        <w:tc>
          <w:tcPr>
            <w:tcW w:w="3753" w:type="dxa"/>
            <w:shd w:val="clear" w:color="000000" w:fill="FFFFFF"/>
            <w:hideMark/>
          </w:tcPr>
          <w:p w14:paraId="29BC9898" w14:textId="2F0EEAB6" w:rsidR="00AD64C7" w:rsidRPr="00666791" w:rsidRDefault="005D79A0" w:rsidP="00AD64C7">
            <w:pPr>
              <w:pStyle w:val="TableTextRight"/>
              <w:rPr>
                <w:rFonts w:cs="Calibri"/>
                <w:szCs w:val="22"/>
              </w:rPr>
            </w:pPr>
            <w:r w:rsidRPr="000042BE">
              <w:t>20.9</w:t>
            </w:r>
          </w:p>
        </w:tc>
      </w:tr>
      <w:tr w:rsidR="00AD64C7" w:rsidRPr="00666791" w14:paraId="27616053" w14:textId="77777777" w:rsidTr="005D79A0">
        <w:trPr>
          <w:trHeight w:val="315"/>
        </w:trPr>
        <w:tc>
          <w:tcPr>
            <w:tcW w:w="1077" w:type="dxa"/>
            <w:shd w:val="clear" w:color="000000" w:fill="FFFFFF"/>
            <w:vAlign w:val="bottom"/>
            <w:hideMark/>
          </w:tcPr>
          <w:p w14:paraId="2A6B6389" w14:textId="77777777" w:rsidR="00AD64C7" w:rsidRPr="00666791" w:rsidRDefault="00AD64C7" w:rsidP="00AD64C7">
            <w:pPr>
              <w:pStyle w:val="TableTextCentered"/>
              <w:rPr>
                <w:rFonts w:cs="Calibri"/>
                <w:color w:val="000000"/>
                <w:szCs w:val="22"/>
              </w:rPr>
            </w:pPr>
            <w:r w:rsidRPr="00666791">
              <w:rPr>
                <w:rFonts w:cs="Calibri"/>
                <w:color w:val="000000"/>
                <w:szCs w:val="22"/>
              </w:rPr>
              <w:t>702</w:t>
            </w:r>
          </w:p>
        </w:tc>
        <w:tc>
          <w:tcPr>
            <w:tcW w:w="4252" w:type="dxa"/>
            <w:shd w:val="clear" w:color="000000" w:fill="FFFFFF"/>
            <w:vAlign w:val="bottom"/>
            <w:hideMark/>
          </w:tcPr>
          <w:p w14:paraId="74D65276" w14:textId="368BE818" w:rsidR="00AD64C7" w:rsidRPr="00666791" w:rsidRDefault="00AD64C7" w:rsidP="00AD64C7">
            <w:pPr>
              <w:pStyle w:val="TableTextLeft"/>
              <w:rPr>
                <w:rFonts w:cs="Calibri"/>
                <w:szCs w:val="22"/>
              </w:rPr>
            </w:pPr>
            <w:r w:rsidRPr="00666791">
              <w:rPr>
                <w:rFonts w:cs="Calibri"/>
                <w:szCs w:val="22"/>
              </w:rPr>
              <w:t xml:space="preserve">Northern Territory </w:t>
            </w:r>
            <w:r>
              <w:rPr>
                <w:rFonts w:cs="Calibri"/>
                <w:szCs w:val="22"/>
              </w:rPr>
              <w:t>–</w:t>
            </w:r>
            <w:r w:rsidRPr="00666791">
              <w:rPr>
                <w:rFonts w:cs="Calibri"/>
                <w:szCs w:val="22"/>
              </w:rPr>
              <w:t xml:space="preserve"> Outback</w:t>
            </w:r>
          </w:p>
        </w:tc>
        <w:tc>
          <w:tcPr>
            <w:tcW w:w="3753" w:type="dxa"/>
            <w:shd w:val="clear" w:color="000000" w:fill="FFFFFF"/>
            <w:hideMark/>
          </w:tcPr>
          <w:p w14:paraId="5D2674F2" w14:textId="76E53C0C" w:rsidR="00AD64C7" w:rsidRPr="00666791" w:rsidRDefault="00AD64C7" w:rsidP="00AD64C7">
            <w:pPr>
              <w:pStyle w:val="TableTextRight"/>
              <w:rPr>
                <w:rFonts w:cs="Calibri"/>
                <w:szCs w:val="22"/>
              </w:rPr>
            </w:pPr>
            <w:r w:rsidRPr="00666791">
              <w:rPr>
                <w:rFonts w:cs="Calibri"/>
                <w:szCs w:val="22"/>
              </w:rPr>
              <w:t>12.</w:t>
            </w:r>
            <w:r w:rsidR="005D79A0" w:rsidRPr="000042BE">
              <w:t>1</w:t>
            </w:r>
          </w:p>
        </w:tc>
      </w:tr>
      <w:tr w:rsidR="00AD64C7" w:rsidRPr="00666791" w14:paraId="2393A62D" w14:textId="77777777" w:rsidTr="00AD64C7">
        <w:trPr>
          <w:trHeight w:val="315"/>
        </w:trPr>
        <w:tc>
          <w:tcPr>
            <w:tcW w:w="1077" w:type="dxa"/>
            <w:shd w:val="clear" w:color="000000" w:fill="FFFFFF"/>
            <w:vAlign w:val="bottom"/>
          </w:tcPr>
          <w:p w14:paraId="74142382" w14:textId="77777777" w:rsidR="00AD64C7" w:rsidRPr="00666791" w:rsidRDefault="00AD64C7" w:rsidP="00AD64C7">
            <w:pPr>
              <w:pStyle w:val="TableTextCentered"/>
              <w:rPr>
                <w:rFonts w:cs="Calibri"/>
                <w:color w:val="000000"/>
                <w:szCs w:val="22"/>
              </w:rPr>
            </w:pPr>
          </w:p>
        </w:tc>
        <w:tc>
          <w:tcPr>
            <w:tcW w:w="4252" w:type="dxa"/>
            <w:shd w:val="clear" w:color="000000" w:fill="FFFFFF"/>
            <w:vAlign w:val="bottom"/>
          </w:tcPr>
          <w:p w14:paraId="43A33055" w14:textId="77777777" w:rsidR="00AD64C7" w:rsidRPr="00666791" w:rsidRDefault="00AD64C7" w:rsidP="00AD64C7">
            <w:pPr>
              <w:pStyle w:val="TableTextLeft"/>
              <w:rPr>
                <w:rFonts w:cs="Calibri"/>
                <w:szCs w:val="22"/>
              </w:rPr>
            </w:pPr>
          </w:p>
        </w:tc>
        <w:tc>
          <w:tcPr>
            <w:tcW w:w="3753" w:type="dxa"/>
            <w:shd w:val="clear" w:color="000000" w:fill="FFFFFF"/>
            <w:vAlign w:val="bottom"/>
          </w:tcPr>
          <w:p w14:paraId="6681FB54" w14:textId="77777777" w:rsidR="00AD64C7" w:rsidRPr="00666791" w:rsidRDefault="00AD64C7" w:rsidP="00AD64C7">
            <w:pPr>
              <w:pStyle w:val="TableTextRight"/>
              <w:rPr>
                <w:rFonts w:cs="Calibri"/>
                <w:szCs w:val="22"/>
              </w:rPr>
            </w:pPr>
          </w:p>
        </w:tc>
      </w:tr>
      <w:tr w:rsidR="007B3F11" w:rsidRPr="00505F02" w14:paraId="69FF2141" w14:textId="77777777" w:rsidTr="005D79A0">
        <w:trPr>
          <w:trHeight w:val="315"/>
        </w:trPr>
        <w:tc>
          <w:tcPr>
            <w:tcW w:w="1077" w:type="dxa"/>
            <w:tcBorders>
              <w:top w:val="single" w:sz="4" w:space="0" w:color="3A6FAF" w:themeColor="accent2"/>
            </w:tcBorders>
            <w:shd w:val="clear" w:color="000000" w:fill="FFFFFF"/>
            <w:vAlign w:val="bottom"/>
          </w:tcPr>
          <w:p w14:paraId="02DAD993" w14:textId="3BD22C78" w:rsidR="007B3F11" w:rsidRPr="00505F02" w:rsidRDefault="007B3F11" w:rsidP="007B3F11">
            <w:pPr>
              <w:pStyle w:val="TableTextCentered"/>
              <w:rPr>
                <w:b/>
                <w:bCs/>
              </w:rPr>
            </w:pPr>
            <w:r w:rsidRPr="00505F02">
              <w:rPr>
                <w:b/>
                <w:bCs/>
              </w:rPr>
              <w:t>800</w:t>
            </w:r>
          </w:p>
        </w:tc>
        <w:tc>
          <w:tcPr>
            <w:tcW w:w="4252" w:type="dxa"/>
            <w:tcBorders>
              <w:top w:val="single" w:sz="4" w:space="0" w:color="3A6FAF" w:themeColor="accent2"/>
            </w:tcBorders>
            <w:shd w:val="clear" w:color="000000" w:fill="FFFFFF"/>
            <w:vAlign w:val="bottom"/>
          </w:tcPr>
          <w:p w14:paraId="20D99221" w14:textId="6C44009A" w:rsidR="007B3F11" w:rsidRPr="00505F02" w:rsidRDefault="002C1856" w:rsidP="007B3F11">
            <w:pPr>
              <w:pStyle w:val="TableTextLeft"/>
              <w:rPr>
                <w:b/>
                <w:bCs/>
              </w:rPr>
            </w:pPr>
            <w:r w:rsidRPr="00505F02">
              <w:rPr>
                <w:b/>
                <w:bCs/>
              </w:rPr>
              <w:t xml:space="preserve">AUSTRALIAN </w:t>
            </w:r>
            <w:r w:rsidR="007B3F11" w:rsidRPr="00505F02">
              <w:rPr>
                <w:b/>
                <w:bCs/>
              </w:rPr>
              <w:t>CAPITAL TERRITORY</w:t>
            </w:r>
            <w:r w:rsidR="0038520A">
              <w:rPr>
                <w:b/>
                <w:bCs/>
              </w:rPr>
              <w:t xml:space="preserve"> – </w:t>
            </w:r>
            <w:r w:rsidR="007B3F11" w:rsidRPr="00505F02">
              <w:rPr>
                <w:b/>
                <w:bCs/>
              </w:rPr>
              <w:t>TOTAL</w:t>
            </w:r>
          </w:p>
        </w:tc>
        <w:tc>
          <w:tcPr>
            <w:tcW w:w="3753" w:type="dxa"/>
            <w:tcBorders>
              <w:top w:val="single" w:sz="4" w:space="0" w:color="3A6FAF" w:themeColor="accent2"/>
            </w:tcBorders>
            <w:shd w:val="clear" w:color="000000" w:fill="FFFFFF"/>
          </w:tcPr>
          <w:p w14:paraId="55C7B888" w14:textId="1EC7FEDB" w:rsidR="007B3F11" w:rsidRPr="00505F02" w:rsidRDefault="005D79A0" w:rsidP="007B3F11">
            <w:pPr>
              <w:pStyle w:val="TableTextRight"/>
              <w:rPr>
                <w:b/>
                <w:bCs/>
              </w:rPr>
            </w:pPr>
            <w:r w:rsidRPr="005D79A0">
              <w:rPr>
                <w:b/>
                <w:bCs/>
              </w:rPr>
              <w:t>21.7</w:t>
            </w:r>
          </w:p>
        </w:tc>
      </w:tr>
      <w:tr w:rsidR="007B3F11" w:rsidRPr="00505F02" w14:paraId="112EB023" w14:textId="77777777" w:rsidTr="005D79A0">
        <w:trPr>
          <w:trHeight w:val="315"/>
        </w:trPr>
        <w:tc>
          <w:tcPr>
            <w:tcW w:w="1077" w:type="dxa"/>
            <w:shd w:val="clear" w:color="000000" w:fill="FFFFFF"/>
            <w:vAlign w:val="bottom"/>
          </w:tcPr>
          <w:p w14:paraId="7BABB15F" w14:textId="74BCB952" w:rsidR="007B3F11" w:rsidRPr="00505F02" w:rsidRDefault="007B3F11" w:rsidP="007B3F11">
            <w:pPr>
              <w:pStyle w:val="TableTextCentered"/>
              <w:rPr>
                <w:b/>
                <w:bCs/>
              </w:rPr>
            </w:pPr>
            <w:r w:rsidRPr="00666791">
              <w:rPr>
                <w:rFonts w:cs="Calibri"/>
                <w:color w:val="000000"/>
                <w:szCs w:val="22"/>
              </w:rPr>
              <w:t>801</w:t>
            </w:r>
          </w:p>
        </w:tc>
        <w:tc>
          <w:tcPr>
            <w:tcW w:w="4252" w:type="dxa"/>
            <w:shd w:val="clear" w:color="000000" w:fill="FFFFFF"/>
            <w:vAlign w:val="bottom"/>
          </w:tcPr>
          <w:p w14:paraId="04C085E6" w14:textId="071E837E" w:rsidR="007B3F11" w:rsidRPr="00505F02" w:rsidRDefault="007B3F11" w:rsidP="007B3F11">
            <w:pPr>
              <w:pStyle w:val="TableTextLeft"/>
              <w:rPr>
                <w:b/>
                <w:bCs/>
              </w:rPr>
            </w:pPr>
            <w:r w:rsidRPr="00666791">
              <w:rPr>
                <w:rFonts w:cs="Calibri"/>
                <w:szCs w:val="22"/>
              </w:rPr>
              <w:t>Australian Capital Territory</w:t>
            </w:r>
          </w:p>
        </w:tc>
        <w:tc>
          <w:tcPr>
            <w:tcW w:w="3753" w:type="dxa"/>
            <w:shd w:val="clear" w:color="000000" w:fill="FFFFFF"/>
          </w:tcPr>
          <w:p w14:paraId="68DD69BF" w14:textId="140F39D6" w:rsidR="007B3F11" w:rsidRPr="00505F02" w:rsidRDefault="005D79A0" w:rsidP="007B3F11">
            <w:pPr>
              <w:pStyle w:val="TableTextRight"/>
              <w:rPr>
                <w:b/>
                <w:bCs/>
              </w:rPr>
            </w:pPr>
            <w:r w:rsidRPr="00822132">
              <w:t>21.7</w:t>
            </w:r>
          </w:p>
        </w:tc>
      </w:tr>
      <w:tr w:rsidR="007B3F11" w:rsidRPr="00505F02" w14:paraId="6D75E33D" w14:textId="77777777" w:rsidTr="007B3F11">
        <w:trPr>
          <w:trHeight w:val="315"/>
        </w:trPr>
        <w:tc>
          <w:tcPr>
            <w:tcW w:w="1077" w:type="dxa"/>
            <w:tcBorders>
              <w:bottom w:val="single" w:sz="4" w:space="0" w:color="3A6FAF" w:themeColor="accent2"/>
            </w:tcBorders>
            <w:shd w:val="clear" w:color="000000" w:fill="FFFFFF"/>
            <w:vAlign w:val="bottom"/>
          </w:tcPr>
          <w:p w14:paraId="4727E9D5" w14:textId="77777777" w:rsidR="007B3F11" w:rsidRPr="00505F02" w:rsidRDefault="007B3F11" w:rsidP="007B3F11">
            <w:pPr>
              <w:pStyle w:val="TableTextCentered"/>
              <w:rPr>
                <w:b/>
                <w:bCs/>
              </w:rPr>
            </w:pPr>
          </w:p>
        </w:tc>
        <w:tc>
          <w:tcPr>
            <w:tcW w:w="4252" w:type="dxa"/>
            <w:tcBorders>
              <w:bottom w:val="single" w:sz="4" w:space="0" w:color="3A6FAF" w:themeColor="accent2"/>
            </w:tcBorders>
            <w:shd w:val="clear" w:color="000000" w:fill="FFFFFF"/>
            <w:vAlign w:val="bottom"/>
          </w:tcPr>
          <w:p w14:paraId="61427648" w14:textId="77777777" w:rsidR="007B3F11" w:rsidRPr="00505F02" w:rsidRDefault="007B3F11" w:rsidP="007B3F11">
            <w:pPr>
              <w:pStyle w:val="TableTextLeft"/>
              <w:rPr>
                <w:b/>
                <w:bCs/>
              </w:rPr>
            </w:pPr>
          </w:p>
        </w:tc>
        <w:tc>
          <w:tcPr>
            <w:tcW w:w="3753" w:type="dxa"/>
            <w:tcBorders>
              <w:bottom w:val="single" w:sz="4" w:space="0" w:color="3A6FAF" w:themeColor="accent2"/>
            </w:tcBorders>
            <w:shd w:val="clear" w:color="000000" w:fill="FFFFFF"/>
            <w:vAlign w:val="bottom"/>
          </w:tcPr>
          <w:p w14:paraId="4DC08332" w14:textId="77777777" w:rsidR="007B3F11" w:rsidRPr="00505F02" w:rsidRDefault="007B3F11" w:rsidP="007B3F11">
            <w:pPr>
              <w:pStyle w:val="TableTextRight"/>
              <w:rPr>
                <w:b/>
                <w:bCs/>
              </w:rPr>
            </w:pPr>
          </w:p>
        </w:tc>
      </w:tr>
    </w:tbl>
    <w:p w14:paraId="53E1A8FF" w14:textId="7B475BD2" w:rsidR="00113434" w:rsidRDefault="0008058E" w:rsidP="00521B91">
      <w:pPr>
        <w:pStyle w:val="ChartorTableNote"/>
      </w:pPr>
      <w:r>
        <w:rPr>
          <w:szCs w:val="16"/>
        </w:rPr>
        <w:t xml:space="preserve">Data underlying </w:t>
      </w:r>
      <w:r w:rsidR="00066FC6">
        <w:rPr>
          <w:szCs w:val="16"/>
        </w:rPr>
        <w:t>F</w:t>
      </w:r>
      <w:r w:rsidRPr="00734FA1">
        <w:rPr>
          <w:szCs w:val="16"/>
        </w:rPr>
        <w:t xml:space="preserve">igure </w:t>
      </w:r>
      <w:r w:rsidR="006D740C">
        <w:rPr>
          <w:szCs w:val="16"/>
        </w:rPr>
        <w:t>11</w:t>
      </w:r>
      <w:r w:rsidR="004133D6">
        <w:rPr>
          <w:szCs w:val="16"/>
        </w:rPr>
        <w:t>.</w:t>
      </w:r>
    </w:p>
    <w:p w14:paraId="07FB00CE" w14:textId="7A821B17" w:rsidR="00113434" w:rsidRPr="003C0ED5" w:rsidRDefault="00113434" w:rsidP="00521B91">
      <w:pPr>
        <w:pStyle w:val="ChartorTableNote"/>
        <w:rPr>
          <w:szCs w:val="18"/>
        </w:rPr>
      </w:pPr>
      <w:r>
        <w:t xml:space="preserve">Note: </w:t>
      </w:r>
      <w:r w:rsidRPr="0085344E">
        <w:t>In 2012 the S</w:t>
      </w:r>
      <w:r w:rsidR="0043012E">
        <w:t xml:space="preserve">tatistical Area Level </w:t>
      </w:r>
      <w:r w:rsidRPr="0085344E">
        <w:t xml:space="preserve">4 </w:t>
      </w:r>
      <w:r w:rsidR="0043012E">
        <w:t>(</w:t>
      </w:r>
      <w:r w:rsidRPr="0085344E">
        <w:t>SA4</w:t>
      </w:r>
      <w:r w:rsidR="0043012E">
        <w:t>)</w:t>
      </w:r>
      <w:r w:rsidRPr="0085344E">
        <w:t xml:space="preserve"> regions were changed in Western Australia. Area 508 was divided into two</w:t>
      </w:r>
      <w:r w:rsidR="0007509F">
        <w:t> </w:t>
      </w:r>
      <w:r w:rsidRPr="0085344E">
        <w:t>areas</w:t>
      </w:r>
      <w:r>
        <w:t>:</w:t>
      </w:r>
      <w:r w:rsidRPr="0085344E">
        <w:t xml:space="preserve"> 510 and 511. However, ABS labour force data still reports at area 508. Areas 510 and 511 have been combined into Area 508 in the tables.</w:t>
      </w:r>
      <w:r w:rsidR="007511AF">
        <w:t xml:space="preserve"> </w:t>
      </w:r>
      <w:r w:rsidR="004A290E">
        <w:rPr>
          <w:szCs w:val="18"/>
        </w:rPr>
        <w:t>Table</w:t>
      </w:r>
      <w:r w:rsidR="004A290E" w:rsidRPr="004A290E">
        <w:rPr>
          <w:szCs w:val="18"/>
        </w:rPr>
        <w:t xml:space="preserve"> 11 shows JobKeeper coverage of unique individuals, who received JobKeeper in one or more fortnights in the first six months of the program, by SA4 region. Pre</w:t>
      </w:r>
      <w:r w:rsidR="0038520A">
        <w:rPr>
          <w:szCs w:val="18"/>
        </w:rPr>
        <w:noBreakHyphen/>
      </w:r>
      <w:r w:rsidR="004A290E" w:rsidRPr="004A290E">
        <w:rPr>
          <w:szCs w:val="18"/>
        </w:rPr>
        <w:t>COVID</w:t>
      </w:r>
      <w:r w:rsidR="0038520A">
        <w:rPr>
          <w:szCs w:val="18"/>
        </w:rPr>
        <w:noBreakHyphen/>
      </w:r>
      <w:r w:rsidR="004A290E" w:rsidRPr="004A290E">
        <w:rPr>
          <w:szCs w:val="18"/>
        </w:rPr>
        <w:t>19 employment is given by average employment in the year to February 2020. The employment number includes all employment categories and therefore includes some employees who were ineligible for JobKeeper e.g. public sector workers, casual employees not eligible for JobKeeper. The Australian Capital Territory SA4 is equal to the state total and has only been included once.</w:t>
      </w:r>
    </w:p>
    <w:p w14:paraId="4F3E8CEB" w14:textId="7DF93600" w:rsidR="007511AF" w:rsidRDefault="007511AF" w:rsidP="007511AF">
      <w:pPr>
        <w:pStyle w:val="FootnoteText"/>
        <w:ind w:left="0" w:firstLine="0"/>
        <w:jc w:val="both"/>
        <w:rPr>
          <w:sz w:val="18"/>
          <w:szCs w:val="18"/>
        </w:rPr>
      </w:pPr>
      <w:r w:rsidRPr="003C0ED5">
        <w:rPr>
          <w:sz w:val="18"/>
          <w:szCs w:val="18"/>
        </w:rPr>
        <w:t xml:space="preserve">Source: ATO administrative data on JobKeeper </w:t>
      </w:r>
      <w:r>
        <w:rPr>
          <w:sz w:val="18"/>
          <w:szCs w:val="18"/>
        </w:rPr>
        <w:t xml:space="preserve">unique </w:t>
      </w:r>
      <w:r w:rsidRPr="003C0ED5">
        <w:rPr>
          <w:sz w:val="18"/>
          <w:szCs w:val="18"/>
        </w:rPr>
        <w:t xml:space="preserve">individuals by postcode </w:t>
      </w:r>
      <w:r w:rsidR="000516D1">
        <w:rPr>
          <w:sz w:val="18"/>
          <w:szCs w:val="18"/>
        </w:rPr>
        <w:t xml:space="preserve">as at 9 February 2021, </w:t>
      </w:r>
      <w:r w:rsidRPr="003C0ED5">
        <w:rPr>
          <w:sz w:val="18"/>
          <w:szCs w:val="18"/>
        </w:rPr>
        <w:t>allocated to population weighted ABS SA4 regions; ABS Labour Force, Australia, Detailed, Monthly, June 2021 (Cat. No. 6291.0.55.003)</w:t>
      </w:r>
      <w:r>
        <w:rPr>
          <w:sz w:val="18"/>
          <w:szCs w:val="18"/>
        </w:rPr>
        <w:t>.</w:t>
      </w:r>
    </w:p>
    <w:p w14:paraId="66442C52" w14:textId="1E53BBA2" w:rsidR="0008058E" w:rsidRDefault="0008058E" w:rsidP="00B25A32">
      <w:pPr>
        <w:pStyle w:val="ChartorTableNote"/>
      </w:pPr>
    </w:p>
    <w:bookmarkEnd w:id="198"/>
    <w:p w14:paraId="3FBD2803" w14:textId="6531D063" w:rsidR="00FF2EA3" w:rsidRDefault="00FF2EA3" w:rsidP="00FF2EA3">
      <w:pPr>
        <w:pStyle w:val="EndnoteText"/>
        <w:rPr>
          <w:rFonts w:asciiTheme="minorHAnsi" w:hAnsiTheme="minorHAnsi" w:cstheme="minorHAnsi"/>
        </w:rPr>
      </w:pPr>
    </w:p>
    <w:p w14:paraId="399040D2" w14:textId="77777777" w:rsidR="0088581E" w:rsidRDefault="0088581E" w:rsidP="00B1363A">
      <w:pPr>
        <w:spacing w:after="200" w:line="276" w:lineRule="auto"/>
        <w:sectPr w:rsidR="0088581E" w:rsidSect="00B93F12">
          <w:pgSz w:w="11907" w:h="16840" w:code="9"/>
          <w:pgMar w:top="1418" w:right="1418" w:bottom="1418" w:left="1418" w:header="907" w:footer="737" w:gutter="0"/>
          <w:cols w:space="720"/>
          <w:titlePg/>
          <w:docGrid w:linePitch="360"/>
        </w:sectPr>
      </w:pPr>
    </w:p>
    <w:p w14:paraId="709F65D7" w14:textId="5698E4CF" w:rsidR="0088581E" w:rsidRDefault="0088581E" w:rsidP="0088581E">
      <w:pPr>
        <w:pStyle w:val="Heading1"/>
      </w:pPr>
      <w:bookmarkStart w:id="222" w:name="_Toc83215078"/>
      <w:bookmarkStart w:id="223" w:name="_Toc84842632"/>
      <w:r>
        <w:lastRenderedPageBreak/>
        <w:t xml:space="preserve">Appendix </w:t>
      </w:r>
      <w:r w:rsidR="007875FF">
        <w:t>2</w:t>
      </w:r>
      <w:r>
        <w:t>: Detailed data on JobKeeper recipients by turnover</w:t>
      </w:r>
      <w:bookmarkEnd w:id="222"/>
      <w:bookmarkEnd w:id="223"/>
    </w:p>
    <w:p w14:paraId="016DC05F" w14:textId="171E8FE8" w:rsidR="00ED0CBB" w:rsidRPr="00ED0CBB" w:rsidRDefault="00ED0CBB" w:rsidP="00ED0CBB">
      <w:r>
        <w:t xml:space="preserve">The tables in this appendix provide further details on the data presented in section 4. </w:t>
      </w:r>
    </w:p>
    <w:p w14:paraId="163033FE" w14:textId="49D49B6E" w:rsidR="0088581E" w:rsidRDefault="00662B60" w:rsidP="00F47CDD">
      <w:pPr>
        <w:pStyle w:val="TableMainHeading"/>
      </w:pPr>
      <w:bookmarkStart w:id="224" w:name="_Toc84842607"/>
      <w:bookmarkStart w:id="225" w:name="_Hlk83966774"/>
      <w:r>
        <w:t>J</w:t>
      </w:r>
      <w:r w:rsidR="0088581E">
        <w:t xml:space="preserve">obKeeper recipients by </w:t>
      </w:r>
      <w:r w:rsidR="00905363">
        <w:t xml:space="preserve">through-the-year </w:t>
      </w:r>
      <w:r w:rsidR="0088581E">
        <w:t xml:space="preserve">turnover </w:t>
      </w:r>
      <w:r w:rsidR="00EE3B19">
        <w:t>decline</w:t>
      </w:r>
      <w:r w:rsidR="0088581E">
        <w:t xml:space="preserve"> and size, June</w:t>
      </w:r>
      <w:r w:rsidR="006D1FD4">
        <w:t> </w:t>
      </w:r>
      <w:r w:rsidR="0088581E">
        <w:t>quarter</w:t>
      </w:r>
      <w:r w:rsidR="006D1FD4">
        <w:t> </w:t>
      </w:r>
      <w:r w:rsidR="0088581E">
        <w:t>2020</w:t>
      </w:r>
      <w:bookmarkEnd w:id="224"/>
    </w:p>
    <w:tbl>
      <w:tblPr>
        <w:tblStyle w:val="TableGrid"/>
        <w:tblW w:w="4999" w:type="pct"/>
        <w:tblLayout w:type="fixed"/>
        <w:tblLook w:val="04A0" w:firstRow="1" w:lastRow="0" w:firstColumn="1" w:lastColumn="0" w:noHBand="0" w:noVBand="1"/>
      </w:tblPr>
      <w:tblGrid>
        <w:gridCol w:w="1813"/>
        <w:gridCol w:w="907"/>
        <w:gridCol w:w="907"/>
        <w:gridCol w:w="907"/>
        <w:gridCol w:w="907"/>
        <w:gridCol w:w="907"/>
        <w:gridCol w:w="907"/>
        <w:gridCol w:w="907"/>
        <w:gridCol w:w="907"/>
      </w:tblGrid>
      <w:tr w:rsidR="008C19A6" w:rsidRPr="008C492F" w14:paraId="1DA65822" w14:textId="77777777" w:rsidTr="004E4564">
        <w:trPr>
          <w:trHeight w:val="616"/>
        </w:trPr>
        <w:tc>
          <w:tcPr>
            <w:tcW w:w="1813" w:type="dxa"/>
            <w:tcBorders>
              <w:top w:val="single" w:sz="4" w:space="0" w:color="3A6FAF"/>
              <w:left w:val="nil"/>
              <w:bottom w:val="single" w:sz="4" w:space="0" w:color="3A6FAF"/>
            </w:tcBorders>
            <w:shd w:val="clear" w:color="auto" w:fill="auto"/>
          </w:tcPr>
          <w:p w14:paraId="7D8BB9D1" w14:textId="77777777" w:rsidR="008C19A6" w:rsidRPr="008C492F" w:rsidRDefault="008C19A6" w:rsidP="00E6073C">
            <w:pPr>
              <w:spacing w:before="40" w:after="40"/>
              <w:jc w:val="center"/>
              <w:rPr>
                <w:b/>
                <w:color w:val="002C47"/>
                <w:highlight w:val="yellow"/>
              </w:rPr>
            </w:pPr>
          </w:p>
        </w:tc>
        <w:tc>
          <w:tcPr>
            <w:tcW w:w="1814" w:type="dxa"/>
            <w:gridSpan w:val="2"/>
            <w:tcBorders>
              <w:top w:val="single" w:sz="4" w:space="0" w:color="3A6FAF"/>
              <w:bottom w:val="single" w:sz="4" w:space="0" w:color="3A6FAF"/>
            </w:tcBorders>
            <w:shd w:val="clear" w:color="auto" w:fill="auto"/>
          </w:tcPr>
          <w:p w14:paraId="746492BD" w14:textId="77777777" w:rsidR="008C19A6" w:rsidRPr="008C492F" w:rsidRDefault="008C19A6" w:rsidP="00E6073C">
            <w:pPr>
              <w:spacing w:before="40" w:after="40"/>
              <w:jc w:val="center"/>
              <w:rPr>
                <w:b/>
                <w:bCs/>
                <w:color w:val="002C47"/>
              </w:rPr>
            </w:pPr>
            <w:r>
              <w:rPr>
                <w:b/>
                <w:bCs/>
                <w:color w:val="002C47"/>
              </w:rPr>
              <w:t>Totals</w:t>
            </w:r>
          </w:p>
        </w:tc>
        <w:tc>
          <w:tcPr>
            <w:tcW w:w="1814" w:type="dxa"/>
            <w:gridSpan w:val="2"/>
            <w:tcBorders>
              <w:top w:val="single" w:sz="4" w:space="0" w:color="3A6FAF"/>
              <w:bottom w:val="single" w:sz="4" w:space="0" w:color="3A6FAF"/>
            </w:tcBorders>
            <w:shd w:val="clear" w:color="auto" w:fill="auto"/>
          </w:tcPr>
          <w:p w14:paraId="515E5AC4" w14:textId="4C288FF6" w:rsidR="008C19A6" w:rsidRPr="008C492F" w:rsidRDefault="00D46C5E" w:rsidP="00E6073C">
            <w:pPr>
              <w:spacing w:before="40" w:after="40"/>
              <w:jc w:val="center"/>
              <w:rPr>
                <w:b/>
                <w:bCs/>
                <w:color w:val="002C47"/>
              </w:rPr>
            </w:pPr>
            <w:r>
              <w:rPr>
                <w:b/>
                <w:bCs/>
                <w:color w:val="002C47"/>
              </w:rPr>
              <w:t xml:space="preserve">Turnover decline </w:t>
            </w:r>
            <w:r w:rsidR="00213755">
              <w:rPr>
                <w:b/>
                <w:bCs/>
                <w:color w:val="002C47"/>
              </w:rPr>
              <w:t xml:space="preserve">  </w:t>
            </w:r>
            <w:r w:rsidR="00A817DC">
              <w:rPr>
                <w:b/>
                <w:bCs/>
                <w:color w:val="002C47"/>
              </w:rPr>
              <w:t xml:space="preserve">more than </w:t>
            </w:r>
            <w:r>
              <w:rPr>
                <w:b/>
                <w:bCs/>
                <w:color w:val="002C47"/>
              </w:rPr>
              <w:t>30%</w:t>
            </w:r>
            <w:r w:rsidR="00792CD0">
              <w:rPr>
                <w:b/>
                <w:bCs/>
                <w:color w:val="002C47"/>
              </w:rPr>
              <w:br/>
            </w:r>
            <w:r w:rsidR="00E66F97">
              <w:rPr>
                <w:b/>
                <w:bCs/>
                <w:color w:val="002C47"/>
              </w:rPr>
              <w:t>(or 50%)</w:t>
            </w:r>
          </w:p>
        </w:tc>
        <w:tc>
          <w:tcPr>
            <w:tcW w:w="1814" w:type="dxa"/>
            <w:gridSpan w:val="2"/>
            <w:tcBorders>
              <w:top w:val="single" w:sz="4" w:space="0" w:color="3A6FAF"/>
              <w:bottom w:val="single" w:sz="4" w:space="0" w:color="3A6FAF"/>
            </w:tcBorders>
            <w:shd w:val="clear" w:color="auto" w:fill="auto"/>
          </w:tcPr>
          <w:p w14:paraId="2BCCDFA8" w14:textId="6D11EDEC" w:rsidR="008C19A6" w:rsidRPr="008C492F" w:rsidRDefault="00213755" w:rsidP="00E6073C">
            <w:pPr>
              <w:spacing w:before="40" w:after="40"/>
              <w:jc w:val="center"/>
              <w:rPr>
                <w:b/>
                <w:bCs/>
                <w:color w:val="002C47"/>
              </w:rPr>
            </w:pPr>
            <w:r>
              <w:rPr>
                <w:b/>
                <w:bCs/>
                <w:color w:val="002C47"/>
              </w:rPr>
              <w:t xml:space="preserve">Turnover decline   </w:t>
            </w:r>
            <w:r w:rsidR="00CA3FA1">
              <w:rPr>
                <w:b/>
                <w:bCs/>
                <w:color w:val="002C47"/>
              </w:rPr>
              <w:t xml:space="preserve">between </w:t>
            </w:r>
            <w:r>
              <w:rPr>
                <w:b/>
                <w:bCs/>
                <w:color w:val="002C47"/>
              </w:rPr>
              <w:t xml:space="preserve">0 </w:t>
            </w:r>
            <w:r w:rsidR="00892C85">
              <w:rPr>
                <w:b/>
                <w:bCs/>
                <w:color w:val="002C47"/>
              </w:rPr>
              <w:t>–</w:t>
            </w:r>
            <w:r w:rsidRPr="008C492F">
              <w:rPr>
                <w:b/>
                <w:bCs/>
                <w:color w:val="002C47"/>
              </w:rPr>
              <w:t xml:space="preserve"> </w:t>
            </w:r>
            <w:r w:rsidR="0077389C">
              <w:rPr>
                <w:b/>
                <w:bCs/>
                <w:color w:val="002C47"/>
              </w:rPr>
              <w:t>30%</w:t>
            </w:r>
            <w:r w:rsidR="00E66F97">
              <w:rPr>
                <w:b/>
                <w:bCs/>
                <w:color w:val="002C47"/>
              </w:rPr>
              <w:t xml:space="preserve"> (or 50%)</w:t>
            </w:r>
          </w:p>
        </w:tc>
        <w:tc>
          <w:tcPr>
            <w:tcW w:w="1814" w:type="dxa"/>
            <w:gridSpan w:val="2"/>
            <w:tcBorders>
              <w:top w:val="single" w:sz="4" w:space="0" w:color="3A6FAF"/>
              <w:bottom w:val="single" w:sz="4" w:space="0" w:color="3A6FAF"/>
            </w:tcBorders>
            <w:shd w:val="clear" w:color="auto" w:fill="auto"/>
          </w:tcPr>
          <w:p w14:paraId="6DACEA53" w14:textId="5A1B7843" w:rsidR="008C19A6" w:rsidRPr="008C492F" w:rsidRDefault="00213755" w:rsidP="00E6073C">
            <w:pPr>
              <w:spacing w:before="40" w:after="40"/>
              <w:jc w:val="center"/>
              <w:rPr>
                <w:b/>
                <w:bCs/>
                <w:color w:val="002C47"/>
              </w:rPr>
            </w:pPr>
            <w:r>
              <w:rPr>
                <w:b/>
                <w:bCs/>
                <w:color w:val="002C47"/>
              </w:rPr>
              <w:t>T</w:t>
            </w:r>
            <w:r w:rsidR="008C19A6" w:rsidRPr="008C492F">
              <w:rPr>
                <w:b/>
                <w:bCs/>
                <w:color w:val="002C47"/>
              </w:rPr>
              <w:t>urnover</w:t>
            </w:r>
            <w:r>
              <w:rPr>
                <w:b/>
                <w:bCs/>
                <w:color w:val="002C47"/>
              </w:rPr>
              <w:t xml:space="preserve"> increase</w:t>
            </w:r>
          </w:p>
        </w:tc>
      </w:tr>
      <w:tr w:rsidR="008C19A6" w:rsidRPr="008C492F" w14:paraId="0324AF7E" w14:textId="77777777" w:rsidTr="004E4564">
        <w:trPr>
          <w:trHeight w:val="616"/>
        </w:trPr>
        <w:tc>
          <w:tcPr>
            <w:tcW w:w="1813" w:type="dxa"/>
            <w:tcBorders>
              <w:left w:val="nil"/>
              <w:bottom w:val="single" w:sz="4" w:space="0" w:color="3A6FAF"/>
            </w:tcBorders>
            <w:shd w:val="clear" w:color="auto" w:fill="auto"/>
          </w:tcPr>
          <w:p w14:paraId="118FCC13" w14:textId="77777777" w:rsidR="008C19A6" w:rsidRPr="008C492F" w:rsidRDefault="008C19A6" w:rsidP="00E6073C">
            <w:pPr>
              <w:spacing w:before="40" w:after="40"/>
              <w:jc w:val="center"/>
              <w:rPr>
                <w:b/>
                <w:color w:val="002C47"/>
                <w:highlight w:val="yellow"/>
              </w:rPr>
            </w:pPr>
          </w:p>
        </w:tc>
        <w:tc>
          <w:tcPr>
            <w:tcW w:w="907" w:type="dxa"/>
            <w:tcBorders>
              <w:bottom w:val="single" w:sz="4" w:space="0" w:color="3A6FAF"/>
            </w:tcBorders>
            <w:shd w:val="clear" w:color="auto" w:fill="auto"/>
          </w:tcPr>
          <w:p w14:paraId="54949F76" w14:textId="4833B445" w:rsidR="008C19A6" w:rsidRPr="008C492F" w:rsidRDefault="008C19A6" w:rsidP="00E6073C">
            <w:pPr>
              <w:spacing w:before="40" w:after="40"/>
              <w:jc w:val="center"/>
              <w:rPr>
                <w:b/>
                <w:bCs/>
                <w:color w:val="002C47"/>
              </w:rPr>
            </w:pPr>
            <w:r w:rsidRPr="008C492F">
              <w:rPr>
                <w:b/>
                <w:bCs/>
                <w:color w:val="002C47"/>
              </w:rPr>
              <w:t>Entities (</w:t>
            </w:r>
            <w:r w:rsidR="0038520A">
              <w:rPr>
                <w:b/>
                <w:bCs/>
                <w:color w:val="002C47"/>
              </w:rPr>
              <w:t>‘</w:t>
            </w:r>
            <w:r w:rsidRPr="008C492F">
              <w:rPr>
                <w:b/>
                <w:bCs/>
                <w:color w:val="002C47"/>
              </w:rPr>
              <w:t>000s)</w:t>
            </w:r>
          </w:p>
        </w:tc>
        <w:tc>
          <w:tcPr>
            <w:tcW w:w="907" w:type="dxa"/>
            <w:tcBorders>
              <w:bottom w:val="single" w:sz="4" w:space="0" w:color="3A6FAF"/>
            </w:tcBorders>
            <w:shd w:val="clear" w:color="auto" w:fill="auto"/>
          </w:tcPr>
          <w:p w14:paraId="64B6524C" w14:textId="77777777" w:rsidR="008C19A6" w:rsidRPr="008C492F" w:rsidRDefault="008C19A6" w:rsidP="00E6073C">
            <w:pPr>
              <w:spacing w:before="40" w:after="40"/>
              <w:jc w:val="center"/>
              <w:rPr>
                <w:b/>
                <w:bCs/>
                <w:color w:val="002C47"/>
              </w:rPr>
            </w:pPr>
            <w:r w:rsidRPr="008C492F">
              <w:rPr>
                <w:b/>
                <w:bCs/>
                <w:color w:val="002C47"/>
              </w:rPr>
              <w:t>Disbursements ($m)</w:t>
            </w:r>
          </w:p>
        </w:tc>
        <w:tc>
          <w:tcPr>
            <w:tcW w:w="907" w:type="dxa"/>
            <w:tcBorders>
              <w:bottom w:val="single" w:sz="4" w:space="0" w:color="3A6FAF"/>
            </w:tcBorders>
            <w:shd w:val="clear" w:color="auto" w:fill="auto"/>
          </w:tcPr>
          <w:p w14:paraId="4180250C" w14:textId="77777777" w:rsidR="008C19A6" w:rsidRPr="008C492F" w:rsidRDefault="008C19A6" w:rsidP="00E6073C">
            <w:pPr>
              <w:spacing w:before="40" w:after="40"/>
              <w:jc w:val="center"/>
              <w:rPr>
                <w:b/>
                <w:bCs/>
                <w:color w:val="002C47"/>
              </w:rPr>
            </w:pPr>
            <w:r w:rsidRPr="008C492F">
              <w:rPr>
                <w:b/>
                <w:bCs/>
                <w:color w:val="002C47"/>
              </w:rPr>
              <w:t>Share of entities (%)</w:t>
            </w:r>
          </w:p>
        </w:tc>
        <w:tc>
          <w:tcPr>
            <w:tcW w:w="907" w:type="dxa"/>
            <w:tcBorders>
              <w:bottom w:val="single" w:sz="4" w:space="0" w:color="3A6FAF"/>
            </w:tcBorders>
            <w:shd w:val="clear" w:color="auto" w:fill="auto"/>
          </w:tcPr>
          <w:p w14:paraId="6C1A055D" w14:textId="5D5136DD" w:rsidR="008C19A6" w:rsidRPr="008C492F" w:rsidRDefault="008C19A6" w:rsidP="00E6073C">
            <w:pPr>
              <w:spacing w:before="40" w:after="40"/>
              <w:jc w:val="center"/>
              <w:rPr>
                <w:b/>
                <w:bCs/>
                <w:color w:val="002C47"/>
              </w:rPr>
            </w:pPr>
            <w:r w:rsidRPr="008C492F">
              <w:rPr>
                <w:b/>
                <w:bCs/>
                <w:color w:val="002C47"/>
              </w:rPr>
              <w:t>Share of disbursements (%)</w:t>
            </w:r>
          </w:p>
        </w:tc>
        <w:tc>
          <w:tcPr>
            <w:tcW w:w="907" w:type="dxa"/>
            <w:tcBorders>
              <w:bottom w:val="single" w:sz="4" w:space="0" w:color="3A6FAF"/>
            </w:tcBorders>
            <w:shd w:val="clear" w:color="auto" w:fill="auto"/>
          </w:tcPr>
          <w:p w14:paraId="3D4CAFFB" w14:textId="77777777" w:rsidR="008C19A6" w:rsidRPr="008C492F" w:rsidRDefault="008C19A6" w:rsidP="00E6073C">
            <w:pPr>
              <w:spacing w:before="40" w:after="40"/>
              <w:jc w:val="center"/>
              <w:rPr>
                <w:b/>
                <w:bCs/>
                <w:color w:val="002C47"/>
              </w:rPr>
            </w:pPr>
            <w:r w:rsidRPr="008C492F">
              <w:rPr>
                <w:b/>
                <w:bCs/>
                <w:color w:val="002C47"/>
              </w:rPr>
              <w:t>Share of entities (%)</w:t>
            </w:r>
          </w:p>
        </w:tc>
        <w:tc>
          <w:tcPr>
            <w:tcW w:w="907" w:type="dxa"/>
            <w:tcBorders>
              <w:bottom w:val="single" w:sz="4" w:space="0" w:color="3A6FAF"/>
            </w:tcBorders>
            <w:shd w:val="clear" w:color="auto" w:fill="auto"/>
          </w:tcPr>
          <w:p w14:paraId="4207F8F0" w14:textId="0FB29621" w:rsidR="008C19A6" w:rsidRPr="008C492F" w:rsidRDefault="008C19A6" w:rsidP="00E6073C">
            <w:pPr>
              <w:spacing w:before="40" w:after="40"/>
              <w:jc w:val="center"/>
              <w:rPr>
                <w:b/>
                <w:bCs/>
                <w:color w:val="002C47"/>
              </w:rPr>
            </w:pPr>
            <w:r w:rsidRPr="008C492F">
              <w:rPr>
                <w:b/>
                <w:bCs/>
                <w:color w:val="002C47"/>
              </w:rPr>
              <w:t>Share of disbursements (%)</w:t>
            </w:r>
          </w:p>
        </w:tc>
        <w:tc>
          <w:tcPr>
            <w:tcW w:w="907" w:type="dxa"/>
            <w:tcBorders>
              <w:bottom w:val="single" w:sz="4" w:space="0" w:color="3A6FAF"/>
            </w:tcBorders>
            <w:shd w:val="clear" w:color="auto" w:fill="auto"/>
          </w:tcPr>
          <w:p w14:paraId="46E5F756" w14:textId="77777777" w:rsidR="008C19A6" w:rsidRPr="008C492F" w:rsidRDefault="008C19A6" w:rsidP="00E6073C">
            <w:pPr>
              <w:spacing w:before="40" w:after="40"/>
              <w:jc w:val="center"/>
              <w:rPr>
                <w:b/>
                <w:bCs/>
                <w:color w:val="002C47"/>
              </w:rPr>
            </w:pPr>
            <w:r w:rsidRPr="008C492F">
              <w:rPr>
                <w:b/>
                <w:bCs/>
                <w:color w:val="002C47"/>
              </w:rPr>
              <w:t>Share of entities (%)</w:t>
            </w:r>
          </w:p>
        </w:tc>
        <w:tc>
          <w:tcPr>
            <w:tcW w:w="907" w:type="dxa"/>
            <w:tcBorders>
              <w:bottom w:val="single" w:sz="4" w:space="0" w:color="3A6FAF"/>
              <w:right w:val="nil"/>
            </w:tcBorders>
            <w:shd w:val="clear" w:color="auto" w:fill="auto"/>
          </w:tcPr>
          <w:p w14:paraId="7F4E8A83" w14:textId="51361B4C" w:rsidR="008C19A6" w:rsidRPr="008C492F" w:rsidRDefault="008C19A6" w:rsidP="00E6073C">
            <w:pPr>
              <w:spacing w:before="40" w:after="40"/>
              <w:jc w:val="center"/>
              <w:rPr>
                <w:b/>
                <w:bCs/>
                <w:color w:val="002C47"/>
              </w:rPr>
            </w:pPr>
            <w:r w:rsidRPr="008C492F">
              <w:rPr>
                <w:b/>
                <w:bCs/>
                <w:color w:val="002C47"/>
              </w:rPr>
              <w:t>Share of disbursements (%)</w:t>
            </w:r>
          </w:p>
        </w:tc>
      </w:tr>
      <w:tr w:rsidR="008C19A6" w:rsidRPr="008C492F" w14:paraId="601D2AEB" w14:textId="77777777" w:rsidTr="004E4564">
        <w:trPr>
          <w:trHeight w:val="308"/>
        </w:trPr>
        <w:tc>
          <w:tcPr>
            <w:tcW w:w="1813" w:type="dxa"/>
            <w:tcBorders>
              <w:top w:val="single" w:sz="4" w:space="0" w:color="3A6FAF"/>
              <w:left w:val="nil"/>
              <w:bottom w:val="single" w:sz="4" w:space="0" w:color="3A6FAF"/>
            </w:tcBorders>
            <w:shd w:val="clear" w:color="auto" w:fill="auto"/>
            <w:vAlign w:val="bottom"/>
          </w:tcPr>
          <w:p w14:paraId="316D1777" w14:textId="77777777" w:rsidR="008C19A6" w:rsidRPr="008C492F" w:rsidRDefault="008C19A6" w:rsidP="00E6073C">
            <w:pPr>
              <w:spacing w:before="40" w:after="40"/>
              <w:rPr>
                <w:rFonts w:cs="Calibri"/>
                <w:b/>
                <w:color w:val="000000"/>
                <w:sz w:val="18"/>
                <w:szCs w:val="18"/>
              </w:rPr>
            </w:pPr>
            <w:r w:rsidRPr="008C492F">
              <w:rPr>
                <w:rFonts w:cs="Calibri"/>
                <w:b/>
                <w:color w:val="000000"/>
                <w:sz w:val="18"/>
                <w:szCs w:val="18"/>
              </w:rPr>
              <w:t>Total</w:t>
            </w:r>
          </w:p>
        </w:tc>
        <w:tc>
          <w:tcPr>
            <w:tcW w:w="907" w:type="dxa"/>
            <w:tcBorders>
              <w:top w:val="single" w:sz="4" w:space="0" w:color="3A6FAF"/>
              <w:bottom w:val="single" w:sz="4" w:space="0" w:color="3A6FAF"/>
            </w:tcBorders>
            <w:shd w:val="clear" w:color="auto" w:fill="auto"/>
          </w:tcPr>
          <w:p w14:paraId="412A0DE5" w14:textId="77777777" w:rsidR="008C19A6" w:rsidRPr="008C492F" w:rsidRDefault="008C19A6" w:rsidP="00E6073C">
            <w:pPr>
              <w:spacing w:before="40" w:after="40"/>
              <w:jc w:val="center"/>
              <w:rPr>
                <w:sz w:val="18"/>
              </w:rPr>
            </w:pPr>
            <w:r w:rsidRPr="008C492F">
              <w:rPr>
                <w:sz w:val="18"/>
              </w:rPr>
              <w:t xml:space="preserve"> 606.6 </w:t>
            </w:r>
          </w:p>
        </w:tc>
        <w:tc>
          <w:tcPr>
            <w:tcW w:w="907" w:type="dxa"/>
            <w:tcBorders>
              <w:top w:val="single" w:sz="4" w:space="0" w:color="3A6FAF"/>
              <w:bottom w:val="single" w:sz="4" w:space="0" w:color="3A6FAF"/>
            </w:tcBorders>
            <w:shd w:val="clear" w:color="auto" w:fill="auto"/>
          </w:tcPr>
          <w:p w14:paraId="0563D69F" w14:textId="77777777" w:rsidR="008C19A6" w:rsidRPr="008C492F" w:rsidRDefault="008C19A6" w:rsidP="00E6073C">
            <w:pPr>
              <w:spacing w:before="40" w:after="40"/>
              <w:jc w:val="center"/>
              <w:rPr>
                <w:sz w:val="18"/>
              </w:rPr>
            </w:pPr>
            <w:r w:rsidRPr="008C492F">
              <w:rPr>
                <w:sz w:val="18"/>
              </w:rPr>
              <w:t xml:space="preserve"> 20,887.1 </w:t>
            </w:r>
          </w:p>
        </w:tc>
        <w:tc>
          <w:tcPr>
            <w:tcW w:w="907" w:type="dxa"/>
            <w:tcBorders>
              <w:top w:val="single" w:sz="4" w:space="0" w:color="3A6FAF"/>
              <w:bottom w:val="single" w:sz="4" w:space="0" w:color="3A6FAF"/>
            </w:tcBorders>
            <w:shd w:val="clear" w:color="auto" w:fill="auto"/>
          </w:tcPr>
          <w:p w14:paraId="622D4FBA" w14:textId="77777777" w:rsidR="008C19A6" w:rsidRPr="008C492F" w:rsidRDefault="008C19A6" w:rsidP="00E6073C">
            <w:pPr>
              <w:spacing w:before="40" w:after="40"/>
              <w:jc w:val="center"/>
              <w:rPr>
                <w:sz w:val="18"/>
              </w:rPr>
            </w:pPr>
            <w:r w:rsidRPr="008C492F">
              <w:rPr>
                <w:sz w:val="18"/>
              </w:rPr>
              <w:t xml:space="preserve"> 48 </w:t>
            </w:r>
          </w:p>
        </w:tc>
        <w:tc>
          <w:tcPr>
            <w:tcW w:w="907" w:type="dxa"/>
            <w:tcBorders>
              <w:top w:val="single" w:sz="4" w:space="0" w:color="3A6FAF"/>
              <w:bottom w:val="single" w:sz="4" w:space="0" w:color="3A6FAF"/>
            </w:tcBorders>
            <w:shd w:val="clear" w:color="auto" w:fill="auto"/>
          </w:tcPr>
          <w:p w14:paraId="7F5874B9" w14:textId="77777777" w:rsidR="008C19A6" w:rsidRPr="008C492F" w:rsidRDefault="008C19A6" w:rsidP="00E6073C">
            <w:pPr>
              <w:spacing w:before="40" w:after="40"/>
              <w:jc w:val="center"/>
              <w:rPr>
                <w:sz w:val="18"/>
              </w:rPr>
            </w:pPr>
            <w:r w:rsidRPr="008C492F">
              <w:rPr>
                <w:sz w:val="18"/>
              </w:rPr>
              <w:t xml:space="preserve"> 46 </w:t>
            </w:r>
          </w:p>
        </w:tc>
        <w:tc>
          <w:tcPr>
            <w:tcW w:w="907" w:type="dxa"/>
            <w:tcBorders>
              <w:top w:val="single" w:sz="4" w:space="0" w:color="3A6FAF"/>
              <w:bottom w:val="single" w:sz="4" w:space="0" w:color="3A6FAF"/>
            </w:tcBorders>
            <w:shd w:val="clear" w:color="auto" w:fill="auto"/>
          </w:tcPr>
          <w:p w14:paraId="7F82DB75" w14:textId="77777777" w:rsidR="008C19A6" w:rsidRPr="008C492F" w:rsidRDefault="008C19A6" w:rsidP="00E6073C">
            <w:pPr>
              <w:spacing w:before="40" w:after="40"/>
              <w:jc w:val="center"/>
              <w:rPr>
                <w:sz w:val="18"/>
              </w:rPr>
            </w:pPr>
            <w:r w:rsidRPr="008C492F">
              <w:rPr>
                <w:sz w:val="18"/>
              </w:rPr>
              <w:t xml:space="preserve"> 25 </w:t>
            </w:r>
          </w:p>
        </w:tc>
        <w:tc>
          <w:tcPr>
            <w:tcW w:w="907" w:type="dxa"/>
            <w:tcBorders>
              <w:top w:val="single" w:sz="4" w:space="0" w:color="3A6FAF"/>
              <w:bottom w:val="single" w:sz="4" w:space="0" w:color="3A6FAF"/>
            </w:tcBorders>
            <w:shd w:val="clear" w:color="auto" w:fill="auto"/>
          </w:tcPr>
          <w:p w14:paraId="5A2A1A41" w14:textId="77777777" w:rsidR="008C19A6" w:rsidRPr="008C492F" w:rsidRDefault="008C19A6" w:rsidP="00E6073C">
            <w:pPr>
              <w:spacing w:before="40" w:after="40"/>
              <w:jc w:val="center"/>
              <w:rPr>
                <w:sz w:val="18"/>
              </w:rPr>
            </w:pPr>
            <w:r w:rsidRPr="008C492F">
              <w:rPr>
                <w:sz w:val="18"/>
              </w:rPr>
              <w:t xml:space="preserve"> 33 </w:t>
            </w:r>
          </w:p>
        </w:tc>
        <w:tc>
          <w:tcPr>
            <w:tcW w:w="907" w:type="dxa"/>
            <w:tcBorders>
              <w:top w:val="single" w:sz="4" w:space="0" w:color="3A6FAF"/>
              <w:bottom w:val="single" w:sz="4" w:space="0" w:color="3A6FAF"/>
            </w:tcBorders>
            <w:shd w:val="clear" w:color="auto" w:fill="auto"/>
          </w:tcPr>
          <w:p w14:paraId="1C3E081B" w14:textId="77777777" w:rsidR="008C19A6" w:rsidRPr="008C492F" w:rsidRDefault="008C19A6" w:rsidP="00E6073C">
            <w:pPr>
              <w:spacing w:before="40" w:after="40"/>
              <w:jc w:val="center"/>
              <w:rPr>
                <w:sz w:val="18"/>
              </w:rPr>
            </w:pPr>
            <w:r w:rsidRPr="008C492F">
              <w:rPr>
                <w:sz w:val="18"/>
              </w:rPr>
              <w:t xml:space="preserve"> 27 </w:t>
            </w:r>
          </w:p>
        </w:tc>
        <w:tc>
          <w:tcPr>
            <w:tcW w:w="907" w:type="dxa"/>
            <w:tcBorders>
              <w:top w:val="single" w:sz="4" w:space="0" w:color="3A6FAF"/>
              <w:bottom w:val="single" w:sz="4" w:space="0" w:color="3A6FAF"/>
              <w:right w:val="nil"/>
            </w:tcBorders>
            <w:shd w:val="clear" w:color="auto" w:fill="auto"/>
          </w:tcPr>
          <w:p w14:paraId="12C9BB25" w14:textId="77777777" w:rsidR="008C19A6" w:rsidRPr="008C492F" w:rsidRDefault="008C19A6" w:rsidP="00E6073C">
            <w:pPr>
              <w:spacing w:before="40" w:after="40"/>
              <w:jc w:val="center"/>
              <w:rPr>
                <w:sz w:val="18"/>
              </w:rPr>
            </w:pPr>
            <w:r w:rsidRPr="008C492F">
              <w:rPr>
                <w:sz w:val="18"/>
              </w:rPr>
              <w:t xml:space="preserve"> 22 </w:t>
            </w:r>
          </w:p>
        </w:tc>
      </w:tr>
      <w:tr w:rsidR="008C19A6" w:rsidRPr="008C492F" w14:paraId="1BB348FB" w14:textId="77777777" w:rsidTr="004E4564">
        <w:trPr>
          <w:trHeight w:val="291"/>
        </w:trPr>
        <w:tc>
          <w:tcPr>
            <w:tcW w:w="1813" w:type="dxa"/>
            <w:tcBorders>
              <w:top w:val="single" w:sz="4" w:space="0" w:color="3A6FAF"/>
              <w:left w:val="nil"/>
              <w:bottom w:val="nil"/>
            </w:tcBorders>
            <w:shd w:val="clear" w:color="auto" w:fill="auto"/>
            <w:vAlign w:val="bottom"/>
          </w:tcPr>
          <w:p w14:paraId="5A046737" w14:textId="77777777" w:rsidR="008C19A6" w:rsidRPr="008C492F" w:rsidRDefault="008C19A6" w:rsidP="00E6073C">
            <w:pPr>
              <w:spacing w:before="40" w:after="40"/>
              <w:rPr>
                <w:rFonts w:cs="Calibri"/>
                <w:color w:val="000000"/>
                <w:sz w:val="18"/>
                <w:szCs w:val="18"/>
              </w:rPr>
            </w:pPr>
            <w:r w:rsidRPr="008C492F">
              <w:rPr>
                <w:rFonts w:cs="Calibri"/>
                <w:color w:val="000000"/>
                <w:sz w:val="18"/>
                <w:szCs w:val="18"/>
              </w:rPr>
              <w:t>Below $2m</w:t>
            </w:r>
          </w:p>
        </w:tc>
        <w:tc>
          <w:tcPr>
            <w:tcW w:w="907" w:type="dxa"/>
            <w:tcBorders>
              <w:top w:val="single" w:sz="4" w:space="0" w:color="3A6FAF"/>
              <w:bottom w:val="nil"/>
            </w:tcBorders>
            <w:shd w:val="clear" w:color="auto" w:fill="auto"/>
          </w:tcPr>
          <w:p w14:paraId="75F88DC2" w14:textId="77777777" w:rsidR="008C19A6" w:rsidRPr="008C492F" w:rsidRDefault="008C19A6" w:rsidP="00E6073C">
            <w:pPr>
              <w:spacing w:before="40" w:after="40"/>
              <w:jc w:val="center"/>
              <w:rPr>
                <w:sz w:val="18"/>
              </w:rPr>
            </w:pPr>
            <w:r w:rsidRPr="008C492F">
              <w:rPr>
                <w:sz w:val="18"/>
              </w:rPr>
              <w:t xml:space="preserve"> 534.5 </w:t>
            </w:r>
          </w:p>
        </w:tc>
        <w:tc>
          <w:tcPr>
            <w:tcW w:w="907" w:type="dxa"/>
            <w:tcBorders>
              <w:top w:val="single" w:sz="4" w:space="0" w:color="3A6FAF"/>
              <w:bottom w:val="nil"/>
            </w:tcBorders>
            <w:shd w:val="clear" w:color="auto" w:fill="auto"/>
          </w:tcPr>
          <w:p w14:paraId="5B633114" w14:textId="77777777" w:rsidR="008C19A6" w:rsidRPr="008C492F" w:rsidRDefault="008C19A6" w:rsidP="00E6073C">
            <w:pPr>
              <w:spacing w:before="40" w:after="40"/>
              <w:jc w:val="center"/>
              <w:rPr>
                <w:sz w:val="18"/>
              </w:rPr>
            </w:pPr>
            <w:r w:rsidRPr="008C492F">
              <w:rPr>
                <w:sz w:val="18"/>
              </w:rPr>
              <w:t xml:space="preserve"> 9,663.5 </w:t>
            </w:r>
          </w:p>
        </w:tc>
        <w:tc>
          <w:tcPr>
            <w:tcW w:w="907" w:type="dxa"/>
            <w:tcBorders>
              <w:top w:val="single" w:sz="4" w:space="0" w:color="3A6FAF"/>
              <w:bottom w:val="nil"/>
            </w:tcBorders>
            <w:shd w:val="clear" w:color="auto" w:fill="auto"/>
          </w:tcPr>
          <w:p w14:paraId="075EB1CC" w14:textId="77777777" w:rsidR="008C19A6" w:rsidRPr="008C492F" w:rsidRDefault="008C19A6" w:rsidP="00E6073C">
            <w:pPr>
              <w:spacing w:before="40" w:after="40"/>
              <w:jc w:val="center"/>
              <w:rPr>
                <w:sz w:val="18"/>
              </w:rPr>
            </w:pPr>
            <w:r w:rsidRPr="008C492F">
              <w:rPr>
                <w:sz w:val="18"/>
              </w:rPr>
              <w:t xml:space="preserve"> 49 </w:t>
            </w:r>
          </w:p>
        </w:tc>
        <w:tc>
          <w:tcPr>
            <w:tcW w:w="907" w:type="dxa"/>
            <w:tcBorders>
              <w:top w:val="single" w:sz="4" w:space="0" w:color="3A6FAF"/>
              <w:bottom w:val="nil"/>
            </w:tcBorders>
            <w:shd w:val="clear" w:color="auto" w:fill="auto"/>
          </w:tcPr>
          <w:p w14:paraId="56D7974E" w14:textId="77777777" w:rsidR="008C19A6" w:rsidRPr="008C492F" w:rsidRDefault="008C19A6" w:rsidP="00E6073C">
            <w:pPr>
              <w:spacing w:before="40" w:after="40"/>
              <w:jc w:val="center"/>
              <w:rPr>
                <w:sz w:val="18"/>
              </w:rPr>
            </w:pPr>
            <w:r w:rsidRPr="008C492F">
              <w:rPr>
                <w:sz w:val="18"/>
              </w:rPr>
              <w:t xml:space="preserve"> 47 </w:t>
            </w:r>
          </w:p>
        </w:tc>
        <w:tc>
          <w:tcPr>
            <w:tcW w:w="907" w:type="dxa"/>
            <w:tcBorders>
              <w:top w:val="single" w:sz="4" w:space="0" w:color="3A6FAF"/>
              <w:bottom w:val="nil"/>
            </w:tcBorders>
            <w:shd w:val="clear" w:color="auto" w:fill="auto"/>
          </w:tcPr>
          <w:p w14:paraId="27D46E05" w14:textId="77777777" w:rsidR="008C19A6" w:rsidRPr="008C492F" w:rsidRDefault="008C19A6" w:rsidP="00E6073C">
            <w:pPr>
              <w:spacing w:before="40" w:after="40"/>
              <w:jc w:val="center"/>
              <w:rPr>
                <w:sz w:val="18"/>
              </w:rPr>
            </w:pPr>
            <w:r w:rsidRPr="008C492F">
              <w:rPr>
                <w:sz w:val="18"/>
              </w:rPr>
              <w:t xml:space="preserve"> 24 </w:t>
            </w:r>
          </w:p>
        </w:tc>
        <w:tc>
          <w:tcPr>
            <w:tcW w:w="907" w:type="dxa"/>
            <w:tcBorders>
              <w:top w:val="single" w:sz="4" w:space="0" w:color="3A6FAF"/>
              <w:bottom w:val="nil"/>
            </w:tcBorders>
            <w:shd w:val="clear" w:color="auto" w:fill="auto"/>
          </w:tcPr>
          <w:p w14:paraId="1B8D71C3" w14:textId="77777777" w:rsidR="008C19A6" w:rsidRPr="008C492F" w:rsidRDefault="008C19A6" w:rsidP="00E6073C">
            <w:pPr>
              <w:spacing w:before="40" w:after="40"/>
              <w:jc w:val="center"/>
              <w:rPr>
                <w:sz w:val="18"/>
              </w:rPr>
            </w:pPr>
            <w:r w:rsidRPr="008C492F">
              <w:rPr>
                <w:sz w:val="18"/>
              </w:rPr>
              <w:t xml:space="preserve"> 28 </w:t>
            </w:r>
          </w:p>
        </w:tc>
        <w:tc>
          <w:tcPr>
            <w:tcW w:w="907" w:type="dxa"/>
            <w:tcBorders>
              <w:top w:val="single" w:sz="4" w:space="0" w:color="3A6FAF"/>
              <w:bottom w:val="nil"/>
            </w:tcBorders>
            <w:shd w:val="clear" w:color="auto" w:fill="auto"/>
          </w:tcPr>
          <w:p w14:paraId="1C52054E" w14:textId="77777777" w:rsidR="008C19A6" w:rsidRPr="008C492F" w:rsidRDefault="008C19A6" w:rsidP="00E6073C">
            <w:pPr>
              <w:spacing w:before="40" w:after="40"/>
              <w:jc w:val="center"/>
              <w:rPr>
                <w:sz w:val="18"/>
              </w:rPr>
            </w:pPr>
            <w:r w:rsidRPr="008C492F">
              <w:rPr>
                <w:sz w:val="18"/>
              </w:rPr>
              <w:t xml:space="preserve"> 27 </w:t>
            </w:r>
          </w:p>
        </w:tc>
        <w:tc>
          <w:tcPr>
            <w:tcW w:w="907" w:type="dxa"/>
            <w:tcBorders>
              <w:top w:val="single" w:sz="4" w:space="0" w:color="3A6FAF"/>
              <w:bottom w:val="nil"/>
              <w:right w:val="nil"/>
            </w:tcBorders>
            <w:shd w:val="clear" w:color="auto" w:fill="auto"/>
          </w:tcPr>
          <w:p w14:paraId="11A25569" w14:textId="77777777" w:rsidR="008C19A6" w:rsidRPr="008C492F" w:rsidRDefault="008C19A6" w:rsidP="00E6073C">
            <w:pPr>
              <w:spacing w:before="40" w:after="40"/>
              <w:jc w:val="center"/>
              <w:rPr>
                <w:sz w:val="18"/>
              </w:rPr>
            </w:pPr>
            <w:r w:rsidRPr="008C492F">
              <w:rPr>
                <w:sz w:val="18"/>
              </w:rPr>
              <w:t xml:space="preserve"> 25 </w:t>
            </w:r>
          </w:p>
        </w:tc>
      </w:tr>
      <w:tr w:rsidR="008C19A6" w:rsidRPr="008C492F" w14:paraId="57A8D26C" w14:textId="77777777" w:rsidTr="004E4564">
        <w:trPr>
          <w:trHeight w:val="308"/>
        </w:trPr>
        <w:tc>
          <w:tcPr>
            <w:tcW w:w="1813" w:type="dxa"/>
            <w:tcBorders>
              <w:top w:val="nil"/>
              <w:left w:val="nil"/>
              <w:bottom w:val="nil"/>
            </w:tcBorders>
            <w:shd w:val="clear" w:color="auto" w:fill="auto"/>
            <w:vAlign w:val="bottom"/>
          </w:tcPr>
          <w:p w14:paraId="480382A0" w14:textId="19D6FD77" w:rsidR="008C19A6" w:rsidRPr="008C492F" w:rsidRDefault="008C19A6" w:rsidP="00E6073C">
            <w:pPr>
              <w:spacing w:before="40" w:after="40"/>
              <w:rPr>
                <w:rFonts w:cs="Calibri"/>
                <w:color w:val="000000"/>
                <w:sz w:val="18"/>
                <w:szCs w:val="18"/>
              </w:rPr>
            </w:pPr>
            <w:r w:rsidRPr="008C492F">
              <w:rPr>
                <w:rFonts w:cs="Calibri"/>
                <w:color w:val="000000"/>
                <w:sz w:val="18"/>
                <w:szCs w:val="18"/>
              </w:rPr>
              <w:t>$2m</w:t>
            </w:r>
            <w:r w:rsidR="0038520A">
              <w:rPr>
                <w:rFonts w:cs="Calibri"/>
                <w:color w:val="000000"/>
                <w:sz w:val="18"/>
                <w:szCs w:val="18"/>
              </w:rPr>
              <w:t xml:space="preserve"> – </w:t>
            </w:r>
            <w:r w:rsidRPr="008C492F">
              <w:rPr>
                <w:rFonts w:cs="Calibri"/>
                <w:color w:val="000000"/>
                <w:sz w:val="18"/>
                <w:szCs w:val="18"/>
              </w:rPr>
              <w:t>$10m</w:t>
            </w:r>
          </w:p>
        </w:tc>
        <w:tc>
          <w:tcPr>
            <w:tcW w:w="907" w:type="dxa"/>
            <w:tcBorders>
              <w:top w:val="nil"/>
              <w:bottom w:val="nil"/>
            </w:tcBorders>
            <w:shd w:val="clear" w:color="auto" w:fill="auto"/>
          </w:tcPr>
          <w:p w14:paraId="49B70BDE" w14:textId="77777777" w:rsidR="008C19A6" w:rsidRPr="008C492F" w:rsidRDefault="008C19A6" w:rsidP="00E6073C">
            <w:pPr>
              <w:spacing w:before="40" w:after="40"/>
              <w:jc w:val="center"/>
              <w:rPr>
                <w:sz w:val="18"/>
              </w:rPr>
            </w:pPr>
            <w:r w:rsidRPr="008C492F">
              <w:rPr>
                <w:sz w:val="18"/>
              </w:rPr>
              <w:t xml:space="preserve"> 56.0 </w:t>
            </w:r>
          </w:p>
        </w:tc>
        <w:tc>
          <w:tcPr>
            <w:tcW w:w="907" w:type="dxa"/>
            <w:tcBorders>
              <w:top w:val="nil"/>
              <w:bottom w:val="nil"/>
            </w:tcBorders>
            <w:shd w:val="clear" w:color="auto" w:fill="auto"/>
          </w:tcPr>
          <w:p w14:paraId="0E4F1207" w14:textId="77777777" w:rsidR="008C19A6" w:rsidRPr="008C492F" w:rsidRDefault="008C19A6" w:rsidP="00E6073C">
            <w:pPr>
              <w:spacing w:before="40" w:after="40"/>
              <w:jc w:val="center"/>
              <w:rPr>
                <w:sz w:val="18"/>
              </w:rPr>
            </w:pPr>
            <w:r w:rsidRPr="008C492F">
              <w:rPr>
                <w:sz w:val="18"/>
              </w:rPr>
              <w:t xml:space="preserve"> 4,794.5 </w:t>
            </w:r>
          </w:p>
        </w:tc>
        <w:tc>
          <w:tcPr>
            <w:tcW w:w="907" w:type="dxa"/>
            <w:tcBorders>
              <w:top w:val="nil"/>
              <w:bottom w:val="nil"/>
            </w:tcBorders>
            <w:shd w:val="clear" w:color="auto" w:fill="auto"/>
          </w:tcPr>
          <w:p w14:paraId="0A7349DF" w14:textId="77777777" w:rsidR="008C19A6" w:rsidRPr="008C492F" w:rsidRDefault="008C19A6" w:rsidP="00E6073C">
            <w:pPr>
              <w:spacing w:before="40" w:after="40"/>
              <w:jc w:val="center"/>
              <w:rPr>
                <w:sz w:val="18"/>
              </w:rPr>
            </w:pPr>
            <w:r w:rsidRPr="008C492F">
              <w:rPr>
                <w:sz w:val="18"/>
              </w:rPr>
              <w:t xml:space="preserve"> 43 </w:t>
            </w:r>
          </w:p>
        </w:tc>
        <w:tc>
          <w:tcPr>
            <w:tcW w:w="907" w:type="dxa"/>
            <w:tcBorders>
              <w:top w:val="nil"/>
              <w:bottom w:val="nil"/>
            </w:tcBorders>
            <w:shd w:val="clear" w:color="auto" w:fill="auto"/>
          </w:tcPr>
          <w:p w14:paraId="03E5B3C0" w14:textId="77777777" w:rsidR="008C19A6" w:rsidRPr="008C492F" w:rsidRDefault="008C19A6" w:rsidP="00E6073C">
            <w:pPr>
              <w:spacing w:before="40" w:after="40"/>
              <w:jc w:val="center"/>
              <w:rPr>
                <w:sz w:val="18"/>
              </w:rPr>
            </w:pPr>
            <w:r w:rsidRPr="008C492F">
              <w:rPr>
                <w:sz w:val="18"/>
              </w:rPr>
              <w:t xml:space="preserve"> 43 </w:t>
            </w:r>
          </w:p>
        </w:tc>
        <w:tc>
          <w:tcPr>
            <w:tcW w:w="907" w:type="dxa"/>
            <w:tcBorders>
              <w:top w:val="nil"/>
              <w:bottom w:val="nil"/>
            </w:tcBorders>
            <w:shd w:val="clear" w:color="auto" w:fill="auto"/>
          </w:tcPr>
          <w:p w14:paraId="1E2D8805" w14:textId="77777777" w:rsidR="008C19A6" w:rsidRPr="008C492F" w:rsidRDefault="008C19A6" w:rsidP="00E6073C">
            <w:pPr>
              <w:spacing w:before="40" w:after="40"/>
              <w:jc w:val="center"/>
              <w:rPr>
                <w:sz w:val="18"/>
              </w:rPr>
            </w:pPr>
            <w:r w:rsidRPr="008C492F">
              <w:rPr>
                <w:sz w:val="18"/>
              </w:rPr>
              <w:t xml:space="preserve"> 31 </w:t>
            </w:r>
          </w:p>
        </w:tc>
        <w:tc>
          <w:tcPr>
            <w:tcW w:w="907" w:type="dxa"/>
            <w:tcBorders>
              <w:top w:val="nil"/>
              <w:bottom w:val="nil"/>
            </w:tcBorders>
            <w:shd w:val="clear" w:color="auto" w:fill="auto"/>
          </w:tcPr>
          <w:p w14:paraId="53C7F54B" w14:textId="77777777" w:rsidR="008C19A6" w:rsidRPr="008C492F" w:rsidRDefault="008C19A6" w:rsidP="00E6073C">
            <w:pPr>
              <w:spacing w:before="40" w:after="40"/>
              <w:jc w:val="center"/>
              <w:rPr>
                <w:sz w:val="18"/>
              </w:rPr>
            </w:pPr>
            <w:r w:rsidRPr="008C492F">
              <w:rPr>
                <w:sz w:val="18"/>
              </w:rPr>
              <w:t xml:space="preserve"> 34 </w:t>
            </w:r>
          </w:p>
        </w:tc>
        <w:tc>
          <w:tcPr>
            <w:tcW w:w="907" w:type="dxa"/>
            <w:tcBorders>
              <w:top w:val="nil"/>
              <w:bottom w:val="nil"/>
            </w:tcBorders>
            <w:shd w:val="clear" w:color="auto" w:fill="auto"/>
          </w:tcPr>
          <w:p w14:paraId="391A110B" w14:textId="77777777" w:rsidR="008C19A6" w:rsidRPr="008C492F" w:rsidRDefault="008C19A6" w:rsidP="00E6073C">
            <w:pPr>
              <w:spacing w:before="40" w:after="40"/>
              <w:jc w:val="center"/>
              <w:rPr>
                <w:sz w:val="18"/>
              </w:rPr>
            </w:pPr>
            <w:r w:rsidRPr="008C492F">
              <w:rPr>
                <w:sz w:val="18"/>
              </w:rPr>
              <w:t xml:space="preserve"> 26 </w:t>
            </w:r>
          </w:p>
        </w:tc>
        <w:tc>
          <w:tcPr>
            <w:tcW w:w="907" w:type="dxa"/>
            <w:tcBorders>
              <w:top w:val="nil"/>
              <w:bottom w:val="nil"/>
              <w:right w:val="nil"/>
            </w:tcBorders>
            <w:shd w:val="clear" w:color="auto" w:fill="auto"/>
          </w:tcPr>
          <w:p w14:paraId="380CA1D2" w14:textId="77777777" w:rsidR="008C19A6" w:rsidRPr="008C492F" w:rsidRDefault="008C19A6" w:rsidP="00E6073C">
            <w:pPr>
              <w:spacing w:before="40" w:after="40"/>
              <w:jc w:val="center"/>
              <w:rPr>
                <w:sz w:val="18"/>
              </w:rPr>
            </w:pPr>
            <w:r w:rsidRPr="008C492F">
              <w:rPr>
                <w:sz w:val="18"/>
              </w:rPr>
              <w:t xml:space="preserve"> 23 </w:t>
            </w:r>
          </w:p>
        </w:tc>
      </w:tr>
      <w:tr w:rsidR="008C19A6" w:rsidRPr="008C492F" w14:paraId="71DF0E36" w14:textId="77777777" w:rsidTr="004E4564">
        <w:trPr>
          <w:trHeight w:val="308"/>
        </w:trPr>
        <w:tc>
          <w:tcPr>
            <w:tcW w:w="1813" w:type="dxa"/>
            <w:tcBorders>
              <w:top w:val="nil"/>
              <w:left w:val="nil"/>
              <w:bottom w:val="nil"/>
            </w:tcBorders>
            <w:shd w:val="clear" w:color="auto" w:fill="auto"/>
            <w:vAlign w:val="bottom"/>
          </w:tcPr>
          <w:p w14:paraId="029D70F9" w14:textId="42194908" w:rsidR="008C19A6" w:rsidRPr="008C492F" w:rsidRDefault="008C19A6" w:rsidP="00E6073C">
            <w:pPr>
              <w:spacing w:before="40" w:after="40"/>
              <w:rPr>
                <w:rFonts w:cs="Calibri"/>
                <w:color w:val="000000"/>
                <w:sz w:val="18"/>
                <w:szCs w:val="18"/>
              </w:rPr>
            </w:pPr>
            <w:r w:rsidRPr="008C492F">
              <w:rPr>
                <w:rFonts w:cs="Calibri"/>
                <w:color w:val="000000"/>
                <w:sz w:val="18"/>
                <w:szCs w:val="18"/>
              </w:rPr>
              <w:t>$10m</w:t>
            </w:r>
            <w:r w:rsidR="0038520A">
              <w:rPr>
                <w:rFonts w:cs="Calibri"/>
                <w:color w:val="000000"/>
                <w:sz w:val="18"/>
                <w:szCs w:val="18"/>
              </w:rPr>
              <w:t xml:space="preserve"> – </w:t>
            </w:r>
            <w:r w:rsidRPr="008C492F">
              <w:rPr>
                <w:rFonts w:cs="Calibri"/>
                <w:color w:val="000000"/>
                <w:sz w:val="18"/>
                <w:szCs w:val="18"/>
              </w:rPr>
              <w:t>$50m</w:t>
            </w:r>
          </w:p>
        </w:tc>
        <w:tc>
          <w:tcPr>
            <w:tcW w:w="907" w:type="dxa"/>
            <w:tcBorders>
              <w:top w:val="nil"/>
              <w:bottom w:val="nil"/>
            </w:tcBorders>
            <w:shd w:val="clear" w:color="auto" w:fill="auto"/>
          </w:tcPr>
          <w:p w14:paraId="6D03BDF9" w14:textId="77777777" w:rsidR="008C19A6" w:rsidRPr="008C492F" w:rsidRDefault="008C19A6" w:rsidP="00E6073C">
            <w:pPr>
              <w:spacing w:before="40" w:after="40"/>
              <w:jc w:val="center"/>
              <w:rPr>
                <w:sz w:val="18"/>
              </w:rPr>
            </w:pPr>
            <w:r w:rsidRPr="008C492F">
              <w:rPr>
                <w:sz w:val="18"/>
              </w:rPr>
              <w:t xml:space="preserve"> 12.1 </w:t>
            </w:r>
          </w:p>
        </w:tc>
        <w:tc>
          <w:tcPr>
            <w:tcW w:w="907" w:type="dxa"/>
            <w:tcBorders>
              <w:top w:val="nil"/>
              <w:bottom w:val="nil"/>
            </w:tcBorders>
            <w:shd w:val="clear" w:color="auto" w:fill="auto"/>
          </w:tcPr>
          <w:p w14:paraId="439BD82B" w14:textId="77777777" w:rsidR="008C19A6" w:rsidRPr="008C492F" w:rsidRDefault="008C19A6" w:rsidP="00E6073C">
            <w:pPr>
              <w:spacing w:before="40" w:after="40"/>
              <w:jc w:val="center"/>
              <w:rPr>
                <w:sz w:val="18"/>
              </w:rPr>
            </w:pPr>
            <w:r w:rsidRPr="008C492F">
              <w:rPr>
                <w:sz w:val="18"/>
              </w:rPr>
              <w:t xml:space="preserve"> 2,829.8 </w:t>
            </w:r>
          </w:p>
        </w:tc>
        <w:tc>
          <w:tcPr>
            <w:tcW w:w="907" w:type="dxa"/>
            <w:tcBorders>
              <w:top w:val="nil"/>
              <w:bottom w:val="nil"/>
            </w:tcBorders>
            <w:shd w:val="clear" w:color="auto" w:fill="auto"/>
          </w:tcPr>
          <w:p w14:paraId="4CC0CAF4" w14:textId="77777777" w:rsidR="008C19A6" w:rsidRPr="008C492F" w:rsidRDefault="008C19A6" w:rsidP="00E6073C">
            <w:pPr>
              <w:spacing w:before="40" w:after="40"/>
              <w:jc w:val="center"/>
              <w:rPr>
                <w:sz w:val="18"/>
              </w:rPr>
            </w:pPr>
            <w:r w:rsidRPr="008C492F">
              <w:rPr>
                <w:sz w:val="18"/>
              </w:rPr>
              <w:t xml:space="preserve"> 43 </w:t>
            </w:r>
          </w:p>
        </w:tc>
        <w:tc>
          <w:tcPr>
            <w:tcW w:w="907" w:type="dxa"/>
            <w:tcBorders>
              <w:top w:val="nil"/>
              <w:bottom w:val="nil"/>
            </w:tcBorders>
            <w:shd w:val="clear" w:color="auto" w:fill="auto"/>
          </w:tcPr>
          <w:p w14:paraId="1B36CA9C" w14:textId="77777777" w:rsidR="008C19A6" w:rsidRPr="008C492F" w:rsidRDefault="008C19A6" w:rsidP="00E6073C">
            <w:pPr>
              <w:spacing w:before="40" w:after="40"/>
              <w:jc w:val="center"/>
              <w:rPr>
                <w:sz w:val="18"/>
              </w:rPr>
            </w:pPr>
            <w:r w:rsidRPr="008C492F">
              <w:rPr>
                <w:sz w:val="18"/>
              </w:rPr>
              <w:t xml:space="preserve"> 43 </w:t>
            </w:r>
          </w:p>
        </w:tc>
        <w:tc>
          <w:tcPr>
            <w:tcW w:w="907" w:type="dxa"/>
            <w:tcBorders>
              <w:top w:val="nil"/>
              <w:bottom w:val="nil"/>
            </w:tcBorders>
            <w:shd w:val="clear" w:color="auto" w:fill="auto"/>
          </w:tcPr>
          <w:p w14:paraId="20077F97" w14:textId="77777777" w:rsidR="008C19A6" w:rsidRPr="008C492F" w:rsidRDefault="008C19A6" w:rsidP="00E6073C">
            <w:pPr>
              <w:spacing w:before="40" w:after="40"/>
              <w:jc w:val="center"/>
              <w:rPr>
                <w:sz w:val="18"/>
              </w:rPr>
            </w:pPr>
            <w:r w:rsidRPr="008C492F">
              <w:rPr>
                <w:sz w:val="18"/>
              </w:rPr>
              <w:t xml:space="preserve"> 33 </w:t>
            </w:r>
          </w:p>
        </w:tc>
        <w:tc>
          <w:tcPr>
            <w:tcW w:w="907" w:type="dxa"/>
            <w:tcBorders>
              <w:top w:val="nil"/>
              <w:bottom w:val="nil"/>
            </w:tcBorders>
            <w:shd w:val="clear" w:color="auto" w:fill="auto"/>
          </w:tcPr>
          <w:p w14:paraId="5AB6912E" w14:textId="77777777" w:rsidR="008C19A6" w:rsidRPr="008C492F" w:rsidRDefault="008C19A6" w:rsidP="00E6073C">
            <w:pPr>
              <w:spacing w:before="40" w:after="40"/>
              <w:jc w:val="center"/>
              <w:rPr>
                <w:sz w:val="18"/>
              </w:rPr>
            </w:pPr>
            <w:r w:rsidRPr="008C492F">
              <w:rPr>
                <w:sz w:val="18"/>
              </w:rPr>
              <w:t xml:space="preserve"> 37 </w:t>
            </w:r>
          </w:p>
        </w:tc>
        <w:tc>
          <w:tcPr>
            <w:tcW w:w="907" w:type="dxa"/>
            <w:tcBorders>
              <w:top w:val="nil"/>
              <w:bottom w:val="nil"/>
            </w:tcBorders>
            <w:shd w:val="clear" w:color="auto" w:fill="auto"/>
          </w:tcPr>
          <w:p w14:paraId="28EC7CEF" w14:textId="77777777" w:rsidR="008C19A6" w:rsidRPr="008C492F" w:rsidRDefault="008C19A6" w:rsidP="00E6073C">
            <w:pPr>
              <w:spacing w:before="40" w:after="40"/>
              <w:jc w:val="center"/>
              <w:rPr>
                <w:sz w:val="18"/>
              </w:rPr>
            </w:pPr>
            <w:r w:rsidRPr="008C492F">
              <w:rPr>
                <w:sz w:val="18"/>
              </w:rPr>
              <w:t xml:space="preserve"> 24 </w:t>
            </w:r>
          </w:p>
        </w:tc>
        <w:tc>
          <w:tcPr>
            <w:tcW w:w="907" w:type="dxa"/>
            <w:tcBorders>
              <w:top w:val="nil"/>
              <w:bottom w:val="nil"/>
              <w:right w:val="nil"/>
            </w:tcBorders>
            <w:shd w:val="clear" w:color="auto" w:fill="auto"/>
          </w:tcPr>
          <w:p w14:paraId="1381B3E5" w14:textId="77777777" w:rsidR="008C19A6" w:rsidRPr="008C492F" w:rsidRDefault="008C19A6" w:rsidP="00E6073C">
            <w:pPr>
              <w:spacing w:before="40" w:after="40"/>
              <w:jc w:val="center"/>
              <w:rPr>
                <w:sz w:val="18"/>
              </w:rPr>
            </w:pPr>
            <w:r w:rsidRPr="008C492F">
              <w:rPr>
                <w:sz w:val="18"/>
              </w:rPr>
              <w:t xml:space="preserve"> 20 </w:t>
            </w:r>
          </w:p>
        </w:tc>
      </w:tr>
      <w:tr w:rsidR="008C19A6" w:rsidRPr="008C492F" w14:paraId="288C372F" w14:textId="77777777" w:rsidTr="004E4564">
        <w:trPr>
          <w:trHeight w:val="308"/>
        </w:trPr>
        <w:tc>
          <w:tcPr>
            <w:tcW w:w="1813" w:type="dxa"/>
            <w:tcBorders>
              <w:top w:val="nil"/>
              <w:left w:val="nil"/>
            </w:tcBorders>
            <w:shd w:val="clear" w:color="auto" w:fill="auto"/>
            <w:vAlign w:val="bottom"/>
          </w:tcPr>
          <w:p w14:paraId="15312C66" w14:textId="0BA02B83" w:rsidR="008C19A6" w:rsidRPr="008C492F" w:rsidRDefault="008C19A6" w:rsidP="00E6073C">
            <w:pPr>
              <w:spacing w:before="40" w:after="40"/>
              <w:rPr>
                <w:rFonts w:cs="Calibri"/>
                <w:color w:val="000000"/>
                <w:sz w:val="18"/>
                <w:szCs w:val="18"/>
              </w:rPr>
            </w:pPr>
            <w:r w:rsidRPr="008C492F">
              <w:rPr>
                <w:rFonts w:cs="Calibri"/>
                <w:color w:val="000000"/>
                <w:sz w:val="18"/>
                <w:szCs w:val="18"/>
              </w:rPr>
              <w:t>$50m</w:t>
            </w:r>
            <w:r w:rsidR="0038520A">
              <w:rPr>
                <w:rFonts w:cs="Calibri"/>
                <w:color w:val="000000"/>
                <w:sz w:val="18"/>
                <w:szCs w:val="18"/>
              </w:rPr>
              <w:t xml:space="preserve"> – </w:t>
            </w:r>
            <w:r w:rsidRPr="008C492F">
              <w:rPr>
                <w:rFonts w:cs="Calibri"/>
                <w:color w:val="000000"/>
                <w:sz w:val="18"/>
                <w:szCs w:val="18"/>
              </w:rPr>
              <w:t>$250m</w:t>
            </w:r>
          </w:p>
        </w:tc>
        <w:tc>
          <w:tcPr>
            <w:tcW w:w="907" w:type="dxa"/>
            <w:tcBorders>
              <w:top w:val="nil"/>
            </w:tcBorders>
            <w:shd w:val="clear" w:color="auto" w:fill="auto"/>
          </w:tcPr>
          <w:p w14:paraId="1A81056C" w14:textId="77777777" w:rsidR="008C19A6" w:rsidRPr="008C492F" w:rsidRDefault="008C19A6" w:rsidP="00E6073C">
            <w:pPr>
              <w:spacing w:before="40" w:after="40"/>
              <w:jc w:val="center"/>
              <w:rPr>
                <w:sz w:val="18"/>
              </w:rPr>
            </w:pPr>
            <w:r w:rsidRPr="008C492F">
              <w:rPr>
                <w:sz w:val="18"/>
              </w:rPr>
              <w:t xml:space="preserve"> 2.7 </w:t>
            </w:r>
          </w:p>
        </w:tc>
        <w:tc>
          <w:tcPr>
            <w:tcW w:w="907" w:type="dxa"/>
            <w:tcBorders>
              <w:top w:val="nil"/>
            </w:tcBorders>
            <w:shd w:val="clear" w:color="auto" w:fill="auto"/>
          </w:tcPr>
          <w:p w14:paraId="62B9B4D5" w14:textId="77777777" w:rsidR="008C19A6" w:rsidRPr="008C492F" w:rsidRDefault="008C19A6" w:rsidP="00E6073C">
            <w:pPr>
              <w:spacing w:before="40" w:after="40"/>
              <w:jc w:val="center"/>
              <w:rPr>
                <w:sz w:val="18"/>
              </w:rPr>
            </w:pPr>
            <w:r w:rsidRPr="008C492F">
              <w:rPr>
                <w:sz w:val="18"/>
              </w:rPr>
              <w:t xml:space="preserve"> 1,665.7 </w:t>
            </w:r>
          </w:p>
        </w:tc>
        <w:tc>
          <w:tcPr>
            <w:tcW w:w="907" w:type="dxa"/>
            <w:tcBorders>
              <w:top w:val="nil"/>
            </w:tcBorders>
            <w:shd w:val="clear" w:color="auto" w:fill="auto"/>
          </w:tcPr>
          <w:p w14:paraId="095B3CDA" w14:textId="77777777" w:rsidR="008C19A6" w:rsidRPr="008C492F" w:rsidRDefault="008C19A6" w:rsidP="00E6073C">
            <w:pPr>
              <w:spacing w:before="40" w:after="40"/>
              <w:jc w:val="center"/>
              <w:rPr>
                <w:sz w:val="18"/>
              </w:rPr>
            </w:pPr>
            <w:r w:rsidRPr="008C492F">
              <w:rPr>
                <w:sz w:val="18"/>
              </w:rPr>
              <w:t xml:space="preserve"> 44 </w:t>
            </w:r>
          </w:p>
        </w:tc>
        <w:tc>
          <w:tcPr>
            <w:tcW w:w="907" w:type="dxa"/>
            <w:tcBorders>
              <w:top w:val="nil"/>
            </w:tcBorders>
            <w:shd w:val="clear" w:color="auto" w:fill="auto"/>
          </w:tcPr>
          <w:p w14:paraId="0C3A3923" w14:textId="77777777" w:rsidR="008C19A6" w:rsidRPr="008C492F" w:rsidRDefault="008C19A6" w:rsidP="00E6073C">
            <w:pPr>
              <w:spacing w:before="40" w:after="40"/>
              <w:jc w:val="center"/>
              <w:rPr>
                <w:sz w:val="18"/>
              </w:rPr>
            </w:pPr>
            <w:r w:rsidRPr="008C492F">
              <w:rPr>
                <w:sz w:val="18"/>
              </w:rPr>
              <w:t xml:space="preserve"> 46 </w:t>
            </w:r>
          </w:p>
        </w:tc>
        <w:tc>
          <w:tcPr>
            <w:tcW w:w="907" w:type="dxa"/>
            <w:tcBorders>
              <w:top w:val="nil"/>
            </w:tcBorders>
            <w:shd w:val="clear" w:color="auto" w:fill="auto"/>
          </w:tcPr>
          <w:p w14:paraId="30AEA133" w14:textId="77777777" w:rsidR="008C19A6" w:rsidRPr="008C492F" w:rsidRDefault="008C19A6" w:rsidP="00E6073C">
            <w:pPr>
              <w:spacing w:before="40" w:after="40"/>
              <w:jc w:val="center"/>
              <w:rPr>
                <w:sz w:val="18"/>
              </w:rPr>
            </w:pPr>
            <w:r w:rsidRPr="008C492F">
              <w:rPr>
                <w:sz w:val="18"/>
              </w:rPr>
              <w:t xml:space="preserve"> 35 </w:t>
            </w:r>
          </w:p>
        </w:tc>
        <w:tc>
          <w:tcPr>
            <w:tcW w:w="907" w:type="dxa"/>
            <w:tcBorders>
              <w:top w:val="nil"/>
            </w:tcBorders>
            <w:shd w:val="clear" w:color="auto" w:fill="auto"/>
          </w:tcPr>
          <w:p w14:paraId="366ADED2" w14:textId="77777777" w:rsidR="008C19A6" w:rsidRPr="008C492F" w:rsidRDefault="008C19A6" w:rsidP="00E6073C">
            <w:pPr>
              <w:spacing w:before="40" w:after="40"/>
              <w:jc w:val="center"/>
              <w:rPr>
                <w:sz w:val="18"/>
              </w:rPr>
            </w:pPr>
            <w:r w:rsidRPr="008C492F">
              <w:rPr>
                <w:sz w:val="18"/>
              </w:rPr>
              <w:t xml:space="preserve"> 40 </w:t>
            </w:r>
          </w:p>
        </w:tc>
        <w:tc>
          <w:tcPr>
            <w:tcW w:w="907" w:type="dxa"/>
            <w:tcBorders>
              <w:top w:val="nil"/>
            </w:tcBorders>
            <w:shd w:val="clear" w:color="auto" w:fill="auto"/>
          </w:tcPr>
          <w:p w14:paraId="3CF2E818" w14:textId="77777777" w:rsidR="008C19A6" w:rsidRPr="008C492F" w:rsidRDefault="008C19A6" w:rsidP="00E6073C">
            <w:pPr>
              <w:spacing w:before="40" w:after="40"/>
              <w:jc w:val="center"/>
              <w:rPr>
                <w:sz w:val="18"/>
              </w:rPr>
            </w:pPr>
            <w:r w:rsidRPr="008C492F">
              <w:rPr>
                <w:sz w:val="18"/>
              </w:rPr>
              <w:t xml:space="preserve"> 21 </w:t>
            </w:r>
          </w:p>
        </w:tc>
        <w:tc>
          <w:tcPr>
            <w:tcW w:w="907" w:type="dxa"/>
            <w:tcBorders>
              <w:top w:val="nil"/>
              <w:right w:val="nil"/>
            </w:tcBorders>
            <w:shd w:val="clear" w:color="auto" w:fill="auto"/>
          </w:tcPr>
          <w:p w14:paraId="4DBEB756" w14:textId="77777777" w:rsidR="008C19A6" w:rsidRPr="008C492F" w:rsidRDefault="008C19A6" w:rsidP="00E6073C">
            <w:pPr>
              <w:spacing w:before="40" w:after="40"/>
              <w:jc w:val="center"/>
              <w:rPr>
                <w:sz w:val="18"/>
              </w:rPr>
            </w:pPr>
            <w:r w:rsidRPr="008C492F">
              <w:rPr>
                <w:sz w:val="18"/>
              </w:rPr>
              <w:t xml:space="preserve"> 15 </w:t>
            </w:r>
          </w:p>
        </w:tc>
      </w:tr>
      <w:tr w:rsidR="008C19A6" w:rsidRPr="008C492F" w14:paraId="13BE5E95" w14:textId="77777777" w:rsidTr="004E4564">
        <w:trPr>
          <w:trHeight w:val="308"/>
        </w:trPr>
        <w:tc>
          <w:tcPr>
            <w:tcW w:w="1813" w:type="dxa"/>
            <w:tcBorders>
              <w:top w:val="nil"/>
              <w:left w:val="nil"/>
            </w:tcBorders>
            <w:shd w:val="clear" w:color="auto" w:fill="auto"/>
            <w:vAlign w:val="bottom"/>
          </w:tcPr>
          <w:p w14:paraId="262DD0DB" w14:textId="38D8B73E" w:rsidR="008C19A6" w:rsidRPr="008C492F" w:rsidRDefault="008C19A6" w:rsidP="00E6073C">
            <w:pPr>
              <w:spacing w:before="40" w:after="40"/>
              <w:rPr>
                <w:rFonts w:cs="Calibri"/>
                <w:color w:val="000000"/>
                <w:sz w:val="18"/>
                <w:szCs w:val="18"/>
              </w:rPr>
            </w:pPr>
            <w:r w:rsidRPr="008C492F">
              <w:rPr>
                <w:rFonts w:cs="Calibri"/>
                <w:color w:val="000000"/>
                <w:sz w:val="18"/>
                <w:szCs w:val="18"/>
              </w:rPr>
              <w:t>$250m</w:t>
            </w:r>
            <w:r w:rsidR="0038520A">
              <w:rPr>
                <w:rFonts w:cs="Calibri"/>
                <w:color w:val="000000"/>
                <w:sz w:val="18"/>
                <w:szCs w:val="18"/>
              </w:rPr>
              <w:t xml:space="preserve"> – </w:t>
            </w:r>
            <w:r w:rsidRPr="008C492F">
              <w:rPr>
                <w:rFonts w:cs="Calibri"/>
                <w:color w:val="000000"/>
                <w:sz w:val="18"/>
                <w:szCs w:val="18"/>
              </w:rPr>
              <w:t>$1b</w:t>
            </w:r>
          </w:p>
        </w:tc>
        <w:tc>
          <w:tcPr>
            <w:tcW w:w="907" w:type="dxa"/>
            <w:tcBorders>
              <w:top w:val="nil"/>
            </w:tcBorders>
            <w:shd w:val="clear" w:color="auto" w:fill="auto"/>
          </w:tcPr>
          <w:p w14:paraId="46B21FAD" w14:textId="77777777" w:rsidR="008C19A6" w:rsidRPr="008C492F" w:rsidRDefault="008C19A6" w:rsidP="00E6073C">
            <w:pPr>
              <w:spacing w:before="40" w:after="40"/>
              <w:jc w:val="center"/>
              <w:rPr>
                <w:sz w:val="18"/>
              </w:rPr>
            </w:pPr>
            <w:r w:rsidRPr="008C492F">
              <w:rPr>
                <w:sz w:val="18"/>
              </w:rPr>
              <w:t xml:space="preserve"> 1.0 </w:t>
            </w:r>
          </w:p>
        </w:tc>
        <w:tc>
          <w:tcPr>
            <w:tcW w:w="907" w:type="dxa"/>
            <w:tcBorders>
              <w:top w:val="nil"/>
            </w:tcBorders>
            <w:shd w:val="clear" w:color="auto" w:fill="auto"/>
          </w:tcPr>
          <w:p w14:paraId="3A75F994" w14:textId="77777777" w:rsidR="008C19A6" w:rsidRPr="008C492F" w:rsidRDefault="008C19A6" w:rsidP="00E6073C">
            <w:pPr>
              <w:spacing w:before="40" w:after="40"/>
              <w:jc w:val="center"/>
              <w:rPr>
                <w:sz w:val="18"/>
              </w:rPr>
            </w:pPr>
            <w:r w:rsidRPr="008C492F">
              <w:rPr>
                <w:sz w:val="18"/>
              </w:rPr>
              <w:t xml:space="preserve"> 1,126.6 </w:t>
            </w:r>
          </w:p>
        </w:tc>
        <w:tc>
          <w:tcPr>
            <w:tcW w:w="907" w:type="dxa"/>
            <w:tcBorders>
              <w:top w:val="nil"/>
            </w:tcBorders>
            <w:shd w:val="clear" w:color="auto" w:fill="auto"/>
          </w:tcPr>
          <w:p w14:paraId="5AF4726A" w14:textId="77777777" w:rsidR="008C19A6" w:rsidRPr="008C492F" w:rsidRDefault="008C19A6" w:rsidP="00E6073C">
            <w:pPr>
              <w:spacing w:before="40" w:after="40"/>
              <w:jc w:val="center"/>
              <w:rPr>
                <w:sz w:val="18"/>
              </w:rPr>
            </w:pPr>
            <w:r w:rsidRPr="008C492F">
              <w:rPr>
                <w:sz w:val="18"/>
              </w:rPr>
              <w:t xml:space="preserve"> 42 </w:t>
            </w:r>
          </w:p>
        </w:tc>
        <w:tc>
          <w:tcPr>
            <w:tcW w:w="907" w:type="dxa"/>
            <w:tcBorders>
              <w:top w:val="nil"/>
            </w:tcBorders>
            <w:shd w:val="clear" w:color="auto" w:fill="auto"/>
          </w:tcPr>
          <w:p w14:paraId="6ED62991" w14:textId="77777777" w:rsidR="008C19A6" w:rsidRPr="008C492F" w:rsidRDefault="008C19A6" w:rsidP="00E6073C">
            <w:pPr>
              <w:spacing w:before="40" w:after="40"/>
              <w:jc w:val="center"/>
              <w:rPr>
                <w:sz w:val="18"/>
              </w:rPr>
            </w:pPr>
            <w:r w:rsidRPr="008C492F">
              <w:rPr>
                <w:sz w:val="18"/>
              </w:rPr>
              <w:t xml:space="preserve"> 48 </w:t>
            </w:r>
          </w:p>
        </w:tc>
        <w:tc>
          <w:tcPr>
            <w:tcW w:w="907" w:type="dxa"/>
            <w:tcBorders>
              <w:top w:val="nil"/>
            </w:tcBorders>
            <w:shd w:val="clear" w:color="auto" w:fill="auto"/>
          </w:tcPr>
          <w:p w14:paraId="29059072" w14:textId="77777777" w:rsidR="008C19A6" w:rsidRPr="008C492F" w:rsidRDefault="008C19A6" w:rsidP="00E6073C">
            <w:pPr>
              <w:spacing w:before="40" w:after="40"/>
              <w:jc w:val="center"/>
              <w:rPr>
                <w:sz w:val="18"/>
              </w:rPr>
            </w:pPr>
            <w:r w:rsidRPr="008C492F">
              <w:rPr>
                <w:sz w:val="18"/>
              </w:rPr>
              <w:t xml:space="preserve"> 42 </w:t>
            </w:r>
          </w:p>
        </w:tc>
        <w:tc>
          <w:tcPr>
            <w:tcW w:w="907" w:type="dxa"/>
            <w:tcBorders>
              <w:top w:val="nil"/>
            </w:tcBorders>
            <w:shd w:val="clear" w:color="auto" w:fill="auto"/>
          </w:tcPr>
          <w:p w14:paraId="55832720" w14:textId="77777777" w:rsidR="008C19A6" w:rsidRPr="008C492F" w:rsidRDefault="008C19A6" w:rsidP="00E6073C">
            <w:pPr>
              <w:spacing w:before="40" w:after="40"/>
              <w:jc w:val="center"/>
              <w:rPr>
                <w:sz w:val="18"/>
              </w:rPr>
            </w:pPr>
            <w:r w:rsidRPr="008C492F">
              <w:rPr>
                <w:sz w:val="18"/>
              </w:rPr>
              <w:t xml:space="preserve"> 39 </w:t>
            </w:r>
          </w:p>
        </w:tc>
        <w:tc>
          <w:tcPr>
            <w:tcW w:w="907" w:type="dxa"/>
            <w:tcBorders>
              <w:top w:val="nil"/>
            </w:tcBorders>
            <w:shd w:val="clear" w:color="auto" w:fill="auto"/>
          </w:tcPr>
          <w:p w14:paraId="2380DBEE" w14:textId="77777777" w:rsidR="008C19A6" w:rsidRPr="008C492F" w:rsidRDefault="008C19A6" w:rsidP="00E6073C">
            <w:pPr>
              <w:spacing w:before="40" w:after="40"/>
              <w:jc w:val="center"/>
              <w:rPr>
                <w:sz w:val="18"/>
              </w:rPr>
            </w:pPr>
            <w:r w:rsidRPr="008C492F">
              <w:rPr>
                <w:sz w:val="18"/>
              </w:rPr>
              <w:t xml:space="preserve"> 16 </w:t>
            </w:r>
          </w:p>
        </w:tc>
        <w:tc>
          <w:tcPr>
            <w:tcW w:w="907" w:type="dxa"/>
            <w:tcBorders>
              <w:top w:val="nil"/>
              <w:right w:val="nil"/>
            </w:tcBorders>
            <w:shd w:val="clear" w:color="auto" w:fill="auto"/>
          </w:tcPr>
          <w:p w14:paraId="2182031E" w14:textId="77777777" w:rsidR="008C19A6" w:rsidRPr="008C492F" w:rsidRDefault="008C19A6" w:rsidP="00E6073C">
            <w:pPr>
              <w:spacing w:before="40" w:after="40"/>
              <w:jc w:val="center"/>
              <w:rPr>
                <w:sz w:val="18"/>
              </w:rPr>
            </w:pPr>
            <w:r w:rsidRPr="008C492F">
              <w:rPr>
                <w:sz w:val="18"/>
              </w:rPr>
              <w:t xml:space="preserve"> 13 </w:t>
            </w:r>
          </w:p>
        </w:tc>
      </w:tr>
      <w:tr w:rsidR="008C19A6" w:rsidRPr="008C492F" w14:paraId="0EFB2E3C" w14:textId="77777777" w:rsidTr="004E4564">
        <w:trPr>
          <w:trHeight w:val="308"/>
        </w:trPr>
        <w:tc>
          <w:tcPr>
            <w:tcW w:w="1813" w:type="dxa"/>
            <w:tcBorders>
              <w:top w:val="nil"/>
              <w:left w:val="nil"/>
              <w:bottom w:val="single" w:sz="4" w:space="0" w:color="3A6FAF"/>
            </w:tcBorders>
            <w:shd w:val="clear" w:color="auto" w:fill="auto"/>
            <w:vAlign w:val="bottom"/>
          </w:tcPr>
          <w:p w14:paraId="093F34F4" w14:textId="77777777" w:rsidR="008C19A6" w:rsidRPr="008C492F" w:rsidRDefault="008C19A6" w:rsidP="00E6073C">
            <w:pPr>
              <w:spacing w:before="40" w:after="40"/>
              <w:rPr>
                <w:rFonts w:cs="Calibri"/>
                <w:color w:val="000000"/>
                <w:sz w:val="18"/>
                <w:szCs w:val="18"/>
              </w:rPr>
            </w:pPr>
            <w:r w:rsidRPr="008C492F">
              <w:rPr>
                <w:rFonts w:cs="Calibri"/>
                <w:color w:val="000000"/>
                <w:sz w:val="18"/>
                <w:szCs w:val="18"/>
              </w:rPr>
              <w:t>$1b+</w:t>
            </w:r>
          </w:p>
        </w:tc>
        <w:tc>
          <w:tcPr>
            <w:tcW w:w="907" w:type="dxa"/>
            <w:tcBorders>
              <w:top w:val="nil"/>
              <w:bottom w:val="single" w:sz="4" w:space="0" w:color="3A6FAF"/>
            </w:tcBorders>
            <w:shd w:val="clear" w:color="auto" w:fill="auto"/>
          </w:tcPr>
          <w:p w14:paraId="58DF184E" w14:textId="77777777" w:rsidR="008C19A6" w:rsidRPr="008C492F" w:rsidRDefault="008C19A6" w:rsidP="00E6073C">
            <w:pPr>
              <w:spacing w:before="40" w:after="40"/>
              <w:jc w:val="center"/>
              <w:rPr>
                <w:sz w:val="18"/>
              </w:rPr>
            </w:pPr>
            <w:r w:rsidRPr="008C492F">
              <w:rPr>
                <w:sz w:val="18"/>
              </w:rPr>
              <w:t xml:space="preserve"> 0.3 </w:t>
            </w:r>
          </w:p>
        </w:tc>
        <w:tc>
          <w:tcPr>
            <w:tcW w:w="907" w:type="dxa"/>
            <w:tcBorders>
              <w:top w:val="nil"/>
              <w:bottom w:val="single" w:sz="4" w:space="0" w:color="3A6FAF"/>
            </w:tcBorders>
            <w:shd w:val="clear" w:color="auto" w:fill="auto"/>
          </w:tcPr>
          <w:p w14:paraId="01B453DD" w14:textId="77777777" w:rsidR="008C19A6" w:rsidRPr="008C492F" w:rsidRDefault="008C19A6" w:rsidP="00E6073C">
            <w:pPr>
              <w:spacing w:before="40" w:after="40"/>
              <w:jc w:val="center"/>
              <w:rPr>
                <w:sz w:val="18"/>
              </w:rPr>
            </w:pPr>
            <w:r w:rsidRPr="008C492F">
              <w:rPr>
                <w:sz w:val="18"/>
              </w:rPr>
              <w:t xml:space="preserve"> 807.0 </w:t>
            </w:r>
          </w:p>
        </w:tc>
        <w:tc>
          <w:tcPr>
            <w:tcW w:w="907" w:type="dxa"/>
            <w:tcBorders>
              <w:top w:val="nil"/>
              <w:bottom w:val="single" w:sz="4" w:space="0" w:color="3A6FAF"/>
            </w:tcBorders>
            <w:shd w:val="clear" w:color="auto" w:fill="auto"/>
          </w:tcPr>
          <w:p w14:paraId="7E01EB7F" w14:textId="77777777" w:rsidR="008C19A6" w:rsidRPr="008C492F" w:rsidRDefault="008C19A6" w:rsidP="00E6073C">
            <w:pPr>
              <w:spacing w:before="40" w:after="40"/>
              <w:jc w:val="center"/>
              <w:rPr>
                <w:sz w:val="18"/>
              </w:rPr>
            </w:pPr>
            <w:r w:rsidRPr="008C492F">
              <w:rPr>
                <w:sz w:val="18"/>
              </w:rPr>
              <w:t xml:space="preserve"> 49 </w:t>
            </w:r>
          </w:p>
        </w:tc>
        <w:tc>
          <w:tcPr>
            <w:tcW w:w="907" w:type="dxa"/>
            <w:tcBorders>
              <w:top w:val="nil"/>
              <w:bottom w:val="single" w:sz="4" w:space="0" w:color="3A6FAF"/>
            </w:tcBorders>
            <w:shd w:val="clear" w:color="auto" w:fill="auto"/>
          </w:tcPr>
          <w:p w14:paraId="2AB45968" w14:textId="77777777" w:rsidR="008C19A6" w:rsidRPr="008C492F" w:rsidRDefault="008C19A6" w:rsidP="00E6073C">
            <w:pPr>
              <w:spacing w:before="40" w:after="40"/>
              <w:jc w:val="center"/>
              <w:rPr>
                <w:sz w:val="18"/>
              </w:rPr>
            </w:pPr>
            <w:r w:rsidRPr="008C492F">
              <w:rPr>
                <w:sz w:val="18"/>
              </w:rPr>
              <w:t xml:space="preserve"> 52 </w:t>
            </w:r>
          </w:p>
        </w:tc>
        <w:tc>
          <w:tcPr>
            <w:tcW w:w="907" w:type="dxa"/>
            <w:tcBorders>
              <w:top w:val="nil"/>
              <w:bottom w:val="single" w:sz="4" w:space="0" w:color="3A6FAF"/>
            </w:tcBorders>
            <w:shd w:val="clear" w:color="auto" w:fill="auto"/>
          </w:tcPr>
          <w:p w14:paraId="63D6B555" w14:textId="77777777" w:rsidR="008C19A6" w:rsidRPr="008C492F" w:rsidRDefault="008C19A6" w:rsidP="00E6073C">
            <w:pPr>
              <w:spacing w:before="40" w:after="40"/>
              <w:jc w:val="center"/>
              <w:rPr>
                <w:sz w:val="18"/>
              </w:rPr>
            </w:pPr>
            <w:r w:rsidRPr="008C492F">
              <w:rPr>
                <w:sz w:val="18"/>
              </w:rPr>
              <w:t xml:space="preserve"> 36 </w:t>
            </w:r>
          </w:p>
        </w:tc>
        <w:tc>
          <w:tcPr>
            <w:tcW w:w="907" w:type="dxa"/>
            <w:tcBorders>
              <w:top w:val="nil"/>
              <w:bottom w:val="single" w:sz="4" w:space="0" w:color="3A6FAF"/>
            </w:tcBorders>
            <w:shd w:val="clear" w:color="auto" w:fill="auto"/>
          </w:tcPr>
          <w:p w14:paraId="3EF773D1" w14:textId="77777777" w:rsidR="008C19A6" w:rsidRPr="008C492F" w:rsidRDefault="008C19A6" w:rsidP="00E6073C">
            <w:pPr>
              <w:spacing w:before="40" w:after="40"/>
              <w:jc w:val="center"/>
              <w:rPr>
                <w:sz w:val="18"/>
              </w:rPr>
            </w:pPr>
            <w:r w:rsidRPr="008C492F">
              <w:rPr>
                <w:sz w:val="18"/>
              </w:rPr>
              <w:t xml:space="preserve"> 44 </w:t>
            </w:r>
          </w:p>
        </w:tc>
        <w:tc>
          <w:tcPr>
            <w:tcW w:w="907" w:type="dxa"/>
            <w:tcBorders>
              <w:top w:val="nil"/>
              <w:bottom w:val="single" w:sz="4" w:space="0" w:color="3A6FAF"/>
            </w:tcBorders>
            <w:shd w:val="clear" w:color="auto" w:fill="auto"/>
          </w:tcPr>
          <w:p w14:paraId="3622EF05" w14:textId="77777777" w:rsidR="008C19A6" w:rsidRPr="008C492F" w:rsidRDefault="008C19A6" w:rsidP="00E6073C">
            <w:pPr>
              <w:spacing w:before="40" w:after="40"/>
              <w:jc w:val="center"/>
              <w:rPr>
                <w:sz w:val="18"/>
              </w:rPr>
            </w:pPr>
            <w:r w:rsidRPr="008C492F">
              <w:rPr>
                <w:sz w:val="18"/>
              </w:rPr>
              <w:t xml:space="preserve"> 15 </w:t>
            </w:r>
          </w:p>
        </w:tc>
        <w:tc>
          <w:tcPr>
            <w:tcW w:w="907" w:type="dxa"/>
            <w:tcBorders>
              <w:top w:val="nil"/>
              <w:bottom w:val="single" w:sz="4" w:space="0" w:color="3A6FAF"/>
              <w:right w:val="nil"/>
            </w:tcBorders>
            <w:shd w:val="clear" w:color="auto" w:fill="auto"/>
          </w:tcPr>
          <w:p w14:paraId="75386157" w14:textId="77777777" w:rsidR="008C19A6" w:rsidRPr="008C492F" w:rsidRDefault="008C19A6" w:rsidP="00E6073C">
            <w:pPr>
              <w:spacing w:before="40" w:after="40"/>
              <w:jc w:val="center"/>
              <w:rPr>
                <w:sz w:val="18"/>
              </w:rPr>
            </w:pPr>
            <w:r w:rsidRPr="008C492F">
              <w:rPr>
                <w:sz w:val="18"/>
              </w:rPr>
              <w:t xml:space="preserve"> 3 </w:t>
            </w:r>
          </w:p>
        </w:tc>
      </w:tr>
    </w:tbl>
    <w:p w14:paraId="70C26705" w14:textId="7D863D13" w:rsidR="00E777BE" w:rsidRDefault="009E7237" w:rsidP="004E4564">
      <w:pPr>
        <w:spacing w:before="0" w:after="0" w:line="276" w:lineRule="auto"/>
        <w:jc w:val="both"/>
        <w:rPr>
          <w:sz w:val="18"/>
          <w:szCs w:val="16"/>
        </w:rPr>
      </w:pPr>
      <w:r w:rsidRPr="003E7BD1">
        <w:rPr>
          <w:sz w:val="18"/>
          <w:szCs w:val="16"/>
        </w:rPr>
        <w:t>Note</w:t>
      </w:r>
      <w:r>
        <w:rPr>
          <w:sz w:val="18"/>
          <w:szCs w:val="16"/>
        </w:rPr>
        <w:t xml:space="preserve">: </w:t>
      </w:r>
      <w:r w:rsidR="00493645" w:rsidRPr="00493645">
        <w:rPr>
          <w:sz w:val="18"/>
          <w:szCs w:val="16"/>
        </w:rPr>
        <w:t>Large businesses (those with turnover greater than $1 billion) were subject to a 50 per cent decline in turnover test.</w:t>
      </w:r>
      <w:r w:rsidR="00E66F97">
        <w:rPr>
          <w:sz w:val="18"/>
          <w:szCs w:val="16"/>
        </w:rPr>
        <w:t xml:space="preserve"> </w:t>
      </w:r>
      <w:r w:rsidR="004170E9">
        <w:rPr>
          <w:sz w:val="18"/>
          <w:szCs w:val="16"/>
        </w:rPr>
        <w:t>Turnover a</w:t>
      </w:r>
      <w:r w:rsidR="002C7808">
        <w:rPr>
          <w:sz w:val="18"/>
          <w:szCs w:val="16"/>
        </w:rPr>
        <w:t>nalysis is based on quarterly data compared to a year earlier.</w:t>
      </w:r>
    </w:p>
    <w:p w14:paraId="22E542A6" w14:textId="404A4028" w:rsidR="009E7237" w:rsidRPr="003E7BD1" w:rsidRDefault="00E777BE" w:rsidP="009E7237">
      <w:pPr>
        <w:spacing w:before="0" w:after="200" w:line="276" w:lineRule="auto"/>
        <w:rPr>
          <w:sz w:val="18"/>
          <w:szCs w:val="16"/>
        </w:rPr>
      </w:pPr>
      <w:r>
        <w:rPr>
          <w:sz w:val="18"/>
          <w:szCs w:val="16"/>
        </w:rPr>
        <w:t>Source:</w:t>
      </w:r>
      <w:r w:rsidR="00B61369">
        <w:rPr>
          <w:sz w:val="18"/>
          <w:szCs w:val="16"/>
        </w:rPr>
        <w:t xml:space="preserve"> JobKeeper disbursement data as at November 2020 and BAS data as at August 2021.</w:t>
      </w:r>
    </w:p>
    <w:p w14:paraId="001A868D" w14:textId="77777777" w:rsidR="00FB54F5" w:rsidRDefault="00FB54F5">
      <w:pPr>
        <w:spacing w:before="0" w:after="200" w:line="276" w:lineRule="auto"/>
      </w:pPr>
      <w:r>
        <w:br w:type="page"/>
      </w:r>
    </w:p>
    <w:p w14:paraId="65722479" w14:textId="0D38A33D" w:rsidR="006055AC" w:rsidRPr="002C73BA" w:rsidRDefault="006055AC" w:rsidP="00F47CDD">
      <w:pPr>
        <w:pStyle w:val="TableMainHeading"/>
      </w:pPr>
      <w:bookmarkStart w:id="226" w:name="_Toc84842608"/>
      <w:r>
        <w:lastRenderedPageBreak/>
        <w:t xml:space="preserve">JobKeeper recipients by </w:t>
      </w:r>
      <w:r w:rsidR="00905363">
        <w:t>through-the-year</w:t>
      </w:r>
      <w:r>
        <w:t xml:space="preserve"> turnover </w:t>
      </w:r>
      <w:r w:rsidR="00EE3B19">
        <w:t>decline</w:t>
      </w:r>
      <w:r>
        <w:t xml:space="preserve"> and industry, June</w:t>
      </w:r>
      <w:r w:rsidR="006D1FD4">
        <w:t> </w:t>
      </w:r>
      <w:r>
        <w:t>quarter</w:t>
      </w:r>
      <w:r w:rsidR="006D1FD4">
        <w:t> </w:t>
      </w:r>
      <w:r>
        <w:t>2020</w:t>
      </w:r>
      <w:bookmarkEnd w:id="226"/>
    </w:p>
    <w:tbl>
      <w:tblPr>
        <w:tblStyle w:val="TableGrid"/>
        <w:tblW w:w="4999" w:type="pct"/>
        <w:tblLayout w:type="fixed"/>
        <w:tblLook w:val="04A0" w:firstRow="1" w:lastRow="0" w:firstColumn="1" w:lastColumn="0" w:noHBand="0" w:noVBand="1"/>
      </w:tblPr>
      <w:tblGrid>
        <w:gridCol w:w="1813"/>
        <w:gridCol w:w="907"/>
        <w:gridCol w:w="907"/>
        <w:gridCol w:w="907"/>
        <w:gridCol w:w="907"/>
        <w:gridCol w:w="907"/>
        <w:gridCol w:w="907"/>
        <w:gridCol w:w="907"/>
        <w:gridCol w:w="907"/>
      </w:tblGrid>
      <w:tr w:rsidR="00E418D0" w:rsidRPr="00245929" w14:paraId="6F183D0F" w14:textId="77777777" w:rsidTr="00925EB0">
        <w:trPr>
          <w:trHeight w:val="616"/>
        </w:trPr>
        <w:tc>
          <w:tcPr>
            <w:tcW w:w="1813" w:type="dxa"/>
            <w:tcBorders>
              <w:top w:val="single" w:sz="4" w:space="0" w:color="3A6FAF"/>
              <w:left w:val="nil"/>
              <w:bottom w:val="single" w:sz="4" w:space="0" w:color="3A6FAF"/>
            </w:tcBorders>
            <w:shd w:val="clear" w:color="auto" w:fill="auto"/>
          </w:tcPr>
          <w:p w14:paraId="09EA4021" w14:textId="77777777" w:rsidR="00E418D0" w:rsidRPr="002B1D8F" w:rsidRDefault="00E418D0" w:rsidP="000D7EB7">
            <w:pPr>
              <w:spacing w:before="40" w:after="40"/>
              <w:jc w:val="center"/>
              <w:rPr>
                <w:b/>
                <w:color w:val="002C47"/>
                <w:highlight w:val="yellow"/>
              </w:rPr>
            </w:pPr>
          </w:p>
        </w:tc>
        <w:tc>
          <w:tcPr>
            <w:tcW w:w="1814" w:type="dxa"/>
            <w:gridSpan w:val="2"/>
            <w:tcBorders>
              <w:top w:val="single" w:sz="4" w:space="0" w:color="3A6FAF"/>
              <w:bottom w:val="single" w:sz="4" w:space="0" w:color="3A6FAF"/>
            </w:tcBorders>
            <w:shd w:val="clear" w:color="auto" w:fill="auto"/>
          </w:tcPr>
          <w:p w14:paraId="7AAAEC34" w14:textId="77777777" w:rsidR="00E418D0" w:rsidRPr="002B1D8F" w:rsidRDefault="00E418D0" w:rsidP="00077884">
            <w:pPr>
              <w:spacing w:before="40" w:after="40"/>
              <w:jc w:val="center"/>
              <w:rPr>
                <w:b/>
                <w:color w:val="002C47"/>
              </w:rPr>
            </w:pPr>
            <w:r w:rsidRPr="00245929">
              <w:rPr>
                <w:b/>
                <w:color w:val="002C47"/>
              </w:rPr>
              <w:t>Totals</w:t>
            </w:r>
          </w:p>
        </w:tc>
        <w:tc>
          <w:tcPr>
            <w:tcW w:w="1814" w:type="dxa"/>
            <w:gridSpan w:val="2"/>
            <w:tcBorders>
              <w:top w:val="single" w:sz="4" w:space="0" w:color="3A6FAF"/>
              <w:bottom w:val="single" w:sz="4" w:space="0" w:color="3A6FAF"/>
            </w:tcBorders>
            <w:shd w:val="clear" w:color="auto" w:fill="auto"/>
          </w:tcPr>
          <w:p w14:paraId="0A348C44" w14:textId="4317C992" w:rsidR="00E418D0" w:rsidRPr="002B1D8F" w:rsidRDefault="00925EB0" w:rsidP="00077884">
            <w:pPr>
              <w:spacing w:before="40" w:after="40"/>
              <w:jc w:val="center"/>
              <w:rPr>
                <w:b/>
                <w:color w:val="002C47"/>
              </w:rPr>
            </w:pPr>
            <w:r>
              <w:rPr>
                <w:b/>
                <w:bCs/>
                <w:color w:val="002C47"/>
              </w:rPr>
              <w:t>Turnover decline   more than 30%</w:t>
            </w:r>
            <w:r>
              <w:rPr>
                <w:b/>
                <w:bCs/>
                <w:color w:val="002C47"/>
              </w:rPr>
              <w:br/>
              <w:t>(or 50%)</w:t>
            </w:r>
          </w:p>
        </w:tc>
        <w:tc>
          <w:tcPr>
            <w:tcW w:w="1814" w:type="dxa"/>
            <w:gridSpan w:val="2"/>
            <w:tcBorders>
              <w:top w:val="single" w:sz="4" w:space="0" w:color="3A6FAF"/>
              <w:bottom w:val="single" w:sz="4" w:space="0" w:color="3A6FAF"/>
            </w:tcBorders>
            <w:shd w:val="clear" w:color="auto" w:fill="auto"/>
          </w:tcPr>
          <w:p w14:paraId="1CF5CC78" w14:textId="52ECE73C" w:rsidR="00E418D0" w:rsidRPr="002B1D8F" w:rsidRDefault="00925EB0" w:rsidP="00077884">
            <w:pPr>
              <w:spacing w:before="40" w:after="40"/>
              <w:jc w:val="center"/>
              <w:rPr>
                <w:b/>
                <w:color w:val="002C47"/>
              </w:rPr>
            </w:pPr>
            <w:r>
              <w:rPr>
                <w:b/>
                <w:bCs/>
                <w:color w:val="002C47"/>
              </w:rPr>
              <w:t>Turnover decline   between 0 –</w:t>
            </w:r>
            <w:r w:rsidRPr="008C492F">
              <w:rPr>
                <w:b/>
                <w:bCs/>
                <w:color w:val="002C47"/>
              </w:rPr>
              <w:t xml:space="preserve"> </w:t>
            </w:r>
            <w:r>
              <w:rPr>
                <w:b/>
                <w:bCs/>
                <w:color w:val="002C47"/>
              </w:rPr>
              <w:t>30% (or 50%)</w:t>
            </w:r>
          </w:p>
        </w:tc>
        <w:tc>
          <w:tcPr>
            <w:tcW w:w="1814" w:type="dxa"/>
            <w:gridSpan w:val="2"/>
            <w:tcBorders>
              <w:top w:val="single" w:sz="4" w:space="0" w:color="3A6FAF"/>
              <w:bottom w:val="single" w:sz="4" w:space="0" w:color="3A6FAF"/>
            </w:tcBorders>
            <w:shd w:val="clear" w:color="auto" w:fill="auto"/>
          </w:tcPr>
          <w:p w14:paraId="1CB1E12D" w14:textId="64B49B72" w:rsidR="00E418D0" w:rsidRPr="002B1D8F" w:rsidRDefault="00925EB0" w:rsidP="004E4564">
            <w:pPr>
              <w:spacing w:before="40" w:after="40"/>
              <w:jc w:val="center"/>
              <w:rPr>
                <w:b/>
                <w:color w:val="002C47"/>
              </w:rPr>
            </w:pPr>
            <w:r>
              <w:rPr>
                <w:b/>
                <w:color w:val="002C47"/>
              </w:rPr>
              <w:t>T</w:t>
            </w:r>
            <w:r w:rsidR="00E418D0" w:rsidRPr="00245929">
              <w:rPr>
                <w:b/>
                <w:color w:val="002C47"/>
              </w:rPr>
              <w:t>urnover</w:t>
            </w:r>
            <w:r>
              <w:rPr>
                <w:b/>
                <w:color w:val="002C47"/>
              </w:rPr>
              <w:t xml:space="preserve"> increase</w:t>
            </w:r>
          </w:p>
        </w:tc>
      </w:tr>
      <w:tr w:rsidR="00E418D0" w:rsidRPr="00245929" w14:paraId="78F1AB53" w14:textId="77777777" w:rsidTr="00925EB0">
        <w:trPr>
          <w:trHeight w:val="616"/>
        </w:trPr>
        <w:tc>
          <w:tcPr>
            <w:tcW w:w="1813" w:type="dxa"/>
            <w:tcBorders>
              <w:left w:val="nil"/>
              <w:bottom w:val="single" w:sz="4" w:space="0" w:color="3A6FAF"/>
            </w:tcBorders>
            <w:shd w:val="clear" w:color="auto" w:fill="auto"/>
          </w:tcPr>
          <w:p w14:paraId="0FEB4DC1" w14:textId="77777777" w:rsidR="00E418D0" w:rsidRPr="002B1D8F" w:rsidRDefault="00E418D0" w:rsidP="000D7EB7">
            <w:pPr>
              <w:spacing w:before="40" w:after="40"/>
              <w:jc w:val="center"/>
              <w:rPr>
                <w:b/>
                <w:color w:val="002C47"/>
                <w:highlight w:val="yellow"/>
              </w:rPr>
            </w:pPr>
          </w:p>
        </w:tc>
        <w:tc>
          <w:tcPr>
            <w:tcW w:w="907" w:type="dxa"/>
            <w:tcBorders>
              <w:bottom w:val="single" w:sz="4" w:space="0" w:color="3A6FAF"/>
            </w:tcBorders>
            <w:shd w:val="clear" w:color="auto" w:fill="auto"/>
          </w:tcPr>
          <w:p w14:paraId="5112AEC4" w14:textId="0C9735B0" w:rsidR="00E418D0" w:rsidRPr="002B1D8F" w:rsidRDefault="00E418D0" w:rsidP="00077884">
            <w:pPr>
              <w:spacing w:before="40" w:after="40"/>
              <w:jc w:val="center"/>
              <w:rPr>
                <w:b/>
                <w:color w:val="002C47"/>
              </w:rPr>
            </w:pPr>
            <w:r w:rsidRPr="00245929">
              <w:rPr>
                <w:b/>
                <w:color w:val="002C47"/>
              </w:rPr>
              <w:t>Entities (</w:t>
            </w:r>
            <w:r w:rsidR="0038520A">
              <w:rPr>
                <w:b/>
                <w:color w:val="002C47"/>
              </w:rPr>
              <w:t>‘</w:t>
            </w:r>
            <w:r w:rsidRPr="00245929">
              <w:rPr>
                <w:b/>
                <w:color w:val="002C47"/>
              </w:rPr>
              <w:t>000s)</w:t>
            </w:r>
          </w:p>
        </w:tc>
        <w:tc>
          <w:tcPr>
            <w:tcW w:w="907" w:type="dxa"/>
            <w:tcBorders>
              <w:bottom w:val="single" w:sz="4" w:space="0" w:color="3A6FAF"/>
            </w:tcBorders>
            <w:shd w:val="clear" w:color="auto" w:fill="auto"/>
          </w:tcPr>
          <w:p w14:paraId="54C7843F" w14:textId="77777777" w:rsidR="00E418D0" w:rsidRPr="002B1D8F" w:rsidRDefault="00E418D0" w:rsidP="00077884">
            <w:pPr>
              <w:spacing w:before="40" w:after="40"/>
              <w:jc w:val="center"/>
              <w:rPr>
                <w:b/>
                <w:color w:val="002C47"/>
              </w:rPr>
            </w:pPr>
            <w:r w:rsidRPr="00245929">
              <w:rPr>
                <w:b/>
                <w:color w:val="002C47"/>
              </w:rPr>
              <w:t>Disbursements ($m)</w:t>
            </w:r>
          </w:p>
        </w:tc>
        <w:tc>
          <w:tcPr>
            <w:tcW w:w="907" w:type="dxa"/>
            <w:tcBorders>
              <w:bottom w:val="single" w:sz="4" w:space="0" w:color="3A6FAF"/>
            </w:tcBorders>
            <w:shd w:val="clear" w:color="auto" w:fill="auto"/>
          </w:tcPr>
          <w:p w14:paraId="05294613" w14:textId="77777777" w:rsidR="00E418D0" w:rsidRPr="002B1D8F" w:rsidRDefault="00E418D0" w:rsidP="00077884">
            <w:pPr>
              <w:spacing w:before="40" w:after="40"/>
              <w:jc w:val="center"/>
              <w:rPr>
                <w:b/>
                <w:color w:val="002C47"/>
              </w:rPr>
            </w:pPr>
            <w:r w:rsidRPr="00245929">
              <w:rPr>
                <w:b/>
                <w:color w:val="002C47"/>
              </w:rPr>
              <w:t>Share of entities (%)</w:t>
            </w:r>
          </w:p>
        </w:tc>
        <w:tc>
          <w:tcPr>
            <w:tcW w:w="907" w:type="dxa"/>
            <w:tcBorders>
              <w:bottom w:val="single" w:sz="4" w:space="0" w:color="3A6FAF"/>
            </w:tcBorders>
            <w:shd w:val="clear" w:color="auto" w:fill="auto"/>
          </w:tcPr>
          <w:p w14:paraId="1B71EA92" w14:textId="77777777" w:rsidR="00E418D0" w:rsidRPr="002B1D8F" w:rsidRDefault="00E418D0" w:rsidP="00077884">
            <w:pPr>
              <w:spacing w:before="40" w:after="40"/>
              <w:jc w:val="center"/>
              <w:rPr>
                <w:b/>
                <w:color w:val="002C47"/>
              </w:rPr>
            </w:pPr>
            <w:r w:rsidRPr="00245929">
              <w:rPr>
                <w:b/>
                <w:color w:val="002C47"/>
              </w:rPr>
              <w:t>Share of disbursements (%)</w:t>
            </w:r>
          </w:p>
        </w:tc>
        <w:tc>
          <w:tcPr>
            <w:tcW w:w="907" w:type="dxa"/>
            <w:tcBorders>
              <w:bottom w:val="single" w:sz="4" w:space="0" w:color="3A6FAF"/>
            </w:tcBorders>
            <w:shd w:val="clear" w:color="auto" w:fill="auto"/>
          </w:tcPr>
          <w:p w14:paraId="7C40A832" w14:textId="77777777" w:rsidR="00E418D0" w:rsidRPr="002B1D8F" w:rsidRDefault="00E418D0" w:rsidP="00077884">
            <w:pPr>
              <w:spacing w:before="40" w:after="40"/>
              <w:jc w:val="center"/>
              <w:rPr>
                <w:b/>
                <w:color w:val="002C47"/>
              </w:rPr>
            </w:pPr>
            <w:r w:rsidRPr="00245929">
              <w:rPr>
                <w:b/>
                <w:color w:val="002C47"/>
              </w:rPr>
              <w:t>Share of entities (%)</w:t>
            </w:r>
          </w:p>
        </w:tc>
        <w:tc>
          <w:tcPr>
            <w:tcW w:w="907" w:type="dxa"/>
            <w:tcBorders>
              <w:bottom w:val="single" w:sz="4" w:space="0" w:color="3A6FAF"/>
            </w:tcBorders>
            <w:shd w:val="clear" w:color="auto" w:fill="auto"/>
          </w:tcPr>
          <w:p w14:paraId="5781791A" w14:textId="77777777" w:rsidR="00E418D0" w:rsidRPr="00245929" w:rsidRDefault="00E418D0" w:rsidP="00077884">
            <w:pPr>
              <w:spacing w:before="40" w:after="40"/>
              <w:jc w:val="center"/>
              <w:rPr>
                <w:b/>
                <w:color w:val="002C47"/>
              </w:rPr>
            </w:pPr>
            <w:r w:rsidRPr="00245929">
              <w:rPr>
                <w:b/>
                <w:color w:val="002C47"/>
              </w:rPr>
              <w:t>Share of disbursements (%)</w:t>
            </w:r>
          </w:p>
        </w:tc>
        <w:tc>
          <w:tcPr>
            <w:tcW w:w="907" w:type="dxa"/>
            <w:tcBorders>
              <w:bottom w:val="single" w:sz="4" w:space="0" w:color="3A6FAF"/>
            </w:tcBorders>
            <w:shd w:val="clear" w:color="auto" w:fill="auto"/>
          </w:tcPr>
          <w:p w14:paraId="1D0FCCDD" w14:textId="77777777" w:rsidR="00E418D0" w:rsidRPr="00245929" w:rsidRDefault="00E418D0" w:rsidP="00077884">
            <w:pPr>
              <w:spacing w:before="40" w:after="40"/>
              <w:jc w:val="center"/>
              <w:rPr>
                <w:b/>
                <w:color w:val="002C47"/>
              </w:rPr>
            </w:pPr>
            <w:r w:rsidRPr="00245929">
              <w:rPr>
                <w:b/>
                <w:color w:val="002C47"/>
              </w:rPr>
              <w:t>Share of entities (%)</w:t>
            </w:r>
          </w:p>
        </w:tc>
        <w:tc>
          <w:tcPr>
            <w:tcW w:w="907" w:type="dxa"/>
            <w:tcBorders>
              <w:bottom w:val="single" w:sz="4" w:space="0" w:color="3A6FAF"/>
              <w:right w:val="nil"/>
            </w:tcBorders>
            <w:shd w:val="clear" w:color="auto" w:fill="auto"/>
          </w:tcPr>
          <w:p w14:paraId="0232FBC7" w14:textId="77777777" w:rsidR="00E418D0" w:rsidRPr="002B1D8F" w:rsidRDefault="00E418D0" w:rsidP="00077884">
            <w:pPr>
              <w:spacing w:before="40" w:after="40"/>
              <w:jc w:val="center"/>
              <w:rPr>
                <w:b/>
                <w:color w:val="002C47"/>
              </w:rPr>
            </w:pPr>
            <w:r w:rsidRPr="00245929">
              <w:rPr>
                <w:b/>
                <w:color w:val="002C47"/>
              </w:rPr>
              <w:t>Share of disbursements (%)</w:t>
            </w:r>
          </w:p>
        </w:tc>
      </w:tr>
      <w:tr w:rsidR="00E418D0" w:rsidRPr="00245929" w14:paraId="12D6F978" w14:textId="77777777" w:rsidTr="00925EB0">
        <w:trPr>
          <w:trHeight w:val="308"/>
        </w:trPr>
        <w:tc>
          <w:tcPr>
            <w:tcW w:w="1813" w:type="dxa"/>
            <w:tcBorders>
              <w:top w:val="single" w:sz="4" w:space="0" w:color="3A6FAF"/>
              <w:left w:val="nil"/>
              <w:bottom w:val="nil"/>
            </w:tcBorders>
            <w:shd w:val="clear" w:color="auto" w:fill="auto"/>
            <w:vAlign w:val="center"/>
          </w:tcPr>
          <w:p w14:paraId="6A468B89" w14:textId="77777777" w:rsidR="00E418D0" w:rsidRPr="002B1D8F" w:rsidRDefault="00E418D0" w:rsidP="000D7EB7">
            <w:pPr>
              <w:spacing w:before="40" w:after="40"/>
              <w:jc w:val="left"/>
              <w:rPr>
                <w:color w:val="000000"/>
                <w:sz w:val="18"/>
              </w:rPr>
            </w:pPr>
            <w:r w:rsidRPr="002B1D8F">
              <w:rPr>
                <w:rFonts w:cs="Calibri"/>
                <w:color w:val="000000"/>
                <w:sz w:val="18"/>
                <w:szCs w:val="18"/>
              </w:rPr>
              <w:t>Agriculture, Forestry and Fishing</w:t>
            </w:r>
          </w:p>
        </w:tc>
        <w:tc>
          <w:tcPr>
            <w:tcW w:w="907" w:type="dxa"/>
            <w:tcBorders>
              <w:top w:val="single" w:sz="4" w:space="0" w:color="3A6FAF"/>
              <w:bottom w:val="nil"/>
            </w:tcBorders>
            <w:shd w:val="clear" w:color="auto" w:fill="auto"/>
          </w:tcPr>
          <w:p w14:paraId="2F63E568" w14:textId="77777777" w:rsidR="00E418D0" w:rsidRPr="00245929" w:rsidRDefault="00E418D0" w:rsidP="00A05864">
            <w:pPr>
              <w:pStyle w:val="TableTextCentered"/>
              <w:rPr>
                <w:highlight w:val="yellow"/>
              </w:rPr>
            </w:pPr>
            <w:r w:rsidRPr="00245929">
              <w:t xml:space="preserve"> 30.1 </w:t>
            </w:r>
          </w:p>
        </w:tc>
        <w:tc>
          <w:tcPr>
            <w:tcW w:w="907" w:type="dxa"/>
            <w:tcBorders>
              <w:top w:val="single" w:sz="4" w:space="0" w:color="3A6FAF"/>
              <w:bottom w:val="nil"/>
            </w:tcBorders>
            <w:shd w:val="clear" w:color="auto" w:fill="auto"/>
          </w:tcPr>
          <w:p w14:paraId="26648A12" w14:textId="77777777" w:rsidR="00E418D0" w:rsidRPr="00245929" w:rsidRDefault="00E418D0" w:rsidP="00A05864">
            <w:pPr>
              <w:pStyle w:val="TableTextCentered"/>
              <w:rPr>
                <w:highlight w:val="yellow"/>
              </w:rPr>
            </w:pPr>
            <w:r w:rsidRPr="00245929">
              <w:t xml:space="preserve"> 503.7 </w:t>
            </w:r>
          </w:p>
        </w:tc>
        <w:tc>
          <w:tcPr>
            <w:tcW w:w="907" w:type="dxa"/>
            <w:tcBorders>
              <w:top w:val="single" w:sz="4" w:space="0" w:color="3A6FAF"/>
              <w:bottom w:val="nil"/>
            </w:tcBorders>
            <w:shd w:val="clear" w:color="auto" w:fill="auto"/>
          </w:tcPr>
          <w:p w14:paraId="7A118C5C" w14:textId="77777777" w:rsidR="00E418D0" w:rsidRPr="00245929" w:rsidRDefault="00E418D0" w:rsidP="00A05864">
            <w:pPr>
              <w:pStyle w:val="TableTextCentered"/>
              <w:rPr>
                <w:highlight w:val="yellow"/>
              </w:rPr>
            </w:pPr>
            <w:r w:rsidRPr="00245929">
              <w:t xml:space="preserve"> 47 </w:t>
            </w:r>
          </w:p>
        </w:tc>
        <w:tc>
          <w:tcPr>
            <w:tcW w:w="907" w:type="dxa"/>
            <w:tcBorders>
              <w:top w:val="single" w:sz="4" w:space="0" w:color="3A6FAF"/>
              <w:bottom w:val="nil"/>
            </w:tcBorders>
            <w:shd w:val="clear" w:color="auto" w:fill="auto"/>
          </w:tcPr>
          <w:p w14:paraId="0E428BA1" w14:textId="77777777" w:rsidR="00E418D0" w:rsidRPr="00245929" w:rsidRDefault="00E418D0" w:rsidP="00A05864">
            <w:pPr>
              <w:pStyle w:val="TableTextCentered"/>
              <w:rPr>
                <w:highlight w:val="yellow"/>
              </w:rPr>
            </w:pPr>
            <w:r w:rsidRPr="00245929">
              <w:t xml:space="preserve"> 44 </w:t>
            </w:r>
          </w:p>
        </w:tc>
        <w:tc>
          <w:tcPr>
            <w:tcW w:w="907" w:type="dxa"/>
            <w:tcBorders>
              <w:top w:val="single" w:sz="4" w:space="0" w:color="3A6FAF"/>
              <w:bottom w:val="nil"/>
            </w:tcBorders>
            <w:shd w:val="clear" w:color="auto" w:fill="auto"/>
          </w:tcPr>
          <w:p w14:paraId="29F349AD" w14:textId="77777777" w:rsidR="00E418D0" w:rsidRPr="00245929" w:rsidRDefault="00E418D0" w:rsidP="00A05864">
            <w:pPr>
              <w:pStyle w:val="TableTextCentered"/>
              <w:rPr>
                <w:highlight w:val="yellow"/>
              </w:rPr>
            </w:pPr>
            <w:r w:rsidRPr="00245929">
              <w:t xml:space="preserve"> 18 </w:t>
            </w:r>
          </w:p>
        </w:tc>
        <w:tc>
          <w:tcPr>
            <w:tcW w:w="907" w:type="dxa"/>
            <w:tcBorders>
              <w:top w:val="single" w:sz="4" w:space="0" w:color="3A6FAF"/>
              <w:bottom w:val="nil"/>
            </w:tcBorders>
            <w:shd w:val="clear" w:color="auto" w:fill="auto"/>
          </w:tcPr>
          <w:p w14:paraId="755E2F70" w14:textId="77777777" w:rsidR="00E418D0" w:rsidRPr="00245929" w:rsidRDefault="00E418D0" w:rsidP="00A05864">
            <w:pPr>
              <w:pStyle w:val="TableTextCentered"/>
              <w:rPr>
                <w:highlight w:val="yellow"/>
              </w:rPr>
            </w:pPr>
            <w:r w:rsidRPr="00245929">
              <w:t xml:space="preserve"> 22 </w:t>
            </w:r>
          </w:p>
        </w:tc>
        <w:tc>
          <w:tcPr>
            <w:tcW w:w="907" w:type="dxa"/>
            <w:tcBorders>
              <w:top w:val="single" w:sz="4" w:space="0" w:color="3A6FAF"/>
              <w:bottom w:val="nil"/>
            </w:tcBorders>
            <w:shd w:val="clear" w:color="auto" w:fill="auto"/>
          </w:tcPr>
          <w:p w14:paraId="394EC15E" w14:textId="77777777" w:rsidR="00E418D0" w:rsidRPr="00245929" w:rsidRDefault="00E418D0" w:rsidP="00A05864">
            <w:pPr>
              <w:pStyle w:val="TableTextCentered"/>
              <w:rPr>
                <w:highlight w:val="yellow"/>
              </w:rPr>
            </w:pPr>
            <w:r w:rsidRPr="00245929">
              <w:t xml:space="preserve"> 35 </w:t>
            </w:r>
          </w:p>
        </w:tc>
        <w:tc>
          <w:tcPr>
            <w:tcW w:w="907" w:type="dxa"/>
            <w:tcBorders>
              <w:top w:val="single" w:sz="4" w:space="0" w:color="3A6FAF"/>
              <w:bottom w:val="nil"/>
              <w:right w:val="nil"/>
            </w:tcBorders>
            <w:shd w:val="clear" w:color="auto" w:fill="auto"/>
          </w:tcPr>
          <w:p w14:paraId="1D5CF95C" w14:textId="77777777" w:rsidR="00E418D0" w:rsidRPr="00245929" w:rsidRDefault="00E418D0" w:rsidP="00A05864">
            <w:pPr>
              <w:pStyle w:val="TableTextCentered"/>
              <w:rPr>
                <w:highlight w:val="yellow"/>
              </w:rPr>
            </w:pPr>
            <w:r w:rsidRPr="00245929">
              <w:t xml:space="preserve"> 33 </w:t>
            </w:r>
          </w:p>
        </w:tc>
      </w:tr>
      <w:tr w:rsidR="00E418D0" w:rsidRPr="00245929" w14:paraId="203BF1CC" w14:textId="77777777" w:rsidTr="00925EB0">
        <w:trPr>
          <w:trHeight w:val="308"/>
        </w:trPr>
        <w:tc>
          <w:tcPr>
            <w:tcW w:w="1813" w:type="dxa"/>
            <w:tcBorders>
              <w:top w:val="nil"/>
              <w:left w:val="nil"/>
              <w:bottom w:val="nil"/>
            </w:tcBorders>
            <w:shd w:val="clear" w:color="auto" w:fill="auto"/>
            <w:vAlign w:val="center"/>
          </w:tcPr>
          <w:p w14:paraId="5C2D292A" w14:textId="77777777" w:rsidR="00E418D0" w:rsidRPr="002B1D8F" w:rsidRDefault="00E418D0" w:rsidP="000D7EB7">
            <w:pPr>
              <w:spacing w:before="40" w:after="40"/>
              <w:jc w:val="left"/>
              <w:rPr>
                <w:color w:val="000000"/>
                <w:sz w:val="18"/>
              </w:rPr>
            </w:pPr>
            <w:r w:rsidRPr="002B1D8F">
              <w:rPr>
                <w:rFonts w:cs="Calibri"/>
                <w:color w:val="000000"/>
                <w:sz w:val="18"/>
                <w:szCs w:val="18"/>
              </w:rPr>
              <w:t>Mining</w:t>
            </w:r>
          </w:p>
        </w:tc>
        <w:tc>
          <w:tcPr>
            <w:tcW w:w="907" w:type="dxa"/>
            <w:tcBorders>
              <w:top w:val="nil"/>
              <w:bottom w:val="nil"/>
            </w:tcBorders>
            <w:shd w:val="clear" w:color="auto" w:fill="auto"/>
          </w:tcPr>
          <w:p w14:paraId="4B910F6B" w14:textId="77777777" w:rsidR="00E418D0" w:rsidRPr="00245929" w:rsidRDefault="00E418D0" w:rsidP="00A05864">
            <w:pPr>
              <w:pStyle w:val="TableTextCentered"/>
              <w:rPr>
                <w:highlight w:val="yellow"/>
              </w:rPr>
            </w:pPr>
            <w:r w:rsidRPr="00245929">
              <w:t xml:space="preserve"> 1.5 </w:t>
            </w:r>
          </w:p>
        </w:tc>
        <w:tc>
          <w:tcPr>
            <w:tcW w:w="907" w:type="dxa"/>
            <w:tcBorders>
              <w:top w:val="nil"/>
              <w:bottom w:val="nil"/>
            </w:tcBorders>
            <w:shd w:val="clear" w:color="auto" w:fill="auto"/>
          </w:tcPr>
          <w:p w14:paraId="17094993" w14:textId="77777777" w:rsidR="00E418D0" w:rsidRPr="00245929" w:rsidRDefault="00E418D0" w:rsidP="00A05864">
            <w:pPr>
              <w:pStyle w:val="TableTextCentered"/>
              <w:rPr>
                <w:highlight w:val="yellow"/>
              </w:rPr>
            </w:pPr>
            <w:r w:rsidRPr="00245929">
              <w:t xml:space="preserve"> 92.8 </w:t>
            </w:r>
          </w:p>
        </w:tc>
        <w:tc>
          <w:tcPr>
            <w:tcW w:w="907" w:type="dxa"/>
            <w:tcBorders>
              <w:top w:val="nil"/>
              <w:bottom w:val="nil"/>
            </w:tcBorders>
            <w:shd w:val="clear" w:color="auto" w:fill="auto"/>
          </w:tcPr>
          <w:p w14:paraId="5A584DBD" w14:textId="77777777" w:rsidR="00E418D0" w:rsidRPr="00245929" w:rsidRDefault="00E418D0" w:rsidP="00A05864">
            <w:pPr>
              <w:pStyle w:val="TableTextCentered"/>
              <w:rPr>
                <w:highlight w:val="yellow"/>
              </w:rPr>
            </w:pPr>
            <w:r w:rsidRPr="00245929">
              <w:t xml:space="preserve"> 45 </w:t>
            </w:r>
          </w:p>
        </w:tc>
        <w:tc>
          <w:tcPr>
            <w:tcW w:w="907" w:type="dxa"/>
            <w:tcBorders>
              <w:top w:val="nil"/>
              <w:bottom w:val="nil"/>
            </w:tcBorders>
            <w:shd w:val="clear" w:color="auto" w:fill="auto"/>
          </w:tcPr>
          <w:p w14:paraId="08AB347D" w14:textId="77777777" w:rsidR="00E418D0" w:rsidRPr="00245929" w:rsidRDefault="00E418D0" w:rsidP="00A05864">
            <w:pPr>
              <w:pStyle w:val="TableTextCentered"/>
              <w:rPr>
                <w:highlight w:val="yellow"/>
              </w:rPr>
            </w:pPr>
            <w:r w:rsidRPr="00245929">
              <w:t xml:space="preserve"> 33 </w:t>
            </w:r>
          </w:p>
        </w:tc>
        <w:tc>
          <w:tcPr>
            <w:tcW w:w="907" w:type="dxa"/>
            <w:tcBorders>
              <w:top w:val="nil"/>
              <w:bottom w:val="nil"/>
            </w:tcBorders>
            <w:shd w:val="clear" w:color="auto" w:fill="auto"/>
          </w:tcPr>
          <w:p w14:paraId="2B09574F" w14:textId="77777777" w:rsidR="00E418D0" w:rsidRPr="00245929" w:rsidRDefault="00E418D0" w:rsidP="00A05864">
            <w:pPr>
              <w:pStyle w:val="TableTextCentered"/>
              <w:rPr>
                <w:highlight w:val="yellow"/>
              </w:rPr>
            </w:pPr>
            <w:r w:rsidRPr="00245929">
              <w:t xml:space="preserve"> 24 </w:t>
            </w:r>
          </w:p>
        </w:tc>
        <w:tc>
          <w:tcPr>
            <w:tcW w:w="907" w:type="dxa"/>
            <w:tcBorders>
              <w:top w:val="nil"/>
              <w:bottom w:val="nil"/>
            </w:tcBorders>
            <w:shd w:val="clear" w:color="auto" w:fill="auto"/>
          </w:tcPr>
          <w:p w14:paraId="20673882" w14:textId="77777777" w:rsidR="00E418D0" w:rsidRPr="00245929" w:rsidRDefault="00E418D0" w:rsidP="00A05864">
            <w:pPr>
              <w:pStyle w:val="TableTextCentered"/>
              <w:rPr>
                <w:highlight w:val="yellow"/>
              </w:rPr>
            </w:pPr>
            <w:r w:rsidRPr="00245929">
              <w:t xml:space="preserve"> 40 </w:t>
            </w:r>
          </w:p>
        </w:tc>
        <w:tc>
          <w:tcPr>
            <w:tcW w:w="907" w:type="dxa"/>
            <w:tcBorders>
              <w:top w:val="nil"/>
              <w:bottom w:val="nil"/>
            </w:tcBorders>
            <w:shd w:val="clear" w:color="auto" w:fill="auto"/>
          </w:tcPr>
          <w:p w14:paraId="32EF9FA8" w14:textId="77777777" w:rsidR="00E418D0" w:rsidRPr="00245929" w:rsidRDefault="00E418D0" w:rsidP="00A05864">
            <w:pPr>
              <w:pStyle w:val="TableTextCentered"/>
              <w:rPr>
                <w:highlight w:val="yellow"/>
              </w:rPr>
            </w:pPr>
            <w:r w:rsidRPr="00245929">
              <w:t xml:space="preserve"> 31 </w:t>
            </w:r>
          </w:p>
        </w:tc>
        <w:tc>
          <w:tcPr>
            <w:tcW w:w="907" w:type="dxa"/>
            <w:tcBorders>
              <w:top w:val="nil"/>
              <w:bottom w:val="nil"/>
              <w:right w:val="nil"/>
            </w:tcBorders>
            <w:shd w:val="clear" w:color="auto" w:fill="auto"/>
          </w:tcPr>
          <w:p w14:paraId="2DCCAE00" w14:textId="77777777" w:rsidR="00E418D0" w:rsidRPr="00245929" w:rsidRDefault="00E418D0" w:rsidP="00A05864">
            <w:pPr>
              <w:pStyle w:val="TableTextCentered"/>
              <w:rPr>
                <w:highlight w:val="yellow"/>
              </w:rPr>
            </w:pPr>
            <w:r w:rsidRPr="00245929">
              <w:t xml:space="preserve"> 26 </w:t>
            </w:r>
          </w:p>
        </w:tc>
      </w:tr>
      <w:tr w:rsidR="00E418D0" w:rsidRPr="00245929" w14:paraId="4988738F" w14:textId="77777777" w:rsidTr="00925EB0">
        <w:trPr>
          <w:trHeight w:val="291"/>
        </w:trPr>
        <w:tc>
          <w:tcPr>
            <w:tcW w:w="1813" w:type="dxa"/>
            <w:tcBorders>
              <w:top w:val="nil"/>
              <w:left w:val="nil"/>
              <w:bottom w:val="nil"/>
            </w:tcBorders>
            <w:shd w:val="clear" w:color="auto" w:fill="auto"/>
            <w:vAlign w:val="center"/>
          </w:tcPr>
          <w:p w14:paraId="36B7D0A3" w14:textId="77777777" w:rsidR="00E418D0" w:rsidRPr="002B1D8F" w:rsidRDefault="00E418D0" w:rsidP="000D7EB7">
            <w:pPr>
              <w:spacing w:before="40" w:after="40"/>
              <w:jc w:val="left"/>
              <w:rPr>
                <w:color w:val="000000"/>
                <w:sz w:val="18"/>
              </w:rPr>
            </w:pPr>
            <w:r w:rsidRPr="002B1D8F">
              <w:rPr>
                <w:rFonts w:cs="Calibri"/>
                <w:color w:val="000000"/>
                <w:sz w:val="18"/>
                <w:szCs w:val="18"/>
              </w:rPr>
              <w:t>Manufacturing</w:t>
            </w:r>
          </w:p>
        </w:tc>
        <w:tc>
          <w:tcPr>
            <w:tcW w:w="907" w:type="dxa"/>
            <w:tcBorders>
              <w:top w:val="nil"/>
              <w:bottom w:val="nil"/>
            </w:tcBorders>
            <w:shd w:val="clear" w:color="auto" w:fill="auto"/>
          </w:tcPr>
          <w:p w14:paraId="44CBD987" w14:textId="77777777" w:rsidR="00E418D0" w:rsidRPr="00245929" w:rsidRDefault="00E418D0" w:rsidP="00A05864">
            <w:pPr>
              <w:pStyle w:val="TableTextCentered"/>
              <w:rPr>
                <w:highlight w:val="yellow"/>
              </w:rPr>
            </w:pPr>
            <w:r w:rsidRPr="00245929">
              <w:t xml:space="preserve"> 37.5 </w:t>
            </w:r>
          </w:p>
        </w:tc>
        <w:tc>
          <w:tcPr>
            <w:tcW w:w="907" w:type="dxa"/>
            <w:tcBorders>
              <w:top w:val="nil"/>
              <w:bottom w:val="nil"/>
            </w:tcBorders>
            <w:shd w:val="clear" w:color="auto" w:fill="auto"/>
          </w:tcPr>
          <w:p w14:paraId="5B64E17D" w14:textId="77777777" w:rsidR="00E418D0" w:rsidRPr="00245929" w:rsidRDefault="00E418D0" w:rsidP="00A05864">
            <w:pPr>
              <w:pStyle w:val="TableTextCentered"/>
              <w:rPr>
                <w:highlight w:val="yellow"/>
              </w:rPr>
            </w:pPr>
            <w:r w:rsidRPr="00245929">
              <w:t xml:space="preserve"> 2,026.8 </w:t>
            </w:r>
          </w:p>
        </w:tc>
        <w:tc>
          <w:tcPr>
            <w:tcW w:w="907" w:type="dxa"/>
            <w:tcBorders>
              <w:top w:val="nil"/>
              <w:bottom w:val="nil"/>
            </w:tcBorders>
            <w:shd w:val="clear" w:color="auto" w:fill="auto"/>
          </w:tcPr>
          <w:p w14:paraId="482B6342" w14:textId="77777777" w:rsidR="00E418D0" w:rsidRPr="00245929" w:rsidRDefault="00E418D0" w:rsidP="00A05864">
            <w:pPr>
              <w:pStyle w:val="TableTextCentered"/>
              <w:rPr>
                <w:highlight w:val="yellow"/>
              </w:rPr>
            </w:pPr>
            <w:r w:rsidRPr="00245929">
              <w:t xml:space="preserve"> 41 </w:t>
            </w:r>
          </w:p>
        </w:tc>
        <w:tc>
          <w:tcPr>
            <w:tcW w:w="907" w:type="dxa"/>
            <w:tcBorders>
              <w:top w:val="nil"/>
              <w:bottom w:val="nil"/>
            </w:tcBorders>
            <w:shd w:val="clear" w:color="auto" w:fill="auto"/>
          </w:tcPr>
          <w:p w14:paraId="438BB591" w14:textId="77777777" w:rsidR="00E418D0" w:rsidRPr="00245929" w:rsidRDefault="00E418D0" w:rsidP="00A05864">
            <w:pPr>
              <w:pStyle w:val="TableTextCentered"/>
              <w:rPr>
                <w:highlight w:val="yellow"/>
              </w:rPr>
            </w:pPr>
            <w:r w:rsidRPr="00245929">
              <w:t xml:space="preserve"> 36 </w:t>
            </w:r>
          </w:p>
        </w:tc>
        <w:tc>
          <w:tcPr>
            <w:tcW w:w="907" w:type="dxa"/>
            <w:tcBorders>
              <w:top w:val="nil"/>
              <w:bottom w:val="nil"/>
            </w:tcBorders>
            <w:shd w:val="clear" w:color="auto" w:fill="auto"/>
          </w:tcPr>
          <w:p w14:paraId="61C1464D" w14:textId="77777777" w:rsidR="00E418D0" w:rsidRPr="00245929" w:rsidRDefault="00E418D0" w:rsidP="00A05864">
            <w:pPr>
              <w:pStyle w:val="TableTextCentered"/>
              <w:rPr>
                <w:highlight w:val="yellow"/>
              </w:rPr>
            </w:pPr>
            <w:r w:rsidRPr="00245929">
              <w:t xml:space="preserve"> 29 </w:t>
            </w:r>
          </w:p>
        </w:tc>
        <w:tc>
          <w:tcPr>
            <w:tcW w:w="907" w:type="dxa"/>
            <w:tcBorders>
              <w:top w:val="nil"/>
              <w:bottom w:val="nil"/>
            </w:tcBorders>
            <w:shd w:val="clear" w:color="auto" w:fill="auto"/>
          </w:tcPr>
          <w:p w14:paraId="4EB2F4E1" w14:textId="77777777" w:rsidR="00E418D0" w:rsidRPr="00245929" w:rsidRDefault="00E418D0" w:rsidP="00A05864">
            <w:pPr>
              <w:pStyle w:val="TableTextCentered"/>
              <w:rPr>
                <w:highlight w:val="yellow"/>
              </w:rPr>
            </w:pPr>
            <w:r w:rsidRPr="00245929">
              <w:t xml:space="preserve"> 40 </w:t>
            </w:r>
          </w:p>
        </w:tc>
        <w:tc>
          <w:tcPr>
            <w:tcW w:w="907" w:type="dxa"/>
            <w:tcBorders>
              <w:top w:val="nil"/>
              <w:bottom w:val="nil"/>
            </w:tcBorders>
            <w:shd w:val="clear" w:color="auto" w:fill="auto"/>
          </w:tcPr>
          <w:p w14:paraId="42692DB6" w14:textId="77777777" w:rsidR="00E418D0" w:rsidRPr="00245929" w:rsidRDefault="00E418D0" w:rsidP="00A05864">
            <w:pPr>
              <w:pStyle w:val="TableTextCentered"/>
              <w:rPr>
                <w:highlight w:val="yellow"/>
              </w:rPr>
            </w:pPr>
            <w:r w:rsidRPr="00245929">
              <w:t xml:space="preserve"> 30 </w:t>
            </w:r>
          </w:p>
        </w:tc>
        <w:tc>
          <w:tcPr>
            <w:tcW w:w="907" w:type="dxa"/>
            <w:tcBorders>
              <w:top w:val="nil"/>
              <w:bottom w:val="nil"/>
              <w:right w:val="nil"/>
            </w:tcBorders>
            <w:shd w:val="clear" w:color="auto" w:fill="auto"/>
          </w:tcPr>
          <w:p w14:paraId="580B6E04" w14:textId="77777777" w:rsidR="00E418D0" w:rsidRPr="00245929" w:rsidRDefault="00E418D0" w:rsidP="00A05864">
            <w:pPr>
              <w:pStyle w:val="TableTextCentered"/>
              <w:rPr>
                <w:highlight w:val="yellow"/>
              </w:rPr>
            </w:pPr>
            <w:r w:rsidRPr="00245929">
              <w:t xml:space="preserve"> 24 </w:t>
            </w:r>
          </w:p>
        </w:tc>
      </w:tr>
      <w:tr w:rsidR="00E418D0" w:rsidRPr="00245929" w14:paraId="27787517" w14:textId="77777777" w:rsidTr="00925EB0">
        <w:trPr>
          <w:trHeight w:val="308"/>
        </w:trPr>
        <w:tc>
          <w:tcPr>
            <w:tcW w:w="1813" w:type="dxa"/>
            <w:tcBorders>
              <w:top w:val="nil"/>
              <w:left w:val="nil"/>
              <w:bottom w:val="nil"/>
            </w:tcBorders>
            <w:shd w:val="clear" w:color="auto" w:fill="auto"/>
            <w:vAlign w:val="center"/>
          </w:tcPr>
          <w:p w14:paraId="12C60234" w14:textId="77777777" w:rsidR="00E418D0" w:rsidRPr="002B1D8F" w:rsidRDefault="00E418D0" w:rsidP="000D7EB7">
            <w:pPr>
              <w:spacing w:before="40" w:after="40"/>
              <w:jc w:val="left"/>
              <w:rPr>
                <w:color w:val="000000"/>
                <w:sz w:val="18"/>
              </w:rPr>
            </w:pPr>
            <w:r w:rsidRPr="002B1D8F">
              <w:rPr>
                <w:rFonts w:cs="Calibri"/>
                <w:color w:val="000000"/>
                <w:sz w:val="18"/>
                <w:szCs w:val="18"/>
              </w:rPr>
              <w:t>Electricity, Gas, Water and Waste Services</w:t>
            </w:r>
          </w:p>
        </w:tc>
        <w:tc>
          <w:tcPr>
            <w:tcW w:w="907" w:type="dxa"/>
            <w:tcBorders>
              <w:top w:val="nil"/>
              <w:bottom w:val="nil"/>
            </w:tcBorders>
            <w:shd w:val="clear" w:color="auto" w:fill="auto"/>
          </w:tcPr>
          <w:p w14:paraId="514F42C8" w14:textId="77777777" w:rsidR="00E418D0" w:rsidRPr="00245929" w:rsidRDefault="00E418D0" w:rsidP="00A05864">
            <w:pPr>
              <w:pStyle w:val="TableTextCentered"/>
              <w:rPr>
                <w:highlight w:val="yellow"/>
              </w:rPr>
            </w:pPr>
            <w:r w:rsidRPr="00245929">
              <w:t xml:space="preserve"> 1.8 </w:t>
            </w:r>
          </w:p>
        </w:tc>
        <w:tc>
          <w:tcPr>
            <w:tcW w:w="907" w:type="dxa"/>
            <w:tcBorders>
              <w:top w:val="nil"/>
              <w:bottom w:val="nil"/>
            </w:tcBorders>
            <w:shd w:val="clear" w:color="auto" w:fill="auto"/>
          </w:tcPr>
          <w:p w14:paraId="68C1CDD8" w14:textId="77777777" w:rsidR="00E418D0" w:rsidRPr="00245929" w:rsidRDefault="00E418D0" w:rsidP="00A05864">
            <w:pPr>
              <w:pStyle w:val="TableTextCentered"/>
              <w:rPr>
                <w:highlight w:val="yellow"/>
              </w:rPr>
            </w:pPr>
            <w:r w:rsidRPr="00245929">
              <w:t xml:space="preserve"> 72.3 </w:t>
            </w:r>
          </w:p>
        </w:tc>
        <w:tc>
          <w:tcPr>
            <w:tcW w:w="907" w:type="dxa"/>
            <w:tcBorders>
              <w:top w:val="nil"/>
              <w:bottom w:val="nil"/>
            </w:tcBorders>
            <w:shd w:val="clear" w:color="auto" w:fill="auto"/>
          </w:tcPr>
          <w:p w14:paraId="6E02B37A" w14:textId="77777777" w:rsidR="00E418D0" w:rsidRPr="00245929" w:rsidRDefault="00E418D0" w:rsidP="00A05864">
            <w:pPr>
              <w:pStyle w:val="TableTextCentered"/>
              <w:rPr>
                <w:highlight w:val="yellow"/>
              </w:rPr>
            </w:pPr>
            <w:r w:rsidRPr="00245929">
              <w:t xml:space="preserve"> 36 </w:t>
            </w:r>
          </w:p>
        </w:tc>
        <w:tc>
          <w:tcPr>
            <w:tcW w:w="907" w:type="dxa"/>
            <w:tcBorders>
              <w:top w:val="nil"/>
              <w:bottom w:val="nil"/>
            </w:tcBorders>
            <w:shd w:val="clear" w:color="auto" w:fill="auto"/>
          </w:tcPr>
          <w:p w14:paraId="78AC519E" w14:textId="77777777" w:rsidR="00E418D0" w:rsidRPr="00245929" w:rsidRDefault="00E418D0" w:rsidP="00A05864">
            <w:pPr>
              <w:pStyle w:val="TableTextCentered"/>
              <w:rPr>
                <w:highlight w:val="yellow"/>
              </w:rPr>
            </w:pPr>
            <w:r w:rsidRPr="00245929">
              <w:t xml:space="preserve"> 29 </w:t>
            </w:r>
          </w:p>
        </w:tc>
        <w:tc>
          <w:tcPr>
            <w:tcW w:w="907" w:type="dxa"/>
            <w:tcBorders>
              <w:top w:val="nil"/>
              <w:bottom w:val="nil"/>
            </w:tcBorders>
            <w:shd w:val="clear" w:color="auto" w:fill="auto"/>
          </w:tcPr>
          <w:p w14:paraId="05C415CF" w14:textId="77777777" w:rsidR="00E418D0" w:rsidRPr="00245929" w:rsidRDefault="00E418D0" w:rsidP="00A05864">
            <w:pPr>
              <w:pStyle w:val="TableTextCentered"/>
              <w:rPr>
                <w:highlight w:val="yellow"/>
              </w:rPr>
            </w:pPr>
            <w:r w:rsidRPr="00245929">
              <w:t xml:space="preserve"> 32 </w:t>
            </w:r>
          </w:p>
        </w:tc>
        <w:tc>
          <w:tcPr>
            <w:tcW w:w="907" w:type="dxa"/>
            <w:tcBorders>
              <w:top w:val="nil"/>
              <w:bottom w:val="nil"/>
            </w:tcBorders>
            <w:shd w:val="clear" w:color="auto" w:fill="auto"/>
          </w:tcPr>
          <w:p w14:paraId="4E855FF8" w14:textId="77777777" w:rsidR="00E418D0" w:rsidRPr="00245929" w:rsidRDefault="00E418D0" w:rsidP="00A05864">
            <w:pPr>
              <w:pStyle w:val="TableTextCentered"/>
              <w:rPr>
                <w:highlight w:val="yellow"/>
              </w:rPr>
            </w:pPr>
            <w:r w:rsidRPr="00245929">
              <w:t xml:space="preserve"> 43 </w:t>
            </w:r>
          </w:p>
        </w:tc>
        <w:tc>
          <w:tcPr>
            <w:tcW w:w="907" w:type="dxa"/>
            <w:tcBorders>
              <w:top w:val="nil"/>
              <w:bottom w:val="nil"/>
            </w:tcBorders>
            <w:shd w:val="clear" w:color="auto" w:fill="auto"/>
          </w:tcPr>
          <w:p w14:paraId="6DBF88A7" w14:textId="77777777" w:rsidR="00E418D0" w:rsidRPr="00245929" w:rsidRDefault="00E418D0" w:rsidP="00A05864">
            <w:pPr>
              <w:pStyle w:val="TableTextCentered"/>
              <w:rPr>
                <w:highlight w:val="yellow"/>
              </w:rPr>
            </w:pPr>
            <w:r w:rsidRPr="00245929">
              <w:t xml:space="preserve"> 33 </w:t>
            </w:r>
          </w:p>
        </w:tc>
        <w:tc>
          <w:tcPr>
            <w:tcW w:w="907" w:type="dxa"/>
            <w:tcBorders>
              <w:top w:val="nil"/>
              <w:bottom w:val="nil"/>
              <w:right w:val="nil"/>
            </w:tcBorders>
            <w:shd w:val="clear" w:color="auto" w:fill="auto"/>
          </w:tcPr>
          <w:p w14:paraId="67EA6D85" w14:textId="77777777" w:rsidR="00E418D0" w:rsidRPr="00245929" w:rsidRDefault="00E418D0" w:rsidP="00A05864">
            <w:pPr>
              <w:pStyle w:val="TableTextCentered"/>
              <w:rPr>
                <w:highlight w:val="yellow"/>
              </w:rPr>
            </w:pPr>
            <w:r w:rsidRPr="00245929">
              <w:t xml:space="preserve"> 29 </w:t>
            </w:r>
          </w:p>
        </w:tc>
      </w:tr>
      <w:tr w:rsidR="00E418D0" w:rsidRPr="00245929" w14:paraId="545697E0" w14:textId="77777777" w:rsidTr="00925EB0">
        <w:trPr>
          <w:trHeight w:val="308"/>
        </w:trPr>
        <w:tc>
          <w:tcPr>
            <w:tcW w:w="1813" w:type="dxa"/>
            <w:tcBorders>
              <w:top w:val="nil"/>
              <w:left w:val="nil"/>
              <w:bottom w:val="nil"/>
            </w:tcBorders>
            <w:shd w:val="clear" w:color="auto" w:fill="auto"/>
            <w:vAlign w:val="center"/>
          </w:tcPr>
          <w:p w14:paraId="5330AACD" w14:textId="77777777" w:rsidR="00E418D0" w:rsidRPr="002B1D8F" w:rsidRDefault="00E418D0" w:rsidP="000D7EB7">
            <w:pPr>
              <w:spacing w:before="40" w:after="40"/>
              <w:jc w:val="left"/>
              <w:rPr>
                <w:color w:val="000000"/>
                <w:sz w:val="18"/>
              </w:rPr>
            </w:pPr>
            <w:r w:rsidRPr="002B1D8F">
              <w:rPr>
                <w:rFonts w:cs="Calibri"/>
                <w:color w:val="000000"/>
                <w:sz w:val="18"/>
                <w:szCs w:val="18"/>
              </w:rPr>
              <w:t>Construction</w:t>
            </w:r>
          </w:p>
        </w:tc>
        <w:tc>
          <w:tcPr>
            <w:tcW w:w="907" w:type="dxa"/>
            <w:tcBorders>
              <w:top w:val="nil"/>
              <w:bottom w:val="nil"/>
            </w:tcBorders>
            <w:shd w:val="clear" w:color="auto" w:fill="auto"/>
          </w:tcPr>
          <w:p w14:paraId="0D156433" w14:textId="77777777" w:rsidR="00E418D0" w:rsidRPr="00245929" w:rsidRDefault="00E418D0" w:rsidP="00A05864">
            <w:pPr>
              <w:pStyle w:val="TableTextCentered"/>
              <w:rPr>
                <w:highlight w:val="yellow"/>
              </w:rPr>
            </w:pPr>
            <w:r w:rsidRPr="00245929">
              <w:t xml:space="preserve"> 118.6 </w:t>
            </w:r>
          </w:p>
        </w:tc>
        <w:tc>
          <w:tcPr>
            <w:tcW w:w="907" w:type="dxa"/>
            <w:tcBorders>
              <w:top w:val="nil"/>
              <w:bottom w:val="nil"/>
            </w:tcBorders>
            <w:shd w:val="clear" w:color="auto" w:fill="auto"/>
          </w:tcPr>
          <w:p w14:paraId="08B1B752" w14:textId="77777777" w:rsidR="00E418D0" w:rsidRPr="00245929" w:rsidRDefault="00E418D0" w:rsidP="00A05864">
            <w:pPr>
              <w:pStyle w:val="TableTextCentered"/>
              <w:rPr>
                <w:highlight w:val="yellow"/>
              </w:rPr>
            </w:pPr>
            <w:r w:rsidRPr="00245929">
              <w:t xml:space="preserve"> 2,790.9 </w:t>
            </w:r>
          </w:p>
        </w:tc>
        <w:tc>
          <w:tcPr>
            <w:tcW w:w="907" w:type="dxa"/>
            <w:tcBorders>
              <w:top w:val="nil"/>
              <w:bottom w:val="nil"/>
            </w:tcBorders>
            <w:shd w:val="clear" w:color="auto" w:fill="auto"/>
          </w:tcPr>
          <w:p w14:paraId="24D28082" w14:textId="77777777" w:rsidR="00E418D0" w:rsidRPr="00245929" w:rsidRDefault="00E418D0" w:rsidP="00A05864">
            <w:pPr>
              <w:pStyle w:val="TableTextCentered"/>
              <w:rPr>
                <w:highlight w:val="yellow"/>
              </w:rPr>
            </w:pPr>
            <w:r w:rsidRPr="00245929">
              <w:t xml:space="preserve"> 41 </w:t>
            </w:r>
          </w:p>
        </w:tc>
        <w:tc>
          <w:tcPr>
            <w:tcW w:w="907" w:type="dxa"/>
            <w:tcBorders>
              <w:top w:val="nil"/>
              <w:bottom w:val="nil"/>
            </w:tcBorders>
            <w:shd w:val="clear" w:color="auto" w:fill="auto"/>
          </w:tcPr>
          <w:p w14:paraId="3A98CC26" w14:textId="77777777" w:rsidR="00E418D0" w:rsidRPr="00245929" w:rsidRDefault="00E418D0" w:rsidP="00A05864">
            <w:pPr>
              <w:pStyle w:val="TableTextCentered"/>
              <w:rPr>
                <w:highlight w:val="yellow"/>
              </w:rPr>
            </w:pPr>
            <w:r w:rsidRPr="00245929">
              <w:t xml:space="preserve"> 38 </w:t>
            </w:r>
          </w:p>
        </w:tc>
        <w:tc>
          <w:tcPr>
            <w:tcW w:w="907" w:type="dxa"/>
            <w:tcBorders>
              <w:top w:val="nil"/>
              <w:bottom w:val="nil"/>
            </w:tcBorders>
            <w:shd w:val="clear" w:color="auto" w:fill="auto"/>
          </w:tcPr>
          <w:p w14:paraId="12DCAE3E" w14:textId="77777777" w:rsidR="00E418D0" w:rsidRPr="00245929" w:rsidRDefault="00E418D0" w:rsidP="00A05864">
            <w:pPr>
              <w:pStyle w:val="TableTextCentered"/>
              <w:rPr>
                <w:highlight w:val="yellow"/>
              </w:rPr>
            </w:pPr>
            <w:r w:rsidRPr="00245929">
              <w:t xml:space="preserve"> 25 </w:t>
            </w:r>
          </w:p>
        </w:tc>
        <w:tc>
          <w:tcPr>
            <w:tcW w:w="907" w:type="dxa"/>
            <w:tcBorders>
              <w:top w:val="nil"/>
              <w:bottom w:val="nil"/>
            </w:tcBorders>
            <w:shd w:val="clear" w:color="auto" w:fill="auto"/>
          </w:tcPr>
          <w:p w14:paraId="37152B3C" w14:textId="77777777" w:rsidR="00E418D0" w:rsidRPr="00245929" w:rsidRDefault="00E418D0" w:rsidP="00A05864">
            <w:pPr>
              <w:pStyle w:val="TableTextCentered"/>
              <w:rPr>
                <w:highlight w:val="yellow"/>
              </w:rPr>
            </w:pPr>
            <w:r w:rsidRPr="00245929">
              <w:t xml:space="preserve"> 31 </w:t>
            </w:r>
          </w:p>
        </w:tc>
        <w:tc>
          <w:tcPr>
            <w:tcW w:w="907" w:type="dxa"/>
            <w:tcBorders>
              <w:top w:val="nil"/>
              <w:bottom w:val="nil"/>
            </w:tcBorders>
            <w:shd w:val="clear" w:color="auto" w:fill="auto"/>
          </w:tcPr>
          <w:p w14:paraId="422864CE" w14:textId="77777777" w:rsidR="00E418D0" w:rsidRPr="00245929" w:rsidRDefault="00E418D0" w:rsidP="00A05864">
            <w:pPr>
              <w:pStyle w:val="TableTextCentered"/>
              <w:rPr>
                <w:highlight w:val="yellow"/>
              </w:rPr>
            </w:pPr>
            <w:r w:rsidRPr="00245929">
              <w:t xml:space="preserve"> 34 </w:t>
            </w:r>
          </w:p>
        </w:tc>
        <w:tc>
          <w:tcPr>
            <w:tcW w:w="907" w:type="dxa"/>
            <w:tcBorders>
              <w:top w:val="nil"/>
              <w:bottom w:val="nil"/>
              <w:right w:val="nil"/>
            </w:tcBorders>
            <w:shd w:val="clear" w:color="auto" w:fill="auto"/>
          </w:tcPr>
          <w:p w14:paraId="22AFFBAB" w14:textId="77777777" w:rsidR="00E418D0" w:rsidRPr="00245929" w:rsidRDefault="00E418D0" w:rsidP="00A05864">
            <w:pPr>
              <w:pStyle w:val="TableTextCentered"/>
              <w:rPr>
                <w:highlight w:val="yellow"/>
              </w:rPr>
            </w:pPr>
            <w:r w:rsidRPr="00245929">
              <w:t xml:space="preserve"> 30 </w:t>
            </w:r>
          </w:p>
        </w:tc>
      </w:tr>
      <w:tr w:rsidR="00E418D0" w:rsidRPr="00245929" w14:paraId="7C56F0B1" w14:textId="77777777" w:rsidTr="00925EB0">
        <w:trPr>
          <w:trHeight w:val="308"/>
        </w:trPr>
        <w:tc>
          <w:tcPr>
            <w:tcW w:w="1813" w:type="dxa"/>
            <w:tcBorders>
              <w:top w:val="nil"/>
              <w:left w:val="nil"/>
              <w:bottom w:val="nil"/>
            </w:tcBorders>
            <w:shd w:val="clear" w:color="auto" w:fill="auto"/>
            <w:vAlign w:val="center"/>
          </w:tcPr>
          <w:p w14:paraId="190D5487" w14:textId="77777777" w:rsidR="00E418D0" w:rsidRPr="002B1D8F" w:rsidRDefault="00E418D0" w:rsidP="000D7EB7">
            <w:pPr>
              <w:spacing w:before="40" w:after="40"/>
              <w:jc w:val="left"/>
              <w:rPr>
                <w:color w:val="000000"/>
                <w:sz w:val="18"/>
              </w:rPr>
            </w:pPr>
            <w:r w:rsidRPr="002B1D8F">
              <w:rPr>
                <w:rFonts w:cs="Calibri"/>
                <w:color w:val="000000"/>
                <w:sz w:val="18"/>
                <w:szCs w:val="18"/>
              </w:rPr>
              <w:t>Wholesale Trade</w:t>
            </w:r>
          </w:p>
        </w:tc>
        <w:tc>
          <w:tcPr>
            <w:tcW w:w="907" w:type="dxa"/>
            <w:tcBorders>
              <w:top w:val="nil"/>
              <w:bottom w:val="nil"/>
            </w:tcBorders>
            <w:shd w:val="clear" w:color="auto" w:fill="auto"/>
          </w:tcPr>
          <w:p w14:paraId="2F7084F4" w14:textId="77777777" w:rsidR="00E418D0" w:rsidRPr="00245929" w:rsidRDefault="00E418D0" w:rsidP="00A05864">
            <w:pPr>
              <w:pStyle w:val="TableTextCentered"/>
              <w:rPr>
                <w:highlight w:val="yellow"/>
              </w:rPr>
            </w:pPr>
            <w:r w:rsidRPr="00245929">
              <w:t xml:space="preserve"> 22.5 </w:t>
            </w:r>
          </w:p>
        </w:tc>
        <w:tc>
          <w:tcPr>
            <w:tcW w:w="907" w:type="dxa"/>
            <w:tcBorders>
              <w:top w:val="nil"/>
              <w:bottom w:val="nil"/>
            </w:tcBorders>
            <w:shd w:val="clear" w:color="auto" w:fill="auto"/>
          </w:tcPr>
          <w:p w14:paraId="0AA94A2D" w14:textId="77777777" w:rsidR="00E418D0" w:rsidRPr="00245929" w:rsidRDefault="00E418D0" w:rsidP="00A05864">
            <w:pPr>
              <w:pStyle w:val="TableTextCentered"/>
              <w:rPr>
                <w:highlight w:val="yellow"/>
              </w:rPr>
            </w:pPr>
            <w:r w:rsidRPr="00245929">
              <w:t xml:space="preserve"> 1,326.1 </w:t>
            </w:r>
          </w:p>
        </w:tc>
        <w:tc>
          <w:tcPr>
            <w:tcW w:w="907" w:type="dxa"/>
            <w:tcBorders>
              <w:top w:val="nil"/>
              <w:bottom w:val="nil"/>
            </w:tcBorders>
            <w:shd w:val="clear" w:color="auto" w:fill="auto"/>
          </w:tcPr>
          <w:p w14:paraId="1B8F6968" w14:textId="77777777" w:rsidR="00E418D0" w:rsidRPr="00245929" w:rsidRDefault="00E418D0" w:rsidP="00A05864">
            <w:pPr>
              <w:pStyle w:val="TableTextCentered"/>
              <w:rPr>
                <w:highlight w:val="yellow"/>
              </w:rPr>
            </w:pPr>
            <w:r w:rsidRPr="00245929">
              <w:t xml:space="preserve"> 42 </w:t>
            </w:r>
          </w:p>
        </w:tc>
        <w:tc>
          <w:tcPr>
            <w:tcW w:w="907" w:type="dxa"/>
            <w:tcBorders>
              <w:top w:val="nil"/>
              <w:bottom w:val="nil"/>
            </w:tcBorders>
            <w:shd w:val="clear" w:color="auto" w:fill="auto"/>
          </w:tcPr>
          <w:p w14:paraId="67CB7214" w14:textId="77777777" w:rsidR="00E418D0" w:rsidRPr="00245929" w:rsidRDefault="00E418D0" w:rsidP="00A05864">
            <w:pPr>
              <w:pStyle w:val="TableTextCentered"/>
              <w:rPr>
                <w:highlight w:val="yellow"/>
              </w:rPr>
            </w:pPr>
            <w:r w:rsidRPr="00245929">
              <w:t xml:space="preserve"> 32 </w:t>
            </w:r>
          </w:p>
        </w:tc>
        <w:tc>
          <w:tcPr>
            <w:tcW w:w="907" w:type="dxa"/>
            <w:tcBorders>
              <w:top w:val="nil"/>
              <w:bottom w:val="nil"/>
            </w:tcBorders>
            <w:shd w:val="clear" w:color="auto" w:fill="auto"/>
          </w:tcPr>
          <w:p w14:paraId="02E4450F" w14:textId="77777777" w:rsidR="00E418D0" w:rsidRPr="00245929" w:rsidRDefault="00E418D0" w:rsidP="00A05864">
            <w:pPr>
              <w:pStyle w:val="TableTextCentered"/>
              <w:rPr>
                <w:highlight w:val="yellow"/>
              </w:rPr>
            </w:pPr>
            <w:r w:rsidRPr="00245929">
              <w:t xml:space="preserve"> 28 </w:t>
            </w:r>
          </w:p>
        </w:tc>
        <w:tc>
          <w:tcPr>
            <w:tcW w:w="907" w:type="dxa"/>
            <w:tcBorders>
              <w:top w:val="nil"/>
              <w:bottom w:val="nil"/>
            </w:tcBorders>
            <w:shd w:val="clear" w:color="auto" w:fill="auto"/>
          </w:tcPr>
          <w:p w14:paraId="0A39F11F" w14:textId="77777777" w:rsidR="00E418D0" w:rsidRPr="00245929" w:rsidRDefault="00E418D0" w:rsidP="00A05864">
            <w:pPr>
              <w:pStyle w:val="TableTextCentered"/>
              <w:rPr>
                <w:highlight w:val="yellow"/>
              </w:rPr>
            </w:pPr>
            <w:r w:rsidRPr="00245929">
              <w:t xml:space="preserve"> 46 </w:t>
            </w:r>
          </w:p>
        </w:tc>
        <w:tc>
          <w:tcPr>
            <w:tcW w:w="907" w:type="dxa"/>
            <w:tcBorders>
              <w:top w:val="nil"/>
              <w:bottom w:val="nil"/>
            </w:tcBorders>
            <w:shd w:val="clear" w:color="auto" w:fill="auto"/>
          </w:tcPr>
          <w:p w14:paraId="6BE3ED3B" w14:textId="77777777" w:rsidR="00E418D0" w:rsidRPr="00245929" w:rsidRDefault="00E418D0" w:rsidP="00A05864">
            <w:pPr>
              <w:pStyle w:val="TableTextCentered"/>
              <w:rPr>
                <w:highlight w:val="yellow"/>
              </w:rPr>
            </w:pPr>
            <w:r w:rsidRPr="00245929">
              <w:t xml:space="preserve"> 29 </w:t>
            </w:r>
          </w:p>
        </w:tc>
        <w:tc>
          <w:tcPr>
            <w:tcW w:w="907" w:type="dxa"/>
            <w:tcBorders>
              <w:top w:val="nil"/>
              <w:bottom w:val="nil"/>
              <w:right w:val="nil"/>
            </w:tcBorders>
            <w:shd w:val="clear" w:color="auto" w:fill="auto"/>
          </w:tcPr>
          <w:p w14:paraId="2210DF65" w14:textId="77777777" w:rsidR="00E418D0" w:rsidRPr="00245929" w:rsidRDefault="00E418D0" w:rsidP="00A05864">
            <w:pPr>
              <w:pStyle w:val="TableTextCentered"/>
              <w:rPr>
                <w:highlight w:val="yellow"/>
              </w:rPr>
            </w:pPr>
            <w:r w:rsidRPr="00245929">
              <w:t xml:space="preserve"> 22 </w:t>
            </w:r>
          </w:p>
        </w:tc>
      </w:tr>
      <w:tr w:rsidR="00E418D0" w:rsidRPr="00245929" w14:paraId="6C762E55" w14:textId="77777777" w:rsidTr="00925EB0">
        <w:trPr>
          <w:trHeight w:val="308"/>
        </w:trPr>
        <w:tc>
          <w:tcPr>
            <w:tcW w:w="1813" w:type="dxa"/>
            <w:tcBorders>
              <w:top w:val="nil"/>
              <w:left w:val="nil"/>
              <w:bottom w:val="nil"/>
            </w:tcBorders>
            <w:shd w:val="clear" w:color="auto" w:fill="auto"/>
            <w:vAlign w:val="center"/>
          </w:tcPr>
          <w:p w14:paraId="2E5CAFB0" w14:textId="77777777" w:rsidR="00E418D0" w:rsidRPr="002B1D8F" w:rsidRDefault="00E418D0" w:rsidP="000D7EB7">
            <w:pPr>
              <w:spacing w:before="40" w:after="40"/>
              <w:jc w:val="left"/>
              <w:rPr>
                <w:color w:val="000000"/>
                <w:sz w:val="18"/>
              </w:rPr>
            </w:pPr>
            <w:r w:rsidRPr="002B1D8F">
              <w:rPr>
                <w:rFonts w:cs="Calibri"/>
                <w:color w:val="000000"/>
                <w:sz w:val="18"/>
                <w:szCs w:val="18"/>
              </w:rPr>
              <w:t>Retail Trade</w:t>
            </w:r>
          </w:p>
        </w:tc>
        <w:tc>
          <w:tcPr>
            <w:tcW w:w="907" w:type="dxa"/>
            <w:tcBorders>
              <w:top w:val="nil"/>
              <w:bottom w:val="nil"/>
            </w:tcBorders>
            <w:shd w:val="clear" w:color="auto" w:fill="auto"/>
          </w:tcPr>
          <w:p w14:paraId="34CCB04E" w14:textId="77777777" w:rsidR="00E418D0" w:rsidRPr="00245929" w:rsidRDefault="00E418D0" w:rsidP="00A05864">
            <w:pPr>
              <w:pStyle w:val="TableTextCentered"/>
              <w:rPr>
                <w:highlight w:val="yellow"/>
              </w:rPr>
            </w:pPr>
            <w:r w:rsidRPr="00245929">
              <w:t xml:space="preserve"> 42.1 </w:t>
            </w:r>
          </w:p>
        </w:tc>
        <w:tc>
          <w:tcPr>
            <w:tcW w:w="907" w:type="dxa"/>
            <w:tcBorders>
              <w:top w:val="nil"/>
              <w:bottom w:val="nil"/>
            </w:tcBorders>
            <w:shd w:val="clear" w:color="auto" w:fill="auto"/>
          </w:tcPr>
          <w:p w14:paraId="2B94711C" w14:textId="77777777" w:rsidR="00E418D0" w:rsidRPr="00245929" w:rsidRDefault="00E418D0" w:rsidP="00A05864">
            <w:pPr>
              <w:pStyle w:val="TableTextCentered"/>
              <w:rPr>
                <w:highlight w:val="yellow"/>
              </w:rPr>
            </w:pPr>
            <w:r w:rsidRPr="00245929">
              <w:t xml:space="preserve"> 2,235.2 </w:t>
            </w:r>
          </w:p>
        </w:tc>
        <w:tc>
          <w:tcPr>
            <w:tcW w:w="907" w:type="dxa"/>
            <w:tcBorders>
              <w:top w:val="nil"/>
              <w:bottom w:val="nil"/>
            </w:tcBorders>
            <w:shd w:val="clear" w:color="auto" w:fill="auto"/>
          </w:tcPr>
          <w:p w14:paraId="78C411AA" w14:textId="77777777" w:rsidR="00E418D0" w:rsidRPr="00245929" w:rsidRDefault="00E418D0" w:rsidP="00A05864">
            <w:pPr>
              <w:pStyle w:val="TableTextCentered"/>
              <w:rPr>
                <w:highlight w:val="yellow"/>
              </w:rPr>
            </w:pPr>
            <w:r w:rsidRPr="00245929">
              <w:t xml:space="preserve"> 43 </w:t>
            </w:r>
          </w:p>
        </w:tc>
        <w:tc>
          <w:tcPr>
            <w:tcW w:w="907" w:type="dxa"/>
            <w:tcBorders>
              <w:top w:val="nil"/>
              <w:bottom w:val="nil"/>
            </w:tcBorders>
            <w:shd w:val="clear" w:color="auto" w:fill="auto"/>
          </w:tcPr>
          <w:p w14:paraId="14E6A670" w14:textId="77777777" w:rsidR="00E418D0" w:rsidRPr="00245929" w:rsidRDefault="00E418D0" w:rsidP="00A05864">
            <w:pPr>
              <w:pStyle w:val="TableTextCentered"/>
              <w:rPr>
                <w:highlight w:val="yellow"/>
              </w:rPr>
            </w:pPr>
            <w:r w:rsidRPr="00245929">
              <w:t xml:space="preserve"> 33 </w:t>
            </w:r>
          </w:p>
        </w:tc>
        <w:tc>
          <w:tcPr>
            <w:tcW w:w="907" w:type="dxa"/>
            <w:tcBorders>
              <w:top w:val="nil"/>
              <w:bottom w:val="nil"/>
            </w:tcBorders>
            <w:shd w:val="clear" w:color="auto" w:fill="auto"/>
          </w:tcPr>
          <w:p w14:paraId="6F8BDDF1" w14:textId="77777777" w:rsidR="00E418D0" w:rsidRPr="00245929" w:rsidRDefault="00E418D0" w:rsidP="00A05864">
            <w:pPr>
              <w:pStyle w:val="TableTextCentered"/>
              <w:rPr>
                <w:highlight w:val="yellow"/>
              </w:rPr>
            </w:pPr>
            <w:r w:rsidRPr="00245929">
              <w:t xml:space="preserve"> 29 </w:t>
            </w:r>
          </w:p>
        </w:tc>
        <w:tc>
          <w:tcPr>
            <w:tcW w:w="907" w:type="dxa"/>
            <w:tcBorders>
              <w:top w:val="nil"/>
              <w:bottom w:val="nil"/>
            </w:tcBorders>
            <w:shd w:val="clear" w:color="auto" w:fill="auto"/>
          </w:tcPr>
          <w:p w14:paraId="63CE5CC9" w14:textId="77777777" w:rsidR="00E418D0" w:rsidRPr="00245929" w:rsidRDefault="00E418D0" w:rsidP="00A05864">
            <w:pPr>
              <w:pStyle w:val="TableTextCentered"/>
              <w:rPr>
                <w:highlight w:val="yellow"/>
              </w:rPr>
            </w:pPr>
            <w:r w:rsidRPr="00245929">
              <w:t xml:space="preserve"> 44 </w:t>
            </w:r>
          </w:p>
        </w:tc>
        <w:tc>
          <w:tcPr>
            <w:tcW w:w="907" w:type="dxa"/>
            <w:tcBorders>
              <w:top w:val="nil"/>
              <w:bottom w:val="nil"/>
            </w:tcBorders>
            <w:shd w:val="clear" w:color="auto" w:fill="auto"/>
          </w:tcPr>
          <w:p w14:paraId="7ECA7D22" w14:textId="77777777" w:rsidR="00E418D0" w:rsidRPr="00245929" w:rsidRDefault="00E418D0" w:rsidP="00A05864">
            <w:pPr>
              <w:pStyle w:val="TableTextCentered"/>
              <w:rPr>
                <w:highlight w:val="yellow"/>
              </w:rPr>
            </w:pPr>
            <w:r w:rsidRPr="00245929">
              <w:t xml:space="preserve"> 28 </w:t>
            </w:r>
          </w:p>
        </w:tc>
        <w:tc>
          <w:tcPr>
            <w:tcW w:w="907" w:type="dxa"/>
            <w:tcBorders>
              <w:top w:val="nil"/>
              <w:bottom w:val="nil"/>
              <w:right w:val="nil"/>
            </w:tcBorders>
            <w:shd w:val="clear" w:color="auto" w:fill="auto"/>
          </w:tcPr>
          <w:p w14:paraId="392F73B1" w14:textId="77777777" w:rsidR="00E418D0" w:rsidRPr="00245929" w:rsidRDefault="00E418D0" w:rsidP="00A05864">
            <w:pPr>
              <w:pStyle w:val="TableTextCentered"/>
              <w:rPr>
                <w:highlight w:val="yellow"/>
              </w:rPr>
            </w:pPr>
            <w:r w:rsidRPr="00245929">
              <w:t xml:space="preserve"> 23 </w:t>
            </w:r>
          </w:p>
        </w:tc>
      </w:tr>
      <w:tr w:rsidR="00E418D0" w:rsidRPr="00245929" w14:paraId="22C4147C" w14:textId="77777777" w:rsidTr="00925EB0">
        <w:tc>
          <w:tcPr>
            <w:tcW w:w="1813" w:type="dxa"/>
            <w:tcBorders>
              <w:top w:val="nil"/>
              <w:left w:val="nil"/>
              <w:bottom w:val="nil"/>
            </w:tcBorders>
            <w:shd w:val="clear" w:color="auto" w:fill="auto"/>
            <w:vAlign w:val="center"/>
          </w:tcPr>
          <w:p w14:paraId="0CDC5557" w14:textId="77777777" w:rsidR="00E418D0" w:rsidRPr="002B1D8F" w:rsidRDefault="00E418D0" w:rsidP="000D7EB7">
            <w:pPr>
              <w:spacing w:before="40" w:after="40"/>
              <w:jc w:val="left"/>
              <w:rPr>
                <w:color w:val="000000"/>
                <w:sz w:val="18"/>
              </w:rPr>
            </w:pPr>
            <w:r w:rsidRPr="002B1D8F">
              <w:rPr>
                <w:rFonts w:cs="Calibri"/>
                <w:color w:val="000000"/>
                <w:sz w:val="18"/>
                <w:szCs w:val="18"/>
              </w:rPr>
              <w:t>Accommodation and Food Services</w:t>
            </w:r>
          </w:p>
        </w:tc>
        <w:tc>
          <w:tcPr>
            <w:tcW w:w="907" w:type="dxa"/>
            <w:tcBorders>
              <w:top w:val="nil"/>
              <w:bottom w:val="nil"/>
            </w:tcBorders>
            <w:shd w:val="clear" w:color="auto" w:fill="auto"/>
          </w:tcPr>
          <w:p w14:paraId="7BC291CA" w14:textId="77777777" w:rsidR="00E418D0" w:rsidRPr="00245929" w:rsidRDefault="00E418D0" w:rsidP="00A05864">
            <w:pPr>
              <w:pStyle w:val="TableTextCentered"/>
              <w:rPr>
                <w:highlight w:val="yellow"/>
              </w:rPr>
            </w:pPr>
            <w:r w:rsidRPr="00245929">
              <w:t xml:space="preserve"> 39.8 </w:t>
            </w:r>
          </w:p>
        </w:tc>
        <w:tc>
          <w:tcPr>
            <w:tcW w:w="907" w:type="dxa"/>
            <w:tcBorders>
              <w:top w:val="nil"/>
              <w:bottom w:val="nil"/>
            </w:tcBorders>
            <w:shd w:val="clear" w:color="auto" w:fill="auto"/>
          </w:tcPr>
          <w:p w14:paraId="725FF282" w14:textId="77777777" w:rsidR="00E418D0" w:rsidRPr="00245929" w:rsidRDefault="00E418D0" w:rsidP="00A05864">
            <w:pPr>
              <w:pStyle w:val="TableTextCentered"/>
              <w:rPr>
                <w:highlight w:val="yellow"/>
              </w:rPr>
            </w:pPr>
            <w:r w:rsidRPr="00245929">
              <w:t xml:space="preserve"> 1,864.2 </w:t>
            </w:r>
          </w:p>
        </w:tc>
        <w:tc>
          <w:tcPr>
            <w:tcW w:w="907" w:type="dxa"/>
            <w:tcBorders>
              <w:top w:val="nil"/>
              <w:bottom w:val="nil"/>
            </w:tcBorders>
            <w:shd w:val="clear" w:color="auto" w:fill="auto"/>
          </w:tcPr>
          <w:p w14:paraId="65E75671" w14:textId="77777777" w:rsidR="00E418D0" w:rsidRPr="00245929" w:rsidRDefault="00E418D0" w:rsidP="00A05864">
            <w:pPr>
              <w:pStyle w:val="TableTextCentered"/>
              <w:rPr>
                <w:highlight w:val="yellow"/>
              </w:rPr>
            </w:pPr>
            <w:r w:rsidRPr="00245929">
              <w:t xml:space="preserve"> 64 </w:t>
            </w:r>
          </w:p>
        </w:tc>
        <w:tc>
          <w:tcPr>
            <w:tcW w:w="907" w:type="dxa"/>
            <w:tcBorders>
              <w:top w:val="nil"/>
              <w:bottom w:val="nil"/>
            </w:tcBorders>
            <w:shd w:val="clear" w:color="auto" w:fill="auto"/>
          </w:tcPr>
          <w:p w14:paraId="76EC1892" w14:textId="77777777" w:rsidR="00E418D0" w:rsidRPr="00245929" w:rsidRDefault="00E418D0" w:rsidP="00A05864">
            <w:pPr>
              <w:pStyle w:val="TableTextCentered"/>
              <w:rPr>
                <w:highlight w:val="yellow"/>
              </w:rPr>
            </w:pPr>
            <w:r w:rsidRPr="00245929">
              <w:t xml:space="preserve"> 70 </w:t>
            </w:r>
          </w:p>
        </w:tc>
        <w:tc>
          <w:tcPr>
            <w:tcW w:w="907" w:type="dxa"/>
            <w:tcBorders>
              <w:top w:val="nil"/>
              <w:bottom w:val="nil"/>
            </w:tcBorders>
            <w:shd w:val="clear" w:color="auto" w:fill="auto"/>
          </w:tcPr>
          <w:p w14:paraId="5A778BFA" w14:textId="77777777" w:rsidR="00E418D0" w:rsidRPr="00245929" w:rsidRDefault="00E418D0" w:rsidP="00A05864">
            <w:pPr>
              <w:pStyle w:val="TableTextCentered"/>
              <w:rPr>
                <w:highlight w:val="yellow"/>
              </w:rPr>
            </w:pPr>
            <w:r w:rsidRPr="00245929">
              <w:t xml:space="preserve"> 22 </w:t>
            </w:r>
          </w:p>
        </w:tc>
        <w:tc>
          <w:tcPr>
            <w:tcW w:w="907" w:type="dxa"/>
            <w:tcBorders>
              <w:top w:val="nil"/>
              <w:bottom w:val="nil"/>
            </w:tcBorders>
            <w:shd w:val="clear" w:color="auto" w:fill="auto"/>
          </w:tcPr>
          <w:p w14:paraId="3741E83D" w14:textId="77777777" w:rsidR="00E418D0" w:rsidRPr="00245929" w:rsidRDefault="00E418D0" w:rsidP="00A05864">
            <w:pPr>
              <w:pStyle w:val="TableTextCentered"/>
              <w:rPr>
                <w:highlight w:val="yellow"/>
              </w:rPr>
            </w:pPr>
            <w:r w:rsidRPr="00245929">
              <w:t xml:space="preserve"> 21 </w:t>
            </w:r>
          </w:p>
        </w:tc>
        <w:tc>
          <w:tcPr>
            <w:tcW w:w="907" w:type="dxa"/>
            <w:tcBorders>
              <w:top w:val="nil"/>
              <w:bottom w:val="nil"/>
            </w:tcBorders>
            <w:shd w:val="clear" w:color="auto" w:fill="auto"/>
          </w:tcPr>
          <w:p w14:paraId="76772DA5" w14:textId="77777777" w:rsidR="00E418D0" w:rsidRPr="00245929" w:rsidRDefault="00E418D0" w:rsidP="00A05864">
            <w:pPr>
              <w:pStyle w:val="TableTextCentered"/>
              <w:rPr>
                <w:highlight w:val="yellow"/>
              </w:rPr>
            </w:pPr>
            <w:r w:rsidRPr="00245929">
              <w:t xml:space="preserve"> 13 </w:t>
            </w:r>
          </w:p>
        </w:tc>
        <w:tc>
          <w:tcPr>
            <w:tcW w:w="907" w:type="dxa"/>
            <w:tcBorders>
              <w:top w:val="nil"/>
              <w:bottom w:val="nil"/>
              <w:right w:val="nil"/>
            </w:tcBorders>
            <w:shd w:val="clear" w:color="auto" w:fill="auto"/>
          </w:tcPr>
          <w:p w14:paraId="551F09B4" w14:textId="77777777" w:rsidR="00E418D0" w:rsidRPr="00245929" w:rsidRDefault="00E418D0" w:rsidP="00A05864">
            <w:pPr>
              <w:pStyle w:val="TableTextCentered"/>
              <w:rPr>
                <w:highlight w:val="yellow"/>
              </w:rPr>
            </w:pPr>
            <w:r w:rsidRPr="00245929">
              <w:t xml:space="preserve"> 9 </w:t>
            </w:r>
          </w:p>
        </w:tc>
      </w:tr>
      <w:tr w:rsidR="00E418D0" w:rsidRPr="00245929" w14:paraId="069EAD84" w14:textId="77777777" w:rsidTr="00925EB0">
        <w:trPr>
          <w:trHeight w:val="308"/>
        </w:trPr>
        <w:tc>
          <w:tcPr>
            <w:tcW w:w="1813" w:type="dxa"/>
            <w:tcBorders>
              <w:top w:val="nil"/>
              <w:left w:val="nil"/>
              <w:bottom w:val="nil"/>
            </w:tcBorders>
            <w:shd w:val="clear" w:color="auto" w:fill="auto"/>
            <w:vAlign w:val="center"/>
          </w:tcPr>
          <w:p w14:paraId="5752A792" w14:textId="77777777" w:rsidR="00E418D0" w:rsidRPr="002B1D8F" w:rsidRDefault="00E418D0" w:rsidP="000D7EB7">
            <w:pPr>
              <w:spacing w:before="40" w:after="40"/>
              <w:jc w:val="left"/>
              <w:rPr>
                <w:color w:val="000000"/>
                <w:sz w:val="18"/>
              </w:rPr>
            </w:pPr>
            <w:r w:rsidRPr="002B1D8F">
              <w:rPr>
                <w:rFonts w:cs="Calibri"/>
                <w:color w:val="000000"/>
                <w:sz w:val="18"/>
                <w:szCs w:val="18"/>
              </w:rPr>
              <w:t>Transport, Postal and Warehousing</w:t>
            </w:r>
          </w:p>
        </w:tc>
        <w:tc>
          <w:tcPr>
            <w:tcW w:w="907" w:type="dxa"/>
            <w:tcBorders>
              <w:top w:val="nil"/>
              <w:bottom w:val="nil"/>
            </w:tcBorders>
            <w:shd w:val="clear" w:color="auto" w:fill="auto"/>
          </w:tcPr>
          <w:p w14:paraId="18F373AB" w14:textId="77777777" w:rsidR="00E418D0" w:rsidRPr="00245929" w:rsidRDefault="00E418D0" w:rsidP="00A05864">
            <w:pPr>
              <w:pStyle w:val="TableTextCentered"/>
              <w:rPr>
                <w:highlight w:val="yellow"/>
              </w:rPr>
            </w:pPr>
            <w:r w:rsidRPr="00245929">
              <w:t xml:space="preserve"> 43.9 </w:t>
            </w:r>
          </w:p>
        </w:tc>
        <w:tc>
          <w:tcPr>
            <w:tcW w:w="907" w:type="dxa"/>
            <w:tcBorders>
              <w:top w:val="nil"/>
              <w:bottom w:val="nil"/>
            </w:tcBorders>
            <w:shd w:val="clear" w:color="auto" w:fill="auto"/>
          </w:tcPr>
          <w:p w14:paraId="4EA9229D" w14:textId="77777777" w:rsidR="00E418D0" w:rsidRPr="00245929" w:rsidRDefault="00E418D0" w:rsidP="00A05864">
            <w:pPr>
              <w:pStyle w:val="TableTextCentered"/>
              <w:rPr>
                <w:highlight w:val="yellow"/>
              </w:rPr>
            </w:pPr>
            <w:r w:rsidRPr="00245929">
              <w:t xml:space="preserve"> 950.2 </w:t>
            </w:r>
          </w:p>
        </w:tc>
        <w:tc>
          <w:tcPr>
            <w:tcW w:w="907" w:type="dxa"/>
            <w:tcBorders>
              <w:top w:val="nil"/>
              <w:bottom w:val="nil"/>
            </w:tcBorders>
            <w:shd w:val="clear" w:color="auto" w:fill="auto"/>
          </w:tcPr>
          <w:p w14:paraId="49A1C36A" w14:textId="77777777" w:rsidR="00E418D0" w:rsidRPr="00245929" w:rsidRDefault="00E418D0" w:rsidP="00A05864">
            <w:pPr>
              <w:pStyle w:val="TableTextCentered"/>
              <w:rPr>
                <w:highlight w:val="yellow"/>
              </w:rPr>
            </w:pPr>
            <w:r w:rsidRPr="00245929">
              <w:t xml:space="preserve"> 62 </w:t>
            </w:r>
          </w:p>
        </w:tc>
        <w:tc>
          <w:tcPr>
            <w:tcW w:w="907" w:type="dxa"/>
            <w:tcBorders>
              <w:top w:val="nil"/>
              <w:bottom w:val="nil"/>
            </w:tcBorders>
            <w:shd w:val="clear" w:color="auto" w:fill="auto"/>
          </w:tcPr>
          <w:p w14:paraId="5DD2A64D" w14:textId="77777777" w:rsidR="00E418D0" w:rsidRPr="00245929" w:rsidRDefault="00E418D0" w:rsidP="00A05864">
            <w:pPr>
              <w:pStyle w:val="TableTextCentered"/>
              <w:rPr>
                <w:highlight w:val="yellow"/>
              </w:rPr>
            </w:pPr>
            <w:r w:rsidRPr="00245929">
              <w:t xml:space="preserve"> 61 </w:t>
            </w:r>
          </w:p>
        </w:tc>
        <w:tc>
          <w:tcPr>
            <w:tcW w:w="907" w:type="dxa"/>
            <w:tcBorders>
              <w:top w:val="nil"/>
              <w:bottom w:val="nil"/>
            </w:tcBorders>
            <w:shd w:val="clear" w:color="auto" w:fill="auto"/>
          </w:tcPr>
          <w:p w14:paraId="7542CE48" w14:textId="77777777" w:rsidR="00E418D0" w:rsidRPr="00245929" w:rsidRDefault="00E418D0" w:rsidP="00A05864">
            <w:pPr>
              <w:pStyle w:val="TableTextCentered"/>
              <w:rPr>
                <w:highlight w:val="yellow"/>
              </w:rPr>
            </w:pPr>
            <w:r w:rsidRPr="00245929">
              <w:t xml:space="preserve"> 20 </w:t>
            </w:r>
          </w:p>
        </w:tc>
        <w:tc>
          <w:tcPr>
            <w:tcW w:w="907" w:type="dxa"/>
            <w:tcBorders>
              <w:top w:val="nil"/>
              <w:bottom w:val="nil"/>
            </w:tcBorders>
            <w:shd w:val="clear" w:color="auto" w:fill="auto"/>
          </w:tcPr>
          <w:p w14:paraId="1EF09918" w14:textId="77777777" w:rsidR="00E418D0" w:rsidRPr="00245929" w:rsidRDefault="00E418D0" w:rsidP="00A05864">
            <w:pPr>
              <w:pStyle w:val="TableTextCentered"/>
              <w:rPr>
                <w:highlight w:val="yellow"/>
              </w:rPr>
            </w:pPr>
            <w:r w:rsidRPr="00245929">
              <w:t xml:space="preserve"> 23 </w:t>
            </w:r>
          </w:p>
        </w:tc>
        <w:tc>
          <w:tcPr>
            <w:tcW w:w="907" w:type="dxa"/>
            <w:tcBorders>
              <w:top w:val="nil"/>
              <w:bottom w:val="nil"/>
            </w:tcBorders>
            <w:shd w:val="clear" w:color="auto" w:fill="auto"/>
          </w:tcPr>
          <w:p w14:paraId="0F2DE7CB" w14:textId="77777777" w:rsidR="00E418D0" w:rsidRPr="00245929" w:rsidRDefault="00E418D0" w:rsidP="00A05864">
            <w:pPr>
              <w:pStyle w:val="TableTextCentered"/>
              <w:rPr>
                <w:highlight w:val="yellow"/>
              </w:rPr>
            </w:pPr>
            <w:r w:rsidRPr="00245929">
              <w:t xml:space="preserve"> 19 </w:t>
            </w:r>
          </w:p>
        </w:tc>
        <w:tc>
          <w:tcPr>
            <w:tcW w:w="907" w:type="dxa"/>
            <w:tcBorders>
              <w:top w:val="nil"/>
              <w:bottom w:val="nil"/>
              <w:right w:val="nil"/>
            </w:tcBorders>
            <w:shd w:val="clear" w:color="auto" w:fill="auto"/>
          </w:tcPr>
          <w:p w14:paraId="6F220174" w14:textId="77777777" w:rsidR="00E418D0" w:rsidRPr="00245929" w:rsidRDefault="00E418D0" w:rsidP="00A05864">
            <w:pPr>
              <w:pStyle w:val="TableTextCentered"/>
              <w:rPr>
                <w:highlight w:val="yellow"/>
              </w:rPr>
            </w:pPr>
            <w:r w:rsidRPr="00245929">
              <w:t xml:space="preserve"> 16 </w:t>
            </w:r>
          </w:p>
        </w:tc>
      </w:tr>
      <w:tr w:rsidR="00E418D0" w:rsidRPr="00245929" w14:paraId="79BF5AF1" w14:textId="77777777" w:rsidTr="00925EB0">
        <w:trPr>
          <w:trHeight w:val="308"/>
        </w:trPr>
        <w:tc>
          <w:tcPr>
            <w:tcW w:w="1813" w:type="dxa"/>
            <w:tcBorders>
              <w:top w:val="nil"/>
              <w:left w:val="nil"/>
              <w:bottom w:val="nil"/>
            </w:tcBorders>
            <w:shd w:val="clear" w:color="auto" w:fill="auto"/>
            <w:vAlign w:val="center"/>
          </w:tcPr>
          <w:p w14:paraId="10734380" w14:textId="77777777" w:rsidR="00E418D0" w:rsidRPr="002B1D8F" w:rsidRDefault="00E418D0" w:rsidP="000D7EB7">
            <w:pPr>
              <w:spacing w:before="40" w:after="40"/>
              <w:jc w:val="left"/>
              <w:rPr>
                <w:color w:val="000000"/>
                <w:sz w:val="18"/>
              </w:rPr>
            </w:pPr>
            <w:r w:rsidRPr="002B1D8F">
              <w:rPr>
                <w:rFonts w:cs="Calibri"/>
                <w:color w:val="000000"/>
                <w:sz w:val="18"/>
                <w:szCs w:val="18"/>
              </w:rPr>
              <w:t>Information Media and Telecommunications</w:t>
            </w:r>
          </w:p>
        </w:tc>
        <w:tc>
          <w:tcPr>
            <w:tcW w:w="907" w:type="dxa"/>
            <w:tcBorders>
              <w:top w:val="nil"/>
              <w:bottom w:val="nil"/>
            </w:tcBorders>
            <w:shd w:val="clear" w:color="auto" w:fill="auto"/>
          </w:tcPr>
          <w:p w14:paraId="30F12EDD" w14:textId="77777777" w:rsidR="00E418D0" w:rsidRPr="00245929" w:rsidRDefault="00E418D0" w:rsidP="00A05864">
            <w:pPr>
              <w:pStyle w:val="TableTextCentered"/>
              <w:rPr>
                <w:highlight w:val="yellow"/>
              </w:rPr>
            </w:pPr>
            <w:r w:rsidRPr="00245929">
              <w:t xml:space="preserve"> 8.5 </w:t>
            </w:r>
          </w:p>
        </w:tc>
        <w:tc>
          <w:tcPr>
            <w:tcW w:w="907" w:type="dxa"/>
            <w:tcBorders>
              <w:top w:val="nil"/>
              <w:bottom w:val="nil"/>
            </w:tcBorders>
            <w:shd w:val="clear" w:color="auto" w:fill="auto"/>
          </w:tcPr>
          <w:p w14:paraId="2F9F91F4" w14:textId="77777777" w:rsidR="00E418D0" w:rsidRPr="00245929" w:rsidRDefault="00E418D0" w:rsidP="00A05864">
            <w:pPr>
              <w:pStyle w:val="TableTextCentered"/>
              <w:rPr>
                <w:highlight w:val="yellow"/>
              </w:rPr>
            </w:pPr>
            <w:r w:rsidRPr="00245929">
              <w:t xml:space="preserve"> 294.5 </w:t>
            </w:r>
          </w:p>
        </w:tc>
        <w:tc>
          <w:tcPr>
            <w:tcW w:w="907" w:type="dxa"/>
            <w:tcBorders>
              <w:top w:val="nil"/>
              <w:bottom w:val="nil"/>
            </w:tcBorders>
            <w:shd w:val="clear" w:color="auto" w:fill="auto"/>
          </w:tcPr>
          <w:p w14:paraId="17AF03ED" w14:textId="77777777" w:rsidR="00E418D0" w:rsidRPr="00245929" w:rsidRDefault="00E418D0" w:rsidP="00A05864">
            <w:pPr>
              <w:pStyle w:val="TableTextCentered"/>
              <w:rPr>
                <w:highlight w:val="yellow"/>
              </w:rPr>
            </w:pPr>
            <w:r w:rsidRPr="00245929">
              <w:t xml:space="preserve"> 56 </w:t>
            </w:r>
          </w:p>
        </w:tc>
        <w:tc>
          <w:tcPr>
            <w:tcW w:w="907" w:type="dxa"/>
            <w:tcBorders>
              <w:top w:val="nil"/>
              <w:bottom w:val="nil"/>
            </w:tcBorders>
            <w:shd w:val="clear" w:color="auto" w:fill="auto"/>
          </w:tcPr>
          <w:p w14:paraId="30365D1C" w14:textId="77777777" w:rsidR="00E418D0" w:rsidRPr="00245929" w:rsidRDefault="00E418D0" w:rsidP="00A05864">
            <w:pPr>
              <w:pStyle w:val="TableTextCentered"/>
              <w:rPr>
                <w:highlight w:val="yellow"/>
              </w:rPr>
            </w:pPr>
            <w:r w:rsidRPr="00245929">
              <w:t xml:space="preserve"> 52 </w:t>
            </w:r>
          </w:p>
        </w:tc>
        <w:tc>
          <w:tcPr>
            <w:tcW w:w="907" w:type="dxa"/>
            <w:tcBorders>
              <w:top w:val="nil"/>
              <w:bottom w:val="nil"/>
            </w:tcBorders>
            <w:shd w:val="clear" w:color="auto" w:fill="auto"/>
          </w:tcPr>
          <w:p w14:paraId="309ED5FC" w14:textId="77777777" w:rsidR="00E418D0" w:rsidRPr="00245929" w:rsidRDefault="00E418D0" w:rsidP="00A05864">
            <w:pPr>
              <w:pStyle w:val="TableTextCentered"/>
              <w:rPr>
                <w:highlight w:val="yellow"/>
              </w:rPr>
            </w:pPr>
            <w:r w:rsidRPr="00245929">
              <w:t xml:space="preserve"> 20 </w:t>
            </w:r>
          </w:p>
        </w:tc>
        <w:tc>
          <w:tcPr>
            <w:tcW w:w="907" w:type="dxa"/>
            <w:tcBorders>
              <w:top w:val="nil"/>
              <w:bottom w:val="nil"/>
            </w:tcBorders>
            <w:shd w:val="clear" w:color="auto" w:fill="auto"/>
          </w:tcPr>
          <w:p w14:paraId="58840414" w14:textId="77777777" w:rsidR="00E418D0" w:rsidRPr="00245929" w:rsidRDefault="00E418D0" w:rsidP="00A05864">
            <w:pPr>
              <w:pStyle w:val="TableTextCentered"/>
              <w:rPr>
                <w:highlight w:val="yellow"/>
              </w:rPr>
            </w:pPr>
            <w:r w:rsidRPr="00245929">
              <w:t xml:space="preserve"> 31 </w:t>
            </w:r>
          </w:p>
        </w:tc>
        <w:tc>
          <w:tcPr>
            <w:tcW w:w="907" w:type="dxa"/>
            <w:tcBorders>
              <w:top w:val="nil"/>
              <w:bottom w:val="nil"/>
            </w:tcBorders>
            <w:shd w:val="clear" w:color="auto" w:fill="auto"/>
          </w:tcPr>
          <w:p w14:paraId="5B9D63CE" w14:textId="77777777" w:rsidR="00E418D0" w:rsidRPr="00245929" w:rsidRDefault="00E418D0" w:rsidP="00A05864">
            <w:pPr>
              <w:pStyle w:val="TableTextCentered"/>
              <w:rPr>
                <w:highlight w:val="yellow"/>
              </w:rPr>
            </w:pPr>
            <w:r w:rsidRPr="00245929">
              <w:t xml:space="preserve"> 24 </w:t>
            </w:r>
          </w:p>
        </w:tc>
        <w:tc>
          <w:tcPr>
            <w:tcW w:w="907" w:type="dxa"/>
            <w:tcBorders>
              <w:top w:val="nil"/>
              <w:bottom w:val="nil"/>
              <w:right w:val="nil"/>
            </w:tcBorders>
            <w:shd w:val="clear" w:color="auto" w:fill="auto"/>
          </w:tcPr>
          <w:p w14:paraId="400ACF4C" w14:textId="77777777" w:rsidR="00E418D0" w:rsidRPr="00245929" w:rsidRDefault="00E418D0" w:rsidP="00A05864">
            <w:pPr>
              <w:pStyle w:val="TableTextCentered"/>
              <w:rPr>
                <w:highlight w:val="yellow"/>
              </w:rPr>
            </w:pPr>
            <w:r w:rsidRPr="00245929">
              <w:t xml:space="preserve"> 18 </w:t>
            </w:r>
          </w:p>
        </w:tc>
      </w:tr>
      <w:tr w:rsidR="00E418D0" w:rsidRPr="00245929" w14:paraId="22F9B00B" w14:textId="77777777" w:rsidTr="00925EB0">
        <w:trPr>
          <w:trHeight w:val="308"/>
        </w:trPr>
        <w:tc>
          <w:tcPr>
            <w:tcW w:w="1813" w:type="dxa"/>
            <w:tcBorders>
              <w:top w:val="nil"/>
              <w:left w:val="nil"/>
              <w:bottom w:val="nil"/>
            </w:tcBorders>
            <w:shd w:val="clear" w:color="auto" w:fill="auto"/>
            <w:vAlign w:val="center"/>
          </w:tcPr>
          <w:p w14:paraId="3D10C291" w14:textId="77777777" w:rsidR="00E418D0" w:rsidRPr="002B1D8F" w:rsidRDefault="00E418D0" w:rsidP="000D7EB7">
            <w:pPr>
              <w:spacing w:before="40" w:after="40"/>
              <w:jc w:val="left"/>
              <w:rPr>
                <w:color w:val="000000"/>
                <w:sz w:val="18"/>
              </w:rPr>
            </w:pPr>
            <w:r w:rsidRPr="002B1D8F">
              <w:rPr>
                <w:rFonts w:cs="Calibri"/>
                <w:color w:val="000000"/>
                <w:sz w:val="18"/>
                <w:szCs w:val="18"/>
              </w:rPr>
              <w:t>Financial and Insurance Services</w:t>
            </w:r>
          </w:p>
        </w:tc>
        <w:tc>
          <w:tcPr>
            <w:tcW w:w="907" w:type="dxa"/>
            <w:tcBorders>
              <w:top w:val="nil"/>
              <w:bottom w:val="nil"/>
            </w:tcBorders>
            <w:shd w:val="clear" w:color="auto" w:fill="auto"/>
          </w:tcPr>
          <w:p w14:paraId="4705079F" w14:textId="77777777" w:rsidR="00E418D0" w:rsidRPr="00245929" w:rsidRDefault="00E418D0" w:rsidP="00A05864">
            <w:pPr>
              <w:pStyle w:val="TableTextCentered"/>
              <w:rPr>
                <w:highlight w:val="yellow"/>
              </w:rPr>
            </w:pPr>
            <w:r w:rsidRPr="00245929">
              <w:t xml:space="preserve"> 11.7 </w:t>
            </w:r>
          </w:p>
        </w:tc>
        <w:tc>
          <w:tcPr>
            <w:tcW w:w="907" w:type="dxa"/>
            <w:tcBorders>
              <w:top w:val="nil"/>
              <w:bottom w:val="nil"/>
            </w:tcBorders>
            <w:shd w:val="clear" w:color="auto" w:fill="auto"/>
          </w:tcPr>
          <w:p w14:paraId="27023B86" w14:textId="77777777" w:rsidR="00E418D0" w:rsidRPr="00245929" w:rsidRDefault="00E418D0" w:rsidP="00A05864">
            <w:pPr>
              <w:pStyle w:val="TableTextCentered"/>
              <w:rPr>
                <w:highlight w:val="yellow"/>
              </w:rPr>
            </w:pPr>
            <w:r w:rsidRPr="00245929">
              <w:t xml:space="preserve"> 321.3 </w:t>
            </w:r>
          </w:p>
        </w:tc>
        <w:tc>
          <w:tcPr>
            <w:tcW w:w="907" w:type="dxa"/>
            <w:tcBorders>
              <w:top w:val="nil"/>
              <w:bottom w:val="nil"/>
            </w:tcBorders>
            <w:shd w:val="clear" w:color="auto" w:fill="auto"/>
          </w:tcPr>
          <w:p w14:paraId="1BB25893" w14:textId="77777777" w:rsidR="00E418D0" w:rsidRPr="00245929" w:rsidRDefault="00E418D0" w:rsidP="00A05864">
            <w:pPr>
              <w:pStyle w:val="TableTextCentered"/>
              <w:rPr>
                <w:highlight w:val="yellow"/>
              </w:rPr>
            </w:pPr>
            <w:r w:rsidRPr="00245929">
              <w:t xml:space="preserve"> 36 </w:t>
            </w:r>
          </w:p>
        </w:tc>
        <w:tc>
          <w:tcPr>
            <w:tcW w:w="907" w:type="dxa"/>
            <w:tcBorders>
              <w:top w:val="nil"/>
              <w:bottom w:val="nil"/>
            </w:tcBorders>
            <w:shd w:val="clear" w:color="auto" w:fill="auto"/>
          </w:tcPr>
          <w:p w14:paraId="23FCD187" w14:textId="77777777" w:rsidR="00E418D0" w:rsidRPr="00245929" w:rsidRDefault="00E418D0" w:rsidP="00A05864">
            <w:pPr>
              <w:pStyle w:val="TableTextCentered"/>
              <w:rPr>
                <w:highlight w:val="yellow"/>
              </w:rPr>
            </w:pPr>
            <w:r w:rsidRPr="00245929">
              <w:t xml:space="preserve"> 38 </w:t>
            </w:r>
          </w:p>
        </w:tc>
        <w:tc>
          <w:tcPr>
            <w:tcW w:w="907" w:type="dxa"/>
            <w:tcBorders>
              <w:top w:val="nil"/>
              <w:bottom w:val="nil"/>
            </w:tcBorders>
            <w:shd w:val="clear" w:color="auto" w:fill="auto"/>
          </w:tcPr>
          <w:p w14:paraId="34FEDE84" w14:textId="77777777" w:rsidR="00E418D0" w:rsidRPr="00245929" w:rsidRDefault="00E418D0" w:rsidP="00A05864">
            <w:pPr>
              <w:pStyle w:val="TableTextCentered"/>
              <w:rPr>
                <w:highlight w:val="yellow"/>
              </w:rPr>
            </w:pPr>
            <w:r w:rsidRPr="00245929">
              <w:t xml:space="preserve"> 28 </w:t>
            </w:r>
          </w:p>
        </w:tc>
        <w:tc>
          <w:tcPr>
            <w:tcW w:w="907" w:type="dxa"/>
            <w:tcBorders>
              <w:top w:val="nil"/>
              <w:bottom w:val="nil"/>
            </w:tcBorders>
            <w:shd w:val="clear" w:color="auto" w:fill="auto"/>
          </w:tcPr>
          <w:p w14:paraId="30AB49D1" w14:textId="77777777" w:rsidR="00E418D0" w:rsidRPr="00245929" w:rsidRDefault="00E418D0" w:rsidP="00A05864">
            <w:pPr>
              <w:pStyle w:val="TableTextCentered"/>
              <w:rPr>
                <w:highlight w:val="yellow"/>
              </w:rPr>
            </w:pPr>
            <w:r w:rsidRPr="00245929">
              <w:t xml:space="preserve"> 33 </w:t>
            </w:r>
          </w:p>
        </w:tc>
        <w:tc>
          <w:tcPr>
            <w:tcW w:w="907" w:type="dxa"/>
            <w:tcBorders>
              <w:top w:val="nil"/>
              <w:bottom w:val="nil"/>
            </w:tcBorders>
            <w:shd w:val="clear" w:color="auto" w:fill="auto"/>
          </w:tcPr>
          <w:p w14:paraId="363BA4ED" w14:textId="77777777" w:rsidR="00E418D0" w:rsidRPr="00245929" w:rsidRDefault="00E418D0" w:rsidP="00A05864">
            <w:pPr>
              <w:pStyle w:val="TableTextCentered"/>
              <w:rPr>
                <w:highlight w:val="yellow"/>
              </w:rPr>
            </w:pPr>
            <w:r w:rsidRPr="00245929">
              <w:t xml:space="preserve"> 35 </w:t>
            </w:r>
          </w:p>
        </w:tc>
        <w:tc>
          <w:tcPr>
            <w:tcW w:w="907" w:type="dxa"/>
            <w:tcBorders>
              <w:top w:val="nil"/>
              <w:bottom w:val="nil"/>
              <w:right w:val="nil"/>
            </w:tcBorders>
            <w:shd w:val="clear" w:color="auto" w:fill="auto"/>
          </w:tcPr>
          <w:p w14:paraId="2932F54F" w14:textId="77777777" w:rsidR="00E418D0" w:rsidRPr="00245929" w:rsidRDefault="00E418D0" w:rsidP="00A05864">
            <w:pPr>
              <w:pStyle w:val="TableTextCentered"/>
              <w:rPr>
                <w:highlight w:val="yellow"/>
              </w:rPr>
            </w:pPr>
            <w:r w:rsidRPr="00245929">
              <w:t xml:space="preserve"> 29 </w:t>
            </w:r>
          </w:p>
        </w:tc>
      </w:tr>
      <w:tr w:rsidR="00E418D0" w:rsidRPr="00245929" w14:paraId="38802651" w14:textId="77777777" w:rsidTr="00925EB0">
        <w:trPr>
          <w:trHeight w:val="291"/>
        </w:trPr>
        <w:tc>
          <w:tcPr>
            <w:tcW w:w="1813" w:type="dxa"/>
            <w:tcBorders>
              <w:top w:val="nil"/>
              <w:left w:val="nil"/>
              <w:bottom w:val="nil"/>
            </w:tcBorders>
            <w:shd w:val="clear" w:color="auto" w:fill="auto"/>
            <w:vAlign w:val="center"/>
          </w:tcPr>
          <w:p w14:paraId="5FE34F64" w14:textId="77777777" w:rsidR="00E418D0" w:rsidRPr="002B1D8F" w:rsidRDefault="00E418D0" w:rsidP="000D7EB7">
            <w:pPr>
              <w:spacing w:before="40" w:after="40"/>
              <w:jc w:val="left"/>
              <w:rPr>
                <w:color w:val="000000"/>
                <w:sz w:val="18"/>
              </w:rPr>
            </w:pPr>
            <w:r w:rsidRPr="002B1D8F">
              <w:rPr>
                <w:rFonts w:cs="Calibri"/>
                <w:color w:val="000000"/>
                <w:sz w:val="18"/>
                <w:szCs w:val="18"/>
              </w:rPr>
              <w:t>Rental, Hiring and Real Estate Services</w:t>
            </w:r>
          </w:p>
        </w:tc>
        <w:tc>
          <w:tcPr>
            <w:tcW w:w="907" w:type="dxa"/>
            <w:tcBorders>
              <w:top w:val="nil"/>
              <w:bottom w:val="nil"/>
            </w:tcBorders>
            <w:shd w:val="clear" w:color="auto" w:fill="auto"/>
          </w:tcPr>
          <w:p w14:paraId="2E698E6A" w14:textId="77777777" w:rsidR="00E418D0" w:rsidRPr="00245929" w:rsidRDefault="00E418D0" w:rsidP="00A05864">
            <w:pPr>
              <w:pStyle w:val="TableTextCentered"/>
              <w:rPr>
                <w:highlight w:val="yellow"/>
              </w:rPr>
            </w:pPr>
            <w:r w:rsidRPr="00245929">
              <w:t xml:space="preserve"> 20.3 </w:t>
            </w:r>
          </w:p>
        </w:tc>
        <w:tc>
          <w:tcPr>
            <w:tcW w:w="907" w:type="dxa"/>
            <w:tcBorders>
              <w:top w:val="nil"/>
              <w:bottom w:val="nil"/>
            </w:tcBorders>
            <w:shd w:val="clear" w:color="auto" w:fill="auto"/>
          </w:tcPr>
          <w:p w14:paraId="22893F3E" w14:textId="77777777" w:rsidR="00E418D0" w:rsidRPr="00245929" w:rsidRDefault="00E418D0" w:rsidP="00A05864">
            <w:pPr>
              <w:pStyle w:val="TableTextCentered"/>
              <w:rPr>
                <w:highlight w:val="yellow"/>
              </w:rPr>
            </w:pPr>
            <w:r w:rsidRPr="00245929">
              <w:t xml:space="preserve"> 750.0 </w:t>
            </w:r>
          </w:p>
        </w:tc>
        <w:tc>
          <w:tcPr>
            <w:tcW w:w="907" w:type="dxa"/>
            <w:tcBorders>
              <w:top w:val="nil"/>
              <w:bottom w:val="nil"/>
            </w:tcBorders>
            <w:shd w:val="clear" w:color="auto" w:fill="auto"/>
          </w:tcPr>
          <w:p w14:paraId="064BF2FC" w14:textId="77777777" w:rsidR="00E418D0" w:rsidRPr="00245929" w:rsidRDefault="00E418D0" w:rsidP="00A05864">
            <w:pPr>
              <w:pStyle w:val="TableTextCentered"/>
              <w:rPr>
                <w:highlight w:val="yellow"/>
              </w:rPr>
            </w:pPr>
            <w:r w:rsidRPr="00245929">
              <w:t xml:space="preserve"> 50 </w:t>
            </w:r>
          </w:p>
        </w:tc>
        <w:tc>
          <w:tcPr>
            <w:tcW w:w="907" w:type="dxa"/>
            <w:tcBorders>
              <w:top w:val="nil"/>
              <w:bottom w:val="nil"/>
            </w:tcBorders>
            <w:shd w:val="clear" w:color="auto" w:fill="auto"/>
          </w:tcPr>
          <w:p w14:paraId="2AB56FA3" w14:textId="77777777" w:rsidR="00E418D0" w:rsidRPr="00245929" w:rsidRDefault="00E418D0" w:rsidP="00A05864">
            <w:pPr>
              <w:pStyle w:val="TableTextCentered"/>
              <w:rPr>
                <w:highlight w:val="yellow"/>
              </w:rPr>
            </w:pPr>
            <w:r w:rsidRPr="00245929">
              <w:t xml:space="preserve"> 43 </w:t>
            </w:r>
          </w:p>
        </w:tc>
        <w:tc>
          <w:tcPr>
            <w:tcW w:w="907" w:type="dxa"/>
            <w:tcBorders>
              <w:top w:val="nil"/>
              <w:bottom w:val="nil"/>
            </w:tcBorders>
            <w:shd w:val="clear" w:color="auto" w:fill="auto"/>
          </w:tcPr>
          <w:p w14:paraId="0D887BA3" w14:textId="77777777" w:rsidR="00E418D0" w:rsidRPr="00245929" w:rsidRDefault="00E418D0" w:rsidP="00A05864">
            <w:pPr>
              <w:pStyle w:val="TableTextCentered"/>
              <w:rPr>
                <w:highlight w:val="yellow"/>
              </w:rPr>
            </w:pPr>
            <w:r w:rsidRPr="00245929">
              <w:t xml:space="preserve"> 24 </w:t>
            </w:r>
          </w:p>
        </w:tc>
        <w:tc>
          <w:tcPr>
            <w:tcW w:w="907" w:type="dxa"/>
            <w:tcBorders>
              <w:top w:val="nil"/>
              <w:bottom w:val="nil"/>
            </w:tcBorders>
            <w:shd w:val="clear" w:color="auto" w:fill="auto"/>
          </w:tcPr>
          <w:p w14:paraId="47FBD144" w14:textId="77777777" w:rsidR="00E418D0" w:rsidRPr="00245929" w:rsidRDefault="00E418D0" w:rsidP="00A05864">
            <w:pPr>
              <w:pStyle w:val="TableTextCentered"/>
              <w:rPr>
                <w:highlight w:val="yellow"/>
              </w:rPr>
            </w:pPr>
            <w:r w:rsidRPr="00245929">
              <w:t xml:space="preserve"> 33 </w:t>
            </w:r>
          </w:p>
        </w:tc>
        <w:tc>
          <w:tcPr>
            <w:tcW w:w="907" w:type="dxa"/>
            <w:tcBorders>
              <w:top w:val="nil"/>
              <w:bottom w:val="nil"/>
            </w:tcBorders>
            <w:shd w:val="clear" w:color="auto" w:fill="auto"/>
          </w:tcPr>
          <w:p w14:paraId="2297E842" w14:textId="77777777" w:rsidR="00E418D0" w:rsidRPr="00245929" w:rsidRDefault="00E418D0" w:rsidP="00A05864">
            <w:pPr>
              <w:pStyle w:val="TableTextCentered"/>
              <w:rPr>
                <w:highlight w:val="yellow"/>
              </w:rPr>
            </w:pPr>
            <w:r w:rsidRPr="00245929">
              <w:t xml:space="preserve"> 26 </w:t>
            </w:r>
          </w:p>
        </w:tc>
        <w:tc>
          <w:tcPr>
            <w:tcW w:w="907" w:type="dxa"/>
            <w:tcBorders>
              <w:top w:val="nil"/>
              <w:bottom w:val="nil"/>
              <w:right w:val="nil"/>
            </w:tcBorders>
            <w:shd w:val="clear" w:color="auto" w:fill="auto"/>
          </w:tcPr>
          <w:p w14:paraId="38B5FB8D" w14:textId="77777777" w:rsidR="00E418D0" w:rsidRPr="00245929" w:rsidRDefault="00E418D0" w:rsidP="00A05864">
            <w:pPr>
              <w:pStyle w:val="TableTextCentered"/>
              <w:rPr>
                <w:highlight w:val="yellow"/>
              </w:rPr>
            </w:pPr>
            <w:r w:rsidRPr="00245929">
              <w:t xml:space="preserve"> 24 </w:t>
            </w:r>
          </w:p>
        </w:tc>
      </w:tr>
      <w:tr w:rsidR="00E418D0" w:rsidRPr="00245929" w14:paraId="68C6B958" w14:textId="77777777" w:rsidTr="00925EB0">
        <w:trPr>
          <w:trHeight w:val="308"/>
        </w:trPr>
        <w:tc>
          <w:tcPr>
            <w:tcW w:w="1813" w:type="dxa"/>
            <w:tcBorders>
              <w:top w:val="nil"/>
              <w:left w:val="nil"/>
              <w:bottom w:val="nil"/>
            </w:tcBorders>
            <w:shd w:val="clear" w:color="auto" w:fill="auto"/>
            <w:vAlign w:val="center"/>
          </w:tcPr>
          <w:p w14:paraId="274ABFF4" w14:textId="77777777" w:rsidR="00E418D0" w:rsidRPr="002B1D8F" w:rsidRDefault="00E418D0" w:rsidP="000D7EB7">
            <w:pPr>
              <w:spacing w:before="40" w:after="40"/>
              <w:jc w:val="left"/>
              <w:rPr>
                <w:color w:val="000000"/>
                <w:sz w:val="18"/>
              </w:rPr>
            </w:pPr>
            <w:r w:rsidRPr="002B1D8F">
              <w:rPr>
                <w:rFonts w:cs="Calibri"/>
                <w:color w:val="000000"/>
                <w:sz w:val="18"/>
                <w:szCs w:val="18"/>
              </w:rPr>
              <w:t>Professional, Scientific and Technical Services</w:t>
            </w:r>
          </w:p>
        </w:tc>
        <w:tc>
          <w:tcPr>
            <w:tcW w:w="907" w:type="dxa"/>
            <w:tcBorders>
              <w:top w:val="nil"/>
              <w:bottom w:val="nil"/>
            </w:tcBorders>
            <w:shd w:val="clear" w:color="auto" w:fill="auto"/>
          </w:tcPr>
          <w:p w14:paraId="79B2B4E6" w14:textId="77777777" w:rsidR="00E418D0" w:rsidRPr="00245929" w:rsidRDefault="00E418D0" w:rsidP="00A05864">
            <w:pPr>
              <w:pStyle w:val="TableTextCentered"/>
              <w:rPr>
                <w:highlight w:val="yellow"/>
              </w:rPr>
            </w:pPr>
            <w:r w:rsidRPr="00245929">
              <w:t xml:space="preserve"> 90.2 </w:t>
            </w:r>
          </w:p>
        </w:tc>
        <w:tc>
          <w:tcPr>
            <w:tcW w:w="907" w:type="dxa"/>
            <w:tcBorders>
              <w:top w:val="nil"/>
              <w:bottom w:val="nil"/>
            </w:tcBorders>
            <w:shd w:val="clear" w:color="auto" w:fill="auto"/>
          </w:tcPr>
          <w:p w14:paraId="57D2E3C6" w14:textId="77777777" w:rsidR="00E418D0" w:rsidRPr="00245929" w:rsidRDefault="00E418D0" w:rsidP="00A05864">
            <w:pPr>
              <w:pStyle w:val="TableTextCentered"/>
              <w:rPr>
                <w:highlight w:val="yellow"/>
              </w:rPr>
            </w:pPr>
            <w:r w:rsidRPr="00245929">
              <w:t xml:space="preserve"> 2,859.4 </w:t>
            </w:r>
          </w:p>
        </w:tc>
        <w:tc>
          <w:tcPr>
            <w:tcW w:w="907" w:type="dxa"/>
            <w:tcBorders>
              <w:top w:val="nil"/>
              <w:bottom w:val="nil"/>
            </w:tcBorders>
            <w:shd w:val="clear" w:color="auto" w:fill="auto"/>
          </w:tcPr>
          <w:p w14:paraId="50790576" w14:textId="77777777" w:rsidR="00E418D0" w:rsidRPr="00245929" w:rsidRDefault="00E418D0" w:rsidP="00A05864">
            <w:pPr>
              <w:pStyle w:val="TableTextCentered"/>
              <w:rPr>
                <w:highlight w:val="yellow"/>
              </w:rPr>
            </w:pPr>
            <w:r w:rsidRPr="00245929">
              <w:t xml:space="preserve"> 47 </w:t>
            </w:r>
          </w:p>
        </w:tc>
        <w:tc>
          <w:tcPr>
            <w:tcW w:w="907" w:type="dxa"/>
            <w:tcBorders>
              <w:top w:val="nil"/>
              <w:bottom w:val="nil"/>
            </w:tcBorders>
            <w:shd w:val="clear" w:color="auto" w:fill="auto"/>
          </w:tcPr>
          <w:p w14:paraId="4DD3543C" w14:textId="77777777" w:rsidR="00E418D0" w:rsidRPr="00245929" w:rsidRDefault="00E418D0" w:rsidP="00A05864">
            <w:pPr>
              <w:pStyle w:val="TableTextCentered"/>
              <w:rPr>
                <w:highlight w:val="yellow"/>
              </w:rPr>
            </w:pPr>
            <w:r w:rsidRPr="00245929">
              <w:t xml:space="preserve"> 43 </w:t>
            </w:r>
          </w:p>
        </w:tc>
        <w:tc>
          <w:tcPr>
            <w:tcW w:w="907" w:type="dxa"/>
            <w:tcBorders>
              <w:top w:val="nil"/>
              <w:bottom w:val="nil"/>
            </w:tcBorders>
            <w:shd w:val="clear" w:color="auto" w:fill="auto"/>
          </w:tcPr>
          <w:p w14:paraId="3F536FDE" w14:textId="77777777" w:rsidR="00E418D0" w:rsidRPr="00245929" w:rsidRDefault="00E418D0" w:rsidP="00A05864">
            <w:pPr>
              <w:pStyle w:val="TableTextCentered"/>
              <w:rPr>
                <w:highlight w:val="yellow"/>
              </w:rPr>
            </w:pPr>
            <w:r w:rsidRPr="00245929">
              <w:t xml:space="preserve"> 24 </w:t>
            </w:r>
          </w:p>
        </w:tc>
        <w:tc>
          <w:tcPr>
            <w:tcW w:w="907" w:type="dxa"/>
            <w:tcBorders>
              <w:top w:val="nil"/>
              <w:bottom w:val="nil"/>
            </w:tcBorders>
            <w:shd w:val="clear" w:color="auto" w:fill="auto"/>
          </w:tcPr>
          <w:p w14:paraId="7EF76AF7" w14:textId="77777777" w:rsidR="00E418D0" w:rsidRPr="00245929" w:rsidRDefault="00E418D0" w:rsidP="00A05864">
            <w:pPr>
              <w:pStyle w:val="TableTextCentered"/>
              <w:rPr>
                <w:highlight w:val="yellow"/>
              </w:rPr>
            </w:pPr>
            <w:r w:rsidRPr="00245929">
              <w:t xml:space="preserve"> 31 </w:t>
            </w:r>
          </w:p>
        </w:tc>
        <w:tc>
          <w:tcPr>
            <w:tcW w:w="907" w:type="dxa"/>
            <w:tcBorders>
              <w:top w:val="nil"/>
              <w:bottom w:val="nil"/>
            </w:tcBorders>
            <w:shd w:val="clear" w:color="auto" w:fill="auto"/>
          </w:tcPr>
          <w:p w14:paraId="74CF8555" w14:textId="77777777" w:rsidR="00E418D0" w:rsidRPr="00245929" w:rsidRDefault="00E418D0" w:rsidP="00A05864">
            <w:pPr>
              <w:pStyle w:val="TableTextCentered"/>
              <w:rPr>
                <w:highlight w:val="yellow"/>
              </w:rPr>
            </w:pPr>
            <w:r w:rsidRPr="00245929">
              <w:t xml:space="preserve"> 29 </w:t>
            </w:r>
          </w:p>
        </w:tc>
        <w:tc>
          <w:tcPr>
            <w:tcW w:w="907" w:type="dxa"/>
            <w:tcBorders>
              <w:top w:val="nil"/>
              <w:bottom w:val="nil"/>
              <w:right w:val="nil"/>
            </w:tcBorders>
            <w:shd w:val="clear" w:color="auto" w:fill="auto"/>
          </w:tcPr>
          <w:p w14:paraId="583AF49B" w14:textId="77777777" w:rsidR="00E418D0" w:rsidRPr="00245929" w:rsidRDefault="00E418D0" w:rsidP="00A05864">
            <w:pPr>
              <w:pStyle w:val="TableTextCentered"/>
              <w:rPr>
                <w:highlight w:val="yellow"/>
              </w:rPr>
            </w:pPr>
            <w:r w:rsidRPr="00245929">
              <w:t xml:space="preserve"> 26 </w:t>
            </w:r>
          </w:p>
        </w:tc>
      </w:tr>
      <w:tr w:rsidR="00E418D0" w:rsidRPr="00245929" w14:paraId="6E28ECD1" w14:textId="77777777" w:rsidTr="00925EB0">
        <w:trPr>
          <w:trHeight w:val="308"/>
        </w:trPr>
        <w:tc>
          <w:tcPr>
            <w:tcW w:w="1813" w:type="dxa"/>
            <w:tcBorders>
              <w:top w:val="nil"/>
              <w:left w:val="nil"/>
              <w:bottom w:val="nil"/>
            </w:tcBorders>
            <w:shd w:val="clear" w:color="auto" w:fill="auto"/>
            <w:vAlign w:val="center"/>
          </w:tcPr>
          <w:p w14:paraId="2AC15969" w14:textId="77777777" w:rsidR="00E418D0" w:rsidRPr="002B1D8F" w:rsidRDefault="00E418D0" w:rsidP="000D7EB7">
            <w:pPr>
              <w:spacing w:before="40" w:after="40"/>
              <w:jc w:val="left"/>
              <w:rPr>
                <w:color w:val="000000"/>
                <w:sz w:val="18"/>
              </w:rPr>
            </w:pPr>
            <w:r w:rsidRPr="002B1D8F">
              <w:rPr>
                <w:rFonts w:cs="Calibri"/>
                <w:color w:val="000000"/>
                <w:sz w:val="18"/>
                <w:szCs w:val="18"/>
              </w:rPr>
              <w:t>Administrative and Support Services</w:t>
            </w:r>
          </w:p>
        </w:tc>
        <w:tc>
          <w:tcPr>
            <w:tcW w:w="907" w:type="dxa"/>
            <w:tcBorders>
              <w:top w:val="nil"/>
              <w:bottom w:val="nil"/>
            </w:tcBorders>
            <w:shd w:val="clear" w:color="auto" w:fill="auto"/>
          </w:tcPr>
          <w:p w14:paraId="568FCEF6" w14:textId="77777777" w:rsidR="00E418D0" w:rsidRPr="00245929" w:rsidRDefault="00E418D0" w:rsidP="00A05864">
            <w:pPr>
              <w:pStyle w:val="TableTextCentered"/>
              <w:rPr>
                <w:highlight w:val="yellow"/>
              </w:rPr>
            </w:pPr>
            <w:r w:rsidRPr="00245929">
              <w:t xml:space="preserve"> 22.9 </w:t>
            </w:r>
          </w:p>
        </w:tc>
        <w:tc>
          <w:tcPr>
            <w:tcW w:w="907" w:type="dxa"/>
            <w:tcBorders>
              <w:top w:val="nil"/>
              <w:bottom w:val="nil"/>
            </w:tcBorders>
            <w:shd w:val="clear" w:color="auto" w:fill="auto"/>
          </w:tcPr>
          <w:p w14:paraId="66038796" w14:textId="77777777" w:rsidR="00E418D0" w:rsidRPr="00245929" w:rsidRDefault="00E418D0" w:rsidP="00A05864">
            <w:pPr>
              <w:pStyle w:val="TableTextCentered"/>
              <w:rPr>
                <w:highlight w:val="yellow"/>
              </w:rPr>
            </w:pPr>
            <w:r w:rsidRPr="00245929">
              <w:t xml:space="preserve"> 984.7 </w:t>
            </w:r>
          </w:p>
        </w:tc>
        <w:tc>
          <w:tcPr>
            <w:tcW w:w="907" w:type="dxa"/>
            <w:tcBorders>
              <w:top w:val="nil"/>
              <w:bottom w:val="nil"/>
            </w:tcBorders>
            <w:shd w:val="clear" w:color="auto" w:fill="auto"/>
          </w:tcPr>
          <w:p w14:paraId="307565A0" w14:textId="77777777" w:rsidR="00E418D0" w:rsidRPr="00245929" w:rsidRDefault="00E418D0" w:rsidP="00A05864">
            <w:pPr>
              <w:pStyle w:val="TableTextCentered"/>
              <w:rPr>
                <w:highlight w:val="yellow"/>
              </w:rPr>
            </w:pPr>
            <w:r w:rsidRPr="00245929">
              <w:t xml:space="preserve"> 54 </w:t>
            </w:r>
          </w:p>
        </w:tc>
        <w:tc>
          <w:tcPr>
            <w:tcW w:w="907" w:type="dxa"/>
            <w:tcBorders>
              <w:top w:val="nil"/>
              <w:bottom w:val="nil"/>
            </w:tcBorders>
            <w:shd w:val="clear" w:color="auto" w:fill="auto"/>
          </w:tcPr>
          <w:p w14:paraId="22C886B1" w14:textId="77777777" w:rsidR="00E418D0" w:rsidRPr="00245929" w:rsidRDefault="00E418D0" w:rsidP="00A05864">
            <w:pPr>
              <w:pStyle w:val="TableTextCentered"/>
              <w:rPr>
                <w:highlight w:val="yellow"/>
              </w:rPr>
            </w:pPr>
            <w:r w:rsidRPr="00245929">
              <w:t xml:space="preserve"> 57 </w:t>
            </w:r>
          </w:p>
        </w:tc>
        <w:tc>
          <w:tcPr>
            <w:tcW w:w="907" w:type="dxa"/>
            <w:tcBorders>
              <w:top w:val="nil"/>
              <w:bottom w:val="nil"/>
            </w:tcBorders>
            <w:shd w:val="clear" w:color="auto" w:fill="auto"/>
          </w:tcPr>
          <w:p w14:paraId="01E3E66F" w14:textId="77777777" w:rsidR="00E418D0" w:rsidRPr="00245929" w:rsidRDefault="00E418D0" w:rsidP="00A05864">
            <w:pPr>
              <w:pStyle w:val="TableTextCentered"/>
              <w:rPr>
                <w:highlight w:val="yellow"/>
              </w:rPr>
            </w:pPr>
            <w:r w:rsidRPr="00245929">
              <w:t xml:space="preserve"> 23 </w:t>
            </w:r>
          </w:p>
        </w:tc>
        <w:tc>
          <w:tcPr>
            <w:tcW w:w="907" w:type="dxa"/>
            <w:tcBorders>
              <w:top w:val="nil"/>
              <w:bottom w:val="nil"/>
            </w:tcBorders>
            <w:shd w:val="clear" w:color="auto" w:fill="auto"/>
          </w:tcPr>
          <w:p w14:paraId="1F0BD14C" w14:textId="77777777" w:rsidR="00E418D0" w:rsidRPr="00245929" w:rsidRDefault="00E418D0" w:rsidP="00A05864">
            <w:pPr>
              <w:pStyle w:val="TableTextCentered"/>
              <w:rPr>
                <w:highlight w:val="yellow"/>
              </w:rPr>
            </w:pPr>
            <w:r w:rsidRPr="00245929">
              <w:t xml:space="preserve"> 28 </w:t>
            </w:r>
          </w:p>
        </w:tc>
        <w:tc>
          <w:tcPr>
            <w:tcW w:w="907" w:type="dxa"/>
            <w:tcBorders>
              <w:top w:val="nil"/>
              <w:bottom w:val="nil"/>
            </w:tcBorders>
            <w:shd w:val="clear" w:color="auto" w:fill="auto"/>
          </w:tcPr>
          <w:p w14:paraId="23690118" w14:textId="77777777" w:rsidR="00E418D0" w:rsidRPr="00245929" w:rsidRDefault="00E418D0" w:rsidP="00A05864">
            <w:pPr>
              <w:pStyle w:val="TableTextCentered"/>
              <w:rPr>
                <w:highlight w:val="yellow"/>
              </w:rPr>
            </w:pPr>
            <w:r w:rsidRPr="00245929">
              <w:t xml:space="preserve"> 23 </w:t>
            </w:r>
          </w:p>
        </w:tc>
        <w:tc>
          <w:tcPr>
            <w:tcW w:w="907" w:type="dxa"/>
            <w:tcBorders>
              <w:top w:val="nil"/>
              <w:bottom w:val="nil"/>
              <w:right w:val="nil"/>
            </w:tcBorders>
            <w:shd w:val="clear" w:color="auto" w:fill="auto"/>
          </w:tcPr>
          <w:p w14:paraId="0E5BADD8" w14:textId="77777777" w:rsidR="00E418D0" w:rsidRPr="00245929" w:rsidRDefault="00E418D0" w:rsidP="00A05864">
            <w:pPr>
              <w:pStyle w:val="TableTextCentered"/>
              <w:rPr>
                <w:highlight w:val="yellow"/>
              </w:rPr>
            </w:pPr>
            <w:r w:rsidRPr="00245929">
              <w:t xml:space="preserve"> 15 </w:t>
            </w:r>
          </w:p>
        </w:tc>
      </w:tr>
      <w:tr w:rsidR="00E418D0" w:rsidRPr="00245929" w14:paraId="4C7FF50C" w14:textId="77777777" w:rsidTr="00925EB0">
        <w:trPr>
          <w:trHeight w:val="308"/>
        </w:trPr>
        <w:tc>
          <w:tcPr>
            <w:tcW w:w="1813" w:type="dxa"/>
            <w:tcBorders>
              <w:top w:val="nil"/>
              <w:left w:val="nil"/>
              <w:bottom w:val="nil"/>
            </w:tcBorders>
            <w:shd w:val="clear" w:color="auto" w:fill="auto"/>
            <w:vAlign w:val="center"/>
          </w:tcPr>
          <w:p w14:paraId="3311F45B" w14:textId="77777777" w:rsidR="00E418D0" w:rsidRPr="002B1D8F" w:rsidRDefault="00E418D0" w:rsidP="000D7EB7">
            <w:pPr>
              <w:spacing w:before="40" w:after="40"/>
              <w:jc w:val="left"/>
              <w:rPr>
                <w:color w:val="000000"/>
                <w:sz w:val="18"/>
              </w:rPr>
            </w:pPr>
            <w:r w:rsidRPr="002B1D8F">
              <w:rPr>
                <w:rFonts w:cs="Calibri"/>
                <w:color w:val="000000"/>
                <w:sz w:val="18"/>
                <w:szCs w:val="18"/>
              </w:rPr>
              <w:t>Public Administration and Safety</w:t>
            </w:r>
          </w:p>
        </w:tc>
        <w:tc>
          <w:tcPr>
            <w:tcW w:w="907" w:type="dxa"/>
            <w:tcBorders>
              <w:top w:val="nil"/>
              <w:bottom w:val="nil"/>
            </w:tcBorders>
            <w:shd w:val="clear" w:color="auto" w:fill="auto"/>
          </w:tcPr>
          <w:p w14:paraId="52D80639" w14:textId="77777777" w:rsidR="00E418D0" w:rsidRPr="00245929" w:rsidRDefault="00E418D0" w:rsidP="00A05864">
            <w:pPr>
              <w:pStyle w:val="TableTextCentered"/>
              <w:rPr>
                <w:highlight w:val="yellow"/>
              </w:rPr>
            </w:pPr>
            <w:r w:rsidRPr="00245929">
              <w:t xml:space="preserve"> 2.5 </w:t>
            </w:r>
          </w:p>
        </w:tc>
        <w:tc>
          <w:tcPr>
            <w:tcW w:w="907" w:type="dxa"/>
            <w:tcBorders>
              <w:top w:val="nil"/>
              <w:bottom w:val="nil"/>
            </w:tcBorders>
            <w:shd w:val="clear" w:color="auto" w:fill="auto"/>
          </w:tcPr>
          <w:p w14:paraId="44739744" w14:textId="77777777" w:rsidR="00E418D0" w:rsidRPr="00245929" w:rsidRDefault="00E418D0" w:rsidP="00A05864">
            <w:pPr>
              <w:pStyle w:val="TableTextCentered"/>
              <w:rPr>
                <w:highlight w:val="yellow"/>
              </w:rPr>
            </w:pPr>
            <w:r w:rsidRPr="00245929">
              <w:t xml:space="preserve"> 109.2 </w:t>
            </w:r>
          </w:p>
        </w:tc>
        <w:tc>
          <w:tcPr>
            <w:tcW w:w="907" w:type="dxa"/>
            <w:tcBorders>
              <w:top w:val="nil"/>
              <w:bottom w:val="nil"/>
            </w:tcBorders>
            <w:shd w:val="clear" w:color="auto" w:fill="auto"/>
          </w:tcPr>
          <w:p w14:paraId="217EEE63" w14:textId="77777777" w:rsidR="00E418D0" w:rsidRPr="00245929" w:rsidRDefault="00E418D0" w:rsidP="00A05864">
            <w:pPr>
              <w:pStyle w:val="TableTextCentered"/>
              <w:rPr>
                <w:highlight w:val="yellow"/>
              </w:rPr>
            </w:pPr>
            <w:r w:rsidRPr="00245929">
              <w:t xml:space="preserve"> 45 </w:t>
            </w:r>
          </w:p>
        </w:tc>
        <w:tc>
          <w:tcPr>
            <w:tcW w:w="907" w:type="dxa"/>
            <w:tcBorders>
              <w:top w:val="nil"/>
              <w:bottom w:val="nil"/>
            </w:tcBorders>
            <w:shd w:val="clear" w:color="auto" w:fill="auto"/>
          </w:tcPr>
          <w:p w14:paraId="1D8C07E9" w14:textId="77777777" w:rsidR="00E418D0" w:rsidRPr="00245929" w:rsidRDefault="00E418D0" w:rsidP="00A05864">
            <w:pPr>
              <w:pStyle w:val="TableTextCentered"/>
              <w:rPr>
                <w:highlight w:val="yellow"/>
              </w:rPr>
            </w:pPr>
            <w:r w:rsidRPr="00245929">
              <w:t xml:space="preserve"> 49 </w:t>
            </w:r>
          </w:p>
        </w:tc>
        <w:tc>
          <w:tcPr>
            <w:tcW w:w="907" w:type="dxa"/>
            <w:tcBorders>
              <w:top w:val="nil"/>
              <w:bottom w:val="nil"/>
            </w:tcBorders>
            <w:shd w:val="clear" w:color="auto" w:fill="auto"/>
          </w:tcPr>
          <w:p w14:paraId="2018351C" w14:textId="77777777" w:rsidR="00E418D0" w:rsidRPr="00245929" w:rsidRDefault="00E418D0" w:rsidP="00A05864">
            <w:pPr>
              <w:pStyle w:val="TableTextCentered"/>
              <w:rPr>
                <w:highlight w:val="yellow"/>
              </w:rPr>
            </w:pPr>
            <w:r w:rsidRPr="00245929">
              <w:t xml:space="preserve"> 27 </w:t>
            </w:r>
          </w:p>
        </w:tc>
        <w:tc>
          <w:tcPr>
            <w:tcW w:w="907" w:type="dxa"/>
            <w:tcBorders>
              <w:top w:val="nil"/>
              <w:bottom w:val="nil"/>
            </w:tcBorders>
            <w:shd w:val="clear" w:color="auto" w:fill="auto"/>
          </w:tcPr>
          <w:p w14:paraId="5BBA473D" w14:textId="77777777" w:rsidR="00E418D0" w:rsidRPr="00245929" w:rsidRDefault="00E418D0" w:rsidP="00A05864">
            <w:pPr>
              <w:pStyle w:val="TableTextCentered"/>
              <w:rPr>
                <w:highlight w:val="yellow"/>
              </w:rPr>
            </w:pPr>
            <w:r w:rsidRPr="00245929">
              <w:t xml:space="preserve"> 30 </w:t>
            </w:r>
          </w:p>
        </w:tc>
        <w:tc>
          <w:tcPr>
            <w:tcW w:w="907" w:type="dxa"/>
            <w:tcBorders>
              <w:top w:val="nil"/>
              <w:bottom w:val="nil"/>
            </w:tcBorders>
            <w:shd w:val="clear" w:color="auto" w:fill="auto"/>
          </w:tcPr>
          <w:p w14:paraId="144BE7B9" w14:textId="77777777" w:rsidR="00E418D0" w:rsidRPr="00245929" w:rsidRDefault="00E418D0" w:rsidP="00A05864">
            <w:pPr>
              <w:pStyle w:val="TableTextCentered"/>
              <w:rPr>
                <w:highlight w:val="yellow"/>
              </w:rPr>
            </w:pPr>
            <w:r w:rsidRPr="00245929">
              <w:t xml:space="preserve"> 27 </w:t>
            </w:r>
          </w:p>
        </w:tc>
        <w:tc>
          <w:tcPr>
            <w:tcW w:w="907" w:type="dxa"/>
            <w:tcBorders>
              <w:top w:val="nil"/>
              <w:bottom w:val="nil"/>
              <w:right w:val="nil"/>
            </w:tcBorders>
            <w:shd w:val="clear" w:color="auto" w:fill="auto"/>
          </w:tcPr>
          <w:p w14:paraId="3F0561A6" w14:textId="77777777" w:rsidR="00E418D0" w:rsidRPr="00245929" w:rsidRDefault="00E418D0" w:rsidP="00A05864">
            <w:pPr>
              <w:pStyle w:val="TableTextCentered"/>
              <w:rPr>
                <w:highlight w:val="yellow"/>
              </w:rPr>
            </w:pPr>
            <w:r w:rsidRPr="00245929">
              <w:t xml:space="preserve"> 20 </w:t>
            </w:r>
          </w:p>
        </w:tc>
      </w:tr>
      <w:tr w:rsidR="00E418D0" w:rsidRPr="00245929" w14:paraId="1C120BD8" w14:textId="77777777" w:rsidTr="00925EB0">
        <w:trPr>
          <w:trHeight w:val="308"/>
        </w:trPr>
        <w:tc>
          <w:tcPr>
            <w:tcW w:w="1813" w:type="dxa"/>
            <w:tcBorders>
              <w:top w:val="nil"/>
              <w:left w:val="nil"/>
              <w:bottom w:val="nil"/>
            </w:tcBorders>
            <w:shd w:val="clear" w:color="auto" w:fill="auto"/>
            <w:vAlign w:val="center"/>
          </w:tcPr>
          <w:p w14:paraId="63E89BBC" w14:textId="77777777" w:rsidR="00E418D0" w:rsidRPr="002B1D8F" w:rsidRDefault="00E418D0" w:rsidP="000D7EB7">
            <w:pPr>
              <w:spacing w:before="40" w:after="40"/>
              <w:jc w:val="left"/>
              <w:rPr>
                <w:color w:val="000000"/>
                <w:sz w:val="18"/>
              </w:rPr>
            </w:pPr>
            <w:r w:rsidRPr="002B1D8F">
              <w:rPr>
                <w:rFonts w:cs="Calibri"/>
                <w:color w:val="000000"/>
                <w:sz w:val="18"/>
                <w:szCs w:val="18"/>
              </w:rPr>
              <w:t>Education and Training</w:t>
            </w:r>
          </w:p>
        </w:tc>
        <w:tc>
          <w:tcPr>
            <w:tcW w:w="907" w:type="dxa"/>
            <w:tcBorders>
              <w:top w:val="nil"/>
              <w:bottom w:val="nil"/>
            </w:tcBorders>
            <w:shd w:val="clear" w:color="auto" w:fill="auto"/>
          </w:tcPr>
          <w:p w14:paraId="6DAB54FC" w14:textId="77777777" w:rsidR="00E418D0" w:rsidRPr="00245929" w:rsidRDefault="00E418D0" w:rsidP="00A05864">
            <w:pPr>
              <w:pStyle w:val="TableTextCentered"/>
              <w:rPr>
                <w:highlight w:val="yellow"/>
              </w:rPr>
            </w:pPr>
            <w:r w:rsidRPr="00245929">
              <w:t xml:space="preserve"> 9.8 </w:t>
            </w:r>
          </w:p>
        </w:tc>
        <w:tc>
          <w:tcPr>
            <w:tcW w:w="907" w:type="dxa"/>
            <w:tcBorders>
              <w:top w:val="nil"/>
              <w:bottom w:val="nil"/>
            </w:tcBorders>
            <w:shd w:val="clear" w:color="auto" w:fill="auto"/>
          </w:tcPr>
          <w:p w14:paraId="60E831A5" w14:textId="77777777" w:rsidR="00E418D0" w:rsidRPr="00245929" w:rsidRDefault="00E418D0" w:rsidP="00A05864">
            <w:pPr>
              <w:pStyle w:val="TableTextCentered"/>
              <w:rPr>
                <w:highlight w:val="yellow"/>
              </w:rPr>
            </w:pPr>
            <w:r w:rsidRPr="00245929">
              <w:t xml:space="preserve"> 374.5 </w:t>
            </w:r>
          </w:p>
        </w:tc>
        <w:tc>
          <w:tcPr>
            <w:tcW w:w="907" w:type="dxa"/>
            <w:tcBorders>
              <w:top w:val="nil"/>
              <w:bottom w:val="nil"/>
            </w:tcBorders>
            <w:shd w:val="clear" w:color="auto" w:fill="auto"/>
          </w:tcPr>
          <w:p w14:paraId="46C56893" w14:textId="77777777" w:rsidR="00E418D0" w:rsidRPr="00245929" w:rsidRDefault="00E418D0" w:rsidP="00A05864">
            <w:pPr>
              <w:pStyle w:val="TableTextCentered"/>
              <w:rPr>
                <w:highlight w:val="yellow"/>
              </w:rPr>
            </w:pPr>
            <w:r w:rsidRPr="00245929">
              <w:t xml:space="preserve"> 63 </w:t>
            </w:r>
          </w:p>
        </w:tc>
        <w:tc>
          <w:tcPr>
            <w:tcW w:w="907" w:type="dxa"/>
            <w:tcBorders>
              <w:top w:val="nil"/>
              <w:bottom w:val="nil"/>
            </w:tcBorders>
            <w:shd w:val="clear" w:color="auto" w:fill="auto"/>
          </w:tcPr>
          <w:p w14:paraId="1E499CE1" w14:textId="77777777" w:rsidR="00E418D0" w:rsidRPr="00245929" w:rsidRDefault="00E418D0" w:rsidP="00A05864">
            <w:pPr>
              <w:pStyle w:val="TableTextCentered"/>
              <w:rPr>
                <w:highlight w:val="yellow"/>
              </w:rPr>
            </w:pPr>
            <w:r w:rsidRPr="00245929">
              <w:t xml:space="preserve"> 60 </w:t>
            </w:r>
          </w:p>
        </w:tc>
        <w:tc>
          <w:tcPr>
            <w:tcW w:w="907" w:type="dxa"/>
            <w:tcBorders>
              <w:top w:val="nil"/>
              <w:bottom w:val="nil"/>
            </w:tcBorders>
            <w:shd w:val="clear" w:color="auto" w:fill="auto"/>
          </w:tcPr>
          <w:p w14:paraId="0914368A" w14:textId="77777777" w:rsidR="00E418D0" w:rsidRPr="00245929" w:rsidRDefault="00E418D0" w:rsidP="00A05864">
            <w:pPr>
              <w:pStyle w:val="TableTextCentered"/>
              <w:rPr>
                <w:highlight w:val="yellow"/>
              </w:rPr>
            </w:pPr>
            <w:r w:rsidRPr="00245929">
              <w:t xml:space="preserve"> 18 </w:t>
            </w:r>
          </w:p>
        </w:tc>
        <w:tc>
          <w:tcPr>
            <w:tcW w:w="907" w:type="dxa"/>
            <w:tcBorders>
              <w:top w:val="nil"/>
              <w:bottom w:val="nil"/>
            </w:tcBorders>
            <w:shd w:val="clear" w:color="auto" w:fill="auto"/>
          </w:tcPr>
          <w:p w14:paraId="677CF498" w14:textId="77777777" w:rsidR="00E418D0" w:rsidRPr="00245929" w:rsidRDefault="00E418D0" w:rsidP="00A05864">
            <w:pPr>
              <w:pStyle w:val="TableTextCentered"/>
              <w:rPr>
                <w:highlight w:val="yellow"/>
              </w:rPr>
            </w:pPr>
            <w:r w:rsidRPr="00245929">
              <w:t xml:space="preserve"> 19 </w:t>
            </w:r>
          </w:p>
        </w:tc>
        <w:tc>
          <w:tcPr>
            <w:tcW w:w="907" w:type="dxa"/>
            <w:tcBorders>
              <w:top w:val="nil"/>
              <w:bottom w:val="nil"/>
            </w:tcBorders>
            <w:shd w:val="clear" w:color="auto" w:fill="auto"/>
          </w:tcPr>
          <w:p w14:paraId="3FC0485B" w14:textId="77777777" w:rsidR="00E418D0" w:rsidRPr="00245929" w:rsidRDefault="00E418D0" w:rsidP="00A05864">
            <w:pPr>
              <w:pStyle w:val="TableTextCentered"/>
              <w:rPr>
                <w:highlight w:val="yellow"/>
              </w:rPr>
            </w:pPr>
            <w:r w:rsidRPr="00245929">
              <w:t xml:space="preserve"> 19 </w:t>
            </w:r>
          </w:p>
        </w:tc>
        <w:tc>
          <w:tcPr>
            <w:tcW w:w="907" w:type="dxa"/>
            <w:tcBorders>
              <w:top w:val="nil"/>
              <w:bottom w:val="nil"/>
              <w:right w:val="nil"/>
            </w:tcBorders>
            <w:shd w:val="clear" w:color="auto" w:fill="auto"/>
          </w:tcPr>
          <w:p w14:paraId="4EA49C6E" w14:textId="77777777" w:rsidR="00E418D0" w:rsidRPr="00245929" w:rsidRDefault="00E418D0" w:rsidP="00A05864">
            <w:pPr>
              <w:pStyle w:val="TableTextCentered"/>
              <w:rPr>
                <w:highlight w:val="yellow"/>
              </w:rPr>
            </w:pPr>
            <w:r w:rsidRPr="00245929">
              <w:t xml:space="preserve"> 21 </w:t>
            </w:r>
          </w:p>
        </w:tc>
      </w:tr>
      <w:tr w:rsidR="00E418D0" w:rsidRPr="00245929" w14:paraId="6463E2AA" w14:textId="77777777" w:rsidTr="00925EB0">
        <w:trPr>
          <w:trHeight w:val="308"/>
        </w:trPr>
        <w:tc>
          <w:tcPr>
            <w:tcW w:w="1813" w:type="dxa"/>
            <w:tcBorders>
              <w:top w:val="nil"/>
              <w:left w:val="nil"/>
              <w:bottom w:val="nil"/>
            </w:tcBorders>
            <w:shd w:val="clear" w:color="auto" w:fill="auto"/>
            <w:vAlign w:val="center"/>
          </w:tcPr>
          <w:p w14:paraId="7B5D15D0" w14:textId="77777777" w:rsidR="00E418D0" w:rsidRPr="002B1D8F" w:rsidRDefault="00E418D0" w:rsidP="000D7EB7">
            <w:pPr>
              <w:spacing w:before="40" w:after="40"/>
              <w:jc w:val="left"/>
              <w:rPr>
                <w:color w:val="000000"/>
                <w:sz w:val="18"/>
              </w:rPr>
            </w:pPr>
            <w:r w:rsidRPr="002B1D8F">
              <w:rPr>
                <w:rFonts w:cs="Calibri"/>
                <w:color w:val="000000"/>
                <w:sz w:val="18"/>
                <w:szCs w:val="18"/>
              </w:rPr>
              <w:t>Health Care and Social Assistance</w:t>
            </w:r>
          </w:p>
        </w:tc>
        <w:tc>
          <w:tcPr>
            <w:tcW w:w="907" w:type="dxa"/>
            <w:tcBorders>
              <w:top w:val="nil"/>
              <w:bottom w:val="nil"/>
            </w:tcBorders>
            <w:shd w:val="clear" w:color="auto" w:fill="auto"/>
          </w:tcPr>
          <w:p w14:paraId="3D1ABD2E" w14:textId="77777777" w:rsidR="00E418D0" w:rsidRPr="00245929" w:rsidRDefault="00E418D0" w:rsidP="00A05864">
            <w:pPr>
              <w:pStyle w:val="TableTextCentered"/>
              <w:rPr>
                <w:highlight w:val="yellow"/>
              </w:rPr>
            </w:pPr>
            <w:r w:rsidRPr="00245929">
              <w:t xml:space="preserve"> 47.2 </w:t>
            </w:r>
          </w:p>
        </w:tc>
        <w:tc>
          <w:tcPr>
            <w:tcW w:w="907" w:type="dxa"/>
            <w:tcBorders>
              <w:top w:val="nil"/>
              <w:bottom w:val="nil"/>
            </w:tcBorders>
            <w:shd w:val="clear" w:color="auto" w:fill="auto"/>
          </w:tcPr>
          <w:p w14:paraId="45D867DA" w14:textId="77777777" w:rsidR="00E418D0" w:rsidRPr="00245929" w:rsidRDefault="00E418D0" w:rsidP="00A05864">
            <w:pPr>
              <w:pStyle w:val="TableTextCentered"/>
              <w:rPr>
                <w:highlight w:val="yellow"/>
              </w:rPr>
            </w:pPr>
            <w:r w:rsidRPr="00245929">
              <w:t xml:space="preserve"> 1,705.2 </w:t>
            </w:r>
          </w:p>
        </w:tc>
        <w:tc>
          <w:tcPr>
            <w:tcW w:w="907" w:type="dxa"/>
            <w:tcBorders>
              <w:top w:val="nil"/>
              <w:bottom w:val="nil"/>
            </w:tcBorders>
            <w:shd w:val="clear" w:color="auto" w:fill="auto"/>
          </w:tcPr>
          <w:p w14:paraId="1A14DD61" w14:textId="77777777" w:rsidR="00E418D0" w:rsidRPr="00245929" w:rsidRDefault="00E418D0" w:rsidP="00A05864">
            <w:pPr>
              <w:pStyle w:val="TableTextCentered"/>
              <w:rPr>
                <w:highlight w:val="yellow"/>
              </w:rPr>
            </w:pPr>
            <w:r w:rsidRPr="00245929">
              <w:t xml:space="preserve"> 44 </w:t>
            </w:r>
          </w:p>
        </w:tc>
        <w:tc>
          <w:tcPr>
            <w:tcW w:w="907" w:type="dxa"/>
            <w:tcBorders>
              <w:top w:val="nil"/>
              <w:bottom w:val="nil"/>
            </w:tcBorders>
            <w:shd w:val="clear" w:color="auto" w:fill="auto"/>
          </w:tcPr>
          <w:p w14:paraId="2D7D9B25" w14:textId="77777777" w:rsidR="00E418D0" w:rsidRPr="00245929" w:rsidRDefault="00E418D0" w:rsidP="00A05864">
            <w:pPr>
              <w:pStyle w:val="TableTextCentered"/>
              <w:rPr>
                <w:highlight w:val="yellow"/>
              </w:rPr>
            </w:pPr>
            <w:r w:rsidRPr="00245929">
              <w:t xml:space="preserve"> 48 </w:t>
            </w:r>
          </w:p>
        </w:tc>
        <w:tc>
          <w:tcPr>
            <w:tcW w:w="907" w:type="dxa"/>
            <w:tcBorders>
              <w:top w:val="nil"/>
              <w:bottom w:val="nil"/>
            </w:tcBorders>
            <w:shd w:val="clear" w:color="auto" w:fill="auto"/>
          </w:tcPr>
          <w:p w14:paraId="46B5AA2A" w14:textId="77777777" w:rsidR="00E418D0" w:rsidRPr="00245929" w:rsidRDefault="00E418D0" w:rsidP="00A05864">
            <w:pPr>
              <w:pStyle w:val="TableTextCentered"/>
              <w:rPr>
                <w:highlight w:val="yellow"/>
              </w:rPr>
            </w:pPr>
            <w:r w:rsidRPr="00245929">
              <w:t xml:space="preserve"> 34 </w:t>
            </w:r>
          </w:p>
        </w:tc>
        <w:tc>
          <w:tcPr>
            <w:tcW w:w="907" w:type="dxa"/>
            <w:tcBorders>
              <w:top w:val="nil"/>
              <w:bottom w:val="nil"/>
            </w:tcBorders>
            <w:shd w:val="clear" w:color="auto" w:fill="auto"/>
          </w:tcPr>
          <w:p w14:paraId="424DF14A" w14:textId="77777777" w:rsidR="00E418D0" w:rsidRPr="00245929" w:rsidRDefault="00E418D0" w:rsidP="00A05864">
            <w:pPr>
              <w:pStyle w:val="TableTextCentered"/>
              <w:rPr>
                <w:highlight w:val="yellow"/>
              </w:rPr>
            </w:pPr>
            <w:r w:rsidRPr="00245929">
              <w:t xml:space="preserve"> 34 </w:t>
            </w:r>
          </w:p>
        </w:tc>
        <w:tc>
          <w:tcPr>
            <w:tcW w:w="907" w:type="dxa"/>
            <w:tcBorders>
              <w:top w:val="nil"/>
              <w:bottom w:val="nil"/>
            </w:tcBorders>
            <w:shd w:val="clear" w:color="auto" w:fill="auto"/>
          </w:tcPr>
          <w:p w14:paraId="432E6A2A" w14:textId="77777777" w:rsidR="00E418D0" w:rsidRPr="00245929" w:rsidRDefault="00E418D0" w:rsidP="00A05864">
            <w:pPr>
              <w:pStyle w:val="TableTextCentered"/>
              <w:rPr>
                <w:highlight w:val="yellow"/>
              </w:rPr>
            </w:pPr>
            <w:r w:rsidRPr="00245929">
              <w:t xml:space="preserve"> 22 </w:t>
            </w:r>
          </w:p>
        </w:tc>
        <w:tc>
          <w:tcPr>
            <w:tcW w:w="907" w:type="dxa"/>
            <w:tcBorders>
              <w:top w:val="nil"/>
              <w:bottom w:val="nil"/>
              <w:right w:val="nil"/>
            </w:tcBorders>
            <w:shd w:val="clear" w:color="auto" w:fill="auto"/>
          </w:tcPr>
          <w:p w14:paraId="66ABB5A2" w14:textId="77777777" w:rsidR="00E418D0" w:rsidRPr="00245929" w:rsidRDefault="00E418D0" w:rsidP="00A05864">
            <w:pPr>
              <w:pStyle w:val="TableTextCentered"/>
              <w:rPr>
                <w:highlight w:val="yellow"/>
              </w:rPr>
            </w:pPr>
            <w:r w:rsidRPr="00245929">
              <w:t xml:space="preserve"> 18 </w:t>
            </w:r>
          </w:p>
        </w:tc>
      </w:tr>
      <w:tr w:rsidR="00E418D0" w:rsidRPr="00245929" w14:paraId="5E896496" w14:textId="77777777" w:rsidTr="00925EB0">
        <w:trPr>
          <w:trHeight w:val="308"/>
        </w:trPr>
        <w:tc>
          <w:tcPr>
            <w:tcW w:w="1813" w:type="dxa"/>
            <w:tcBorders>
              <w:top w:val="nil"/>
              <w:left w:val="nil"/>
            </w:tcBorders>
            <w:shd w:val="clear" w:color="auto" w:fill="auto"/>
            <w:vAlign w:val="center"/>
          </w:tcPr>
          <w:p w14:paraId="66FB734A" w14:textId="77777777" w:rsidR="00E418D0" w:rsidRPr="002B1D8F" w:rsidRDefault="00E418D0" w:rsidP="000D7EB7">
            <w:pPr>
              <w:spacing w:before="40" w:after="40"/>
              <w:jc w:val="left"/>
              <w:rPr>
                <w:color w:val="000000"/>
                <w:sz w:val="18"/>
              </w:rPr>
            </w:pPr>
            <w:r w:rsidRPr="002B1D8F">
              <w:rPr>
                <w:rFonts w:cs="Calibri"/>
                <w:color w:val="000000"/>
                <w:sz w:val="18"/>
                <w:szCs w:val="18"/>
              </w:rPr>
              <w:t>Arts and Recreation Services</w:t>
            </w:r>
          </w:p>
        </w:tc>
        <w:tc>
          <w:tcPr>
            <w:tcW w:w="907" w:type="dxa"/>
            <w:tcBorders>
              <w:top w:val="nil"/>
            </w:tcBorders>
            <w:shd w:val="clear" w:color="auto" w:fill="auto"/>
          </w:tcPr>
          <w:p w14:paraId="5782CE6D" w14:textId="77777777" w:rsidR="00E418D0" w:rsidRPr="00245929" w:rsidRDefault="00E418D0" w:rsidP="00A05864">
            <w:pPr>
              <w:pStyle w:val="TableTextCentered"/>
              <w:rPr>
                <w:highlight w:val="yellow"/>
              </w:rPr>
            </w:pPr>
            <w:r w:rsidRPr="00245929">
              <w:t xml:space="preserve"> 14.5 </w:t>
            </w:r>
          </w:p>
        </w:tc>
        <w:tc>
          <w:tcPr>
            <w:tcW w:w="907" w:type="dxa"/>
            <w:tcBorders>
              <w:top w:val="nil"/>
            </w:tcBorders>
            <w:shd w:val="clear" w:color="auto" w:fill="auto"/>
          </w:tcPr>
          <w:p w14:paraId="5035FEB1" w14:textId="77777777" w:rsidR="00E418D0" w:rsidRPr="00245929" w:rsidRDefault="00E418D0" w:rsidP="00A05864">
            <w:pPr>
              <w:pStyle w:val="TableTextCentered"/>
              <w:rPr>
                <w:highlight w:val="yellow"/>
              </w:rPr>
            </w:pPr>
            <w:r w:rsidRPr="00245929">
              <w:t xml:space="preserve"> 562.6 </w:t>
            </w:r>
          </w:p>
        </w:tc>
        <w:tc>
          <w:tcPr>
            <w:tcW w:w="907" w:type="dxa"/>
            <w:tcBorders>
              <w:top w:val="nil"/>
            </w:tcBorders>
            <w:shd w:val="clear" w:color="auto" w:fill="auto"/>
          </w:tcPr>
          <w:p w14:paraId="4278B700" w14:textId="77777777" w:rsidR="00E418D0" w:rsidRPr="00245929" w:rsidRDefault="00E418D0" w:rsidP="00A05864">
            <w:pPr>
              <w:pStyle w:val="TableTextCentered"/>
              <w:rPr>
                <w:highlight w:val="yellow"/>
              </w:rPr>
            </w:pPr>
            <w:r w:rsidRPr="00245929">
              <w:t xml:space="preserve"> 74 </w:t>
            </w:r>
          </w:p>
        </w:tc>
        <w:tc>
          <w:tcPr>
            <w:tcW w:w="907" w:type="dxa"/>
            <w:tcBorders>
              <w:top w:val="nil"/>
            </w:tcBorders>
            <w:shd w:val="clear" w:color="auto" w:fill="auto"/>
          </w:tcPr>
          <w:p w14:paraId="2C1147A7" w14:textId="77777777" w:rsidR="00E418D0" w:rsidRPr="00245929" w:rsidRDefault="00E418D0" w:rsidP="00A05864">
            <w:pPr>
              <w:pStyle w:val="TableTextCentered"/>
              <w:rPr>
                <w:highlight w:val="yellow"/>
              </w:rPr>
            </w:pPr>
            <w:r w:rsidRPr="00245929">
              <w:t xml:space="preserve"> 85 </w:t>
            </w:r>
          </w:p>
        </w:tc>
        <w:tc>
          <w:tcPr>
            <w:tcW w:w="907" w:type="dxa"/>
            <w:tcBorders>
              <w:top w:val="nil"/>
            </w:tcBorders>
            <w:shd w:val="clear" w:color="auto" w:fill="auto"/>
          </w:tcPr>
          <w:p w14:paraId="2DF6A48A" w14:textId="77777777" w:rsidR="00E418D0" w:rsidRPr="00245929" w:rsidRDefault="00E418D0" w:rsidP="00A05864">
            <w:pPr>
              <w:pStyle w:val="TableTextCentered"/>
              <w:rPr>
                <w:highlight w:val="yellow"/>
              </w:rPr>
            </w:pPr>
            <w:r w:rsidRPr="00245929">
              <w:t xml:space="preserve"> 13 </w:t>
            </w:r>
          </w:p>
        </w:tc>
        <w:tc>
          <w:tcPr>
            <w:tcW w:w="907" w:type="dxa"/>
            <w:tcBorders>
              <w:top w:val="nil"/>
            </w:tcBorders>
            <w:shd w:val="clear" w:color="auto" w:fill="auto"/>
          </w:tcPr>
          <w:p w14:paraId="6A1317EC" w14:textId="77777777" w:rsidR="00E418D0" w:rsidRPr="00245929" w:rsidRDefault="00E418D0" w:rsidP="00A05864">
            <w:pPr>
              <w:pStyle w:val="TableTextCentered"/>
              <w:rPr>
                <w:highlight w:val="yellow"/>
              </w:rPr>
            </w:pPr>
            <w:r w:rsidRPr="00245929">
              <w:t xml:space="preserve"> 8 </w:t>
            </w:r>
          </w:p>
        </w:tc>
        <w:tc>
          <w:tcPr>
            <w:tcW w:w="907" w:type="dxa"/>
            <w:tcBorders>
              <w:top w:val="nil"/>
            </w:tcBorders>
            <w:shd w:val="clear" w:color="auto" w:fill="auto"/>
          </w:tcPr>
          <w:p w14:paraId="7989B81C" w14:textId="77777777" w:rsidR="00E418D0" w:rsidRPr="00245929" w:rsidRDefault="00E418D0" w:rsidP="00A05864">
            <w:pPr>
              <w:pStyle w:val="TableTextCentered"/>
              <w:rPr>
                <w:highlight w:val="yellow"/>
              </w:rPr>
            </w:pPr>
            <w:r w:rsidRPr="00245929">
              <w:t xml:space="preserve"> 12 </w:t>
            </w:r>
          </w:p>
        </w:tc>
        <w:tc>
          <w:tcPr>
            <w:tcW w:w="907" w:type="dxa"/>
            <w:tcBorders>
              <w:top w:val="nil"/>
              <w:right w:val="nil"/>
            </w:tcBorders>
            <w:shd w:val="clear" w:color="auto" w:fill="auto"/>
          </w:tcPr>
          <w:p w14:paraId="33690248" w14:textId="77777777" w:rsidR="00E418D0" w:rsidRPr="00245929" w:rsidRDefault="00E418D0" w:rsidP="00A05864">
            <w:pPr>
              <w:pStyle w:val="TableTextCentered"/>
              <w:rPr>
                <w:highlight w:val="yellow"/>
              </w:rPr>
            </w:pPr>
            <w:r w:rsidRPr="00245929">
              <w:t xml:space="preserve"> 7 </w:t>
            </w:r>
          </w:p>
        </w:tc>
      </w:tr>
      <w:tr w:rsidR="00E418D0" w:rsidRPr="00245929" w14:paraId="0DC6AC38" w14:textId="77777777" w:rsidTr="00925EB0">
        <w:trPr>
          <w:trHeight w:val="308"/>
        </w:trPr>
        <w:tc>
          <w:tcPr>
            <w:tcW w:w="1813" w:type="dxa"/>
            <w:tcBorders>
              <w:top w:val="nil"/>
              <w:left w:val="nil"/>
              <w:bottom w:val="single" w:sz="4" w:space="0" w:color="3A6FAF"/>
            </w:tcBorders>
            <w:shd w:val="clear" w:color="auto" w:fill="auto"/>
            <w:vAlign w:val="center"/>
          </w:tcPr>
          <w:p w14:paraId="57E4C5ED" w14:textId="77777777" w:rsidR="00E418D0" w:rsidRPr="002B1D8F" w:rsidRDefault="00E418D0" w:rsidP="000D7EB7">
            <w:pPr>
              <w:spacing w:before="40" w:after="40"/>
              <w:jc w:val="left"/>
              <w:rPr>
                <w:color w:val="000000"/>
                <w:sz w:val="18"/>
              </w:rPr>
            </w:pPr>
            <w:r w:rsidRPr="002B1D8F">
              <w:rPr>
                <w:rFonts w:cs="Calibri"/>
                <w:color w:val="000000"/>
                <w:sz w:val="18"/>
                <w:szCs w:val="18"/>
              </w:rPr>
              <w:t>Other Services</w:t>
            </w:r>
          </w:p>
        </w:tc>
        <w:tc>
          <w:tcPr>
            <w:tcW w:w="907" w:type="dxa"/>
            <w:tcBorders>
              <w:top w:val="nil"/>
              <w:bottom w:val="single" w:sz="4" w:space="0" w:color="3A6FAF"/>
            </w:tcBorders>
            <w:shd w:val="clear" w:color="auto" w:fill="auto"/>
          </w:tcPr>
          <w:p w14:paraId="7E8A0377" w14:textId="77777777" w:rsidR="00E418D0" w:rsidRPr="00245929" w:rsidRDefault="00E418D0" w:rsidP="00A05864">
            <w:pPr>
              <w:pStyle w:val="TableTextCentered"/>
              <w:rPr>
                <w:highlight w:val="yellow"/>
              </w:rPr>
            </w:pPr>
            <w:r w:rsidRPr="00245929">
              <w:t xml:space="preserve"> 41.3 </w:t>
            </w:r>
          </w:p>
        </w:tc>
        <w:tc>
          <w:tcPr>
            <w:tcW w:w="907" w:type="dxa"/>
            <w:tcBorders>
              <w:top w:val="nil"/>
              <w:bottom w:val="single" w:sz="4" w:space="0" w:color="3A6FAF"/>
            </w:tcBorders>
            <w:shd w:val="clear" w:color="auto" w:fill="auto"/>
          </w:tcPr>
          <w:p w14:paraId="0FB3DB6D" w14:textId="77777777" w:rsidR="00E418D0" w:rsidRPr="00245929" w:rsidRDefault="00E418D0" w:rsidP="00A05864">
            <w:pPr>
              <w:pStyle w:val="TableTextCentered"/>
              <w:rPr>
                <w:highlight w:val="yellow"/>
              </w:rPr>
            </w:pPr>
            <w:r w:rsidRPr="00245929">
              <w:t xml:space="preserve"> 1,063.2 </w:t>
            </w:r>
          </w:p>
        </w:tc>
        <w:tc>
          <w:tcPr>
            <w:tcW w:w="907" w:type="dxa"/>
            <w:tcBorders>
              <w:top w:val="nil"/>
              <w:bottom w:val="single" w:sz="4" w:space="0" w:color="3A6FAF"/>
            </w:tcBorders>
            <w:shd w:val="clear" w:color="auto" w:fill="auto"/>
          </w:tcPr>
          <w:p w14:paraId="01F5AD5B" w14:textId="77777777" w:rsidR="00E418D0" w:rsidRPr="00245929" w:rsidRDefault="00E418D0" w:rsidP="00A05864">
            <w:pPr>
              <w:pStyle w:val="TableTextCentered"/>
              <w:rPr>
                <w:highlight w:val="yellow"/>
              </w:rPr>
            </w:pPr>
            <w:r w:rsidRPr="00245929">
              <w:t xml:space="preserve"> 45 </w:t>
            </w:r>
          </w:p>
        </w:tc>
        <w:tc>
          <w:tcPr>
            <w:tcW w:w="907" w:type="dxa"/>
            <w:tcBorders>
              <w:top w:val="nil"/>
              <w:bottom w:val="single" w:sz="4" w:space="0" w:color="3A6FAF"/>
            </w:tcBorders>
            <w:shd w:val="clear" w:color="auto" w:fill="auto"/>
          </w:tcPr>
          <w:p w14:paraId="49083DD8" w14:textId="77777777" w:rsidR="00E418D0" w:rsidRPr="00245929" w:rsidRDefault="00E418D0" w:rsidP="00A05864">
            <w:pPr>
              <w:pStyle w:val="TableTextCentered"/>
              <w:rPr>
                <w:highlight w:val="yellow"/>
              </w:rPr>
            </w:pPr>
            <w:r w:rsidRPr="00245929">
              <w:t xml:space="preserve"> 41 </w:t>
            </w:r>
          </w:p>
        </w:tc>
        <w:tc>
          <w:tcPr>
            <w:tcW w:w="907" w:type="dxa"/>
            <w:tcBorders>
              <w:top w:val="nil"/>
              <w:bottom w:val="single" w:sz="4" w:space="0" w:color="3A6FAF"/>
            </w:tcBorders>
            <w:shd w:val="clear" w:color="auto" w:fill="auto"/>
          </w:tcPr>
          <w:p w14:paraId="5C3973BE" w14:textId="77777777" w:rsidR="00E418D0" w:rsidRPr="00245929" w:rsidRDefault="00E418D0" w:rsidP="00A05864">
            <w:pPr>
              <w:pStyle w:val="TableTextCentered"/>
              <w:rPr>
                <w:highlight w:val="yellow"/>
              </w:rPr>
            </w:pPr>
            <w:r w:rsidRPr="00245929">
              <w:t xml:space="preserve"> 32 </w:t>
            </w:r>
          </w:p>
        </w:tc>
        <w:tc>
          <w:tcPr>
            <w:tcW w:w="907" w:type="dxa"/>
            <w:tcBorders>
              <w:top w:val="nil"/>
              <w:bottom w:val="single" w:sz="4" w:space="0" w:color="3A6FAF"/>
            </w:tcBorders>
            <w:shd w:val="clear" w:color="auto" w:fill="auto"/>
          </w:tcPr>
          <w:p w14:paraId="231A1C90" w14:textId="77777777" w:rsidR="00E418D0" w:rsidRPr="00245929" w:rsidRDefault="00E418D0" w:rsidP="00A05864">
            <w:pPr>
              <w:pStyle w:val="TableTextCentered"/>
              <w:rPr>
                <w:highlight w:val="yellow"/>
              </w:rPr>
            </w:pPr>
            <w:r w:rsidRPr="00245929">
              <w:t xml:space="preserve"> 37 </w:t>
            </w:r>
          </w:p>
        </w:tc>
        <w:tc>
          <w:tcPr>
            <w:tcW w:w="907" w:type="dxa"/>
            <w:tcBorders>
              <w:top w:val="nil"/>
              <w:bottom w:val="single" w:sz="4" w:space="0" w:color="3A6FAF"/>
            </w:tcBorders>
            <w:shd w:val="clear" w:color="auto" w:fill="auto"/>
          </w:tcPr>
          <w:p w14:paraId="3BC6804D" w14:textId="77777777" w:rsidR="00E418D0" w:rsidRPr="00245929" w:rsidRDefault="00E418D0" w:rsidP="00A05864">
            <w:pPr>
              <w:pStyle w:val="TableTextCentered"/>
              <w:rPr>
                <w:highlight w:val="yellow"/>
              </w:rPr>
            </w:pPr>
            <w:r w:rsidRPr="00245929">
              <w:t xml:space="preserve"> 23 </w:t>
            </w:r>
          </w:p>
        </w:tc>
        <w:tc>
          <w:tcPr>
            <w:tcW w:w="907" w:type="dxa"/>
            <w:tcBorders>
              <w:top w:val="nil"/>
              <w:bottom w:val="single" w:sz="4" w:space="0" w:color="3A6FAF"/>
              <w:right w:val="nil"/>
            </w:tcBorders>
            <w:shd w:val="clear" w:color="auto" w:fill="auto"/>
          </w:tcPr>
          <w:p w14:paraId="4934E875" w14:textId="77777777" w:rsidR="00E418D0" w:rsidRPr="00245929" w:rsidRDefault="00E418D0" w:rsidP="00A05864">
            <w:pPr>
              <w:pStyle w:val="TableTextCentered"/>
              <w:rPr>
                <w:highlight w:val="yellow"/>
              </w:rPr>
            </w:pPr>
            <w:r w:rsidRPr="00245929">
              <w:t xml:space="preserve"> 22 </w:t>
            </w:r>
          </w:p>
        </w:tc>
      </w:tr>
    </w:tbl>
    <w:p w14:paraId="49962478" w14:textId="77777777" w:rsidR="004170E9" w:rsidRDefault="00925EB0" w:rsidP="004170E9">
      <w:pPr>
        <w:spacing w:before="0" w:after="0" w:line="276" w:lineRule="auto"/>
        <w:jc w:val="both"/>
        <w:rPr>
          <w:sz w:val="18"/>
          <w:szCs w:val="16"/>
        </w:rPr>
      </w:pPr>
      <w:r w:rsidRPr="003E7BD1">
        <w:rPr>
          <w:sz w:val="18"/>
          <w:szCs w:val="16"/>
        </w:rPr>
        <w:t>Note</w:t>
      </w:r>
      <w:r>
        <w:rPr>
          <w:sz w:val="18"/>
          <w:szCs w:val="16"/>
        </w:rPr>
        <w:t xml:space="preserve">: </w:t>
      </w:r>
      <w:r w:rsidRPr="00493645">
        <w:rPr>
          <w:sz w:val="18"/>
          <w:szCs w:val="16"/>
        </w:rPr>
        <w:t>Large businesses (those with turnover greater than $1 billion) were subject to a 50 per cent decline in turnover test.</w:t>
      </w:r>
      <w:r>
        <w:rPr>
          <w:sz w:val="18"/>
          <w:szCs w:val="16"/>
        </w:rPr>
        <w:t xml:space="preserve"> </w:t>
      </w:r>
      <w:r w:rsidR="004170E9">
        <w:rPr>
          <w:sz w:val="18"/>
          <w:szCs w:val="16"/>
        </w:rPr>
        <w:t>Turnover analysis is based on quarterly data compared to a year earlier.</w:t>
      </w:r>
    </w:p>
    <w:p w14:paraId="75697B81" w14:textId="6650AD79" w:rsidR="00B61369" w:rsidRPr="003E7BD1" w:rsidRDefault="00A76059" w:rsidP="004170E9">
      <w:pPr>
        <w:spacing w:before="0" w:after="0" w:line="276" w:lineRule="auto"/>
        <w:jc w:val="both"/>
        <w:rPr>
          <w:sz w:val="18"/>
          <w:szCs w:val="16"/>
        </w:rPr>
      </w:pPr>
      <w:r>
        <w:rPr>
          <w:sz w:val="18"/>
          <w:szCs w:val="16"/>
        </w:rPr>
        <w:t>Source:</w:t>
      </w:r>
      <w:r w:rsidR="00B61369">
        <w:rPr>
          <w:sz w:val="18"/>
          <w:szCs w:val="16"/>
        </w:rPr>
        <w:t xml:space="preserve"> JobKeeper disbursement data as at November 2020 and BAS data as at August 2021.</w:t>
      </w:r>
    </w:p>
    <w:p w14:paraId="126347CF" w14:textId="097504AE" w:rsidR="00876F33" w:rsidRDefault="00876F33" w:rsidP="00876F33">
      <w:pPr>
        <w:pStyle w:val="SingleParagraph"/>
      </w:pPr>
    </w:p>
    <w:p w14:paraId="1CC900AF" w14:textId="77777777" w:rsidR="00FF4620" w:rsidRDefault="00FF4620">
      <w:pPr>
        <w:spacing w:before="0" w:after="200" w:line="276" w:lineRule="auto"/>
        <w:rPr>
          <w:rFonts w:cs="Arial"/>
          <w:b/>
          <w:color w:val="3A6FAF" w:themeColor="accent2"/>
          <w:kern w:val="32"/>
          <w:sz w:val="28"/>
          <w:szCs w:val="26"/>
        </w:rPr>
      </w:pPr>
      <w:r>
        <w:br w:type="page"/>
      </w:r>
    </w:p>
    <w:p w14:paraId="7AF995B6" w14:textId="44E2A1F5" w:rsidR="006055AC" w:rsidRPr="002C73BA" w:rsidRDefault="006055AC" w:rsidP="00F47CDD">
      <w:pPr>
        <w:pStyle w:val="TableMainHeading"/>
      </w:pPr>
      <w:bookmarkStart w:id="227" w:name="_Toc84842609"/>
      <w:r>
        <w:lastRenderedPageBreak/>
        <w:t xml:space="preserve">JobKeeper recipients by </w:t>
      </w:r>
      <w:r w:rsidR="00905363">
        <w:t xml:space="preserve">through-the-year </w:t>
      </w:r>
      <w:r>
        <w:t xml:space="preserve">turnover </w:t>
      </w:r>
      <w:r w:rsidR="00EE3B19">
        <w:t>decline</w:t>
      </w:r>
      <w:r>
        <w:t xml:space="preserve"> </w:t>
      </w:r>
      <w:r w:rsidR="00C05A71">
        <w:t xml:space="preserve">by </w:t>
      </w:r>
      <w:r w:rsidR="00386AFA">
        <w:t>s</w:t>
      </w:r>
      <w:r w:rsidR="00420D7C">
        <w:t>tate</w:t>
      </w:r>
      <w:r>
        <w:t xml:space="preserve">, </w:t>
      </w:r>
      <w:r w:rsidR="00420D7C">
        <w:t>June</w:t>
      </w:r>
      <w:r w:rsidR="006D1FD4">
        <w:t> </w:t>
      </w:r>
      <w:r>
        <w:t>quarter</w:t>
      </w:r>
      <w:r w:rsidR="006D1FD4">
        <w:t> </w:t>
      </w:r>
      <w:r>
        <w:t>2020</w:t>
      </w:r>
      <w:bookmarkEnd w:id="227"/>
    </w:p>
    <w:tbl>
      <w:tblPr>
        <w:tblStyle w:val="TableGrid"/>
        <w:tblW w:w="9389" w:type="dxa"/>
        <w:tblLook w:val="04A0" w:firstRow="1" w:lastRow="0" w:firstColumn="1" w:lastColumn="0" w:noHBand="0" w:noVBand="1"/>
      </w:tblPr>
      <w:tblGrid>
        <w:gridCol w:w="792"/>
        <w:gridCol w:w="851"/>
        <w:gridCol w:w="849"/>
        <w:gridCol w:w="853"/>
        <w:gridCol w:w="1439"/>
        <w:gridCol w:w="116"/>
        <w:gridCol w:w="737"/>
        <w:gridCol w:w="1439"/>
        <w:gridCol w:w="111"/>
        <w:gridCol w:w="742"/>
        <w:gridCol w:w="1439"/>
        <w:gridCol w:w="21"/>
      </w:tblGrid>
      <w:tr w:rsidR="00C53C0D" w:rsidRPr="00B14085" w14:paraId="2995F8B4" w14:textId="77777777" w:rsidTr="006D1FD4">
        <w:trPr>
          <w:trHeight w:val="20"/>
        </w:trPr>
        <w:tc>
          <w:tcPr>
            <w:tcW w:w="792" w:type="dxa"/>
            <w:tcBorders>
              <w:top w:val="single" w:sz="4" w:space="0" w:color="3A6FAF"/>
              <w:left w:val="nil"/>
            </w:tcBorders>
            <w:shd w:val="clear" w:color="auto" w:fill="auto"/>
          </w:tcPr>
          <w:p w14:paraId="12FB25B5" w14:textId="77777777" w:rsidR="00C53C0D" w:rsidRPr="00B14085" w:rsidRDefault="00C53C0D" w:rsidP="00077884">
            <w:pPr>
              <w:spacing w:before="40" w:after="40"/>
              <w:rPr>
                <w:color w:val="000000"/>
                <w:sz w:val="18"/>
                <w:highlight w:val="yellow"/>
              </w:rPr>
            </w:pPr>
          </w:p>
        </w:tc>
        <w:tc>
          <w:tcPr>
            <w:tcW w:w="1700" w:type="dxa"/>
            <w:gridSpan w:val="2"/>
            <w:tcBorders>
              <w:top w:val="single" w:sz="4" w:space="0" w:color="3A6FAF"/>
            </w:tcBorders>
            <w:shd w:val="clear" w:color="auto" w:fill="auto"/>
          </w:tcPr>
          <w:p w14:paraId="47E2432E" w14:textId="77777777" w:rsidR="00C53C0D" w:rsidRPr="00B14085" w:rsidRDefault="00C53C0D" w:rsidP="00077884">
            <w:pPr>
              <w:spacing w:before="40" w:after="40"/>
              <w:jc w:val="center"/>
              <w:rPr>
                <w:b/>
                <w:color w:val="002C47"/>
              </w:rPr>
            </w:pPr>
            <w:r w:rsidRPr="00B14085">
              <w:rPr>
                <w:b/>
                <w:color w:val="002C47"/>
              </w:rPr>
              <w:t>Totals</w:t>
            </w:r>
          </w:p>
        </w:tc>
        <w:tc>
          <w:tcPr>
            <w:tcW w:w="2408" w:type="dxa"/>
            <w:gridSpan w:val="3"/>
            <w:tcBorders>
              <w:top w:val="single" w:sz="4" w:space="0" w:color="3A6FAF"/>
            </w:tcBorders>
            <w:shd w:val="clear" w:color="auto" w:fill="auto"/>
          </w:tcPr>
          <w:p w14:paraId="4E381EEA" w14:textId="16D7A512" w:rsidR="00C53C0D" w:rsidRPr="00B14085" w:rsidRDefault="00843B64" w:rsidP="00077884">
            <w:pPr>
              <w:spacing w:before="40" w:after="40"/>
              <w:jc w:val="center"/>
              <w:rPr>
                <w:b/>
                <w:color w:val="002C47"/>
              </w:rPr>
            </w:pPr>
            <w:r>
              <w:rPr>
                <w:b/>
                <w:bCs/>
                <w:color w:val="002C47"/>
              </w:rPr>
              <w:t xml:space="preserve">Turnover decline </w:t>
            </w:r>
            <w:r>
              <w:rPr>
                <w:b/>
                <w:bCs/>
                <w:color w:val="002C47"/>
              </w:rPr>
              <w:br/>
              <w:t>more than 30%</w:t>
            </w:r>
            <w:r>
              <w:rPr>
                <w:b/>
                <w:bCs/>
                <w:color w:val="002C47"/>
              </w:rPr>
              <w:br/>
              <w:t>(or 50%)</w:t>
            </w:r>
          </w:p>
        </w:tc>
        <w:tc>
          <w:tcPr>
            <w:tcW w:w="2287" w:type="dxa"/>
            <w:gridSpan w:val="3"/>
            <w:tcBorders>
              <w:top w:val="single" w:sz="4" w:space="0" w:color="3A6FAF"/>
            </w:tcBorders>
            <w:shd w:val="clear" w:color="auto" w:fill="auto"/>
          </w:tcPr>
          <w:p w14:paraId="5A06E3BA" w14:textId="0FC142A7" w:rsidR="00C53C0D" w:rsidRPr="00B14085" w:rsidRDefault="00843B64" w:rsidP="00077884">
            <w:pPr>
              <w:spacing w:before="40" w:after="40"/>
              <w:jc w:val="center"/>
              <w:rPr>
                <w:b/>
                <w:color w:val="002C47"/>
              </w:rPr>
            </w:pPr>
            <w:r>
              <w:rPr>
                <w:b/>
                <w:bCs/>
                <w:color w:val="002C47"/>
              </w:rPr>
              <w:t>Turnover decline   between 0 –</w:t>
            </w:r>
            <w:r w:rsidRPr="008C492F">
              <w:rPr>
                <w:b/>
                <w:bCs/>
                <w:color w:val="002C47"/>
              </w:rPr>
              <w:t xml:space="preserve"> </w:t>
            </w:r>
            <w:r>
              <w:rPr>
                <w:b/>
                <w:bCs/>
                <w:color w:val="002C47"/>
              </w:rPr>
              <w:t xml:space="preserve">30% </w:t>
            </w:r>
            <w:r>
              <w:rPr>
                <w:b/>
                <w:bCs/>
                <w:color w:val="002C47"/>
              </w:rPr>
              <w:br/>
              <w:t>(or 50%)</w:t>
            </w:r>
          </w:p>
        </w:tc>
        <w:tc>
          <w:tcPr>
            <w:tcW w:w="2202" w:type="dxa"/>
            <w:gridSpan w:val="3"/>
            <w:tcBorders>
              <w:top w:val="single" w:sz="4" w:space="0" w:color="3A6FAF"/>
              <w:right w:val="nil"/>
            </w:tcBorders>
            <w:shd w:val="clear" w:color="auto" w:fill="auto"/>
          </w:tcPr>
          <w:p w14:paraId="555B45EA" w14:textId="0426CAC7" w:rsidR="00C53C0D" w:rsidRPr="00B14085" w:rsidRDefault="00DA3241" w:rsidP="00077884">
            <w:pPr>
              <w:spacing w:before="40" w:after="40"/>
              <w:jc w:val="center"/>
              <w:rPr>
                <w:b/>
                <w:color w:val="002C47"/>
              </w:rPr>
            </w:pPr>
            <w:r>
              <w:rPr>
                <w:b/>
                <w:color w:val="002C47"/>
              </w:rPr>
              <w:t>T</w:t>
            </w:r>
            <w:r w:rsidR="00C53C0D" w:rsidRPr="00B14085">
              <w:rPr>
                <w:b/>
                <w:color w:val="002C47"/>
              </w:rPr>
              <w:t>urnover</w:t>
            </w:r>
            <w:r>
              <w:rPr>
                <w:b/>
                <w:color w:val="002C47"/>
              </w:rPr>
              <w:t xml:space="preserve"> increase</w:t>
            </w:r>
          </w:p>
        </w:tc>
      </w:tr>
      <w:tr w:rsidR="00C53C0D" w:rsidRPr="00B14085" w14:paraId="4DB7643F" w14:textId="77777777" w:rsidTr="006D1FD4">
        <w:trPr>
          <w:gridAfter w:val="1"/>
          <w:wAfter w:w="21" w:type="dxa"/>
          <w:trHeight w:val="20"/>
        </w:trPr>
        <w:tc>
          <w:tcPr>
            <w:tcW w:w="792" w:type="dxa"/>
            <w:tcBorders>
              <w:left w:val="nil"/>
              <w:bottom w:val="single" w:sz="4" w:space="0" w:color="3A6FAF"/>
            </w:tcBorders>
            <w:shd w:val="clear" w:color="auto" w:fill="auto"/>
          </w:tcPr>
          <w:p w14:paraId="7972CAEF" w14:textId="77777777" w:rsidR="00C53C0D" w:rsidRPr="00B14085" w:rsidRDefault="00C53C0D" w:rsidP="00077884">
            <w:pPr>
              <w:spacing w:before="40" w:after="40"/>
              <w:rPr>
                <w:color w:val="000000"/>
                <w:sz w:val="18"/>
                <w:highlight w:val="yellow"/>
              </w:rPr>
            </w:pPr>
          </w:p>
        </w:tc>
        <w:tc>
          <w:tcPr>
            <w:tcW w:w="851" w:type="dxa"/>
            <w:tcBorders>
              <w:bottom w:val="single" w:sz="4" w:space="0" w:color="3A6FAF"/>
            </w:tcBorders>
            <w:shd w:val="clear" w:color="auto" w:fill="auto"/>
          </w:tcPr>
          <w:p w14:paraId="43E01FD8" w14:textId="5786D1D1" w:rsidR="00C53C0D" w:rsidRPr="00B14085" w:rsidRDefault="00C53C0D" w:rsidP="00077884">
            <w:pPr>
              <w:spacing w:before="40" w:after="40"/>
              <w:jc w:val="center"/>
              <w:rPr>
                <w:b/>
                <w:color w:val="002C47"/>
              </w:rPr>
            </w:pPr>
            <w:r w:rsidRPr="00B14085">
              <w:rPr>
                <w:b/>
                <w:color w:val="002C47"/>
              </w:rPr>
              <w:t>Entities (</w:t>
            </w:r>
            <w:r w:rsidR="0038520A">
              <w:rPr>
                <w:b/>
                <w:color w:val="002C47"/>
              </w:rPr>
              <w:t>‘</w:t>
            </w:r>
            <w:r w:rsidRPr="00B14085">
              <w:rPr>
                <w:b/>
                <w:color w:val="002C47"/>
              </w:rPr>
              <w:t>000s)</w:t>
            </w:r>
          </w:p>
        </w:tc>
        <w:tc>
          <w:tcPr>
            <w:tcW w:w="849" w:type="dxa"/>
            <w:tcBorders>
              <w:bottom w:val="single" w:sz="4" w:space="0" w:color="3A6FAF"/>
            </w:tcBorders>
            <w:shd w:val="clear" w:color="auto" w:fill="auto"/>
          </w:tcPr>
          <w:p w14:paraId="08328667" w14:textId="2A9B5779" w:rsidR="00C53C0D" w:rsidRPr="00B14085" w:rsidRDefault="00C53C0D" w:rsidP="00077884">
            <w:pPr>
              <w:spacing w:before="40" w:after="40"/>
              <w:jc w:val="center"/>
              <w:rPr>
                <w:b/>
                <w:color w:val="002C47"/>
              </w:rPr>
            </w:pPr>
            <w:r w:rsidRPr="00B14085">
              <w:rPr>
                <w:b/>
                <w:color w:val="002C47"/>
              </w:rPr>
              <w:t>Disburs</w:t>
            </w:r>
            <w:r w:rsidR="002F708C">
              <w:rPr>
                <w:b/>
                <w:color w:val="002C47"/>
              </w:rPr>
              <w:t xml:space="preserve"> </w:t>
            </w:r>
            <w:r w:rsidRPr="00B14085">
              <w:rPr>
                <w:b/>
                <w:color w:val="002C47"/>
              </w:rPr>
              <w:t>ements ($m)</w:t>
            </w:r>
          </w:p>
        </w:tc>
        <w:tc>
          <w:tcPr>
            <w:tcW w:w="853" w:type="dxa"/>
            <w:tcBorders>
              <w:bottom w:val="single" w:sz="4" w:space="0" w:color="3A6FAF"/>
            </w:tcBorders>
            <w:shd w:val="clear" w:color="auto" w:fill="auto"/>
          </w:tcPr>
          <w:p w14:paraId="155AC43C" w14:textId="77777777" w:rsidR="00C53C0D" w:rsidRPr="00B14085" w:rsidRDefault="00C53C0D" w:rsidP="00077884">
            <w:pPr>
              <w:spacing w:before="40" w:after="40"/>
              <w:jc w:val="center"/>
              <w:rPr>
                <w:b/>
                <w:color w:val="002C47"/>
              </w:rPr>
            </w:pPr>
            <w:r w:rsidRPr="00B14085">
              <w:rPr>
                <w:b/>
                <w:color w:val="002C47"/>
              </w:rPr>
              <w:t>Share of entities (%)</w:t>
            </w:r>
          </w:p>
        </w:tc>
        <w:tc>
          <w:tcPr>
            <w:tcW w:w="1439" w:type="dxa"/>
            <w:tcBorders>
              <w:bottom w:val="single" w:sz="4" w:space="0" w:color="3A6FAF"/>
            </w:tcBorders>
            <w:shd w:val="clear" w:color="auto" w:fill="auto"/>
          </w:tcPr>
          <w:p w14:paraId="5626E8B8" w14:textId="3057EDD1" w:rsidR="00C53C0D" w:rsidRPr="00B14085" w:rsidRDefault="00C53C0D" w:rsidP="00077884">
            <w:pPr>
              <w:spacing w:before="40" w:after="40"/>
              <w:jc w:val="center"/>
              <w:rPr>
                <w:b/>
                <w:color w:val="002C47"/>
              </w:rPr>
            </w:pPr>
            <w:r w:rsidRPr="00B14085">
              <w:rPr>
                <w:b/>
                <w:color w:val="002C47"/>
              </w:rPr>
              <w:t>Share of disbursements (%)</w:t>
            </w:r>
          </w:p>
        </w:tc>
        <w:tc>
          <w:tcPr>
            <w:tcW w:w="853" w:type="dxa"/>
            <w:gridSpan w:val="2"/>
            <w:tcBorders>
              <w:bottom w:val="single" w:sz="4" w:space="0" w:color="3A6FAF"/>
            </w:tcBorders>
            <w:shd w:val="clear" w:color="auto" w:fill="auto"/>
          </w:tcPr>
          <w:p w14:paraId="2DBABA27" w14:textId="77777777" w:rsidR="00C53C0D" w:rsidRPr="00B14085" w:rsidRDefault="00C53C0D" w:rsidP="00077884">
            <w:pPr>
              <w:spacing w:before="40" w:after="40"/>
              <w:jc w:val="center"/>
              <w:rPr>
                <w:b/>
                <w:color w:val="002C47"/>
              </w:rPr>
            </w:pPr>
            <w:r w:rsidRPr="00B14085">
              <w:rPr>
                <w:b/>
                <w:color w:val="002C47"/>
              </w:rPr>
              <w:t>Share of entities (%)</w:t>
            </w:r>
          </w:p>
        </w:tc>
        <w:tc>
          <w:tcPr>
            <w:tcW w:w="1439" w:type="dxa"/>
            <w:tcBorders>
              <w:bottom w:val="single" w:sz="4" w:space="0" w:color="3A6FAF"/>
            </w:tcBorders>
            <w:shd w:val="clear" w:color="auto" w:fill="auto"/>
          </w:tcPr>
          <w:p w14:paraId="6F8445CD" w14:textId="384B4AC3" w:rsidR="00C53C0D" w:rsidRPr="00B14085" w:rsidRDefault="00C53C0D" w:rsidP="00077884">
            <w:pPr>
              <w:spacing w:before="40" w:after="40"/>
              <w:jc w:val="center"/>
              <w:rPr>
                <w:b/>
                <w:color w:val="002C47"/>
              </w:rPr>
            </w:pPr>
            <w:r w:rsidRPr="00B14085">
              <w:rPr>
                <w:b/>
                <w:color w:val="002C47"/>
              </w:rPr>
              <w:t>Share of disbursements (%)</w:t>
            </w:r>
          </w:p>
        </w:tc>
        <w:tc>
          <w:tcPr>
            <w:tcW w:w="853" w:type="dxa"/>
            <w:gridSpan w:val="2"/>
            <w:tcBorders>
              <w:bottom w:val="single" w:sz="4" w:space="0" w:color="3A6FAF"/>
            </w:tcBorders>
            <w:shd w:val="clear" w:color="auto" w:fill="auto"/>
          </w:tcPr>
          <w:p w14:paraId="4076CF4B" w14:textId="77777777" w:rsidR="00C53C0D" w:rsidRPr="00B14085" w:rsidRDefault="00C53C0D" w:rsidP="00077884">
            <w:pPr>
              <w:spacing w:before="40" w:after="40"/>
              <w:jc w:val="center"/>
              <w:rPr>
                <w:b/>
                <w:color w:val="002C47"/>
              </w:rPr>
            </w:pPr>
            <w:r w:rsidRPr="00B14085">
              <w:rPr>
                <w:b/>
                <w:color w:val="002C47"/>
              </w:rPr>
              <w:t>Share of entities (%)</w:t>
            </w:r>
          </w:p>
        </w:tc>
        <w:tc>
          <w:tcPr>
            <w:tcW w:w="1439" w:type="dxa"/>
            <w:tcBorders>
              <w:bottom w:val="single" w:sz="4" w:space="0" w:color="3A6FAF"/>
              <w:right w:val="nil"/>
            </w:tcBorders>
            <w:shd w:val="clear" w:color="auto" w:fill="auto"/>
          </w:tcPr>
          <w:p w14:paraId="28FB59F9" w14:textId="3B7FDA88" w:rsidR="00C53C0D" w:rsidRPr="00B14085" w:rsidRDefault="00C53C0D" w:rsidP="00077884">
            <w:pPr>
              <w:spacing w:before="40" w:after="40"/>
              <w:jc w:val="center"/>
              <w:rPr>
                <w:b/>
                <w:color w:val="002C47"/>
              </w:rPr>
            </w:pPr>
            <w:r w:rsidRPr="00B14085">
              <w:rPr>
                <w:b/>
                <w:color w:val="002C47"/>
              </w:rPr>
              <w:t>Share of disbursements (%)</w:t>
            </w:r>
          </w:p>
        </w:tc>
      </w:tr>
      <w:tr w:rsidR="00C53C0D" w:rsidRPr="00B14085" w14:paraId="7AB98BAE" w14:textId="77777777" w:rsidTr="006D1FD4">
        <w:trPr>
          <w:gridAfter w:val="1"/>
          <w:wAfter w:w="21" w:type="dxa"/>
          <w:trHeight w:val="20"/>
        </w:trPr>
        <w:tc>
          <w:tcPr>
            <w:tcW w:w="792" w:type="dxa"/>
            <w:tcBorders>
              <w:top w:val="single" w:sz="4" w:space="0" w:color="3A6FAF"/>
              <w:left w:val="nil"/>
              <w:bottom w:val="nil"/>
            </w:tcBorders>
            <w:shd w:val="clear" w:color="auto" w:fill="auto"/>
            <w:vAlign w:val="bottom"/>
          </w:tcPr>
          <w:p w14:paraId="0F8DA6F9" w14:textId="77777777" w:rsidR="00C53C0D" w:rsidRPr="00B14085" w:rsidRDefault="00C53C0D" w:rsidP="00077884">
            <w:pPr>
              <w:spacing w:before="40" w:after="40"/>
              <w:rPr>
                <w:color w:val="000000"/>
                <w:sz w:val="18"/>
              </w:rPr>
            </w:pPr>
            <w:r w:rsidRPr="00B14085">
              <w:rPr>
                <w:rFonts w:cs="Calibri"/>
                <w:color w:val="000000"/>
                <w:sz w:val="18"/>
              </w:rPr>
              <w:t>NSW</w:t>
            </w:r>
          </w:p>
        </w:tc>
        <w:tc>
          <w:tcPr>
            <w:tcW w:w="851" w:type="dxa"/>
            <w:tcBorders>
              <w:top w:val="single" w:sz="4" w:space="0" w:color="3A6FAF"/>
              <w:bottom w:val="nil"/>
            </w:tcBorders>
            <w:shd w:val="clear" w:color="auto" w:fill="auto"/>
          </w:tcPr>
          <w:p w14:paraId="484B4904" w14:textId="77777777" w:rsidR="00C53C0D" w:rsidRPr="00B14085" w:rsidRDefault="00C53C0D" w:rsidP="00A05864">
            <w:pPr>
              <w:pStyle w:val="TableTextCentered"/>
              <w:rPr>
                <w:highlight w:val="yellow"/>
              </w:rPr>
            </w:pPr>
            <w:r w:rsidRPr="00B14085">
              <w:t xml:space="preserve"> 201.6 </w:t>
            </w:r>
          </w:p>
        </w:tc>
        <w:tc>
          <w:tcPr>
            <w:tcW w:w="849" w:type="dxa"/>
            <w:tcBorders>
              <w:top w:val="single" w:sz="4" w:space="0" w:color="3A6FAF"/>
              <w:bottom w:val="nil"/>
            </w:tcBorders>
            <w:shd w:val="clear" w:color="auto" w:fill="auto"/>
          </w:tcPr>
          <w:p w14:paraId="0B3CFEE4" w14:textId="77777777" w:rsidR="00C53C0D" w:rsidRPr="00B14085" w:rsidRDefault="00C53C0D" w:rsidP="00A05864">
            <w:pPr>
              <w:pStyle w:val="TableTextCentered"/>
              <w:rPr>
                <w:highlight w:val="yellow"/>
              </w:rPr>
            </w:pPr>
            <w:r w:rsidRPr="00B14085">
              <w:t xml:space="preserve"> 6,884.8 </w:t>
            </w:r>
          </w:p>
        </w:tc>
        <w:tc>
          <w:tcPr>
            <w:tcW w:w="853" w:type="dxa"/>
            <w:tcBorders>
              <w:top w:val="single" w:sz="4" w:space="0" w:color="3A6FAF"/>
              <w:bottom w:val="nil"/>
            </w:tcBorders>
            <w:shd w:val="clear" w:color="auto" w:fill="auto"/>
          </w:tcPr>
          <w:p w14:paraId="3E0B1B8A" w14:textId="77777777" w:rsidR="00C53C0D" w:rsidRPr="00B14085" w:rsidRDefault="00C53C0D" w:rsidP="00A05864">
            <w:pPr>
              <w:pStyle w:val="TableTextCentered"/>
              <w:rPr>
                <w:highlight w:val="yellow"/>
              </w:rPr>
            </w:pPr>
            <w:r w:rsidRPr="00B14085">
              <w:t xml:space="preserve"> 50 </w:t>
            </w:r>
          </w:p>
        </w:tc>
        <w:tc>
          <w:tcPr>
            <w:tcW w:w="1439" w:type="dxa"/>
            <w:tcBorders>
              <w:top w:val="single" w:sz="4" w:space="0" w:color="3A6FAF"/>
              <w:bottom w:val="nil"/>
            </w:tcBorders>
            <w:shd w:val="clear" w:color="auto" w:fill="auto"/>
          </w:tcPr>
          <w:p w14:paraId="4B2C4523" w14:textId="77777777" w:rsidR="00C53C0D" w:rsidRPr="00B14085" w:rsidRDefault="00C53C0D" w:rsidP="00A05864">
            <w:pPr>
              <w:pStyle w:val="TableTextCentered"/>
              <w:rPr>
                <w:highlight w:val="yellow"/>
              </w:rPr>
            </w:pPr>
            <w:r w:rsidRPr="00B14085">
              <w:t xml:space="preserve"> 48 </w:t>
            </w:r>
          </w:p>
        </w:tc>
        <w:tc>
          <w:tcPr>
            <w:tcW w:w="853" w:type="dxa"/>
            <w:gridSpan w:val="2"/>
            <w:tcBorders>
              <w:top w:val="single" w:sz="4" w:space="0" w:color="3A6FAF"/>
              <w:bottom w:val="nil"/>
            </w:tcBorders>
            <w:shd w:val="clear" w:color="auto" w:fill="auto"/>
          </w:tcPr>
          <w:p w14:paraId="7C653EE8" w14:textId="77777777" w:rsidR="00C53C0D" w:rsidRPr="00B14085" w:rsidRDefault="00C53C0D" w:rsidP="00A05864">
            <w:pPr>
              <w:pStyle w:val="TableTextCentered"/>
              <w:rPr>
                <w:highlight w:val="yellow"/>
              </w:rPr>
            </w:pPr>
            <w:r w:rsidRPr="00B14085">
              <w:t xml:space="preserve"> 25 </w:t>
            </w:r>
          </w:p>
        </w:tc>
        <w:tc>
          <w:tcPr>
            <w:tcW w:w="1439" w:type="dxa"/>
            <w:tcBorders>
              <w:top w:val="single" w:sz="4" w:space="0" w:color="3A6FAF"/>
              <w:bottom w:val="nil"/>
            </w:tcBorders>
            <w:shd w:val="clear" w:color="auto" w:fill="auto"/>
          </w:tcPr>
          <w:p w14:paraId="532B3966" w14:textId="77777777" w:rsidR="00C53C0D" w:rsidRPr="00B14085" w:rsidRDefault="00C53C0D" w:rsidP="00A05864">
            <w:pPr>
              <w:pStyle w:val="TableTextCentered"/>
              <w:rPr>
                <w:highlight w:val="yellow"/>
              </w:rPr>
            </w:pPr>
            <w:r w:rsidRPr="00B14085">
              <w:t xml:space="preserve"> 30 </w:t>
            </w:r>
          </w:p>
        </w:tc>
        <w:tc>
          <w:tcPr>
            <w:tcW w:w="853" w:type="dxa"/>
            <w:gridSpan w:val="2"/>
            <w:tcBorders>
              <w:top w:val="single" w:sz="4" w:space="0" w:color="3A6FAF"/>
              <w:bottom w:val="nil"/>
            </w:tcBorders>
            <w:shd w:val="clear" w:color="auto" w:fill="auto"/>
          </w:tcPr>
          <w:p w14:paraId="3C45E648" w14:textId="77777777" w:rsidR="00C53C0D" w:rsidRPr="00B14085" w:rsidRDefault="00C53C0D" w:rsidP="00A05864">
            <w:pPr>
              <w:pStyle w:val="TableTextCentered"/>
              <w:rPr>
                <w:highlight w:val="yellow"/>
              </w:rPr>
            </w:pPr>
            <w:r w:rsidRPr="00B14085">
              <w:t xml:space="preserve"> 25 </w:t>
            </w:r>
          </w:p>
        </w:tc>
        <w:tc>
          <w:tcPr>
            <w:tcW w:w="1439" w:type="dxa"/>
            <w:tcBorders>
              <w:top w:val="single" w:sz="4" w:space="0" w:color="3A6FAF"/>
              <w:bottom w:val="nil"/>
              <w:right w:val="nil"/>
            </w:tcBorders>
            <w:shd w:val="clear" w:color="auto" w:fill="auto"/>
          </w:tcPr>
          <w:p w14:paraId="60A02508" w14:textId="77777777" w:rsidR="00C53C0D" w:rsidRPr="00B14085" w:rsidRDefault="00C53C0D" w:rsidP="00A05864">
            <w:pPr>
              <w:pStyle w:val="TableTextCentered"/>
              <w:rPr>
                <w:highlight w:val="yellow"/>
              </w:rPr>
            </w:pPr>
            <w:r w:rsidRPr="00B14085">
              <w:t xml:space="preserve"> 22 </w:t>
            </w:r>
          </w:p>
        </w:tc>
      </w:tr>
      <w:tr w:rsidR="00C53C0D" w:rsidRPr="00B14085" w14:paraId="72CAD651" w14:textId="77777777" w:rsidTr="006D1FD4">
        <w:trPr>
          <w:gridAfter w:val="1"/>
          <w:wAfter w:w="21" w:type="dxa"/>
          <w:trHeight w:val="20"/>
        </w:trPr>
        <w:tc>
          <w:tcPr>
            <w:tcW w:w="792" w:type="dxa"/>
            <w:tcBorders>
              <w:top w:val="nil"/>
              <w:left w:val="nil"/>
              <w:bottom w:val="nil"/>
            </w:tcBorders>
            <w:shd w:val="clear" w:color="auto" w:fill="auto"/>
            <w:vAlign w:val="bottom"/>
          </w:tcPr>
          <w:p w14:paraId="3B308201" w14:textId="77777777" w:rsidR="00C53C0D" w:rsidRPr="00B14085" w:rsidRDefault="00C53C0D" w:rsidP="00077884">
            <w:pPr>
              <w:spacing w:before="40" w:after="40"/>
              <w:rPr>
                <w:rFonts w:cs="Calibri"/>
                <w:color w:val="000000"/>
                <w:sz w:val="18"/>
              </w:rPr>
            </w:pPr>
            <w:r w:rsidRPr="00B14085">
              <w:rPr>
                <w:rFonts w:cs="Calibri"/>
                <w:color w:val="000000"/>
                <w:sz w:val="18"/>
              </w:rPr>
              <w:t>VIC</w:t>
            </w:r>
          </w:p>
        </w:tc>
        <w:tc>
          <w:tcPr>
            <w:tcW w:w="851" w:type="dxa"/>
            <w:tcBorders>
              <w:top w:val="nil"/>
              <w:bottom w:val="nil"/>
            </w:tcBorders>
            <w:shd w:val="clear" w:color="auto" w:fill="auto"/>
          </w:tcPr>
          <w:p w14:paraId="4EF83A80" w14:textId="77777777" w:rsidR="00C53C0D" w:rsidRPr="00B14085" w:rsidRDefault="00C53C0D" w:rsidP="00A05864">
            <w:pPr>
              <w:pStyle w:val="TableTextCentered"/>
            </w:pPr>
            <w:r w:rsidRPr="00B14085">
              <w:t xml:space="preserve"> 173.2 </w:t>
            </w:r>
          </w:p>
        </w:tc>
        <w:tc>
          <w:tcPr>
            <w:tcW w:w="849" w:type="dxa"/>
            <w:tcBorders>
              <w:top w:val="nil"/>
              <w:bottom w:val="nil"/>
            </w:tcBorders>
            <w:shd w:val="clear" w:color="auto" w:fill="auto"/>
          </w:tcPr>
          <w:p w14:paraId="23E92E0C" w14:textId="77777777" w:rsidR="00C53C0D" w:rsidRPr="00B14085" w:rsidRDefault="00C53C0D" w:rsidP="00A05864">
            <w:pPr>
              <w:pStyle w:val="TableTextCentered"/>
            </w:pPr>
            <w:r w:rsidRPr="00B14085">
              <w:t xml:space="preserve"> 6,196.9 </w:t>
            </w:r>
          </w:p>
        </w:tc>
        <w:tc>
          <w:tcPr>
            <w:tcW w:w="853" w:type="dxa"/>
            <w:tcBorders>
              <w:top w:val="nil"/>
              <w:bottom w:val="nil"/>
            </w:tcBorders>
            <w:shd w:val="clear" w:color="auto" w:fill="auto"/>
          </w:tcPr>
          <w:p w14:paraId="43984B44" w14:textId="77777777" w:rsidR="00C53C0D" w:rsidRPr="00B14085" w:rsidRDefault="00C53C0D" w:rsidP="00A05864">
            <w:pPr>
              <w:pStyle w:val="TableTextCentered"/>
            </w:pPr>
            <w:r w:rsidRPr="00B14085">
              <w:t xml:space="preserve"> 47 </w:t>
            </w:r>
          </w:p>
        </w:tc>
        <w:tc>
          <w:tcPr>
            <w:tcW w:w="1439" w:type="dxa"/>
            <w:tcBorders>
              <w:top w:val="nil"/>
              <w:bottom w:val="nil"/>
            </w:tcBorders>
            <w:shd w:val="clear" w:color="auto" w:fill="auto"/>
          </w:tcPr>
          <w:p w14:paraId="448C3F6D" w14:textId="77777777" w:rsidR="00C53C0D" w:rsidRPr="00B14085" w:rsidRDefault="00C53C0D" w:rsidP="00A05864">
            <w:pPr>
              <w:pStyle w:val="TableTextCentered"/>
            </w:pPr>
            <w:r w:rsidRPr="00B14085">
              <w:t xml:space="preserve"> 46 </w:t>
            </w:r>
          </w:p>
        </w:tc>
        <w:tc>
          <w:tcPr>
            <w:tcW w:w="853" w:type="dxa"/>
            <w:gridSpan w:val="2"/>
            <w:tcBorders>
              <w:top w:val="nil"/>
              <w:bottom w:val="nil"/>
            </w:tcBorders>
            <w:shd w:val="clear" w:color="auto" w:fill="auto"/>
          </w:tcPr>
          <w:p w14:paraId="536A1CA0" w14:textId="77777777" w:rsidR="00C53C0D" w:rsidRPr="00B14085" w:rsidRDefault="00C53C0D" w:rsidP="00A05864">
            <w:pPr>
              <w:pStyle w:val="TableTextCentered"/>
            </w:pPr>
            <w:r w:rsidRPr="00B14085">
              <w:t xml:space="preserve"> 25 </w:t>
            </w:r>
          </w:p>
        </w:tc>
        <w:tc>
          <w:tcPr>
            <w:tcW w:w="1439" w:type="dxa"/>
            <w:tcBorders>
              <w:top w:val="nil"/>
              <w:bottom w:val="nil"/>
            </w:tcBorders>
            <w:shd w:val="clear" w:color="auto" w:fill="auto"/>
          </w:tcPr>
          <w:p w14:paraId="28D912C6" w14:textId="77777777" w:rsidR="00C53C0D" w:rsidRPr="00B14085" w:rsidRDefault="00C53C0D" w:rsidP="00A05864">
            <w:pPr>
              <w:pStyle w:val="TableTextCentered"/>
            </w:pPr>
            <w:r w:rsidRPr="00B14085">
              <w:t xml:space="preserve"> 35 </w:t>
            </w:r>
          </w:p>
        </w:tc>
        <w:tc>
          <w:tcPr>
            <w:tcW w:w="853" w:type="dxa"/>
            <w:gridSpan w:val="2"/>
            <w:tcBorders>
              <w:top w:val="nil"/>
              <w:bottom w:val="nil"/>
            </w:tcBorders>
            <w:shd w:val="clear" w:color="auto" w:fill="auto"/>
          </w:tcPr>
          <w:p w14:paraId="2AB1F7F1" w14:textId="77777777" w:rsidR="00C53C0D" w:rsidRPr="00B14085" w:rsidRDefault="00C53C0D" w:rsidP="00A05864">
            <w:pPr>
              <w:pStyle w:val="TableTextCentered"/>
            </w:pPr>
            <w:r w:rsidRPr="00B14085">
              <w:t xml:space="preserve"> 28 </w:t>
            </w:r>
          </w:p>
        </w:tc>
        <w:tc>
          <w:tcPr>
            <w:tcW w:w="1439" w:type="dxa"/>
            <w:tcBorders>
              <w:top w:val="nil"/>
              <w:bottom w:val="nil"/>
              <w:right w:val="nil"/>
            </w:tcBorders>
            <w:shd w:val="clear" w:color="auto" w:fill="auto"/>
          </w:tcPr>
          <w:p w14:paraId="0881B35E" w14:textId="77777777" w:rsidR="00C53C0D" w:rsidRPr="00B14085" w:rsidRDefault="00C53C0D" w:rsidP="00A05864">
            <w:pPr>
              <w:pStyle w:val="TableTextCentered"/>
            </w:pPr>
            <w:r w:rsidRPr="00B14085">
              <w:t xml:space="preserve"> 19 </w:t>
            </w:r>
          </w:p>
        </w:tc>
      </w:tr>
      <w:tr w:rsidR="00C53C0D" w:rsidRPr="00B14085" w14:paraId="5139376E" w14:textId="77777777" w:rsidTr="006D1FD4">
        <w:trPr>
          <w:gridAfter w:val="1"/>
          <w:wAfter w:w="21" w:type="dxa"/>
          <w:trHeight w:val="20"/>
        </w:trPr>
        <w:tc>
          <w:tcPr>
            <w:tcW w:w="792" w:type="dxa"/>
            <w:tcBorders>
              <w:top w:val="nil"/>
              <w:left w:val="nil"/>
              <w:bottom w:val="nil"/>
            </w:tcBorders>
            <w:shd w:val="clear" w:color="auto" w:fill="auto"/>
            <w:vAlign w:val="bottom"/>
          </w:tcPr>
          <w:p w14:paraId="6A8CD1F7" w14:textId="77777777" w:rsidR="00C53C0D" w:rsidRPr="00B14085" w:rsidRDefault="00C53C0D" w:rsidP="00077884">
            <w:pPr>
              <w:spacing w:before="40" w:after="40"/>
              <w:rPr>
                <w:color w:val="000000"/>
                <w:sz w:val="18"/>
              </w:rPr>
            </w:pPr>
            <w:r w:rsidRPr="00B14085">
              <w:rPr>
                <w:rFonts w:cs="Calibri"/>
                <w:color w:val="000000"/>
                <w:sz w:val="18"/>
              </w:rPr>
              <w:t>QLD</w:t>
            </w:r>
          </w:p>
        </w:tc>
        <w:tc>
          <w:tcPr>
            <w:tcW w:w="851" w:type="dxa"/>
            <w:tcBorders>
              <w:top w:val="nil"/>
              <w:bottom w:val="nil"/>
            </w:tcBorders>
            <w:shd w:val="clear" w:color="auto" w:fill="auto"/>
          </w:tcPr>
          <w:p w14:paraId="375FEA57" w14:textId="77777777" w:rsidR="00C53C0D" w:rsidRPr="00B14085" w:rsidRDefault="00C53C0D" w:rsidP="00A05864">
            <w:pPr>
              <w:pStyle w:val="TableTextCentered"/>
              <w:rPr>
                <w:highlight w:val="yellow"/>
              </w:rPr>
            </w:pPr>
            <w:r w:rsidRPr="00B14085">
              <w:t xml:space="preserve"> 116.5 </w:t>
            </w:r>
          </w:p>
        </w:tc>
        <w:tc>
          <w:tcPr>
            <w:tcW w:w="849" w:type="dxa"/>
            <w:tcBorders>
              <w:top w:val="nil"/>
              <w:bottom w:val="nil"/>
            </w:tcBorders>
            <w:shd w:val="clear" w:color="auto" w:fill="auto"/>
          </w:tcPr>
          <w:p w14:paraId="75ADDDE0" w14:textId="77777777" w:rsidR="00C53C0D" w:rsidRPr="00B14085" w:rsidRDefault="00C53C0D" w:rsidP="00A05864">
            <w:pPr>
              <w:pStyle w:val="TableTextCentered"/>
              <w:rPr>
                <w:highlight w:val="yellow"/>
              </w:rPr>
            </w:pPr>
            <w:r w:rsidRPr="00B14085">
              <w:t xml:space="preserve"> 3,976.6 </w:t>
            </w:r>
          </w:p>
        </w:tc>
        <w:tc>
          <w:tcPr>
            <w:tcW w:w="853" w:type="dxa"/>
            <w:tcBorders>
              <w:top w:val="nil"/>
              <w:bottom w:val="nil"/>
            </w:tcBorders>
            <w:shd w:val="clear" w:color="auto" w:fill="auto"/>
          </w:tcPr>
          <w:p w14:paraId="2A25C526" w14:textId="77777777" w:rsidR="00C53C0D" w:rsidRPr="00B14085" w:rsidRDefault="00C53C0D" w:rsidP="00A05864">
            <w:pPr>
              <w:pStyle w:val="TableTextCentered"/>
              <w:rPr>
                <w:highlight w:val="yellow"/>
              </w:rPr>
            </w:pPr>
            <w:r w:rsidRPr="00B14085">
              <w:t xml:space="preserve"> 47 </w:t>
            </w:r>
          </w:p>
        </w:tc>
        <w:tc>
          <w:tcPr>
            <w:tcW w:w="1439" w:type="dxa"/>
            <w:tcBorders>
              <w:top w:val="nil"/>
              <w:bottom w:val="nil"/>
            </w:tcBorders>
            <w:shd w:val="clear" w:color="auto" w:fill="auto"/>
          </w:tcPr>
          <w:p w14:paraId="06091681" w14:textId="77777777" w:rsidR="00C53C0D" w:rsidRPr="00B14085" w:rsidRDefault="00C53C0D" w:rsidP="00A05864">
            <w:pPr>
              <w:pStyle w:val="TableTextCentered"/>
              <w:rPr>
                <w:highlight w:val="yellow"/>
              </w:rPr>
            </w:pPr>
            <w:r w:rsidRPr="00B14085">
              <w:t xml:space="preserve"> 44 </w:t>
            </w:r>
          </w:p>
        </w:tc>
        <w:tc>
          <w:tcPr>
            <w:tcW w:w="853" w:type="dxa"/>
            <w:gridSpan w:val="2"/>
            <w:tcBorders>
              <w:top w:val="nil"/>
              <w:bottom w:val="nil"/>
            </w:tcBorders>
            <w:shd w:val="clear" w:color="auto" w:fill="auto"/>
          </w:tcPr>
          <w:p w14:paraId="25B10238" w14:textId="77777777" w:rsidR="00C53C0D" w:rsidRPr="00B14085" w:rsidRDefault="00C53C0D" w:rsidP="00A05864">
            <w:pPr>
              <w:pStyle w:val="TableTextCentered"/>
              <w:rPr>
                <w:highlight w:val="yellow"/>
              </w:rPr>
            </w:pPr>
            <w:r w:rsidRPr="00B14085">
              <w:t xml:space="preserve"> 26 </w:t>
            </w:r>
          </w:p>
        </w:tc>
        <w:tc>
          <w:tcPr>
            <w:tcW w:w="1439" w:type="dxa"/>
            <w:tcBorders>
              <w:top w:val="nil"/>
              <w:bottom w:val="nil"/>
            </w:tcBorders>
            <w:shd w:val="clear" w:color="auto" w:fill="auto"/>
          </w:tcPr>
          <w:p w14:paraId="12AEF065" w14:textId="77777777" w:rsidR="00C53C0D" w:rsidRPr="00B14085" w:rsidRDefault="00C53C0D" w:rsidP="00A05864">
            <w:pPr>
              <w:pStyle w:val="TableTextCentered"/>
              <w:rPr>
                <w:highlight w:val="yellow"/>
              </w:rPr>
            </w:pPr>
            <w:r w:rsidRPr="00B14085">
              <w:t xml:space="preserve"> 32 </w:t>
            </w:r>
          </w:p>
        </w:tc>
        <w:tc>
          <w:tcPr>
            <w:tcW w:w="853" w:type="dxa"/>
            <w:gridSpan w:val="2"/>
            <w:tcBorders>
              <w:top w:val="nil"/>
              <w:bottom w:val="nil"/>
            </w:tcBorders>
            <w:shd w:val="clear" w:color="auto" w:fill="auto"/>
          </w:tcPr>
          <w:p w14:paraId="5C490232" w14:textId="77777777" w:rsidR="00C53C0D" w:rsidRPr="00B14085" w:rsidRDefault="00C53C0D" w:rsidP="00A05864">
            <w:pPr>
              <w:pStyle w:val="TableTextCentered"/>
              <w:rPr>
                <w:highlight w:val="yellow"/>
              </w:rPr>
            </w:pPr>
            <w:r w:rsidRPr="00B14085">
              <w:t xml:space="preserve"> 27 </w:t>
            </w:r>
          </w:p>
        </w:tc>
        <w:tc>
          <w:tcPr>
            <w:tcW w:w="1439" w:type="dxa"/>
            <w:tcBorders>
              <w:top w:val="nil"/>
              <w:bottom w:val="nil"/>
              <w:right w:val="nil"/>
            </w:tcBorders>
            <w:shd w:val="clear" w:color="auto" w:fill="auto"/>
          </w:tcPr>
          <w:p w14:paraId="77E61825" w14:textId="77777777" w:rsidR="00C53C0D" w:rsidRPr="00B14085" w:rsidRDefault="00C53C0D" w:rsidP="00A05864">
            <w:pPr>
              <w:pStyle w:val="TableTextCentered"/>
              <w:rPr>
                <w:highlight w:val="yellow"/>
              </w:rPr>
            </w:pPr>
            <w:r w:rsidRPr="00B14085">
              <w:t xml:space="preserve"> 24 </w:t>
            </w:r>
          </w:p>
        </w:tc>
      </w:tr>
      <w:tr w:rsidR="00C53C0D" w:rsidRPr="00B14085" w14:paraId="2837EB89" w14:textId="77777777" w:rsidTr="006D1FD4">
        <w:trPr>
          <w:gridAfter w:val="1"/>
          <w:wAfter w:w="21" w:type="dxa"/>
          <w:trHeight w:val="20"/>
        </w:trPr>
        <w:tc>
          <w:tcPr>
            <w:tcW w:w="792" w:type="dxa"/>
            <w:tcBorders>
              <w:top w:val="nil"/>
              <w:left w:val="nil"/>
              <w:bottom w:val="nil"/>
            </w:tcBorders>
            <w:shd w:val="clear" w:color="auto" w:fill="auto"/>
            <w:vAlign w:val="bottom"/>
          </w:tcPr>
          <w:p w14:paraId="1B1057B2" w14:textId="77777777" w:rsidR="00C53C0D" w:rsidRPr="00B14085" w:rsidRDefault="00C53C0D" w:rsidP="00077884">
            <w:pPr>
              <w:spacing w:before="40" w:after="40"/>
              <w:rPr>
                <w:rFonts w:cs="Calibri"/>
                <w:color w:val="000000"/>
                <w:sz w:val="18"/>
              </w:rPr>
            </w:pPr>
            <w:r w:rsidRPr="00B14085">
              <w:rPr>
                <w:rFonts w:cs="Calibri"/>
                <w:color w:val="000000"/>
                <w:sz w:val="18"/>
              </w:rPr>
              <w:t xml:space="preserve">WA </w:t>
            </w:r>
          </w:p>
        </w:tc>
        <w:tc>
          <w:tcPr>
            <w:tcW w:w="851" w:type="dxa"/>
            <w:tcBorders>
              <w:top w:val="nil"/>
              <w:bottom w:val="nil"/>
            </w:tcBorders>
            <w:shd w:val="clear" w:color="auto" w:fill="auto"/>
          </w:tcPr>
          <w:p w14:paraId="5D010E3F" w14:textId="77777777" w:rsidR="00C53C0D" w:rsidRPr="00B14085" w:rsidRDefault="00C53C0D" w:rsidP="00A05864">
            <w:pPr>
              <w:pStyle w:val="TableTextCentered"/>
            </w:pPr>
            <w:r w:rsidRPr="00B14085">
              <w:t xml:space="preserve"> 57.9 </w:t>
            </w:r>
          </w:p>
        </w:tc>
        <w:tc>
          <w:tcPr>
            <w:tcW w:w="849" w:type="dxa"/>
            <w:tcBorders>
              <w:top w:val="nil"/>
              <w:bottom w:val="nil"/>
            </w:tcBorders>
            <w:shd w:val="clear" w:color="auto" w:fill="auto"/>
          </w:tcPr>
          <w:p w14:paraId="0C8C64C6" w14:textId="77777777" w:rsidR="00C53C0D" w:rsidRPr="00B14085" w:rsidRDefault="00C53C0D" w:rsidP="00A05864">
            <w:pPr>
              <w:pStyle w:val="TableTextCentered"/>
            </w:pPr>
            <w:r w:rsidRPr="00B14085">
              <w:t xml:space="preserve"> 1,865.6 </w:t>
            </w:r>
          </w:p>
        </w:tc>
        <w:tc>
          <w:tcPr>
            <w:tcW w:w="853" w:type="dxa"/>
            <w:tcBorders>
              <w:top w:val="nil"/>
              <w:bottom w:val="nil"/>
            </w:tcBorders>
            <w:shd w:val="clear" w:color="auto" w:fill="auto"/>
          </w:tcPr>
          <w:p w14:paraId="0102CA43" w14:textId="77777777" w:rsidR="00C53C0D" w:rsidRPr="00B14085" w:rsidRDefault="00C53C0D" w:rsidP="00A05864">
            <w:pPr>
              <w:pStyle w:val="TableTextCentered"/>
            </w:pPr>
            <w:r w:rsidRPr="00B14085">
              <w:t xml:space="preserve"> 46 </w:t>
            </w:r>
          </w:p>
        </w:tc>
        <w:tc>
          <w:tcPr>
            <w:tcW w:w="1439" w:type="dxa"/>
            <w:tcBorders>
              <w:top w:val="nil"/>
              <w:bottom w:val="nil"/>
            </w:tcBorders>
            <w:shd w:val="clear" w:color="auto" w:fill="auto"/>
          </w:tcPr>
          <w:p w14:paraId="63162702" w14:textId="77777777" w:rsidR="00C53C0D" w:rsidRPr="00B14085" w:rsidRDefault="00C53C0D" w:rsidP="00A05864">
            <w:pPr>
              <w:pStyle w:val="TableTextCentered"/>
            </w:pPr>
            <w:r w:rsidRPr="00B14085">
              <w:t xml:space="preserve"> 40 </w:t>
            </w:r>
          </w:p>
        </w:tc>
        <w:tc>
          <w:tcPr>
            <w:tcW w:w="853" w:type="dxa"/>
            <w:gridSpan w:val="2"/>
            <w:tcBorders>
              <w:top w:val="nil"/>
              <w:bottom w:val="nil"/>
            </w:tcBorders>
            <w:shd w:val="clear" w:color="auto" w:fill="auto"/>
          </w:tcPr>
          <w:p w14:paraId="63E35A2E" w14:textId="77777777" w:rsidR="00C53C0D" w:rsidRPr="00B14085" w:rsidRDefault="00C53C0D" w:rsidP="00A05864">
            <w:pPr>
              <w:pStyle w:val="TableTextCentered"/>
            </w:pPr>
            <w:r w:rsidRPr="00B14085">
              <w:t xml:space="preserve"> 27 </w:t>
            </w:r>
          </w:p>
        </w:tc>
        <w:tc>
          <w:tcPr>
            <w:tcW w:w="1439" w:type="dxa"/>
            <w:tcBorders>
              <w:top w:val="nil"/>
              <w:bottom w:val="nil"/>
            </w:tcBorders>
            <w:shd w:val="clear" w:color="auto" w:fill="auto"/>
          </w:tcPr>
          <w:p w14:paraId="240795F1" w14:textId="77777777" w:rsidR="00C53C0D" w:rsidRPr="00B14085" w:rsidRDefault="00C53C0D" w:rsidP="00A05864">
            <w:pPr>
              <w:pStyle w:val="TableTextCentered"/>
            </w:pPr>
            <w:r w:rsidRPr="00B14085">
              <w:t xml:space="preserve"> 35 </w:t>
            </w:r>
          </w:p>
        </w:tc>
        <w:tc>
          <w:tcPr>
            <w:tcW w:w="853" w:type="dxa"/>
            <w:gridSpan w:val="2"/>
            <w:tcBorders>
              <w:top w:val="nil"/>
              <w:bottom w:val="nil"/>
            </w:tcBorders>
            <w:shd w:val="clear" w:color="auto" w:fill="auto"/>
          </w:tcPr>
          <w:p w14:paraId="5210025C" w14:textId="77777777" w:rsidR="00C53C0D" w:rsidRPr="00B14085" w:rsidRDefault="00C53C0D" w:rsidP="00A05864">
            <w:pPr>
              <w:pStyle w:val="TableTextCentered"/>
            </w:pPr>
            <w:r w:rsidRPr="00B14085">
              <w:t xml:space="preserve"> 27 </w:t>
            </w:r>
          </w:p>
        </w:tc>
        <w:tc>
          <w:tcPr>
            <w:tcW w:w="1439" w:type="dxa"/>
            <w:tcBorders>
              <w:top w:val="nil"/>
              <w:bottom w:val="nil"/>
              <w:right w:val="nil"/>
            </w:tcBorders>
            <w:shd w:val="clear" w:color="auto" w:fill="auto"/>
          </w:tcPr>
          <w:p w14:paraId="4B376C05" w14:textId="77777777" w:rsidR="00C53C0D" w:rsidRPr="00B14085" w:rsidRDefault="00C53C0D" w:rsidP="00A05864">
            <w:pPr>
              <w:pStyle w:val="TableTextCentered"/>
            </w:pPr>
            <w:r w:rsidRPr="00B14085">
              <w:t xml:space="preserve"> 24 </w:t>
            </w:r>
          </w:p>
        </w:tc>
      </w:tr>
      <w:tr w:rsidR="00C53C0D" w:rsidRPr="00B14085" w14:paraId="4E102D71" w14:textId="77777777" w:rsidTr="006D1FD4">
        <w:trPr>
          <w:gridAfter w:val="1"/>
          <w:wAfter w:w="21" w:type="dxa"/>
          <w:trHeight w:val="20"/>
        </w:trPr>
        <w:tc>
          <w:tcPr>
            <w:tcW w:w="792" w:type="dxa"/>
            <w:tcBorders>
              <w:top w:val="nil"/>
              <w:left w:val="nil"/>
              <w:bottom w:val="nil"/>
            </w:tcBorders>
            <w:shd w:val="clear" w:color="auto" w:fill="auto"/>
            <w:vAlign w:val="bottom"/>
          </w:tcPr>
          <w:p w14:paraId="0453B9F2" w14:textId="77777777" w:rsidR="00C53C0D" w:rsidRPr="00B14085" w:rsidRDefault="00C53C0D" w:rsidP="00077884">
            <w:pPr>
              <w:spacing w:before="40" w:after="40"/>
              <w:rPr>
                <w:color w:val="000000"/>
                <w:sz w:val="18"/>
              </w:rPr>
            </w:pPr>
            <w:r w:rsidRPr="00B14085">
              <w:rPr>
                <w:rFonts w:cs="Calibri"/>
                <w:color w:val="000000"/>
                <w:sz w:val="18"/>
              </w:rPr>
              <w:t xml:space="preserve">SA </w:t>
            </w:r>
          </w:p>
        </w:tc>
        <w:tc>
          <w:tcPr>
            <w:tcW w:w="851" w:type="dxa"/>
            <w:tcBorders>
              <w:top w:val="nil"/>
              <w:bottom w:val="nil"/>
            </w:tcBorders>
            <w:shd w:val="clear" w:color="auto" w:fill="auto"/>
          </w:tcPr>
          <w:p w14:paraId="1B111DDB" w14:textId="77777777" w:rsidR="00C53C0D" w:rsidRPr="00B14085" w:rsidRDefault="00C53C0D" w:rsidP="00A05864">
            <w:pPr>
              <w:pStyle w:val="TableTextCentered"/>
              <w:rPr>
                <w:highlight w:val="yellow"/>
              </w:rPr>
            </w:pPr>
            <w:r w:rsidRPr="00B14085">
              <w:t xml:space="preserve"> 36.6 </w:t>
            </w:r>
          </w:p>
        </w:tc>
        <w:tc>
          <w:tcPr>
            <w:tcW w:w="849" w:type="dxa"/>
            <w:tcBorders>
              <w:top w:val="nil"/>
              <w:bottom w:val="nil"/>
            </w:tcBorders>
            <w:shd w:val="clear" w:color="auto" w:fill="auto"/>
          </w:tcPr>
          <w:p w14:paraId="7AB32316" w14:textId="77777777" w:rsidR="00C53C0D" w:rsidRPr="00B14085" w:rsidRDefault="00C53C0D" w:rsidP="00A05864">
            <w:pPr>
              <w:pStyle w:val="TableTextCentered"/>
              <w:rPr>
                <w:highlight w:val="yellow"/>
              </w:rPr>
            </w:pPr>
            <w:r w:rsidRPr="00B14085">
              <w:t xml:space="preserve"> 1,238.1 </w:t>
            </w:r>
          </w:p>
        </w:tc>
        <w:tc>
          <w:tcPr>
            <w:tcW w:w="853" w:type="dxa"/>
            <w:tcBorders>
              <w:top w:val="nil"/>
              <w:bottom w:val="nil"/>
            </w:tcBorders>
            <w:shd w:val="clear" w:color="auto" w:fill="auto"/>
          </w:tcPr>
          <w:p w14:paraId="4555FC9A" w14:textId="77777777" w:rsidR="00C53C0D" w:rsidRPr="00B14085" w:rsidRDefault="00C53C0D" w:rsidP="00A05864">
            <w:pPr>
              <w:pStyle w:val="TableTextCentered"/>
              <w:rPr>
                <w:highlight w:val="yellow"/>
              </w:rPr>
            </w:pPr>
            <w:r w:rsidRPr="00B14085">
              <w:t xml:space="preserve"> 46 </w:t>
            </w:r>
          </w:p>
        </w:tc>
        <w:tc>
          <w:tcPr>
            <w:tcW w:w="1439" w:type="dxa"/>
            <w:tcBorders>
              <w:top w:val="nil"/>
              <w:bottom w:val="nil"/>
            </w:tcBorders>
            <w:shd w:val="clear" w:color="auto" w:fill="auto"/>
          </w:tcPr>
          <w:p w14:paraId="0EC8724B" w14:textId="77777777" w:rsidR="00C53C0D" w:rsidRPr="00B14085" w:rsidRDefault="00C53C0D" w:rsidP="00A05864">
            <w:pPr>
              <w:pStyle w:val="TableTextCentered"/>
              <w:rPr>
                <w:highlight w:val="yellow"/>
              </w:rPr>
            </w:pPr>
            <w:r w:rsidRPr="00B14085">
              <w:t xml:space="preserve"> 43 </w:t>
            </w:r>
          </w:p>
        </w:tc>
        <w:tc>
          <w:tcPr>
            <w:tcW w:w="853" w:type="dxa"/>
            <w:gridSpan w:val="2"/>
            <w:tcBorders>
              <w:top w:val="nil"/>
              <w:bottom w:val="nil"/>
            </w:tcBorders>
            <w:shd w:val="clear" w:color="auto" w:fill="auto"/>
          </w:tcPr>
          <w:p w14:paraId="3AD572A0" w14:textId="77777777" w:rsidR="00C53C0D" w:rsidRPr="00B14085" w:rsidRDefault="00C53C0D" w:rsidP="00A05864">
            <w:pPr>
              <w:pStyle w:val="TableTextCentered"/>
              <w:rPr>
                <w:highlight w:val="yellow"/>
              </w:rPr>
            </w:pPr>
            <w:r w:rsidRPr="00B14085">
              <w:t xml:space="preserve"> 27 </w:t>
            </w:r>
          </w:p>
        </w:tc>
        <w:tc>
          <w:tcPr>
            <w:tcW w:w="1439" w:type="dxa"/>
            <w:tcBorders>
              <w:top w:val="nil"/>
              <w:bottom w:val="nil"/>
            </w:tcBorders>
            <w:shd w:val="clear" w:color="auto" w:fill="auto"/>
          </w:tcPr>
          <w:p w14:paraId="299B33A0" w14:textId="77777777" w:rsidR="00C53C0D" w:rsidRPr="00B14085" w:rsidRDefault="00C53C0D" w:rsidP="00A05864">
            <w:pPr>
              <w:pStyle w:val="TableTextCentered"/>
              <w:rPr>
                <w:highlight w:val="yellow"/>
              </w:rPr>
            </w:pPr>
            <w:r w:rsidRPr="00B14085">
              <w:t xml:space="preserve"> 33 </w:t>
            </w:r>
          </w:p>
        </w:tc>
        <w:tc>
          <w:tcPr>
            <w:tcW w:w="853" w:type="dxa"/>
            <w:gridSpan w:val="2"/>
            <w:tcBorders>
              <w:top w:val="nil"/>
              <w:bottom w:val="nil"/>
            </w:tcBorders>
            <w:shd w:val="clear" w:color="auto" w:fill="auto"/>
          </w:tcPr>
          <w:p w14:paraId="42185040" w14:textId="77777777" w:rsidR="00C53C0D" w:rsidRPr="00B14085" w:rsidRDefault="00C53C0D" w:rsidP="00A05864">
            <w:pPr>
              <w:pStyle w:val="TableTextCentered"/>
              <w:rPr>
                <w:highlight w:val="yellow"/>
              </w:rPr>
            </w:pPr>
            <w:r w:rsidRPr="00B14085">
              <w:t xml:space="preserve"> 27 </w:t>
            </w:r>
          </w:p>
        </w:tc>
        <w:tc>
          <w:tcPr>
            <w:tcW w:w="1439" w:type="dxa"/>
            <w:tcBorders>
              <w:top w:val="nil"/>
              <w:bottom w:val="nil"/>
              <w:right w:val="nil"/>
            </w:tcBorders>
            <w:shd w:val="clear" w:color="auto" w:fill="auto"/>
          </w:tcPr>
          <w:p w14:paraId="39CB79E6" w14:textId="77777777" w:rsidR="00C53C0D" w:rsidRPr="00B14085" w:rsidRDefault="00C53C0D" w:rsidP="00A05864">
            <w:pPr>
              <w:pStyle w:val="TableTextCentered"/>
              <w:rPr>
                <w:highlight w:val="yellow"/>
              </w:rPr>
            </w:pPr>
            <w:r w:rsidRPr="00B14085">
              <w:t xml:space="preserve"> 24 </w:t>
            </w:r>
          </w:p>
        </w:tc>
      </w:tr>
      <w:tr w:rsidR="00C53C0D" w:rsidRPr="00B14085" w14:paraId="4395C31C" w14:textId="77777777" w:rsidTr="006D1FD4">
        <w:trPr>
          <w:gridAfter w:val="1"/>
          <w:wAfter w:w="21" w:type="dxa"/>
          <w:trHeight w:val="20"/>
        </w:trPr>
        <w:tc>
          <w:tcPr>
            <w:tcW w:w="792" w:type="dxa"/>
            <w:tcBorders>
              <w:top w:val="nil"/>
              <w:left w:val="nil"/>
              <w:bottom w:val="nil"/>
            </w:tcBorders>
            <w:shd w:val="clear" w:color="auto" w:fill="auto"/>
            <w:vAlign w:val="bottom"/>
          </w:tcPr>
          <w:p w14:paraId="5DAC2D6D" w14:textId="77777777" w:rsidR="00C53C0D" w:rsidRPr="00B14085" w:rsidRDefault="00C53C0D" w:rsidP="00077884">
            <w:pPr>
              <w:spacing w:before="40" w:after="40"/>
              <w:rPr>
                <w:color w:val="000000"/>
                <w:sz w:val="18"/>
              </w:rPr>
            </w:pPr>
            <w:r w:rsidRPr="00B14085">
              <w:rPr>
                <w:rFonts w:cs="Calibri"/>
                <w:color w:val="000000"/>
                <w:sz w:val="18"/>
              </w:rPr>
              <w:t>TAS</w:t>
            </w:r>
          </w:p>
        </w:tc>
        <w:tc>
          <w:tcPr>
            <w:tcW w:w="851" w:type="dxa"/>
            <w:tcBorders>
              <w:top w:val="nil"/>
              <w:bottom w:val="nil"/>
            </w:tcBorders>
            <w:shd w:val="clear" w:color="auto" w:fill="auto"/>
          </w:tcPr>
          <w:p w14:paraId="3157A596" w14:textId="77777777" w:rsidR="00C53C0D" w:rsidRPr="00B14085" w:rsidRDefault="00C53C0D" w:rsidP="00A05864">
            <w:pPr>
              <w:pStyle w:val="TableTextCentered"/>
              <w:rPr>
                <w:highlight w:val="yellow"/>
              </w:rPr>
            </w:pPr>
            <w:r w:rsidRPr="00B14085">
              <w:t xml:space="preserve"> 10.1 </w:t>
            </w:r>
          </w:p>
        </w:tc>
        <w:tc>
          <w:tcPr>
            <w:tcW w:w="849" w:type="dxa"/>
            <w:tcBorders>
              <w:top w:val="nil"/>
              <w:bottom w:val="nil"/>
            </w:tcBorders>
            <w:shd w:val="clear" w:color="auto" w:fill="auto"/>
          </w:tcPr>
          <w:p w14:paraId="0A78300E" w14:textId="77777777" w:rsidR="00C53C0D" w:rsidRPr="00B14085" w:rsidRDefault="00C53C0D" w:rsidP="00A05864">
            <w:pPr>
              <w:pStyle w:val="TableTextCentered"/>
              <w:rPr>
                <w:highlight w:val="yellow"/>
              </w:rPr>
            </w:pPr>
            <w:r w:rsidRPr="00B14085">
              <w:t xml:space="preserve"> 360.5 </w:t>
            </w:r>
          </w:p>
        </w:tc>
        <w:tc>
          <w:tcPr>
            <w:tcW w:w="853" w:type="dxa"/>
            <w:tcBorders>
              <w:top w:val="nil"/>
              <w:bottom w:val="nil"/>
            </w:tcBorders>
            <w:shd w:val="clear" w:color="auto" w:fill="auto"/>
          </w:tcPr>
          <w:p w14:paraId="3FD84448" w14:textId="77777777" w:rsidR="00C53C0D" w:rsidRPr="00B14085" w:rsidRDefault="00C53C0D" w:rsidP="00A05864">
            <w:pPr>
              <w:pStyle w:val="TableTextCentered"/>
              <w:rPr>
                <w:highlight w:val="yellow"/>
              </w:rPr>
            </w:pPr>
            <w:r w:rsidRPr="00B14085">
              <w:t xml:space="preserve"> 48 </w:t>
            </w:r>
          </w:p>
        </w:tc>
        <w:tc>
          <w:tcPr>
            <w:tcW w:w="1439" w:type="dxa"/>
            <w:tcBorders>
              <w:top w:val="nil"/>
              <w:bottom w:val="nil"/>
            </w:tcBorders>
            <w:shd w:val="clear" w:color="auto" w:fill="auto"/>
          </w:tcPr>
          <w:p w14:paraId="66C044A9" w14:textId="77777777" w:rsidR="00C53C0D" w:rsidRPr="00B14085" w:rsidRDefault="00C53C0D" w:rsidP="00A05864">
            <w:pPr>
              <w:pStyle w:val="TableTextCentered"/>
              <w:rPr>
                <w:highlight w:val="yellow"/>
              </w:rPr>
            </w:pPr>
            <w:r w:rsidRPr="00B14085">
              <w:t xml:space="preserve"> 44 </w:t>
            </w:r>
          </w:p>
        </w:tc>
        <w:tc>
          <w:tcPr>
            <w:tcW w:w="853" w:type="dxa"/>
            <w:gridSpan w:val="2"/>
            <w:tcBorders>
              <w:top w:val="nil"/>
              <w:bottom w:val="nil"/>
            </w:tcBorders>
            <w:shd w:val="clear" w:color="auto" w:fill="auto"/>
          </w:tcPr>
          <w:p w14:paraId="791704AC" w14:textId="77777777" w:rsidR="00C53C0D" w:rsidRPr="00B14085" w:rsidRDefault="00C53C0D" w:rsidP="00A05864">
            <w:pPr>
              <w:pStyle w:val="TableTextCentered"/>
              <w:rPr>
                <w:highlight w:val="yellow"/>
              </w:rPr>
            </w:pPr>
            <w:r w:rsidRPr="00B14085">
              <w:t xml:space="preserve"> 26 </w:t>
            </w:r>
          </w:p>
        </w:tc>
        <w:tc>
          <w:tcPr>
            <w:tcW w:w="1439" w:type="dxa"/>
            <w:tcBorders>
              <w:top w:val="nil"/>
              <w:bottom w:val="nil"/>
            </w:tcBorders>
            <w:shd w:val="clear" w:color="auto" w:fill="auto"/>
          </w:tcPr>
          <w:p w14:paraId="031B2F4D" w14:textId="77777777" w:rsidR="00C53C0D" w:rsidRPr="00B14085" w:rsidRDefault="00C53C0D" w:rsidP="00A05864">
            <w:pPr>
              <w:pStyle w:val="TableTextCentered"/>
              <w:rPr>
                <w:highlight w:val="yellow"/>
              </w:rPr>
            </w:pPr>
            <w:r w:rsidRPr="00B14085">
              <w:t xml:space="preserve"> 32 </w:t>
            </w:r>
          </w:p>
        </w:tc>
        <w:tc>
          <w:tcPr>
            <w:tcW w:w="853" w:type="dxa"/>
            <w:gridSpan w:val="2"/>
            <w:tcBorders>
              <w:top w:val="nil"/>
              <w:bottom w:val="nil"/>
            </w:tcBorders>
            <w:shd w:val="clear" w:color="auto" w:fill="auto"/>
          </w:tcPr>
          <w:p w14:paraId="44F25758" w14:textId="77777777" w:rsidR="00C53C0D" w:rsidRPr="00B14085" w:rsidRDefault="00C53C0D" w:rsidP="00A05864">
            <w:pPr>
              <w:pStyle w:val="TableTextCentered"/>
              <w:rPr>
                <w:highlight w:val="yellow"/>
              </w:rPr>
            </w:pPr>
            <w:r w:rsidRPr="00B14085">
              <w:t xml:space="preserve"> 26 </w:t>
            </w:r>
          </w:p>
        </w:tc>
        <w:tc>
          <w:tcPr>
            <w:tcW w:w="1439" w:type="dxa"/>
            <w:tcBorders>
              <w:top w:val="nil"/>
              <w:bottom w:val="nil"/>
              <w:right w:val="nil"/>
            </w:tcBorders>
            <w:shd w:val="clear" w:color="auto" w:fill="auto"/>
          </w:tcPr>
          <w:p w14:paraId="200D918E" w14:textId="77777777" w:rsidR="00C53C0D" w:rsidRPr="00B14085" w:rsidRDefault="00C53C0D" w:rsidP="00A05864">
            <w:pPr>
              <w:pStyle w:val="TableTextCentered"/>
              <w:rPr>
                <w:highlight w:val="yellow"/>
              </w:rPr>
            </w:pPr>
            <w:r w:rsidRPr="00B14085">
              <w:t xml:space="preserve"> 24 </w:t>
            </w:r>
          </w:p>
        </w:tc>
      </w:tr>
      <w:tr w:rsidR="00C53C0D" w:rsidRPr="00B14085" w14:paraId="12BB5683" w14:textId="77777777" w:rsidTr="006D1FD4">
        <w:trPr>
          <w:gridAfter w:val="1"/>
          <w:wAfter w:w="21" w:type="dxa"/>
          <w:trHeight w:val="20"/>
        </w:trPr>
        <w:tc>
          <w:tcPr>
            <w:tcW w:w="792" w:type="dxa"/>
            <w:tcBorders>
              <w:top w:val="nil"/>
              <w:left w:val="nil"/>
            </w:tcBorders>
            <w:shd w:val="clear" w:color="auto" w:fill="auto"/>
          </w:tcPr>
          <w:p w14:paraId="636AF0CC" w14:textId="77777777" w:rsidR="00C53C0D" w:rsidRPr="00B14085" w:rsidRDefault="00C53C0D" w:rsidP="00077884">
            <w:pPr>
              <w:spacing w:before="40" w:after="40"/>
              <w:rPr>
                <w:rFonts w:cs="Calibri"/>
                <w:color w:val="000000"/>
                <w:sz w:val="18"/>
              </w:rPr>
            </w:pPr>
            <w:r w:rsidRPr="00B14085">
              <w:rPr>
                <w:color w:val="000000"/>
                <w:sz w:val="18"/>
              </w:rPr>
              <w:t>ACT</w:t>
            </w:r>
          </w:p>
        </w:tc>
        <w:tc>
          <w:tcPr>
            <w:tcW w:w="851" w:type="dxa"/>
            <w:tcBorders>
              <w:top w:val="nil"/>
            </w:tcBorders>
            <w:shd w:val="clear" w:color="auto" w:fill="auto"/>
          </w:tcPr>
          <w:p w14:paraId="18A4A3F8" w14:textId="77777777" w:rsidR="00C53C0D" w:rsidRPr="00B14085" w:rsidRDefault="00C53C0D" w:rsidP="00A05864">
            <w:pPr>
              <w:pStyle w:val="TableTextCentered"/>
            </w:pPr>
            <w:r w:rsidRPr="00B14085">
              <w:t xml:space="preserve"> 7.3 </w:t>
            </w:r>
          </w:p>
        </w:tc>
        <w:tc>
          <w:tcPr>
            <w:tcW w:w="849" w:type="dxa"/>
            <w:tcBorders>
              <w:top w:val="nil"/>
            </w:tcBorders>
            <w:shd w:val="clear" w:color="auto" w:fill="auto"/>
          </w:tcPr>
          <w:p w14:paraId="7F331D1C" w14:textId="77777777" w:rsidR="00C53C0D" w:rsidRPr="00B14085" w:rsidRDefault="00C53C0D" w:rsidP="00A05864">
            <w:pPr>
              <w:pStyle w:val="TableTextCentered"/>
            </w:pPr>
            <w:r w:rsidRPr="00B14085">
              <w:t xml:space="preserve"> 254.1 </w:t>
            </w:r>
          </w:p>
        </w:tc>
        <w:tc>
          <w:tcPr>
            <w:tcW w:w="853" w:type="dxa"/>
            <w:tcBorders>
              <w:top w:val="nil"/>
            </w:tcBorders>
            <w:shd w:val="clear" w:color="auto" w:fill="auto"/>
          </w:tcPr>
          <w:p w14:paraId="66F0A7F7" w14:textId="77777777" w:rsidR="00C53C0D" w:rsidRPr="00B14085" w:rsidRDefault="00C53C0D" w:rsidP="00A05864">
            <w:pPr>
              <w:pStyle w:val="TableTextCentered"/>
            </w:pPr>
            <w:r w:rsidRPr="00B14085">
              <w:t xml:space="preserve"> 48 </w:t>
            </w:r>
          </w:p>
        </w:tc>
        <w:tc>
          <w:tcPr>
            <w:tcW w:w="1439" w:type="dxa"/>
            <w:tcBorders>
              <w:top w:val="nil"/>
            </w:tcBorders>
            <w:shd w:val="clear" w:color="auto" w:fill="auto"/>
          </w:tcPr>
          <w:p w14:paraId="3968A50B" w14:textId="77777777" w:rsidR="00C53C0D" w:rsidRPr="00B14085" w:rsidRDefault="00C53C0D" w:rsidP="00A05864">
            <w:pPr>
              <w:pStyle w:val="TableTextCentered"/>
            </w:pPr>
            <w:r w:rsidRPr="00B14085">
              <w:t xml:space="preserve"> 46 </w:t>
            </w:r>
          </w:p>
        </w:tc>
        <w:tc>
          <w:tcPr>
            <w:tcW w:w="853" w:type="dxa"/>
            <w:gridSpan w:val="2"/>
            <w:tcBorders>
              <w:top w:val="nil"/>
            </w:tcBorders>
            <w:shd w:val="clear" w:color="auto" w:fill="auto"/>
          </w:tcPr>
          <w:p w14:paraId="7E906990" w14:textId="77777777" w:rsidR="00C53C0D" w:rsidRPr="00B14085" w:rsidRDefault="00C53C0D" w:rsidP="00A05864">
            <w:pPr>
              <w:pStyle w:val="TableTextCentered"/>
            </w:pPr>
            <w:r w:rsidRPr="00B14085">
              <w:t xml:space="preserve"> 26 </w:t>
            </w:r>
          </w:p>
        </w:tc>
        <w:tc>
          <w:tcPr>
            <w:tcW w:w="1439" w:type="dxa"/>
            <w:tcBorders>
              <w:top w:val="nil"/>
            </w:tcBorders>
            <w:shd w:val="clear" w:color="auto" w:fill="auto"/>
          </w:tcPr>
          <w:p w14:paraId="052EBFF6" w14:textId="77777777" w:rsidR="00C53C0D" w:rsidRPr="00B14085" w:rsidRDefault="00C53C0D" w:rsidP="00A05864">
            <w:pPr>
              <w:pStyle w:val="TableTextCentered"/>
            </w:pPr>
            <w:r w:rsidRPr="00B14085">
              <w:t xml:space="preserve"> 30 </w:t>
            </w:r>
          </w:p>
        </w:tc>
        <w:tc>
          <w:tcPr>
            <w:tcW w:w="853" w:type="dxa"/>
            <w:gridSpan w:val="2"/>
            <w:tcBorders>
              <w:top w:val="nil"/>
            </w:tcBorders>
            <w:shd w:val="clear" w:color="auto" w:fill="auto"/>
          </w:tcPr>
          <w:p w14:paraId="6D870393" w14:textId="77777777" w:rsidR="00C53C0D" w:rsidRPr="00B14085" w:rsidRDefault="00C53C0D" w:rsidP="00A05864">
            <w:pPr>
              <w:pStyle w:val="TableTextCentered"/>
            </w:pPr>
            <w:r w:rsidRPr="00B14085">
              <w:t xml:space="preserve"> 26 </w:t>
            </w:r>
          </w:p>
        </w:tc>
        <w:tc>
          <w:tcPr>
            <w:tcW w:w="1439" w:type="dxa"/>
            <w:tcBorders>
              <w:top w:val="nil"/>
              <w:right w:val="nil"/>
            </w:tcBorders>
            <w:shd w:val="clear" w:color="auto" w:fill="auto"/>
          </w:tcPr>
          <w:p w14:paraId="6FA11BFB" w14:textId="77777777" w:rsidR="00C53C0D" w:rsidRPr="00B14085" w:rsidRDefault="00C53C0D" w:rsidP="00A05864">
            <w:pPr>
              <w:pStyle w:val="TableTextCentered"/>
            </w:pPr>
            <w:r w:rsidRPr="00B14085">
              <w:t xml:space="preserve"> 24 </w:t>
            </w:r>
          </w:p>
        </w:tc>
      </w:tr>
      <w:tr w:rsidR="00C53C0D" w:rsidRPr="00B14085" w14:paraId="7B8BBF46" w14:textId="77777777" w:rsidTr="006D1FD4">
        <w:trPr>
          <w:gridAfter w:val="1"/>
          <w:wAfter w:w="21" w:type="dxa"/>
          <w:trHeight w:val="20"/>
        </w:trPr>
        <w:tc>
          <w:tcPr>
            <w:tcW w:w="792" w:type="dxa"/>
            <w:tcBorders>
              <w:top w:val="nil"/>
              <w:left w:val="nil"/>
              <w:bottom w:val="single" w:sz="4" w:space="0" w:color="3A6FAF"/>
            </w:tcBorders>
            <w:shd w:val="clear" w:color="auto" w:fill="auto"/>
            <w:vAlign w:val="bottom"/>
          </w:tcPr>
          <w:p w14:paraId="37F2897A" w14:textId="77777777" w:rsidR="00C53C0D" w:rsidRPr="00B14085" w:rsidRDefault="00C53C0D" w:rsidP="00077884">
            <w:pPr>
              <w:spacing w:before="40" w:after="40"/>
              <w:rPr>
                <w:color w:val="000000"/>
                <w:sz w:val="18"/>
              </w:rPr>
            </w:pPr>
            <w:r w:rsidRPr="00B14085">
              <w:rPr>
                <w:rFonts w:cs="Calibri"/>
                <w:color w:val="000000"/>
                <w:sz w:val="18"/>
              </w:rPr>
              <w:t xml:space="preserve">NT </w:t>
            </w:r>
          </w:p>
        </w:tc>
        <w:tc>
          <w:tcPr>
            <w:tcW w:w="851" w:type="dxa"/>
            <w:tcBorders>
              <w:top w:val="nil"/>
              <w:bottom w:val="single" w:sz="4" w:space="0" w:color="3A6FAF"/>
            </w:tcBorders>
            <w:shd w:val="clear" w:color="auto" w:fill="auto"/>
          </w:tcPr>
          <w:p w14:paraId="6E90D566" w14:textId="77777777" w:rsidR="00C53C0D" w:rsidRPr="00B14085" w:rsidRDefault="00C53C0D" w:rsidP="00A05864">
            <w:pPr>
              <w:pStyle w:val="TableTextCentered"/>
              <w:rPr>
                <w:highlight w:val="yellow"/>
              </w:rPr>
            </w:pPr>
            <w:r w:rsidRPr="00B14085">
              <w:t xml:space="preserve"> 3.5 </w:t>
            </w:r>
          </w:p>
        </w:tc>
        <w:tc>
          <w:tcPr>
            <w:tcW w:w="849" w:type="dxa"/>
            <w:tcBorders>
              <w:top w:val="nil"/>
              <w:bottom w:val="single" w:sz="4" w:space="0" w:color="3A6FAF"/>
            </w:tcBorders>
            <w:shd w:val="clear" w:color="auto" w:fill="auto"/>
          </w:tcPr>
          <w:p w14:paraId="4557A037" w14:textId="77777777" w:rsidR="00C53C0D" w:rsidRPr="00B14085" w:rsidRDefault="00C53C0D" w:rsidP="00A05864">
            <w:pPr>
              <w:pStyle w:val="TableTextCentered"/>
              <w:rPr>
                <w:highlight w:val="yellow"/>
              </w:rPr>
            </w:pPr>
            <w:r w:rsidRPr="00B14085">
              <w:t xml:space="preserve"> 110.5 </w:t>
            </w:r>
          </w:p>
        </w:tc>
        <w:tc>
          <w:tcPr>
            <w:tcW w:w="853" w:type="dxa"/>
            <w:tcBorders>
              <w:top w:val="nil"/>
              <w:bottom w:val="single" w:sz="4" w:space="0" w:color="3A6FAF"/>
            </w:tcBorders>
            <w:shd w:val="clear" w:color="auto" w:fill="auto"/>
          </w:tcPr>
          <w:p w14:paraId="4DAA490D" w14:textId="77777777" w:rsidR="00C53C0D" w:rsidRPr="00B14085" w:rsidRDefault="00C53C0D" w:rsidP="00A05864">
            <w:pPr>
              <w:pStyle w:val="TableTextCentered"/>
              <w:rPr>
                <w:highlight w:val="yellow"/>
              </w:rPr>
            </w:pPr>
            <w:r w:rsidRPr="00B14085">
              <w:t xml:space="preserve"> 47 </w:t>
            </w:r>
          </w:p>
        </w:tc>
        <w:tc>
          <w:tcPr>
            <w:tcW w:w="1439" w:type="dxa"/>
            <w:tcBorders>
              <w:top w:val="nil"/>
              <w:bottom w:val="single" w:sz="4" w:space="0" w:color="3A6FAF"/>
            </w:tcBorders>
            <w:shd w:val="clear" w:color="auto" w:fill="auto"/>
          </w:tcPr>
          <w:p w14:paraId="18C16738" w14:textId="77777777" w:rsidR="00C53C0D" w:rsidRPr="00B14085" w:rsidRDefault="00C53C0D" w:rsidP="00A05864">
            <w:pPr>
              <w:pStyle w:val="TableTextCentered"/>
              <w:rPr>
                <w:highlight w:val="yellow"/>
              </w:rPr>
            </w:pPr>
            <w:r w:rsidRPr="00B14085">
              <w:t xml:space="preserve"> 45 </w:t>
            </w:r>
          </w:p>
        </w:tc>
        <w:tc>
          <w:tcPr>
            <w:tcW w:w="853" w:type="dxa"/>
            <w:gridSpan w:val="2"/>
            <w:tcBorders>
              <w:top w:val="nil"/>
              <w:bottom w:val="single" w:sz="4" w:space="0" w:color="3A6FAF"/>
            </w:tcBorders>
            <w:shd w:val="clear" w:color="auto" w:fill="auto"/>
          </w:tcPr>
          <w:p w14:paraId="4EA18D9C" w14:textId="77777777" w:rsidR="00C53C0D" w:rsidRPr="00B14085" w:rsidRDefault="00C53C0D" w:rsidP="00A05864">
            <w:pPr>
              <w:pStyle w:val="TableTextCentered"/>
              <w:rPr>
                <w:highlight w:val="yellow"/>
              </w:rPr>
            </w:pPr>
            <w:r w:rsidRPr="00B14085">
              <w:t xml:space="preserve"> 26 </w:t>
            </w:r>
          </w:p>
        </w:tc>
        <w:tc>
          <w:tcPr>
            <w:tcW w:w="1439" w:type="dxa"/>
            <w:tcBorders>
              <w:top w:val="nil"/>
              <w:bottom w:val="single" w:sz="4" w:space="0" w:color="3A6FAF"/>
            </w:tcBorders>
            <w:shd w:val="clear" w:color="auto" w:fill="auto"/>
          </w:tcPr>
          <w:p w14:paraId="26C27157" w14:textId="77777777" w:rsidR="00C53C0D" w:rsidRPr="00B14085" w:rsidRDefault="00C53C0D" w:rsidP="00A05864">
            <w:pPr>
              <w:pStyle w:val="TableTextCentered"/>
              <w:rPr>
                <w:highlight w:val="yellow"/>
              </w:rPr>
            </w:pPr>
            <w:r w:rsidRPr="00B14085">
              <w:t xml:space="preserve"> 31 </w:t>
            </w:r>
          </w:p>
        </w:tc>
        <w:tc>
          <w:tcPr>
            <w:tcW w:w="853" w:type="dxa"/>
            <w:gridSpan w:val="2"/>
            <w:tcBorders>
              <w:top w:val="nil"/>
              <w:bottom w:val="single" w:sz="4" w:space="0" w:color="3A6FAF"/>
            </w:tcBorders>
            <w:shd w:val="clear" w:color="auto" w:fill="auto"/>
          </w:tcPr>
          <w:p w14:paraId="0C82DE04" w14:textId="77777777" w:rsidR="00C53C0D" w:rsidRPr="00B14085" w:rsidRDefault="00C53C0D" w:rsidP="00A05864">
            <w:pPr>
              <w:pStyle w:val="TableTextCentered"/>
              <w:rPr>
                <w:highlight w:val="yellow"/>
              </w:rPr>
            </w:pPr>
            <w:r w:rsidRPr="00B14085">
              <w:t xml:space="preserve"> 28 </w:t>
            </w:r>
          </w:p>
        </w:tc>
        <w:tc>
          <w:tcPr>
            <w:tcW w:w="1439" w:type="dxa"/>
            <w:tcBorders>
              <w:top w:val="nil"/>
              <w:bottom w:val="single" w:sz="4" w:space="0" w:color="3A6FAF"/>
              <w:right w:val="nil"/>
            </w:tcBorders>
            <w:shd w:val="clear" w:color="auto" w:fill="auto"/>
          </w:tcPr>
          <w:p w14:paraId="138BF6E7" w14:textId="77777777" w:rsidR="00C53C0D" w:rsidRPr="00B14085" w:rsidRDefault="00C53C0D" w:rsidP="00A05864">
            <w:pPr>
              <w:pStyle w:val="TableTextCentered"/>
              <w:rPr>
                <w:highlight w:val="yellow"/>
              </w:rPr>
            </w:pPr>
            <w:r w:rsidRPr="00B14085">
              <w:t xml:space="preserve"> 24 </w:t>
            </w:r>
          </w:p>
        </w:tc>
      </w:tr>
    </w:tbl>
    <w:p w14:paraId="4473C581" w14:textId="77777777" w:rsidR="004170E9" w:rsidRDefault="00DA3241" w:rsidP="004170E9">
      <w:pPr>
        <w:spacing w:before="0" w:after="0" w:line="276" w:lineRule="auto"/>
        <w:jc w:val="both"/>
        <w:rPr>
          <w:sz w:val="18"/>
          <w:szCs w:val="16"/>
        </w:rPr>
      </w:pPr>
      <w:r w:rsidRPr="003E7BD1">
        <w:rPr>
          <w:sz w:val="18"/>
          <w:szCs w:val="16"/>
        </w:rPr>
        <w:t>Note</w:t>
      </w:r>
      <w:r>
        <w:rPr>
          <w:sz w:val="18"/>
          <w:szCs w:val="16"/>
        </w:rPr>
        <w:t xml:space="preserve">: </w:t>
      </w:r>
      <w:r w:rsidRPr="00493645">
        <w:rPr>
          <w:sz w:val="18"/>
          <w:szCs w:val="16"/>
        </w:rPr>
        <w:t>Large businesses (those with turnover greater than $1 billion) were subject to a 50 per cent decline in turnover test.</w:t>
      </w:r>
      <w:r>
        <w:rPr>
          <w:sz w:val="18"/>
          <w:szCs w:val="16"/>
        </w:rPr>
        <w:t xml:space="preserve"> </w:t>
      </w:r>
      <w:r w:rsidR="004170E9">
        <w:rPr>
          <w:sz w:val="18"/>
          <w:szCs w:val="16"/>
        </w:rPr>
        <w:t>Turnover analysis is based on quarterly data compared to a year earlier.</w:t>
      </w:r>
    </w:p>
    <w:p w14:paraId="1966800E" w14:textId="7F3F4FDD" w:rsidR="006055AC" w:rsidRDefault="00D66EBC" w:rsidP="004170E9">
      <w:pPr>
        <w:spacing w:before="0" w:after="0" w:line="276" w:lineRule="auto"/>
        <w:jc w:val="both"/>
        <w:rPr>
          <w:sz w:val="18"/>
          <w:szCs w:val="16"/>
        </w:rPr>
      </w:pPr>
      <w:r>
        <w:rPr>
          <w:sz w:val="18"/>
          <w:szCs w:val="16"/>
        </w:rPr>
        <w:t>Source:</w:t>
      </w:r>
      <w:r w:rsidR="00B61369">
        <w:rPr>
          <w:sz w:val="18"/>
          <w:szCs w:val="16"/>
        </w:rPr>
        <w:t xml:space="preserve"> JobKeeper disbursement data as at November 2020 and BAS data as at August 2021.</w:t>
      </w:r>
    </w:p>
    <w:p w14:paraId="2E18E36D" w14:textId="77777777" w:rsidR="00207393" w:rsidRDefault="00207393" w:rsidP="00207393">
      <w:pPr>
        <w:pStyle w:val="SingleParagraph"/>
      </w:pPr>
    </w:p>
    <w:p w14:paraId="08E5A4A2" w14:textId="2C479A04" w:rsidR="00420D7C" w:rsidRPr="002C73BA" w:rsidRDefault="00420D7C" w:rsidP="00F47CDD">
      <w:pPr>
        <w:pStyle w:val="TableMainHeading"/>
      </w:pPr>
      <w:bookmarkStart w:id="228" w:name="_Toc84842610"/>
      <w:r>
        <w:t xml:space="preserve">JobKeeper recipients by </w:t>
      </w:r>
      <w:r w:rsidR="00905363">
        <w:t>through-the-year</w:t>
      </w:r>
      <w:r>
        <w:t xml:space="preserve"> turnover decline and size, September</w:t>
      </w:r>
      <w:r w:rsidR="006D1FD4">
        <w:t> </w:t>
      </w:r>
      <w:r>
        <w:t>quarter 2020</w:t>
      </w:r>
      <w:bookmarkEnd w:id="228"/>
    </w:p>
    <w:tbl>
      <w:tblPr>
        <w:tblStyle w:val="TableGrid"/>
        <w:tblW w:w="4999" w:type="pct"/>
        <w:tblLayout w:type="fixed"/>
        <w:tblLook w:val="04A0" w:firstRow="1" w:lastRow="0" w:firstColumn="1" w:lastColumn="0" w:noHBand="0" w:noVBand="1"/>
      </w:tblPr>
      <w:tblGrid>
        <w:gridCol w:w="1813"/>
        <w:gridCol w:w="907"/>
        <w:gridCol w:w="907"/>
        <w:gridCol w:w="907"/>
        <w:gridCol w:w="907"/>
        <w:gridCol w:w="907"/>
        <w:gridCol w:w="907"/>
        <w:gridCol w:w="907"/>
        <w:gridCol w:w="907"/>
      </w:tblGrid>
      <w:tr w:rsidR="00583FE1" w:rsidRPr="007311C3" w14:paraId="55B2C9CF" w14:textId="77777777" w:rsidTr="006D1FD4">
        <w:trPr>
          <w:trHeight w:val="616"/>
        </w:trPr>
        <w:tc>
          <w:tcPr>
            <w:tcW w:w="1813" w:type="dxa"/>
            <w:tcBorders>
              <w:top w:val="single" w:sz="4" w:space="0" w:color="3A6FAF"/>
              <w:left w:val="nil"/>
              <w:bottom w:val="single" w:sz="4" w:space="0" w:color="3A6FAF"/>
            </w:tcBorders>
            <w:shd w:val="clear" w:color="auto" w:fill="auto"/>
          </w:tcPr>
          <w:p w14:paraId="4D22B0B8" w14:textId="77777777" w:rsidR="00583FE1" w:rsidRPr="007311C3" w:rsidRDefault="00583FE1" w:rsidP="00583FE1">
            <w:pPr>
              <w:spacing w:before="40" w:after="40"/>
              <w:jc w:val="center"/>
              <w:rPr>
                <w:b/>
                <w:color w:val="002C47"/>
                <w:highlight w:val="yellow"/>
              </w:rPr>
            </w:pPr>
          </w:p>
        </w:tc>
        <w:tc>
          <w:tcPr>
            <w:tcW w:w="1814" w:type="dxa"/>
            <w:gridSpan w:val="2"/>
            <w:tcBorders>
              <w:top w:val="single" w:sz="4" w:space="0" w:color="3A6FAF"/>
              <w:bottom w:val="single" w:sz="4" w:space="0" w:color="3A6FAF"/>
            </w:tcBorders>
            <w:shd w:val="clear" w:color="auto" w:fill="auto"/>
          </w:tcPr>
          <w:p w14:paraId="46E26DD7" w14:textId="77777777" w:rsidR="00583FE1" w:rsidRPr="007311C3" w:rsidRDefault="00583FE1" w:rsidP="00583FE1">
            <w:pPr>
              <w:spacing w:before="40" w:after="40"/>
              <w:jc w:val="center"/>
              <w:rPr>
                <w:b/>
                <w:bCs/>
                <w:color w:val="002C47"/>
              </w:rPr>
            </w:pPr>
            <w:r w:rsidRPr="007311C3">
              <w:rPr>
                <w:b/>
                <w:bCs/>
                <w:color w:val="002C47"/>
              </w:rPr>
              <w:t>Totals</w:t>
            </w:r>
          </w:p>
        </w:tc>
        <w:tc>
          <w:tcPr>
            <w:tcW w:w="1814" w:type="dxa"/>
            <w:gridSpan w:val="2"/>
            <w:tcBorders>
              <w:top w:val="single" w:sz="4" w:space="0" w:color="3A6FAF"/>
              <w:bottom w:val="single" w:sz="4" w:space="0" w:color="3A6FAF"/>
            </w:tcBorders>
            <w:shd w:val="clear" w:color="auto" w:fill="auto"/>
          </w:tcPr>
          <w:p w14:paraId="779CB9A1" w14:textId="1ABE0694" w:rsidR="00583FE1" w:rsidRPr="007311C3" w:rsidRDefault="00F003B4" w:rsidP="00583FE1">
            <w:pPr>
              <w:spacing w:before="40" w:after="40"/>
              <w:jc w:val="center"/>
              <w:rPr>
                <w:b/>
                <w:bCs/>
                <w:color w:val="002C47"/>
              </w:rPr>
            </w:pPr>
            <w:r>
              <w:rPr>
                <w:b/>
                <w:bCs/>
                <w:color w:val="002C47"/>
              </w:rPr>
              <w:t xml:space="preserve">Turnover decline </w:t>
            </w:r>
            <w:r>
              <w:rPr>
                <w:b/>
                <w:bCs/>
                <w:color w:val="002C47"/>
              </w:rPr>
              <w:br/>
              <w:t>more than 30%</w:t>
            </w:r>
            <w:r>
              <w:rPr>
                <w:b/>
                <w:bCs/>
                <w:color w:val="002C47"/>
              </w:rPr>
              <w:br/>
              <w:t>(or 50%)</w:t>
            </w:r>
          </w:p>
        </w:tc>
        <w:tc>
          <w:tcPr>
            <w:tcW w:w="1814" w:type="dxa"/>
            <w:gridSpan w:val="2"/>
            <w:tcBorders>
              <w:top w:val="single" w:sz="4" w:space="0" w:color="3A6FAF"/>
              <w:bottom w:val="single" w:sz="4" w:space="0" w:color="3A6FAF"/>
            </w:tcBorders>
            <w:shd w:val="clear" w:color="auto" w:fill="auto"/>
          </w:tcPr>
          <w:p w14:paraId="528A3E3D" w14:textId="6FDE9123" w:rsidR="00583FE1" w:rsidRPr="007311C3" w:rsidRDefault="00F003B4" w:rsidP="00583FE1">
            <w:pPr>
              <w:spacing w:before="40" w:after="40"/>
              <w:jc w:val="center"/>
              <w:rPr>
                <w:b/>
                <w:bCs/>
                <w:color w:val="002C47"/>
              </w:rPr>
            </w:pPr>
            <w:r>
              <w:rPr>
                <w:b/>
                <w:bCs/>
                <w:color w:val="002C47"/>
              </w:rPr>
              <w:t>Turnover decline   between 0 –</w:t>
            </w:r>
            <w:r w:rsidRPr="008C492F">
              <w:rPr>
                <w:b/>
                <w:bCs/>
                <w:color w:val="002C47"/>
              </w:rPr>
              <w:t xml:space="preserve"> </w:t>
            </w:r>
            <w:r>
              <w:rPr>
                <w:b/>
                <w:bCs/>
                <w:color w:val="002C47"/>
              </w:rPr>
              <w:t xml:space="preserve">30% </w:t>
            </w:r>
            <w:r>
              <w:rPr>
                <w:b/>
                <w:bCs/>
                <w:color w:val="002C47"/>
              </w:rPr>
              <w:br/>
              <w:t>(or 50%)</w:t>
            </w:r>
          </w:p>
        </w:tc>
        <w:tc>
          <w:tcPr>
            <w:tcW w:w="1814" w:type="dxa"/>
            <w:gridSpan w:val="2"/>
            <w:tcBorders>
              <w:top w:val="single" w:sz="4" w:space="0" w:color="3A6FAF"/>
              <w:bottom w:val="single" w:sz="4" w:space="0" w:color="3A6FAF"/>
            </w:tcBorders>
            <w:shd w:val="clear" w:color="auto" w:fill="auto"/>
          </w:tcPr>
          <w:p w14:paraId="1C82819B" w14:textId="4FEEA7DD" w:rsidR="00583FE1" w:rsidRPr="007311C3" w:rsidRDefault="00F003B4" w:rsidP="00583FE1">
            <w:pPr>
              <w:spacing w:before="40" w:after="40"/>
              <w:jc w:val="center"/>
              <w:rPr>
                <w:b/>
                <w:bCs/>
                <w:color w:val="002C47"/>
              </w:rPr>
            </w:pPr>
            <w:r>
              <w:rPr>
                <w:b/>
                <w:bCs/>
                <w:color w:val="002C47"/>
              </w:rPr>
              <w:t>T</w:t>
            </w:r>
            <w:r w:rsidR="00583FE1" w:rsidRPr="007311C3">
              <w:rPr>
                <w:b/>
                <w:bCs/>
                <w:color w:val="002C47"/>
              </w:rPr>
              <w:t>urnover</w:t>
            </w:r>
            <w:r>
              <w:rPr>
                <w:b/>
                <w:bCs/>
                <w:color w:val="002C47"/>
              </w:rPr>
              <w:t xml:space="preserve"> increase</w:t>
            </w:r>
          </w:p>
        </w:tc>
      </w:tr>
      <w:tr w:rsidR="00583FE1" w:rsidRPr="007311C3" w14:paraId="5231BD33" w14:textId="77777777" w:rsidTr="006D1FD4">
        <w:trPr>
          <w:trHeight w:val="616"/>
        </w:trPr>
        <w:tc>
          <w:tcPr>
            <w:tcW w:w="1813" w:type="dxa"/>
            <w:tcBorders>
              <w:left w:val="nil"/>
              <w:bottom w:val="single" w:sz="4" w:space="0" w:color="3A6FAF"/>
            </w:tcBorders>
            <w:shd w:val="clear" w:color="auto" w:fill="auto"/>
          </w:tcPr>
          <w:p w14:paraId="46F4F45F" w14:textId="77777777" w:rsidR="00583FE1" w:rsidRPr="007311C3" w:rsidRDefault="00583FE1" w:rsidP="00583FE1">
            <w:pPr>
              <w:spacing w:before="40" w:after="40"/>
              <w:jc w:val="center"/>
              <w:rPr>
                <w:b/>
                <w:color w:val="002C47"/>
                <w:highlight w:val="yellow"/>
              </w:rPr>
            </w:pPr>
          </w:p>
        </w:tc>
        <w:tc>
          <w:tcPr>
            <w:tcW w:w="907" w:type="dxa"/>
            <w:tcBorders>
              <w:bottom w:val="single" w:sz="4" w:space="0" w:color="3A6FAF"/>
            </w:tcBorders>
            <w:shd w:val="clear" w:color="auto" w:fill="auto"/>
          </w:tcPr>
          <w:p w14:paraId="3E4FC91D" w14:textId="38925AD8" w:rsidR="00583FE1" w:rsidRPr="007311C3" w:rsidRDefault="00583FE1" w:rsidP="00583FE1">
            <w:pPr>
              <w:spacing w:before="40" w:after="40"/>
              <w:jc w:val="center"/>
              <w:rPr>
                <w:b/>
                <w:bCs/>
                <w:color w:val="002C47"/>
              </w:rPr>
            </w:pPr>
            <w:r w:rsidRPr="007311C3">
              <w:rPr>
                <w:b/>
                <w:bCs/>
                <w:color w:val="002C47"/>
              </w:rPr>
              <w:t>Entities (</w:t>
            </w:r>
            <w:r w:rsidR="0038520A">
              <w:rPr>
                <w:b/>
                <w:bCs/>
                <w:color w:val="002C47"/>
              </w:rPr>
              <w:t>‘</w:t>
            </w:r>
            <w:r w:rsidRPr="007311C3">
              <w:rPr>
                <w:b/>
                <w:bCs/>
                <w:color w:val="002C47"/>
              </w:rPr>
              <w:t>000s)</w:t>
            </w:r>
          </w:p>
        </w:tc>
        <w:tc>
          <w:tcPr>
            <w:tcW w:w="907" w:type="dxa"/>
            <w:tcBorders>
              <w:bottom w:val="single" w:sz="4" w:space="0" w:color="3A6FAF"/>
            </w:tcBorders>
            <w:shd w:val="clear" w:color="auto" w:fill="auto"/>
          </w:tcPr>
          <w:p w14:paraId="15E326E5" w14:textId="77777777" w:rsidR="00583FE1" w:rsidRPr="007311C3" w:rsidRDefault="00583FE1" w:rsidP="00583FE1">
            <w:pPr>
              <w:spacing w:before="40" w:after="40"/>
              <w:jc w:val="center"/>
              <w:rPr>
                <w:b/>
                <w:bCs/>
                <w:color w:val="002C47"/>
              </w:rPr>
            </w:pPr>
            <w:r w:rsidRPr="007311C3">
              <w:rPr>
                <w:b/>
                <w:bCs/>
                <w:color w:val="002C47"/>
              </w:rPr>
              <w:t>Disbursements ($m)</w:t>
            </w:r>
          </w:p>
        </w:tc>
        <w:tc>
          <w:tcPr>
            <w:tcW w:w="907" w:type="dxa"/>
            <w:tcBorders>
              <w:bottom w:val="single" w:sz="4" w:space="0" w:color="3A6FAF"/>
            </w:tcBorders>
            <w:shd w:val="clear" w:color="auto" w:fill="auto"/>
          </w:tcPr>
          <w:p w14:paraId="4657CC00" w14:textId="77777777" w:rsidR="00583FE1" w:rsidRPr="007311C3" w:rsidRDefault="00583FE1" w:rsidP="00583FE1">
            <w:pPr>
              <w:spacing w:before="40" w:after="40"/>
              <w:jc w:val="center"/>
              <w:rPr>
                <w:b/>
                <w:bCs/>
                <w:color w:val="002C47"/>
              </w:rPr>
            </w:pPr>
            <w:r w:rsidRPr="007311C3">
              <w:rPr>
                <w:b/>
                <w:bCs/>
                <w:color w:val="002C47"/>
              </w:rPr>
              <w:t>Share of entities (%)</w:t>
            </w:r>
          </w:p>
        </w:tc>
        <w:tc>
          <w:tcPr>
            <w:tcW w:w="907" w:type="dxa"/>
            <w:tcBorders>
              <w:bottom w:val="single" w:sz="4" w:space="0" w:color="3A6FAF"/>
            </w:tcBorders>
            <w:shd w:val="clear" w:color="auto" w:fill="auto"/>
          </w:tcPr>
          <w:p w14:paraId="3139E74E" w14:textId="0D3078B9" w:rsidR="00583FE1" w:rsidRPr="007311C3" w:rsidRDefault="00583FE1" w:rsidP="00583FE1">
            <w:pPr>
              <w:spacing w:before="40" w:after="40"/>
              <w:jc w:val="center"/>
              <w:rPr>
                <w:b/>
                <w:bCs/>
                <w:color w:val="002C47"/>
              </w:rPr>
            </w:pPr>
            <w:r w:rsidRPr="007311C3">
              <w:rPr>
                <w:b/>
                <w:bCs/>
                <w:color w:val="002C47"/>
              </w:rPr>
              <w:t>Share of disbursements (%)</w:t>
            </w:r>
          </w:p>
        </w:tc>
        <w:tc>
          <w:tcPr>
            <w:tcW w:w="907" w:type="dxa"/>
            <w:tcBorders>
              <w:bottom w:val="single" w:sz="4" w:space="0" w:color="3A6FAF"/>
            </w:tcBorders>
            <w:shd w:val="clear" w:color="auto" w:fill="auto"/>
          </w:tcPr>
          <w:p w14:paraId="156B63DF" w14:textId="77777777" w:rsidR="00583FE1" w:rsidRPr="007311C3" w:rsidRDefault="00583FE1" w:rsidP="00583FE1">
            <w:pPr>
              <w:spacing w:before="40" w:after="40"/>
              <w:jc w:val="center"/>
              <w:rPr>
                <w:b/>
                <w:bCs/>
                <w:color w:val="002C47"/>
              </w:rPr>
            </w:pPr>
            <w:r w:rsidRPr="007311C3">
              <w:rPr>
                <w:b/>
                <w:bCs/>
                <w:color w:val="002C47"/>
              </w:rPr>
              <w:t>Share of entities (%)</w:t>
            </w:r>
          </w:p>
        </w:tc>
        <w:tc>
          <w:tcPr>
            <w:tcW w:w="907" w:type="dxa"/>
            <w:tcBorders>
              <w:bottom w:val="single" w:sz="4" w:space="0" w:color="3A6FAF"/>
            </w:tcBorders>
            <w:shd w:val="clear" w:color="auto" w:fill="auto"/>
          </w:tcPr>
          <w:p w14:paraId="53E30EE5" w14:textId="179417A4" w:rsidR="00583FE1" w:rsidRPr="007311C3" w:rsidRDefault="00583FE1" w:rsidP="00583FE1">
            <w:pPr>
              <w:spacing w:before="40" w:after="40"/>
              <w:jc w:val="center"/>
              <w:rPr>
                <w:b/>
                <w:bCs/>
                <w:color w:val="002C47"/>
              </w:rPr>
            </w:pPr>
            <w:r w:rsidRPr="007311C3">
              <w:rPr>
                <w:b/>
                <w:bCs/>
                <w:color w:val="002C47"/>
              </w:rPr>
              <w:t>Share of disbursements (%)</w:t>
            </w:r>
          </w:p>
        </w:tc>
        <w:tc>
          <w:tcPr>
            <w:tcW w:w="907" w:type="dxa"/>
            <w:tcBorders>
              <w:bottom w:val="single" w:sz="4" w:space="0" w:color="3A6FAF"/>
            </w:tcBorders>
            <w:shd w:val="clear" w:color="auto" w:fill="auto"/>
          </w:tcPr>
          <w:p w14:paraId="48BF3976" w14:textId="77777777" w:rsidR="00583FE1" w:rsidRPr="007311C3" w:rsidRDefault="00583FE1" w:rsidP="00583FE1">
            <w:pPr>
              <w:spacing w:before="40" w:after="40"/>
              <w:jc w:val="center"/>
              <w:rPr>
                <w:b/>
                <w:bCs/>
                <w:color w:val="002C47"/>
              </w:rPr>
            </w:pPr>
            <w:r w:rsidRPr="007311C3">
              <w:rPr>
                <w:b/>
                <w:bCs/>
                <w:color w:val="002C47"/>
              </w:rPr>
              <w:t>Share of entities (%)</w:t>
            </w:r>
          </w:p>
        </w:tc>
        <w:tc>
          <w:tcPr>
            <w:tcW w:w="907" w:type="dxa"/>
            <w:tcBorders>
              <w:bottom w:val="single" w:sz="4" w:space="0" w:color="3A6FAF"/>
              <w:right w:val="nil"/>
            </w:tcBorders>
            <w:shd w:val="clear" w:color="auto" w:fill="auto"/>
          </w:tcPr>
          <w:p w14:paraId="6B0C4EA3" w14:textId="275BBE87" w:rsidR="00583FE1" w:rsidRPr="007311C3" w:rsidRDefault="00583FE1" w:rsidP="00583FE1">
            <w:pPr>
              <w:spacing w:before="40" w:after="40"/>
              <w:jc w:val="center"/>
              <w:rPr>
                <w:b/>
                <w:bCs/>
                <w:color w:val="002C47"/>
              </w:rPr>
            </w:pPr>
            <w:r w:rsidRPr="007311C3">
              <w:rPr>
                <w:b/>
                <w:bCs/>
                <w:color w:val="002C47"/>
              </w:rPr>
              <w:t>Share of disbursements (%)</w:t>
            </w:r>
          </w:p>
        </w:tc>
      </w:tr>
      <w:tr w:rsidR="00583FE1" w:rsidRPr="007311C3" w14:paraId="1E6D2737" w14:textId="77777777" w:rsidTr="006D1FD4">
        <w:trPr>
          <w:trHeight w:val="308"/>
        </w:trPr>
        <w:tc>
          <w:tcPr>
            <w:tcW w:w="1813" w:type="dxa"/>
            <w:tcBorders>
              <w:top w:val="single" w:sz="4" w:space="0" w:color="3A6FAF"/>
              <w:left w:val="nil"/>
              <w:bottom w:val="single" w:sz="4" w:space="0" w:color="3A6FAF"/>
            </w:tcBorders>
            <w:shd w:val="clear" w:color="auto" w:fill="auto"/>
            <w:vAlign w:val="bottom"/>
          </w:tcPr>
          <w:p w14:paraId="59341C47" w14:textId="77777777" w:rsidR="00583FE1" w:rsidRPr="007311C3" w:rsidRDefault="00583FE1" w:rsidP="00583FE1">
            <w:pPr>
              <w:spacing w:before="40" w:after="40"/>
              <w:rPr>
                <w:rFonts w:cs="Calibri"/>
                <w:b/>
                <w:color w:val="000000"/>
                <w:sz w:val="18"/>
                <w:szCs w:val="18"/>
              </w:rPr>
            </w:pPr>
            <w:r w:rsidRPr="007311C3">
              <w:rPr>
                <w:rFonts w:cs="Calibri"/>
                <w:b/>
                <w:color w:val="000000"/>
                <w:sz w:val="18"/>
                <w:szCs w:val="18"/>
              </w:rPr>
              <w:t>Total</w:t>
            </w:r>
          </w:p>
        </w:tc>
        <w:tc>
          <w:tcPr>
            <w:tcW w:w="907" w:type="dxa"/>
            <w:tcBorders>
              <w:top w:val="single" w:sz="4" w:space="0" w:color="3A6FAF"/>
              <w:bottom w:val="single" w:sz="4" w:space="0" w:color="3A6FAF"/>
            </w:tcBorders>
            <w:shd w:val="clear" w:color="auto" w:fill="auto"/>
          </w:tcPr>
          <w:p w14:paraId="3F2DA5F6" w14:textId="77777777" w:rsidR="00583FE1" w:rsidRPr="007311C3" w:rsidRDefault="00583FE1" w:rsidP="00A05864">
            <w:pPr>
              <w:pStyle w:val="TableTextCentered"/>
            </w:pPr>
            <w:r w:rsidRPr="00A05864">
              <w:t>661.2</w:t>
            </w:r>
          </w:p>
        </w:tc>
        <w:tc>
          <w:tcPr>
            <w:tcW w:w="907" w:type="dxa"/>
            <w:tcBorders>
              <w:top w:val="single" w:sz="4" w:space="0" w:color="3A6FAF"/>
              <w:bottom w:val="single" w:sz="4" w:space="0" w:color="3A6FAF"/>
            </w:tcBorders>
            <w:shd w:val="clear" w:color="auto" w:fill="auto"/>
          </w:tcPr>
          <w:p w14:paraId="5544A3DC" w14:textId="77777777" w:rsidR="00583FE1" w:rsidRPr="007311C3" w:rsidRDefault="00583FE1" w:rsidP="00A05864">
            <w:pPr>
              <w:pStyle w:val="TableTextCentered"/>
            </w:pPr>
            <w:r w:rsidRPr="00A05864">
              <w:t>26725.6</w:t>
            </w:r>
          </w:p>
        </w:tc>
        <w:tc>
          <w:tcPr>
            <w:tcW w:w="907" w:type="dxa"/>
            <w:tcBorders>
              <w:top w:val="single" w:sz="4" w:space="0" w:color="3A6FAF"/>
              <w:bottom w:val="single" w:sz="4" w:space="0" w:color="3A6FAF"/>
            </w:tcBorders>
            <w:shd w:val="clear" w:color="auto" w:fill="auto"/>
          </w:tcPr>
          <w:p w14:paraId="454F126D" w14:textId="77777777" w:rsidR="00583FE1" w:rsidRPr="007311C3" w:rsidRDefault="00583FE1" w:rsidP="00A05864">
            <w:pPr>
              <w:pStyle w:val="TableTextCentered"/>
            </w:pPr>
            <w:r w:rsidRPr="00A05864">
              <w:t>46</w:t>
            </w:r>
          </w:p>
        </w:tc>
        <w:tc>
          <w:tcPr>
            <w:tcW w:w="907" w:type="dxa"/>
            <w:tcBorders>
              <w:top w:val="single" w:sz="4" w:space="0" w:color="3A6FAF"/>
              <w:bottom w:val="single" w:sz="4" w:space="0" w:color="3A6FAF"/>
            </w:tcBorders>
            <w:shd w:val="clear" w:color="auto" w:fill="auto"/>
          </w:tcPr>
          <w:p w14:paraId="0582C1D5" w14:textId="77777777" w:rsidR="00583FE1" w:rsidRPr="007311C3" w:rsidRDefault="00583FE1" w:rsidP="00A05864">
            <w:pPr>
              <w:pStyle w:val="TableTextCentered"/>
            </w:pPr>
            <w:r w:rsidRPr="00A05864">
              <w:t>41</w:t>
            </w:r>
          </w:p>
        </w:tc>
        <w:tc>
          <w:tcPr>
            <w:tcW w:w="907" w:type="dxa"/>
            <w:tcBorders>
              <w:top w:val="single" w:sz="4" w:space="0" w:color="3A6FAF"/>
              <w:bottom w:val="single" w:sz="4" w:space="0" w:color="3A6FAF"/>
            </w:tcBorders>
            <w:shd w:val="clear" w:color="auto" w:fill="auto"/>
          </w:tcPr>
          <w:p w14:paraId="0452C0E1" w14:textId="77777777" w:rsidR="00583FE1" w:rsidRPr="007311C3" w:rsidRDefault="00583FE1" w:rsidP="00A05864">
            <w:pPr>
              <w:pStyle w:val="TableTextCentered"/>
            </w:pPr>
            <w:r w:rsidRPr="00A05864">
              <w:t>20</w:t>
            </w:r>
          </w:p>
        </w:tc>
        <w:tc>
          <w:tcPr>
            <w:tcW w:w="907" w:type="dxa"/>
            <w:tcBorders>
              <w:top w:val="single" w:sz="4" w:space="0" w:color="3A6FAF"/>
              <w:bottom w:val="single" w:sz="4" w:space="0" w:color="3A6FAF"/>
            </w:tcBorders>
            <w:shd w:val="clear" w:color="auto" w:fill="auto"/>
          </w:tcPr>
          <w:p w14:paraId="75BE2990" w14:textId="77777777" w:rsidR="00583FE1" w:rsidRPr="007311C3" w:rsidRDefault="00583FE1" w:rsidP="00A05864">
            <w:pPr>
              <w:pStyle w:val="TableTextCentered"/>
            </w:pPr>
            <w:r w:rsidRPr="00A05864">
              <w:t>24</w:t>
            </w:r>
          </w:p>
        </w:tc>
        <w:tc>
          <w:tcPr>
            <w:tcW w:w="907" w:type="dxa"/>
            <w:tcBorders>
              <w:top w:val="single" w:sz="4" w:space="0" w:color="3A6FAF"/>
              <w:bottom w:val="single" w:sz="4" w:space="0" w:color="3A6FAF"/>
            </w:tcBorders>
            <w:shd w:val="clear" w:color="auto" w:fill="auto"/>
          </w:tcPr>
          <w:p w14:paraId="1B4D7180" w14:textId="77777777" w:rsidR="00583FE1" w:rsidRPr="007311C3" w:rsidRDefault="00583FE1" w:rsidP="00A05864">
            <w:pPr>
              <w:pStyle w:val="TableTextCentered"/>
            </w:pPr>
            <w:r w:rsidRPr="00A05864">
              <w:t>34</w:t>
            </w:r>
          </w:p>
        </w:tc>
        <w:tc>
          <w:tcPr>
            <w:tcW w:w="907" w:type="dxa"/>
            <w:tcBorders>
              <w:top w:val="single" w:sz="4" w:space="0" w:color="3A6FAF"/>
              <w:bottom w:val="single" w:sz="4" w:space="0" w:color="3A6FAF"/>
              <w:right w:val="nil"/>
            </w:tcBorders>
            <w:shd w:val="clear" w:color="auto" w:fill="auto"/>
          </w:tcPr>
          <w:p w14:paraId="0507FC77" w14:textId="77777777" w:rsidR="00583FE1" w:rsidRPr="007311C3" w:rsidRDefault="00583FE1" w:rsidP="00A05864">
            <w:pPr>
              <w:pStyle w:val="TableTextCentered"/>
            </w:pPr>
            <w:r w:rsidRPr="00A05864">
              <w:t>34</w:t>
            </w:r>
          </w:p>
        </w:tc>
      </w:tr>
      <w:tr w:rsidR="00583FE1" w:rsidRPr="007311C3" w14:paraId="630B7897" w14:textId="77777777" w:rsidTr="006D1FD4">
        <w:trPr>
          <w:trHeight w:val="291"/>
        </w:trPr>
        <w:tc>
          <w:tcPr>
            <w:tcW w:w="1813" w:type="dxa"/>
            <w:tcBorders>
              <w:top w:val="single" w:sz="4" w:space="0" w:color="3A6FAF"/>
              <w:left w:val="nil"/>
              <w:bottom w:val="nil"/>
            </w:tcBorders>
            <w:shd w:val="clear" w:color="auto" w:fill="auto"/>
            <w:vAlign w:val="bottom"/>
          </w:tcPr>
          <w:p w14:paraId="5C86357B" w14:textId="77777777" w:rsidR="00583FE1" w:rsidRPr="007311C3" w:rsidRDefault="00583FE1" w:rsidP="00583FE1">
            <w:pPr>
              <w:spacing w:before="40" w:after="40"/>
              <w:rPr>
                <w:rFonts w:cs="Calibri"/>
                <w:color w:val="000000"/>
                <w:sz w:val="18"/>
                <w:szCs w:val="18"/>
              </w:rPr>
            </w:pPr>
            <w:r w:rsidRPr="007311C3">
              <w:rPr>
                <w:rFonts w:cs="Calibri"/>
                <w:color w:val="000000"/>
                <w:sz w:val="18"/>
                <w:szCs w:val="18"/>
              </w:rPr>
              <w:t>Below $2m</w:t>
            </w:r>
          </w:p>
        </w:tc>
        <w:tc>
          <w:tcPr>
            <w:tcW w:w="907" w:type="dxa"/>
            <w:tcBorders>
              <w:top w:val="single" w:sz="4" w:space="0" w:color="3A6FAF"/>
              <w:bottom w:val="nil"/>
            </w:tcBorders>
            <w:shd w:val="clear" w:color="auto" w:fill="auto"/>
          </w:tcPr>
          <w:p w14:paraId="23BE9AFC" w14:textId="77777777" w:rsidR="00583FE1" w:rsidRPr="007311C3" w:rsidRDefault="00583FE1" w:rsidP="00A05864">
            <w:pPr>
              <w:pStyle w:val="TableTextCentered"/>
            </w:pPr>
            <w:r w:rsidRPr="00A05864">
              <w:t xml:space="preserve"> 586.6 </w:t>
            </w:r>
          </w:p>
        </w:tc>
        <w:tc>
          <w:tcPr>
            <w:tcW w:w="907" w:type="dxa"/>
            <w:tcBorders>
              <w:top w:val="single" w:sz="4" w:space="0" w:color="3A6FAF"/>
              <w:bottom w:val="nil"/>
            </w:tcBorders>
            <w:shd w:val="clear" w:color="auto" w:fill="auto"/>
          </w:tcPr>
          <w:p w14:paraId="624C6D38" w14:textId="77777777" w:rsidR="00583FE1" w:rsidRPr="007311C3" w:rsidRDefault="00583FE1" w:rsidP="00A05864">
            <w:pPr>
              <w:pStyle w:val="TableTextCentered"/>
            </w:pPr>
            <w:r w:rsidRPr="00A05864">
              <w:t xml:space="preserve"> 12,775</w:t>
            </w:r>
            <w:r w:rsidRPr="007311C3">
              <w:t xml:space="preserve">.3 </w:t>
            </w:r>
          </w:p>
        </w:tc>
        <w:tc>
          <w:tcPr>
            <w:tcW w:w="907" w:type="dxa"/>
            <w:tcBorders>
              <w:top w:val="single" w:sz="4" w:space="0" w:color="3A6FAF"/>
              <w:bottom w:val="nil"/>
            </w:tcBorders>
            <w:shd w:val="clear" w:color="auto" w:fill="auto"/>
          </w:tcPr>
          <w:p w14:paraId="2906D59C" w14:textId="77777777" w:rsidR="00583FE1" w:rsidRPr="007311C3" w:rsidRDefault="00583FE1" w:rsidP="00A05864">
            <w:pPr>
              <w:pStyle w:val="TableTextCentered"/>
            </w:pPr>
            <w:r w:rsidRPr="00A05864">
              <w:t xml:space="preserve"> 46 </w:t>
            </w:r>
          </w:p>
        </w:tc>
        <w:tc>
          <w:tcPr>
            <w:tcW w:w="907" w:type="dxa"/>
            <w:tcBorders>
              <w:top w:val="single" w:sz="4" w:space="0" w:color="3A6FAF"/>
              <w:bottom w:val="nil"/>
            </w:tcBorders>
            <w:shd w:val="clear" w:color="auto" w:fill="auto"/>
          </w:tcPr>
          <w:p w14:paraId="063D9A77" w14:textId="77777777" w:rsidR="00583FE1" w:rsidRPr="007311C3" w:rsidRDefault="00583FE1" w:rsidP="00A05864">
            <w:pPr>
              <w:pStyle w:val="TableTextCentered"/>
            </w:pPr>
            <w:r w:rsidRPr="00A05864">
              <w:t xml:space="preserve"> 43 </w:t>
            </w:r>
          </w:p>
        </w:tc>
        <w:tc>
          <w:tcPr>
            <w:tcW w:w="907" w:type="dxa"/>
            <w:tcBorders>
              <w:top w:val="single" w:sz="4" w:space="0" w:color="3A6FAF"/>
              <w:bottom w:val="nil"/>
            </w:tcBorders>
            <w:shd w:val="clear" w:color="auto" w:fill="auto"/>
          </w:tcPr>
          <w:p w14:paraId="045B8414" w14:textId="77777777" w:rsidR="00583FE1" w:rsidRPr="007311C3" w:rsidRDefault="00583FE1" w:rsidP="00A05864">
            <w:pPr>
              <w:pStyle w:val="TableTextCentered"/>
            </w:pPr>
            <w:r w:rsidRPr="00A05864">
              <w:t xml:space="preserve"> 20 </w:t>
            </w:r>
          </w:p>
        </w:tc>
        <w:tc>
          <w:tcPr>
            <w:tcW w:w="907" w:type="dxa"/>
            <w:tcBorders>
              <w:top w:val="single" w:sz="4" w:space="0" w:color="3A6FAF"/>
              <w:bottom w:val="nil"/>
            </w:tcBorders>
            <w:shd w:val="clear" w:color="auto" w:fill="auto"/>
          </w:tcPr>
          <w:p w14:paraId="45E69343" w14:textId="77777777" w:rsidR="00583FE1" w:rsidRPr="007311C3" w:rsidRDefault="00583FE1" w:rsidP="00A05864">
            <w:pPr>
              <w:pStyle w:val="TableTextCentered"/>
            </w:pPr>
            <w:r w:rsidRPr="00A05864">
              <w:t xml:space="preserve"> 21 </w:t>
            </w:r>
          </w:p>
        </w:tc>
        <w:tc>
          <w:tcPr>
            <w:tcW w:w="907" w:type="dxa"/>
            <w:tcBorders>
              <w:top w:val="single" w:sz="4" w:space="0" w:color="3A6FAF"/>
              <w:bottom w:val="nil"/>
            </w:tcBorders>
            <w:shd w:val="clear" w:color="auto" w:fill="auto"/>
          </w:tcPr>
          <w:p w14:paraId="39AC3A52" w14:textId="77777777" w:rsidR="00583FE1" w:rsidRPr="007311C3" w:rsidRDefault="00583FE1" w:rsidP="00A05864">
            <w:pPr>
              <w:pStyle w:val="TableTextCentered"/>
            </w:pPr>
            <w:r w:rsidRPr="00A05864">
              <w:t xml:space="preserve"> 34 </w:t>
            </w:r>
          </w:p>
        </w:tc>
        <w:tc>
          <w:tcPr>
            <w:tcW w:w="907" w:type="dxa"/>
            <w:tcBorders>
              <w:top w:val="single" w:sz="4" w:space="0" w:color="3A6FAF"/>
              <w:bottom w:val="nil"/>
              <w:right w:val="nil"/>
            </w:tcBorders>
            <w:shd w:val="clear" w:color="auto" w:fill="auto"/>
          </w:tcPr>
          <w:p w14:paraId="1F46327C" w14:textId="77777777" w:rsidR="00583FE1" w:rsidRPr="007311C3" w:rsidRDefault="00583FE1" w:rsidP="00A05864">
            <w:pPr>
              <w:pStyle w:val="TableTextCentered"/>
            </w:pPr>
            <w:r w:rsidRPr="00A05864">
              <w:t xml:space="preserve"> 36 </w:t>
            </w:r>
          </w:p>
        </w:tc>
      </w:tr>
      <w:tr w:rsidR="00583FE1" w:rsidRPr="007311C3" w14:paraId="185DDEE4" w14:textId="77777777" w:rsidTr="006D1FD4">
        <w:trPr>
          <w:trHeight w:val="308"/>
        </w:trPr>
        <w:tc>
          <w:tcPr>
            <w:tcW w:w="1813" w:type="dxa"/>
            <w:tcBorders>
              <w:top w:val="nil"/>
              <w:left w:val="nil"/>
              <w:bottom w:val="nil"/>
            </w:tcBorders>
            <w:shd w:val="clear" w:color="auto" w:fill="auto"/>
            <w:vAlign w:val="bottom"/>
          </w:tcPr>
          <w:p w14:paraId="4A1E25E0" w14:textId="66C8F88F" w:rsidR="00583FE1" w:rsidRPr="007311C3" w:rsidRDefault="00583FE1" w:rsidP="00583FE1">
            <w:pPr>
              <w:spacing w:before="40" w:after="40"/>
              <w:rPr>
                <w:rFonts w:cs="Calibri"/>
                <w:color w:val="000000"/>
                <w:sz w:val="18"/>
                <w:szCs w:val="18"/>
              </w:rPr>
            </w:pPr>
            <w:r w:rsidRPr="007311C3">
              <w:rPr>
                <w:rFonts w:cs="Calibri"/>
                <w:color w:val="000000"/>
                <w:sz w:val="18"/>
                <w:szCs w:val="18"/>
              </w:rPr>
              <w:t>$2m</w:t>
            </w:r>
            <w:r w:rsidR="0038520A">
              <w:rPr>
                <w:rFonts w:cs="Calibri"/>
                <w:color w:val="000000"/>
                <w:sz w:val="18"/>
                <w:szCs w:val="18"/>
              </w:rPr>
              <w:t xml:space="preserve"> – </w:t>
            </w:r>
            <w:r w:rsidRPr="007311C3">
              <w:rPr>
                <w:rFonts w:cs="Calibri"/>
                <w:color w:val="000000"/>
                <w:sz w:val="18"/>
                <w:szCs w:val="18"/>
              </w:rPr>
              <w:t>$10m</w:t>
            </w:r>
          </w:p>
        </w:tc>
        <w:tc>
          <w:tcPr>
            <w:tcW w:w="907" w:type="dxa"/>
            <w:tcBorders>
              <w:top w:val="nil"/>
              <w:bottom w:val="nil"/>
            </w:tcBorders>
            <w:shd w:val="clear" w:color="auto" w:fill="auto"/>
          </w:tcPr>
          <w:p w14:paraId="019FE73C" w14:textId="77777777" w:rsidR="00583FE1" w:rsidRPr="007311C3" w:rsidRDefault="00583FE1" w:rsidP="00A05864">
            <w:pPr>
              <w:pStyle w:val="TableTextCentered"/>
            </w:pPr>
            <w:r w:rsidRPr="00A05864">
              <w:t xml:space="preserve"> 58.0 </w:t>
            </w:r>
          </w:p>
        </w:tc>
        <w:tc>
          <w:tcPr>
            <w:tcW w:w="907" w:type="dxa"/>
            <w:tcBorders>
              <w:top w:val="nil"/>
              <w:bottom w:val="nil"/>
            </w:tcBorders>
            <w:shd w:val="clear" w:color="auto" w:fill="auto"/>
          </w:tcPr>
          <w:p w14:paraId="6E7688A4" w14:textId="77777777" w:rsidR="00583FE1" w:rsidRPr="007311C3" w:rsidRDefault="00583FE1" w:rsidP="00A05864">
            <w:pPr>
              <w:pStyle w:val="TableTextCentered"/>
            </w:pPr>
            <w:r w:rsidRPr="00A05864">
              <w:t xml:space="preserve"> 6,005.0 </w:t>
            </w:r>
          </w:p>
        </w:tc>
        <w:tc>
          <w:tcPr>
            <w:tcW w:w="907" w:type="dxa"/>
            <w:tcBorders>
              <w:top w:val="nil"/>
              <w:bottom w:val="nil"/>
            </w:tcBorders>
            <w:shd w:val="clear" w:color="auto" w:fill="auto"/>
          </w:tcPr>
          <w:p w14:paraId="5464DCFC" w14:textId="77777777" w:rsidR="00583FE1" w:rsidRPr="007311C3" w:rsidRDefault="00583FE1" w:rsidP="00A05864">
            <w:pPr>
              <w:pStyle w:val="TableTextCentered"/>
            </w:pPr>
            <w:r w:rsidRPr="00A05864">
              <w:t xml:space="preserve"> 41 </w:t>
            </w:r>
          </w:p>
        </w:tc>
        <w:tc>
          <w:tcPr>
            <w:tcW w:w="907" w:type="dxa"/>
            <w:tcBorders>
              <w:top w:val="nil"/>
              <w:bottom w:val="nil"/>
            </w:tcBorders>
            <w:shd w:val="clear" w:color="auto" w:fill="auto"/>
          </w:tcPr>
          <w:p w14:paraId="3C7E9A05" w14:textId="77777777" w:rsidR="00583FE1" w:rsidRPr="007311C3" w:rsidRDefault="00583FE1" w:rsidP="00A05864">
            <w:pPr>
              <w:pStyle w:val="TableTextCentered"/>
            </w:pPr>
            <w:r w:rsidRPr="00A05864">
              <w:t xml:space="preserve"> 40 </w:t>
            </w:r>
          </w:p>
        </w:tc>
        <w:tc>
          <w:tcPr>
            <w:tcW w:w="907" w:type="dxa"/>
            <w:tcBorders>
              <w:top w:val="nil"/>
              <w:bottom w:val="nil"/>
            </w:tcBorders>
            <w:shd w:val="clear" w:color="auto" w:fill="auto"/>
          </w:tcPr>
          <w:p w14:paraId="5FE78FED" w14:textId="77777777" w:rsidR="00583FE1" w:rsidRPr="007311C3" w:rsidRDefault="00583FE1" w:rsidP="00A05864">
            <w:pPr>
              <w:pStyle w:val="TableTextCentered"/>
            </w:pPr>
            <w:r w:rsidRPr="00A05864">
              <w:t xml:space="preserve"> 23 </w:t>
            </w:r>
          </w:p>
        </w:tc>
        <w:tc>
          <w:tcPr>
            <w:tcW w:w="907" w:type="dxa"/>
            <w:tcBorders>
              <w:top w:val="nil"/>
              <w:bottom w:val="nil"/>
            </w:tcBorders>
            <w:shd w:val="clear" w:color="auto" w:fill="auto"/>
          </w:tcPr>
          <w:p w14:paraId="51895655" w14:textId="77777777" w:rsidR="00583FE1" w:rsidRPr="007311C3" w:rsidRDefault="00583FE1" w:rsidP="00A05864">
            <w:pPr>
              <w:pStyle w:val="TableTextCentered"/>
            </w:pPr>
            <w:r w:rsidRPr="00A05864">
              <w:t xml:space="preserve"> 24 </w:t>
            </w:r>
          </w:p>
        </w:tc>
        <w:tc>
          <w:tcPr>
            <w:tcW w:w="907" w:type="dxa"/>
            <w:tcBorders>
              <w:top w:val="nil"/>
              <w:bottom w:val="nil"/>
            </w:tcBorders>
            <w:shd w:val="clear" w:color="auto" w:fill="auto"/>
          </w:tcPr>
          <w:p w14:paraId="1CC1CF8D" w14:textId="77777777" w:rsidR="00583FE1" w:rsidRPr="007311C3" w:rsidRDefault="00583FE1" w:rsidP="00A05864">
            <w:pPr>
              <w:pStyle w:val="TableTextCentered"/>
            </w:pPr>
            <w:r w:rsidRPr="00A05864">
              <w:t xml:space="preserve"> 35 </w:t>
            </w:r>
          </w:p>
        </w:tc>
        <w:tc>
          <w:tcPr>
            <w:tcW w:w="907" w:type="dxa"/>
            <w:tcBorders>
              <w:top w:val="nil"/>
              <w:bottom w:val="nil"/>
              <w:right w:val="nil"/>
            </w:tcBorders>
            <w:shd w:val="clear" w:color="auto" w:fill="auto"/>
          </w:tcPr>
          <w:p w14:paraId="52441170" w14:textId="77777777" w:rsidR="00583FE1" w:rsidRPr="007311C3" w:rsidRDefault="00583FE1" w:rsidP="00A05864">
            <w:pPr>
              <w:pStyle w:val="TableTextCentered"/>
            </w:pPr>
            <w:r w:rsidRPr="00A05864">
              <w:t xml:space="preserve"> 36 </w:t>
            </w:r>
          </w:p>
        </w:tc>
      </w:tr>
      <w:tr w:rsidR="00583FE1" w:rsidRPr="007311C3" w14:paraId="77A335A8" w14:textId="77777777" w:rsidTr="006D1FD4">
        <w:trPr>
          <w:trHeight w:val="308"/>
        </w:trPr>
        <w:tc>
          <w:tcPr>
            <w:tcW w:w="1813" w:type="dxa"/>
            <w:tcBorders>
              <w:top w:val="nil"/>
              <w:left w:val="nil"/>
              <w:bottom w:val="nil"/>
            </w:tcBorders>
            <w:shd w:val="clear" w:color="auto" w:fill="auto"/>
            <w:vAlign w:val="bottom"/>
          </w:tcPr>
          <w:p w14:paraId="643C8533" w14:textId="28AC92D0" w:rsidR="00583FE1" w:rsidRPr="007311C3" w:rsidRDefault="00583FE1" w:rsidP="00583FE1">
            <w:pPr>
              <w:spacing w:before="40" w:after="40"/>
              <w:rPr>
                <w:rFonts w:cs="Calibri"/>
                <w:color w:val="000000"/>
                <w:sz w:val="18"/>
                <w:szCs w:val="18"/>
              </w:rPr>
            </w:pPr>
            <w:r w:rsidRPr="007311C3">
              <w:rPr>
                <w:rFonts w:cs="Calibri"/>
                <w:color w:val="000000"/>
                <w:sz w:val="18"/>
                <w:szCs w:val="18"/>
              </w:rPr>
              <w:t>$10m</w:t>
            </w:r>
            <w:r w:rsidR="0038520A">
              <w:rPr>
                <w:rFonts w:cs="Calibri"/>
                <w:color w:val="000000"/>
                <w:sz w:val="18"/>
                <w:szCs w:val="18"/>
              </w:rPr>
              <w:t xml:space="preserve"> – </w:t>
            </w:r>
            <w:r w:rsidRPr="007311C3">
              <w:rPr>
                <w:rFonts w:cs="Calibri"/>
                <w:color w:val="000000"/>
                <w:sz w:val="18"/>
                <w:szCs w:val="18"/>
              </w:rPr>
              <w:t>$50m</w:t>
            </w:r>
          </w:p>
        </w:tc>
        <w:tc>
          <w:tcPr>
            <w:tcW w:w="907" w:type="dxa"/>
            <w:tcBorders>
              <w:top w:val="nil"/>
              <w:bottom w:val="nil"/>
            </w:tcBorders>
            <w:shd w:val="clear" w:color="auto" w:fill="auto"/>
          </w:tcPr>
          <w:p w14:paraId="00CEF476" w14:textId="77777777" w:rsidR="00583FE1" w:rsidRPr="007311C3" w:rsidRDefault="00583FE1" w:rsidP="00A05864">
            <w:pPr>
              <w:pStyle w:val="TableTextCentered"/>
            </w:pPr>
            <w:r w:rsidRPr="00A05864">
              <w:t xml:space="preserve"> 12.4 </w:t>
            </w:r>
          </w:p>
        </w:tc>
        <w:tc>
          <w:tcPr>
            <w:tcW w:w="907" w:type="dxa"/>
            <w:tcBorders>
              <w:top w:val="nil"/>
              <w:bottom w:val="nil"/>
            </w:tcBorders>
            <w:shd w:val="clear" w:color="auto" w:fill="auto"/>
          </w:tcPr>
          <w:p w14:paraId="1E84FACE" w14:textId="77777777" w:rsidR="00583FE1" w:rsidRPr="007311C3" w:rsidRDefault="00583FE1" w:rsidP="00A05864">
            <w:pPr>
              <w:pStyle w:val="TableTextCentered"/>
            </w:pPr>
            <w:r w:rsidRPr="00A05864">
              <w:t xml:space="preserve"> 3,556.9 </w:t>
            </w:r>
          </w:p>
        </w:tc>
        <w:tc>
          <w:tcPr>
            <w:tcW w:w="907" w:type="dxa"/>
            <w:tcBorders>
              <w:top w:val="nil"/>
              <w:bottom w:val="nil"/>
            </w:tcBorders>
            <w:shd w:val="clear" w:color="auto" w:fill="auto"/>
          </w:tcPr>
          <w:p w14:paraId="6E96838E" w14:textId="77777777" w:rsidR="00583FE1" w:rsidRPr="007311C3" w:rsidRDefault="00583FE1" w:rsidP="00A05864">
            <w:pPr>
              <w:pStyle w:val="TableTextCentered"/>
            </w:pPr>
            <w:r w:rsidRPr="00A05864">
              <w:t xml:space="preserve"> 43 </w:t>
            </w:r>
          </w:p>
        </w:tc>
        <w:tc>
          <w:tcPr>
            <w:tcW w:w="907" w:type="dxa"/>
            <w:tcBorders>
              <w:top w:val="nil"/>
              <w:bottom w:val="nil"/>
            </w:tcBorders>
            <w:shd w:val="clear" w:color="auto" w:fill="auto"/>
          </w:tcPr>
          <w:p w14:paraId="1F41D84F" w14:textId="77777777" w:rsidR="00583FE1" w:rsidRPr="007311C3" w:rsidRDefault="00583FE1" w:rsidP="00A05864">
            <w:pPr>
              <w:pStyle w:val="TableTextCentered"/>
            </w:pPr>
            <w:r w:rsidRPr="00A05864">
              <w:t xml:space="preserve"> 41 </w:t>
            </w:r>
          </w:p>
        </w:tc>
        <w:tc>
          <w:tcPr>
            <w:tcW w:w="907" w:type="dxa"/>
            <w:tcBorders>
              <w:top w:val="nil"/>
              <w:bottom w:val="nil"/>
            </w:tcBorders>
            <w:shd w:val="clear" w:color="auto" w:fill="auto"/>
          </w:tcPr>
          <w:p w14:paraId="3C14185B" w14:textId="77777777" w:rsidR="00583FE1" w:rsidRPr="007311C3" w:rsidRDefault="00583FE1" w:rsidP="00A05864">
            <w:pPr>
              <w:pStyle w:val="TableTextCentered"/>
            </w:pPr>
            <w:r w:rsidRPr="00A05864">
              <w:t xml:space="preserve"> 23 </w:t>
            </w:r>
          </w:p>
        </w:tc>
        <w:tc>
          <w:tcPr>
            <w:tcW w:w="907" w:type="dxa"/>
            <w:tcBorders>
              <w:top w:val="nil"/>
              <w:bottom w:val="nil"/>
            </w:tcBorders>
            <w:shd w:val="clear" w:color="auto" w:fill="auto"/>
          </w:tcPr>
          <w:p w14:paraId="69F723BD" w14:textId="77777777" w:rsidR="00583FE1" w:rsidRPr="007311C3" w:rsidRDefault="00583FE1" w:rsidP="00A05864">
            <w:pPr>
              <w:pStyle w:val="TableTextCentered"/>
            </w:pPr>
            <w:r w:rsidRPr="00A05864">
              <w:t xml:space="preserve"> 26 </w:t>
            </w:r>
          </w:p>
        </w:tc>
        <w:tc>
          <w:tcPr>
            <w:tcW w:w="907" w:type="dxa"/>
            <w:tcBorders>
              <w:top w:val="nil"/>
              <w:bottom w:val="nil"/>
            </w:tcBorders>
            <w:shd w:val="clear" w:color="auto" w:fill="auto"/>
          </w:tcPr>
          <w:p w14:paraId="4922EAD8" w14:textId="77777777" w:rsidR="00583FE1" w:rsidRPr="007311C3" w:rsidRDefault="00583FE1" w:rsidP="00A05864">
            <w:pPr>
              <w:pStyle w:val="TableTextCentered"/>
            </w:pPr>
            <w:r w:rsidRPr="00A05864">
              <w:t xml:space="preserve"> 34 </w:t>
            </w:r>
          </w:p>
        </w:tc>
        <w:tc>
          <w:tcPr>
            <w:tcW w:w="907" w:type="dxa"/>
            <w:tcBorders>
              <w:top w:val="nil"/>
              <w:bottom w:val="nil"/>
              <w:right w:val="nil"/>
            </w:tcBorders>
            <w:shd w:val="clear" w:color="auto" w:fill="auto"/>
          </w:tcPr>
          <w:p w14:paraId="5B982A7F" w14:textId="77777777" w:rsidR="00583FE1" w:rsidRPr="007311C3" w:rsidRDefault="00583FE1" w:rsidP="00A05864">
            <w:pPr>
              <w:pStyle w:val="TableTextCentered"/>
            </w:pPr>
            <w:r w:rsidRPr="00A05864">
              <w:t xml:space="preserve"> 33 </w:t>
            </w:r>
          </w:p>
        </w:tc>
      </w:tr>
      <w:tr w:rsidR="00583FE1" w:rsidRPr="007311C3" w14:paraId="3033336C" w14:textId="77777777" w:rsidTr="006D1FD4">
        <w:trPr>
          <w:trHeight w:val="308"/>
        </w:trPr>
        <w:tc>
          <w:tcPr>
            <w:tcW w:w="1813" w:type="dxa"/>
            <w:tcBorders>
              <w:top w:val="nil"/>
              <w:left w:val="nil"/>
            </w:tcBorders>
            <w:shd w:val="clear" w:color="auto" w:fill="auto"/>
            <w:vAlign w:val="bottom"/>
          </w:tcPr>
          <w:p w14:paraId="4B4E60F9" w14:textId="47F875E6" w:rsidR="00583FE1" w:rsidRPr="007311C3" w:rsidRDefault="00583FE1" w:rsidP="00583FE1">
            <w:pPr>
              <w:spacing w:before="40" w:after="40"/>
              <w:rPr>
                <w:rFonts w:cs="Calibri"/>
                <w:color w:val="000000"/>
                <w:sz w:val="18"/>
                <w:szCs w:val="18"/>
              </w:rPr>
            </w:pPr>
            <w:r w:rsidRPr="007311C3">
              <w:rPr>
                <w:rFonts w:cs="Calibri"/>
                <w:color w:val="000000"/>
                <w:sz w:val="18"/>
                <w:szCs w:val="18"/>
              </w:rPr>
              <w:t>$50m</w:t>
            </w:r>
            <w:r w:rsidR="0038520A">
              <w:rPr>
                <w:rFonts w:cs="Calibri"/>
                <w:color w:val="000000"/>
                <w:sz w:val="18"/>
                <w:szCs w:val="18"/>
              </w:rPr>
              <w:t xml:space="preserve"> – </w:t>
            </w:r>
            <w:r w:rsidRPr="007311C3">
              <w:rPr>
                <w:rFonts w:cs="Calibri"/>
                <w:color w:val="000000"/>
                <w:sz w:val="18"/>
                <w:szCs w:val="18"/>
              </w:rPr>
              <w:t>$250m</w:t>
            </w:r>
          </w:p>
        </w:tc>
        <w:tc>
          <w:tcPr>
            <w:tcW w:w="907" w:type="dxa"/>
            <w:tcBorders>
              <w:top w:val="nil"/>
            </w:tcBorders>
            <w:shd w:val="clear" w:color="auto" w:fill="auto"/>
          </w:tcPr>
          <w:p w14:paraId="18EAFC83" w14:textId="77777777" w:rsidR="00583FE1" w:rsidRPr="007311C3" w:rsidRDefault="00583FE1" w:rsidP="00A05864">
            <w:pPr>
              <w:pStyle w:val="TableTextCentered"/>
            </w:pPr>
            <w:r w:rsidRPr="00A05864">
              <w:t xml:space="preserve"> 2.7 </w:t>
            </w:r>
          </w:p>
        </w:tc>
        <w:tc>
          <w:tcPr>
            <w:tcW w:w="907" w:type="dxa"/>
            <w:tcBorders>
              <w:top w:val="nil"/>
            </w:tcBorders>
            <w:shd w:val="clear" w:color="auto" w:fill="auto"/>
          </w:tcPr>
          <w:p w14:paraId="09E5EF15" w14:textId="77777777" w:rsidR="00583FE1" w:rsidRPr="007311C3" w:rsidRDefault="00583FE1" w:rsidP="00A05864">
            <w:pPr>
              <w:pStyle w:val="TableTextCentered"/>
            </w:pPr>
            <w:r w:rsidRPr="00A05864">
              <w:t xml:space="preserve"> 2,028.7 </w:t>
            </w:r>
          </w:p>
        </w:tc>
        <w:tc>
          <w:tcPr>
            <w:tcW w:w="907" w:type="dxa"/>
            <w:tcBorders>
              <w:top w:val="nil"/>
            </w:tcBorders>
            <w:shd w:val="clear" w:color="auto" w:fill="auto"/>
          </w:tcPr>
          <w:p w14:paraId="5511A2AA" w14:textId="77777777" w:rsidR="00583FE1" w:rsidRPr="007311C3" w:rsidRDefault="00583FE1" w:rsidP="00A05864">
            <w:pPr>
              <w:pStyle w:val="TableTextCentered"/>
            </w:pPr>
            <w:r w:rsidRPr="00A05864">
              <w:t xml:space="preserve"> 41 </w:t>
            </w:r>
          </w:p>
        </w:tc>
        <w:tc>
          <w:tcPr>
            <w:tcW w:w="907" w:type="dxa"/>
            <w:tcBorders>
              <w:top w:val="nil"/>
            </w:tcBorders>
            <w:shd w:val="clear" w:color="auto" w:fill="auto"/>
          </w:tcPr>
          <w:p w14:paraId="209A29C7" w14:textId="77777777" w:rsidR="00583FE1" w:rsidRPr="007311C3" w:rsidRDefault="00583FE1" w:rsidP="00A05864">
            <w:pPr>
              <w:pStyle w:val="TableTextCentered"/>
            </w:pPr>
            <w:r w:rsidRPr="00A05864">
              <w:t xml:space="preserve"> 37 </w:t>
            </w:r>
          </w:p>
        </w:tc>
        <w:tc>
          <w:tcPr>
            <w:tcW w:w="907" w:type="dxa"/>
            <w:tcBorders>
              <w:top w:val="nil"/>
            </w:tcBorders>
            <w:shd w:val="clear" w:color="auto" w:fill="auto"/>
          </w:tcPr>
          <w:p w14:paraId="55417ED9" w14:textId="77777777" w:rsidR="00583FE1" w:rsidRPr="007311C3" w:rsidRDefault="00583FE1" w:rsidP="00A05864">
            <w:pPr>
              <w:pStyle w:val="TableTextCentered"/>
            </w:pPr>
            <w:r w:rsidRPr="00A05864">
              <w:t xml:space="preserve"> 27 </w:t>
            </w:r>
          </w:p>
        </w:tc>
        <w:tc>
          <w:tcPr>
            <w:tcW w:w="907" w:type="dxa"/>
            <w:tcBorders>
              <w:top w:val="nil"/>
            </w:tcBorders>
            <w:shd w:val="clear" w:color="auto" w:fill="auto"/>
          </w:tcPr>
          <w:p w14:paraId="4CAC3694" w14:textId="77777777" w:rsidR="00583FE1" w:rsidRPr="007311C3" w:rsidRDefault="00583FE1" w:rsidP="00A05864">
            <w:pPr>
              <w:pStyle w:val="TableTextCentered"/>
            </w:pPr>
            <w:r w:rsidRPr="00A05864">
              <w:t xml:space="preserve"> 35 </w:t>
            </w:r>
          </w:p>
        </w:tc>
        <w:tc>
          <w:tcPr>
            <w:tcW w:w="907" w:type="dxa"/>
            <w:tcBorders>
              <w:top w:val="nil"/>
            </w:tcBorders>
            <w:shd w:val="clear" w:color="auto" w:fill="auto"/>
          </w:tcPr>
          <w:p w14:paraId="05B6AD40" w14:textId="77777777" w:rsidR="00583FE1" w:rsidRPr="007311C3" w:rsidRDefault="00583FE1" w:rsidP="00A05864">
            <w:pPr>
              <w:pStyle w:val="TableTextCentered"/>
            </w:pPr>
            <w:r w:rsidRPr="00A05864">
              <w:t xml:space="preserve"> 32 </w:t>
            </w:r>
          </w:p>
        </w:tc>
        <w:tc>
          <w:tcPr>
            <w:tcW w:w="907" w:type="dxa"/>
            <w:tcBorders>
              <w:top w:val="nil"/>
              <w:right w:val="nil"/>
            </w:tcBorders>
            <w:shd w:val="clear" w:color="auto" w:fill="auto"/>
          </w:tcPr>
          <w:p w14:paraId="4C212FCA" w14:textId="77777777" w:rsidR="00583FE1" w:rsidRPr="007311C3" w:rsidRDefault="00583FE1" w:rsidP="00A05864">
            <w:pPr>
              <w:pStyle w:val="TableTextCentered"/>
            </w:pPr>
            <w:r w:rsidRPr="00A05864">
              <w:t xml:space="preserve"> 29 </w:t>
            </w:r>
          </w:p>
        </w:tc>
      </w:tr>
      <w:tr w:rsidR="00583FE1" w:rsidRPr="007311C3" w14:paraId="3E5C8F50" w14:textId="77777777" w:rsidTr="006D1FD4">
        <w:trPr>
          <w:trHeight w:val="308"/>
        </w:trPr>
        <w:tc>
          <w:tcPr>
            <w:tcW w:w="1813" w:type="dxa"/>
            <w:tcBorders>
              <w:top w:val="nil"/>
              <w:left w:val="nil"/>
            </w:tcBorders>
            <w:shd w:val="clear" w:color="auto" w:fill="auto"/>
            <w:vAlign w:val="bottom"/>
          </w:tcPr>
          <w:p w14:paraId="3748844F" w14:textId="3F9B9DC6" w:rsidR="00583FE1" w:rsidRPr="007311C3" w:rsidRDefault="00583FE1" w:rsidP="00583FE1">
            <w:pPr>
              <w:spacing w:before="40" w:after="40"/>
              <w:rPr>
                <w:rFonts w:cs="Calibri"/>
                <w:color w:val="000000"/>
                <w:sz w:val="18"/>
                <w:szCs w:val="18"/>
              </w:rPr>
            </w:pPr>
            <w:r w:rsidRPr="007311C3">
              <w:rPr>
                <w:rFonts w:cs="Calibri"/>
                <w:color w:val="000000"/>
                <w:sz w:val="18"/>
                <w:szCs w:val="18"/>
              </w:rPr>
              <w:t>$250m</w:t>
            </w:r>
            <w:r w:rsidR="0038520A">
              <w:rPr>
                <w:rFonts w:cs="Calibri"/>
                <w:color w:val="000000"/>
                <w:sz w:val="18"/>
                <w:szCs w:val="18"/>
              </w:rPr>
              <w:t xml:space="preserve"> – </w:t>
            </w:r>
            <w:r w:rsidRPr="007311C3">
              <w:rPr>
                <w:rFonts w:cs="Calibri"/>
                <w:color w:val="000000"/>
                <w:sz w:val="18"/>
                <w:szCs w:val="18"/>
              </w:rPr>
              <w:t>$1b</w:t>
            </w:r>
          </w:p>
        </w:tc>
        <w:tc>
          <w:tcPr>
            <w:tcW w:w="907" w:type="dxa"/>
            <w:tcBorders>
              <w:top w:val="nil"/>
            </w:tcBorders>
            <w:shd w:val="clear" w:color="auto" w:fill="auto"/>
          </w:tcPr>
          <w:p w14:paraId="7408AEE0" w14:textId="77777777" w:rsidR="00583FE1" w:rsidRPr="007311C3" w:rsidRDefault="00583FE1" w:rsidP="00A05864">
            <w:pPr>
              <w:pStyle w:val="TableTextCentered"/>
            </w:pPr>
            <w:r w:rsidRPr="00A05864">
              <w:t xml:space="preserve"> 1.0 </w:t>
            </w:r>
          </w:p>
        </w:tc>
        <w:tc>
          <w:tcPr>
            <w:tcW w:w="907" w:type="dxa"/>
            <w:tcBorders>
              <w:top w:val="nil"/>
            </w:tcBorders>
            <w:shd w:val="clear" w:color="auto" w:fill="auto"/>
          </w:tcPr>
          <w:p w14:paraId="0C29C1F6" w14:textId="77777777" w:rsidR="00583FE1" w:rsidRPr="007311C3" w:rsidRDefault="00583FE1" w:rsidP="00A05864">
            <w:pPr>
              <w:pStyle w:val="TableTextCentered"/>
            </w:pPr>
            <w:r w:rsidRPr="00A05864">
              <w:t xml:space="preserve"> 1,289.0 </w:t>
            </w:r>
          </w:p>
        </w:tc>
        <w:tc>
          <w:tcPr>
            <w:tcW w:w="907" w:type="dxa"/>
            <w:tcBorders>
              <w:top w:val="nil"/>
            </w:tcBorders>
            <w:shd w:val="clear" w:color="auto" w:fill="auto"/>
          </w:tcPr>
          <w:p w14:paraId="3902B423" w14:textId="77777777" w:rsidR="00583FE1" w:rsidRPr="007311C3" w:rsidRDefault="00583FE1" w:rsidP="00A05864">
            <w:pPr>
              <w:pStyle w:val="TableTextCentered"/>
            </w:pPr>
            <w:r w:rsidRPr="00A05864">
              <w:t xml:space="preserve"> 37 </w:t>
            </w:r>
          </w:p>
        </w:tc>
        <w:tc>
          <w:tcPr>
            <w:tcW w:w="907" w:type="dxa"/>
            <w:tcBorders>
              <w:top w:val="nil"/>
            </w:tcBorders>
            <w:shd w:val="clear" w:color="auto" w:fill="auto"/>
          </w:tcPr>
          <w:p w14:paraId="37C57E47" w14:textId="77777777" w:rsidR="00583FE1" w:rsidRPr="007311C3" w:rsidRDefault="00583FE1" w:rsidP="00A05864">
            <w:pPr>
              <w:pStyle w:val="TableTextCentered"/>
            </w:pPr>
            <w:r w:rsidRPr="00A05864">
              <w:t xml:space="preserve"> 40 </w:t>
            </w:r>
          </w:p>
        </w:tc>
        <w:tc>
          <w:tcPr>
            <w:tcW w:w="907" w:type="dxa"/>
            <w:tcBorders>
              <w:top w:val="nil"/>
            </w:tcBorders>
            <w:shd w:val="clear" w:color="auto" w:fill="auto"/>
          </w:tcPr>
          <w:p w14:paraId="2E8A4249" w14:textId="77777777" w:rsidR="00583FE1" w:rsidRPr="007311C3" w:rsidRDefault="00583FE1" w:rsidP="00A05864">
            <w:pPr>
              <w:pStyle w:val="TableTextCentered"/>
            </w:pPr>
            <w:r w:rsidRPr="00A05864">
              <w:t xml:space="preserve"> 25 </w:t>
            </w:r>
          </w:p>
        </w:tc>
        <w:tc>
          <w:tcPr>
            <w:tcW w:w="907" w:type="dxa"/>
            <w:tcBorders>
              <w:top w:val="nil"/>
            </w:tcBorders>
            <w:shd w:val="clear" w:color="auto" w:fill="auto"/>
          </w:tcPr>
          <w:p w14:paraId="091DB1DB" w14:textId="77777777" w:rsidR="00583FE1" w:rsidRPr="007311C3" w:rsidRDefault="00583FE1" w:rsidP="00A05864">
            <w:pPr>
              <w:pStyle w:val="TableTextCentered"/>
            </w:pPr>
            <w:r w:rsidRPr="00A05864">
              <w:t xml:space="preserve"> 33 </w:t>
            </w:r>
          </w:p>
        </w:tc>
        <w:tc>
          <w:tcPr>
            <w:tcW w:w="907" w:type="dxa"/>
            <w:tcBorders>
              <w:top w:val="nil"/>
            </w:tcBorders>
            <w:shd w:val="clear" w:color="auto" w:fill="auto"/>
          </w:tcPr>
          <w:p w14:paraId="533CCF09" w14:textId="77777777" w:rsidR="00583FE1" w:rsidRPr="007311C3" w:rsidRDefault="00583FE1" w:rsidP="00A05864">
            <w:pPr>
              <w:pStyle w:val="TableTextCentered"/>
            </w:pPr>
            <w:r w:rsidRPr="00A05864">
              <w:t xml:space="preserve"> 36 </w:t>
            </w:r>
          </w:p>
        </w:tc>
        <w:tc>
          <w:tcPr>
            <w:tcW w:w="907" w:type="dxa"/>
            <w:tcBorders>
              <w:top w:val="nil"/>
              <w:right w:val="nil"/>
            </w:tcBorders>
            <w:shd w:val="clear" w:color="auto" w:fill="auto"/>
          </w:tcPr>
          <w:p w14:paraId="5EDF7A1D" w14:textId="77777777" w:rsidR="00583FE1" w:rsidRPr="007311C3" w:rsidRDefault="00583FE1" w:rsidP="00A05864">
            <w:pPr>
              <w:pStyle w:val="TableTextCentered"/>
            </w:pPr>
            <w:r w:rsidRPr="00A05864">
              <w:t xml:space="preserve"> 42 </w:t>
            </w:r>
          </w:p>
        </w:tc>
      </w:tr>
      <w:tr w:rsidR="00583FE1" w:rsidRPr="007311C3" w14:paraId="21952609" w14:textId="77777777" w:rsidTr="006D1FD4">
        <w:trPr>
          <w:trHeight w:val="308"/>
        </w:trPr>
        <w:tc>
          <w:tcPr>
            <w:tcW w:w="1813" w:type="dxa"/>
            <w:tcBorders>
              <w:top w:val="nil"/>
              <w:left w:val="nil"/>
              <w:bottom w:val="single" w:sz="4" w:space="0" w:color="3A6FAF"/>
            </w:tcBorders>
            <w:shd w:val="clear" w:color="auto" w:fill="auto"/>
            <w:vAlign w:val="bottom"/>
          </w:tcPr>
          <w:p w14:paraId="7FF2D5A9" w14:textId="77777777" w:rsidR="00583FE1" w:rsidRPr="007311C3" w:rsidRDefault="00583FE1" w:rsidP="00583FE1">
            <w:pPr>
              <w:spacing w:before="40" w:after="40"/>
              <w:rPr>
                <w:rFonts w:cs="Calibri"/>
                <w:color w:val="000000"/>
                <w:sz w:val="18"/>
                <w:szCs w:val="18"/>
              </w:rPr>
            </w:pPr>
            <w:r w:rsidRPr="007311C3">
              <w:rPr>
                <w:rFonts w:cs="Calibri"/>
                <w:color w:val="000000"/>
                <w:sz w:val="18"/>
                <w:szCs w:val="18"/>
              </w:rPr>
              <w:t>$1b+</w:t>
            </w:r>
          </w:p>
        </w:tc>
        <w:tc>
          <w:tcPr>
            <w:tcW w:w="907" w:type="dxa"/>
            <w:tcBorders>
              <w:top w:val="nil"/>
              <w:bottom w:val="single" w:sz="4" w:space="0" w:color="3A6FAF"/>
            </w:tcBorders>
            <w:shd w:val="clear" w:color="auto" w:fill="auto"/>
          </w:tcPr>
          <w:p w14:paraId="21FBC04A" w14:textId="77777777" w:rsidR="00583FE1" w:rsidRPr="007311C3" w:rsidRDefault="00583FE1" w:rsidP="00A05864">
            <w:pPr>
              <w:pStyle w:val="TableTextCentered"/>
            </w:pPr>
            <w:r w:rsidRPr="00A05864">
              <w:t xml:space="preserve"> 0.3 </w:t>
            </w:r>
          </w:p>
        </w:tc>
        <w:tc>
          <w:tcPr>
            <w:tcW w:w="907" w:type="dxa"/>
            <w:tcBorders>
              <w:top w:val="nil"/>
              <w:bottom w:val="single" w:sz="4" w:space="0" w:color="3A6FAF"/>
            </w:tcBorders>
            <w:shd w:val="clear" w:color="auto" w:fill="auto"/>
          </w:tcPr>
          <w:p w14:paraId="520C8F27" w14:textId="77777777" w:rsidR="00583FE1" w:rsidRPr="007311C3" w:rsidRDefault="00583FE1" w:rsidP="00A05864">
            <w:pPr>
              <w:pStyle w:val="TableTextCentered"/>
            </w:pPr>
            <w:r w:rsidRPr="00A05864">
              <w:t xml:space="preserve"> 1,068.3 </w:t>
            </w:r>
          </w:p>
        </w:tc>
        <w:tc>
          <w:tcPr>
            <w:tcW w:w="907" w:type="dxa"/>
            <w:tcBorders>
              <w:top w:val="nil"/>
              <w:bottom w:val="single" w:sz="4" w:space="0" w:color="3A6FAF"/>
            </w:tcBorders>
            <w:shd w:val="clear" w:color="auto" w:fill="auto"/>
          </w:tcPr>
          <w:p w14:paraId="46DCB4D1" w14:textId="77777777" w:rsidR="00583FE1" w:rsidRPr="007311C3" w:rsidRDefault="00583FE1" w:rsidP="00A05864">
            <w:pPr>
              <w:pStyle w:val="TableTextCentered"/>
            </w:pPr>
            <w:r w:rsidRPr="00A05864">
              <w:t xml:space="preserve"> 38 </w:t>
            </w:r>
          </w:p>
        </w:tc>
        <w:tc>
          <w:tcPr>
            <w:tcW w:w="907" w:type="dxa"/>
            <w:tcBorders>
              <w:top w:val="nil"/>
              <w:bottom w:val="single" w:sz="4" w:space="0" w:color="3A6FAF"/>
            </w:tcBorders>
            <w:shd w:val="clear" w:color="auto" w:fill="auto"/>
          </w:tcPr>
          <w:p w14:paraId="1C11941D" w14:textId="77777777" w:rsidR="00583FE1" w:rsidRPr="007311C3" w:rsidRDefault="00583FE1" w:rsidP="00A05864">
            <w:pPr>
              <w:pStyle w:val="TableTextCentered"/>
            </w:pPr>
            <w:r w:rsidRPr="00A05864">
              <w:t xml:space="preserve"> 52 </w:t>
            </w:r>
          </w:p>
        </w:tc>
        <w:tc>
          <w:tcPr>
            <w:tcW w:w="907" w:type="dxa"/>
            <w:tcBorders>
              <w:top w:val="nil"/>
              <w:bottom w:val="single" w:sz="4" w:space="0" w:color="3A6FAF"/>
            </w:tcBorders>
            <w:shd w:val="clear" w:color="auto" w:fill="auto"/>
          </w:tcPr>
          <w:p w14:paraId="696BDC5F" w14:textId="77777777" w:rsidR="00583FE1" w:rsidRPr="007311C3" w:rsidRDefault="00583FE1" w:rsidP="00A05864">
            <w:pPr>
              <w:pStyle w:val="TableTextCentered"/>
            </w:pPr>
            <w:r w:rsidRPr="00A05864">
              <w:t xml:space="preserve"> 32 </w:t>
            </w:r>
          </w:p>
        </w:tc>
        <w:tc>
          <w:tcPr>
            <w:tcW w:w="907" w:type="dxa"/>
            <w:tcBorders>
              <w:top w:val="nil"/>
              <w:bottom w:val="single" w:sz="4" w:space="0" w:color="3A6FAF"/>
            </w:tcBorders>
            <w:shd w:val="clear" w:color="auto" w:fill="auto"/>
          </w:tcPr>
          <w:p w14:paraId="69F21F6C" w14:textId="77777777" w:rsidR="00583FE1" w:rsidRPr="007311C3" w:rsidRDefault="00583FE1" w:rsidP="00A05864">
            <w:pPr>
              <w:pStyle w:val="TableTextCentered"/>
            </w:pPr>
            <w:r w:rsidRPr="00A05864">
              <w:t xml:space="preserve"> 33 </w:t>
            </w:r>
          </w:p>
        </w:tc>
        <w:tc>
          <w:tcPr>
            <w:tcW w:w="907" w:type="dxa"/>
            <w:tcBorders>
              <w:top w:val="nil"/>
              <w:bottom w:val="single" w:sz="4" w:space="0" w:color="3A6FAF"/>
            </w:tcBorders>
            <w:shd w:val="clear" w:color="auto" w:fill="auto"/>
          </w:tcPr>
          <w:p w14:paraId="08AC5631" w14:textId="77777777" w:rsidR="00583FE1" w:rsidRPr="007311C3" w:rsidRDefault="00583FE1" w:rsidP="00A05864">
            <w:pPr>
              <w:pStyle w:val="TableTextCentered"/>
            </w:pPr>
            <w:r w:rsidRPr="00A05864">
              <w:t xml:space="preserve"> 30 </w:t>
            </w:r>
          </w:p>
        </w:tc>
        <w:tc>
          <w:tcPr>
            <w:tcW w:w="907" w:type="dxa"/>
            <w:tcBorders>
              <w:top w:val="nil"/>
              <w:bottom w:val="single" w:sz="4" w:space="0" w:color="3A6FAF"/>
              <w:right w:val="nil"/>
            </w:tcBorders>
            <w:shd w:val="clear" w:color="auto" w:fill="auto"/>
          </w:tcPr>
          <w:p w14:paraId="5673551D" w14:textId="77777777" w:rsidR="00583FE1" w:rsidRPr="007311C3" w:rsidRDefault="00583FE1" w:rsidP="00A05864">
            <w:pPr>
              <w:pStyle w:val="TableTextCentered"/>
            </w:pPr>
            <w:r w:rsidRPr="00A05864">
              <w:t xml:space="preserve"> 15 </w:t>
            </w:r>
          </w:p>
        </w:tc>
      </w:tr>
    </w:tbl>
    <w:p w14:paraId="6C520C99" w14:textId="2204FCFA" w:rsidR="00577755" w:rsidRDefault="00B61369" w:rsidP="004E4564">
      <w:pPr>
        <w:spacing w:before="0" w:after="0" w:line="276" w:lineRule="auto"/>
        <w:jc w:val="both"/>
        <w:rPr>
          <w:sz w:val="18"/>
          <w:szCs w:val="16"/>
        </w:rPr>
      </w:pPr>
      <w:r w:rsidRPr="003E7BD1">
        <w:rPr>
          <w:sz w:val="18"/>
          <w:szCs w:val="16"/>
        </w:rPr>
        <w:t>Note</w:t>
      </w:r>
      <w:r>
        <w:rPr>
          <w:sz w:val="18"/>
          <w:szCs w:val="16"/>
        </w:rPr>
        <w:t xml:space="preserve">: </w:t>
      </w:r>
      <w:r w:rsidR="00F003B4" w:rsidRPr="00493645">
        <w:rPr>
          <w:sz w:val="18"/>
          <w:szCs w:val="16"/>
        </w:rPr>
        <w:t>Large businesses (those with turnover greater than $1 billion) were subject to a 50 per cent decline in turnover test.</w:t>
      </w:r>
      <w:r w:rsidR="00F003B4">
        <w:rPr>
          <w:sz w:val="18"/>
          <w:szCs w:val="16"/>
        </w:rPr>
        <w:t xml:space="preserve"> Turnover analysis is based on quarterly data compared to a year earlier.</w:t>
      </w:r>
    </w:p>
    <w:p w14:paraId="15A67E6A" w14:textId="78529E36" w:rsidR="00B61369" w:rsidRPr="003E7BD1" w:rsidRDefault="00577755" w:rsidP="00B61369">
      <w:pPr>
        <w:spacing w:before="0" w:after="200" w:line="276" w:lineRule="auto"/>
        <w:rPr>
          <w:sz w:val="18"/>
          <w:szCs w:val="16"/>
        </w:rPr>
      </w:pPr>
      <w:r>
        <w:rPr>
          <w:sz w:val="18"/>
          <w:szCs w:val="16"/>
        </w:rPr>
        <w:t>Source:</w:t>
      </w:r>
      <w:r w:rsidR="00B61369">
        <w:rPr>
          <w:sz w:val="18"/>
          <w:szCs w:val="16"/>
        </w:rPr>
        <w:t xml:space="preserve"> JobKeeper disbursement data as at November 2020 and BAS data as at August 2021.</w:t>
      </w:r>
    </w:p>
    <w:p w14:paraId="5A5F5589" w14:textId="77777777" w:rsidR="002F7A3C" w:rsidRPr="003E7BD1" w:rsidRDefault="002F7A3C">
      <w:pPr>
        <w:spacing w:before="0" w:after="200" w:line="276" w:lineRule="auto"/>
        <w:rPr>
          <w:sz w:val="18"/>
          <w:szCs w:val="16"/>
        </w:rPr>
      </w:pPr>
    </w:p>
    <w:p w14:paraId="14767D54" w14:textId="77777777" w:rsidR="00420D7C" w:rsidRDefault="00420D7C">
      <w:pPr>
        <w:spacing w:before="0" w:after="200" w:line="276" w:lineRule="auto"/>
      </w:pPr>
      <w:r>
        <w:br w:type="page"/>
      </w:r>
    </w:p>
    <w:p w14:paraId="2F6AD5B7" w14:textId="5206D4D1" w:rsidR="006055AC" w:rsidRDefault="006055AC" w:rsidP="00F47CDD">
      <w:pPr>
        <w:pStyle w:val="TableMainHeading"/>
      </w:pPr>
      <w:bookmarkStart w:id="229" w:name="_Toc84842611"/>
      <w:r>
        <w:lastRenderedPageBreak/>
        <w:t xml:space="preserve">JobKeeper recipients by </w:t>
      </w:r>
      <w:r w:rsidR="00905363">
        <w:t xml:space="preserve">through-the-year </w:t>
      </w:r>
      <w:r>
        <w:t xml:space="preserve">turnover </w:t>
      </w:r>
      <w:r w:rsidR="00EE3B19">
        <w:t>decline</w:t>
      </w:r>
      <w:r w:rsidR="00E028C0">
        <w:t xml:space="preserve"> and industry</w:t>
      </w:r>
      <w:r>
        <w:t>, September</w:t>
      </w:r>
      <w:r w:rsidR="006D1FD4">
        <w:t> </w:t>
      </w:r>
      <w:r>
        <w:t>quarter 2020</w:t>
      </w:r>
      <w:bookmarkEnd w:id="229"/>
    </w:p>
    <w:tbl>
      <w:tblPr>
        <w:tblStyle w:val="TableGrid"/>
        <w:tblW w:w="4999" w:type="pct"/>
        <w:tblLayout w:type="fixed"/>
        <w:tblLook w:val="04A0" w:firstRow="1" w:lastRow="0" w:firstColumn="1" w:lastColumn="0" w:noHBand="0" w:noVBand="1"/>
      </w:tblPr>
      <w:tblGrid>
        <w:gridCol w:w="1813"/>
        <w:gridCol w:w="907"/>
        <w:gridCol w:w="907"/>
        <w:gridCol w:w="907"/>
        <w:gridCol w:w="907"/>
        <w:gridCol w:w="907"/>
        <w:gridCol w:w="907"/>
        <w:gridCol w:w="907"/>
        <w:gridCol w:w="907"/>
      </w:tblGrid>
      <w:tr w:rsidR="00E90281" w:rsidRPr="002B1D8F" w14:paraId="7B5FFEED" w14:textId="77777777" w:rsidTr="006D1FD4">
        <w:trPr>
          <w:trHeight w:val="616"/>
        </w:trPr>
        <w:tc>
          <w:tcPr>
            <w:tcW w:w="1813" w:type="dxa"/>
            <w:tcBorders>
              <w:top w:val="single" w:sz="4" w:space="0" w:color="3A6FAF"/>
              <w:left w:val="nil"/>
              <w:bottom w:val="single" w:sz="4" w:space="0" w:color="3A6FAF"/>
            </w:tcBorders>
            <w:shd w:val="clear" w:color="auto" w:fill="auto"/>
          </w:tcPr>
          <w:p w14:paraId="6F7FDE2D" w14:textId="77777777" w:rsidR="00E90281" w:rsidRPr="002B1D8F" w:rsidRDefault="00E90281" w:rsidP="000D7EB7">
            <w:pPr>
              <w:spacing w:before="40" w:after="40"/>
              <w:jc w:val="center"/>
              <w:rPr>
                <w:b/>
                <w:color w:val="002C47"/>
                <w:highlight w:val="yellow"/>
              </w:rPr>
            </w:pPr>
          </w:p>
        </w:tc>
        <w:tc>
          <w:tcPr>
            <w:tcW w:w="1814" w:type="dxa"/>
            <w:gridSpan w:val="2"/>
            <w:tcBorders>
              <w:top w:val="single" w:sz="4" w:space="0" w:color="3A6FAF"/>
              <w:bottom w:val="single" w:sz="4" w:space="0" w:color="3A6FAF"/>
            </w:tcBorders>
            <w:shd w:val="clear" w:color="auto" w:fill="auto"/>
          </w:tcPr>
          <w:p w14:paraId="177B5D36" w14:textId="77777777" w:rsidR="00E90281" w:rsidRPr="002B1D8F" w:rsidRDefault="00E90281" w:rsidP="000D7EB7">
            <w:pPr>
              <w:spacing w:before="40" w:after="40"/>
              <w:jc w:val="center"/>
              <w:rPr>
                <w:b/>
                <w:bCs/>
                <w:color w:val="002C47"/>
              </w:rPr>
            </w:pPr>
            <w:r w:rsidRPr="002B1D8F">
              <w:rPr>
                <w:b/>
                <w:bCs/>
                <w:color w:val="002C47"/>
              </w:rPr>
              <w:t>Totals</w:t>
            </w:r>
          </w:p>
        </w:tc>
        <w:tc>
          <w:tcPr>
            <w:tcW w:w="1814" w:type="dxa"/>
            <w:gridSpan w:val="2"/>
            <w:tcBorders>
              <w:top w:val="single" w:sz="4" w:space="0" w:color="3A6FAF"/>
              <w:bottom w:val="single" w:sz="4" w:space="0" w:color="3A6FAF"/>
            </w:tcBorders>
            <w:shd w:val="clear" w:color="auto" w:fill="auto"/>
          </w:tcPr>
          <w:p w14:paraId="72B393A4" w14:textId="19825B75" w:rsidR="00E90281" w:rsidRPr="002B1D8F" w:rsidRDefault="006B17FE" w:rsidP="000D7EB7">
            <w:pPr>
              <w:spacing w:before="40" w:after="40"/>
              <w:jc w:val="center"/>
              <w:rPr>
                <w:b/>
                <w:bCs/>
                <w:color w:val="002C47"/>
              </w:rPr>
            </w:pPr>
            <w:r>
              <w:rPr>
                <w:b/>
                <w:bCs/>
                <w:color w:val="002C47"/>
              </w:rPr>
              <w:t xml:space="preserve">Turnover decline </w:t>
            </w:r>
            <w:r>
              <w:rPr>
                <w:b/>
                <w:bCs/>
                <w:color w:val="002C47"/>
              </w:rPr>
              <w:br/>
              <w:t>more than 30%</w:t>
            </w:r>
            <w:r>
              <w:rPr>
                <w:b/>
                <w:bCs/>
                <w:color w:val="002C47"/>
              </w:rPr>
              <w:br/>
              <w:t>(or 50%)</w:t>
            </w:r>
          </w:p>
        </w:tc>
        <w:tc>
          <w:tcPr>
            <w:tcW w:w="1814" w:type="dxa"/>
            <w:gridSpan w:val="2"/>
            <w:tcBorders>
              <w:top w:val="single" w:sz="4" w:space="0" w:color="3A6FAF"/>
              <w:bottom w:val="single" w:sz="4" w:space="0" w:color="3A6FAF"/>
            </w:tcBorders>
            <w:shd w:val="clear" w:color="auto" w:fill="auto"/>
          </w:tcPr>
          <w:p w14:paraId="6E33EF2A" w14:textId="2247BA8A" w:rsidR="00E90281" w:rsidRPr="002B1D8F" w:rsidRDefault="006B17FE" w:rsidP="000D7EB7">
            <w:pPr>
              <w:spacing w:before="40" w:after="40"/>
              <w:jc w:val="center"/>
              <w:rPr>
                <w:b/>
                <w:bCs/>
                <w:color w:val="002C47"/>
              </w:rPr>
            </w:pPr>
            <w:r>
              <w:rPr>
                <w:b/>
                <w:bCs/>
                <w:color w:val="002C47"/>
              </w:rPr>
              <w:t>Turnover decline   between 0 –</w:t>
            </w:r>
            <w:r w:rsidRPr="008C492F">
              <w:rPr>
                <w:b/>
                <w:bCs/>
                <w:color w:val="002C47"/>
              </w:rPr>
              <w:t xml:space="preserve"> </w:t>
            </w:r>
            <w:r>
              <w:rPr>
                <w:b/>
                <w:bCs/>
                <w:color w:val="002C47"/>
              </w:rPr>
              <w:t xml:space="preserve">30% </w:t>
            </w:r>
            <w:r>
              <w:rPr>
                <w:b/>
                <w:bCs/>
                <w:color w:val="002C47"/>
              </w:rPr>
              <w:br/>
              <w:t>(or 50%)</w:t>
            </w:r>
          </w:p>
        </w:tc>
        <w:tc>
          <w:tcPr>
            <w:tcW w:w="1814" w:type="dxa"/>
            <w:gridSpan w:val="2"/>
            <w:tcBorders>
              <w:top w:val="single" w:sz="4" w:space="0" w:color="3A6FAF"/>
              <w:bottom w:val="single" w:sz="4" w:space="0" w:color="3A6FAF"/>
            </w:tcBorders>
            <w:shd w:val="clear" w:color="auto" w:fill="auto"/>
          </w:tcPr>
          <w:p w14:paraId="596B105F" w14:textId="03B17E2C" w:rsidR="00E90281" w:rsidRPr="002B1D8F" w:rsidRDefault="006B17FE" w:rsidP="004E4564">
            <w:pPr>
              <w:spacing w:before="40" w:after="40"/>
              <w:jc w:val="center"/>
              <w:rPr>
                <w:b/>
                <w:bCs/>
                <w:color w:val="002C47"/>
              </w:rPr>
            </w:pPr>
            <w:r>
              <w:rPr>
                <w:b/>
                <w:bCs/>
                <w:color w:val="002C47"/>
              </w:rPr>
              <w:t>T</w:t>
            </w:r>
            <w:r w:rsidRPr="007311C3">
              <w:rPr>
                <w:b/>
                <w:bCs/>
                <w:color w:val="002C47"/>
              </w:rPr>
              <w:t>urnover</w:t>
            </w:r>
            <w:r>
              <w:rPr>
                <w:b/>
                <w:bCs/>
                <w:color w:val="002C47"/>
              </w:rPr>
              <w:t xml:space="preserve"> increase</w:t>
            </w:r>
          </w:p>
        </w:tc>
      </w:tr>
      <w:tr w:rsidR="00E90281" w:rsidRPr="002B1D8F" w14:paraId="4CFA4C44" w14:textId="77777777" w:rsidTr="006D1FD4">
        <w:trPr>
          <w:trHeight w:val="616"/>
        </w:trPr>
        <w:tc>
          <w:tcPr>
            <w:tcW w:w="1813" w:type="dxa"/>
            <w:tcBorders>
              <w:left w:val="nil"/>
              <w:bottom w:val="single" w:sz="4" w:space="0" w:color="3A6FAF"/>
            </w:tcBorders>
            <w:shd w:val="clear" w:color="auto" w:fill="auto"/>
          </w:tcPr>
          <w:p w14:paraId="2CC3B1F3" w14:textId="77777777" w:rsidR="00E90281" w:rsidRPr="002B1D8F" w:rsidRDefault="00E90281" w:rsidP="000D7EB7">
            <w:pPr>
              <w:spacing w:before="40" w:after="40"/>
              <w:jc w:val="center"/>
              <w:rPr>
                <w:b/>
                <w:color w:val="002C47"/>
                <w:highlight w:val="yellow"/>
              </w:rPr>
            </w:pPr>
          </w:p>
        </w:tc>
        <w:tc>
          <w:tcPr>
            <w:tcW w:w="907" w:type="dxa"/>
            <w:tcBorders>
              <w:bottom w:val="single" w:sz="4" w:space="0" w:color="3A6FAF"/>
            </w:tcBorders>
            <w:shd w:val="clear" w:color="auto" w:fill="auto"/>
          </w:tcPr>
          <w:p w14:paraId="6A8E87D3" w14:textId="4BACC757" w:rsidR="00E90281" w:rsidRPr="002B1D8F" w:rsidRDefault="00E90281" w:rsidP="000D7EB7">
            <w:pPr>
              <w:spacing w:before="40" w:after="40"/>
              <w:jc w:val="center"/>
              <w:rPr>
                <w:b/>
                <w:color w:val="002C47"/>
              </w:rPr>
            </w:pPr>
            <w:r w:rsidRPr="002B1D8F">
              <w:rPr>
                <w:b/>
                <w:bCs/>
                <w:color w:val="002C47"/>
              </w:rPr>
              <w:t>Entities</w:t>
            </w:r>
            <w:r w:rsidRPr="002B1D8F">
              <w:rPr>
                <w:b/>
                <w:color w:val="002C47"/>
              </w:rPr>
              <w:t xml:space="preserve"> (</w:t>
            </w:r>
            <w:r w:rsidR="0038520A">
              <w:rPr>
                <w:b/>
                <w:color w:val="002C47"/>
              </w:rPr>
              <w:t>‘</w:t>
            </w:r>
            <w:r w:rsidRPr="002B1D8F">
              <w:rPr>
                <w:b/>
                <w:color w:val="002C47"/>
              </w:rPr>
              <w:t>000s)</w:t>
            </w:r>
          </w:p>
        </w:tc>
        <w:tc>
          <w:tcPr>
            <w:tcW w:w="907" w:type="dxa"/>
            <w:tcBorders>
              <w:bottom w:val="single" w:sz="4" w:space="0" w:color="3A6FAF"/>
            </w:tcBorders>
            <w:shd w:val="clear" w:color="auto" w:fill="auto"/>
          </w:tcPr>
          <w:p w14:paraId="78FD8D9B" w14:textId="77777777" w:rsidR="00E90281" w:rsidRPr="002B1D8F" w:rsidRDefault="00E90281" w:rsidP="000D7EB7">
            <w:pPr>
              <w:spacing w:before="40" w:after="40"/>
              <w:jc w:val="center"/>
              <w:rPr>
                <w:b/>
                <w:color w:val="002C47"/>
              </w:rPr>
            </w:pPr>
            <w:r w:rsidRPr="002B1D8F">
              <w:rPr>
                <w:b/>
                <w:bCs/>
                <w:color w:val="002C47"/>
              </w:rPr>
              <w:t>Disbursements ($m)</w:t>
            </w:r>
          </w:p>
        </w:tc>
        <w:tc>
          <w:tcPr>
            <w:tcW w:w="907" w:type="dxa"/>
            <w:tcBorders>
              <w:bottom w:val="single" w:sz="4" w:space="0" w:color="3A6FAF"/>
            </w:tcBorders>
            <w:shd w:val="clear" w:color="auto" w:fill="auto"/>
          </w:tcPr>
          <w:p w14:paraId="322E58FD" w14:textId="77777777" w:rsidR="00E90281" w:rsidRPr="002B1D8F" w:rsidRDefault="00E90281" w:rsidP="000D7EB7">
            <w:pPr>
              <w:spacing w:before="40" w:after="40"/>
              <w:jc w:val="center"/>
              <w:rPr>
                <w:b/>
                <w:color w:val="002C47"/>
              </w:rPr>
            </w:pPr>
            <w:r w:rsidRPr="002B1D8F">
              <w:rPr>
                <w:b/>
                <w:bCs/>
                <w:color w:val="002C47"/>
              </w:rPr>
              <w:t>Share of entities (%)</w:t>
            </w:r>
          </w:p>
        </w:tc>
        <w:tc>
          <w:tcPr>
            <w:tcW w:w="907" w:type="dxa"/>
            <w:tcBorders>
              <w:bottom w:val="single" w:sz="4" w:space="0" w:color="3A6FAF"/>
            </w:tcBorders>
            <w:shd w:val="clear" w:color="auto" w:fill="auto"/>
          </w:tcPr>
          <w:p w14:paraId="3718A81E" w14:textId="77777777" w:rsidR="00E90281" w:rsidRPr="002B1D8F" w:rsidRDefault="00E90281" w:rsidP="000D7EB7">
            <w:pPr>
              <w:spacing w:before="40" w:after="40"/>
              <w:jc w:val="center"/>
              <w:rPr>
                <w:b/>
                <w:color w:val="002C47"/>
              </w:rPr>
            </w:pPr>
            <w:r w:rsidRPr="002B1D8F">
              <w:rPr>
                <w:b/>
                <w:bCs/>
                <w:color w:val="002C47"/>
              </w:rPr>
              <w:t>Share of disbursements (%)</w:t>
            </w:r>
          </w:p>
        </w:tc>
        <w:tc>
          <w:tcPr>
            <w:tcW w:w="907" w:type="dxa"/>
            <w:tcBorders>
              <w:bottom w:val="single" w:sz="4" w:space="0" w:color="3A6FAF"/>
            </w:tcBorders>
            <w:shd w:val="clear" w:color="auto" w:fill="auto"/>
          </w:tcPr>
          <w:p w14:paraId="47F6684E" w14:textId="77777777" w:rsidR="00E90281" w:rsidRPr="002B1D8F" w:rsidRDefault="00E90281" w:rsidP="000D7EB7">
            <w:pPr>
              <w:spacing w:before="40" w:after="40"/>
              <w:jc w:val="center"/>
              <w:rPr>
                <w:b/>
                <w:color w:val="002C47"/>
              </w:rPr>
            </w:pPr>
            <w:r w:rsidRPr="002B1D8F">
              <w:rPr>
                <w:b/>
                <w:bCs/>
                <w:color w:val="002C47"/>
              </w:rPr>
              <w:t>Share of entities (%)</w:t>
            </w:r>
          </w:p>
        </w:tc>
        <w:tc>
          <w:tcPr>
            <w:tcW w:w="907" w:type="dxa"/>
            <w:tcBorders>
              <w:bottom w:val="single" w:sz="4" w:space="0" w:color="3A6FAF"/>
            </w:tcBorders>
            <w:shd w:val="clear" w:color="auto" w:fill="auto"/>
          </w:tcPr>
          <w:p w14:paraId="530C5745" w14:textId="77777777" w:rsidR="00E90281" w:rsidRPr="002B1D8F" w:rsidRDefault="00E90281" w:rsidP="000D7EB7">
            <w:pPr>
              <w:spacing w:before="40" w:after="40"/>
              <w:jc w:val="center"/>
              <w:rPr>
                <w:b/>
                <w:color w:val="002C47"/>
              </w:rPr>
            </w:pPr>
            <w:r w:rsidRPr="002B1D8F">
              <w:rPr>
                <w:b/>
                <w:bCs/>
                <w:color w:val="002C47"/>
              </w:rPr>
              <w:t>Share of disburs</w:t>
            </w:r>
            <w:r w:rsidRPr="002B1D8F">
              <w:rPr>
                <w:b/>
                <w:color w:val="002C47"/>
              </w:rPr>
              <w:t>ements (%)</w:t>
            </w:r>
          </w:p>
        </w:tc>
        <w:tc>
          <w:tcPr>
            <w:tcW w:w="907" w:type="dxa"/>
            <w:tcBorders>
              <w:bottom w:val="single" w:sz="4" w:space="0" w:color="3A6FAF"/>
            </w:tcBorders>
            <w:shd w:val="clear" w:color="auto" w:fill="auto"/>
          </w:tcPr>
          <w:p w14:paraId="1B7CD13A" w14:textId="77777777" w:rsidR="00E90281" w:rsidRPr="002B1D8F" w:rsidRDefault="00E90281" w:rsidP="000D7EB7">
            <w:pPr>
              <w:spacing w:before="40" w:after="40"/>
              <w:jc w:val="center"/>
              <w:rPr>
                <w:b/>
                <w:color w:val="002C47"/>
              </w:rPr>
            </w:pPr>
            <w:r w:rsidRPr="002B1D8F">
              <w:rPr>
                <w:b/>
                <w:bCs/>
                <w:color w:val="002C47"/>
              </w:rPr>
              <w:t>Share of entities (%)</w:t>
            </w:r>
          </w:p>
        </w:tc>
        <w:tc>
          <w:tcPr>
            <w:tcW w:w="907" w:type="dxa"/>
            <w:tcBorders>
              <w:bottom w:val="single" w:sz="4" w:space="0" w:color="3A6FAF"/>
              <w:right w:val="nil"/>
            </w:tcBorders>
            <w:shd w:val="clear" w:color="auto" w:fill="auto"/>
          </w:tcPr>
          <w:p w14:paraId="1E736BC6" w14:textId="77777777" w:rsidR="00E90281" w:rsidRPr="002B1D8F" w:rsidRDefault="00E90281" w:rsidP="000D7EB7">
            <w:pPr>
              <w:spacing w:before="40" w:after="40"/>
              <w:jc w:val="center"/>
              <w:rPr>
                <w:b/>
                <w:color w:val="002C47"/>
              </w:rPr>
            </w:pPr>
            <w:r w:rsidRPr="002B1D8F">
              <w:rPr>
                <w:b/>
                <w:bCs/>
                <w:color w:val="002C47"/>
              </w:rPr>
              <w:t>Share of disburs</w:t>
            </w:r>
            <w:r w:rsidRPr="002B1D8F">
              <w:rPr>
                <w:b/>
                <w:color w:val="002C47"/>
              </w:rPr>
              <w:t>ements (%)</w:t>
            </w:r>
          </w:p>
        </w:tc>
      </w:tr>
      <w:tr w:rsidR="00E90281" w:rsidRPr="002B1D8F" w14:paraId="325EEDA1" w14:textId="77777777" w:rsidTr="006D1FD4">
        <w:trPr>
          <w:trHeight w:val="308"/>
        </w:trPr>
        <w:tc>
          <w:tcPr>
            <w:tcW w:w="1813" w:type="dxa"/>
            <w:tcBorders>
              <w:top w:val="single" w:sz="4" w:space="0" w:color="3A6FAF"/>
              <w:left w:val="nil"/>
              <w:bottom w:val="nil"/>
            </w:tcBorders>
            <w:shd w:val="clear" w:color="auto" w:fill="auto"/>
            <w:vAlign w:val="center"/>
          </w:tcPr>
          <w:p w14:paraId="394CB587" w14:textId="77777777" w:rsidR="00E90281" w:rsidRPr="002B1D8F" w:rsidRDefault="00E90281" w:rsidP="00A05864">
            <w:pPr>
              <w:pStyle w:val="TableTextLeft"/>
            </w:pPr>
            <w:r w:rsidRPr="002B1D8F">
              <w:t>Agriculture, F</w:t>
            </w:r>
            <w:r w:rsidRPr="002B1D8F">
              <w:rPr>
                <w:rFonts w:cs="Calibri"/>
                <w:szCs w:val="18"/>
              </w:rPr>
              <w:t>orestry and Fishing</w:t>
            </w:r>
          </w:p>
        </w:tc>
        <w:tc>
          <w:tcPr>
            <w:tcW w:w="907" w:type="dxa"/>
            <w:tcBorders>
              <w:top w:val="single" w:sz="4" w:space="0" w:color="3A6FAF"/>
              <w:bottom w:val="nil"/>
            </w:tcBorders>
            <w:shd w:val="clear" w:color="auto" w:fill="auto"/>
          </w:tcPr>
          <w:p w14:paraId="4EDCDA4D" w14:textId="77777777" w:rsidR="00E90281" w:rsidRPr="002B1D8F" w:rsidRDefault="00E90281" w:rsidP="00A05864">
            <w:pPr>
              <w:pStyle w:val="TableTextCentered"/>
              <w:rPr>
                <w:highlight w:val="yellow"/>
              </w:rPr>
            </w:pPr>
            <w:r w:rsidRPr="0091074A">
              <w:t xml:space="preserve"> 31.0 </w:t>
            </w:r>
          </w:p>
        </w:tc>
        <w:tc>
          <w:tcPr>
            <w:tcW w:w="907" w:type="dxa"/>
            <w:tcBorders>
              <w:top w:val="single" w:sz="4" w:space="0" w:color="3A6FAF"/>
              <w:bottom w:val="nil"/>
            </w:tcBorders>
            <w:shd w:val="clear" w:color="auto" w:fill="auto"/>
          </w:tcPr>
          <w:p w14:paraId="09AFA926" w14:textId="77777777" w:rsidR="00E90281" w:rsidRPr="002B1D8F" w:rsidRDefault="00E90281" w:rsidP="00A05864">
            <w:pPr>
              <w:pStyle w:val="TableTextCentered"/>
              <w:rPr>
                <w:highlight w:val="yellow"/>
              </w:rPr>
            </w:pPr>
            <w:r w:rsidRPr="0091074A">
              <w:t xml:space="preserve"> 682.0 </w:t>
            </w:r>
          </w:p>
        </w:tc>
        <w:tc>
          <w:tcPr>
            <w:tcW w:w="907" w:type="dxa"/>
            <w:tcBorders>
              <w:top w:val="single" w:sz="4" w:space="0" w:color="3A6FAF"/>
              <w:bottom w:val="nil"/>
            </w:tcBorders>
            <w:shd w:val="clear" w:color="auto" w:fill="auto"/>
          </w:tcPr>
          <w:p w14:paraId="32F8BCDF" w14:textId="77777777" w:rsidR="00E90281" w:rsidRPr="002B1D8F" w:rsidRDefault="00E90281" w:rsidP="00A05864">
            <w:pPr>
              <w:pStyle w:val="TableTextCentered"/>
              <w:rPr>
                <w:highlight w:val="yellow"/>
              </w:rPr>
            </w:pPr>
            <w:r w:rsidRPr="0091074A">
              <w:t xml:space="preserve"> 45 </w:t>
            </w:r>
          </w:p>
        </w:tc>
        <w:tc>
          <w:tcPr>
            <w:tcW w:w="907" w:type="dxa"/>
            <w:tcBorders>
              <w:top w:val="single" w:sz="4" w:space="0" w:color="3A6FAF"/>
              <w:bottom w:val="nil"/>
            </w:tcBorders>
            <w:shd w:val="clear" w:color="auto" w:fill="auto"/>
          </w:tcPr>
          <w:p w14:paraId="0B7274FB" w14:textId="77777777" w:rsidR="00E90281" w:rsidRPr="002B1D8F" w:rsidRDefault="00E90281" w:rsidP="00A05864">
            <w:pPr>
              <w:pStyle w:val="TableTextCentered"/>
              <w:rPr>
                <w:highlight w:val="yellow"/>
              </w:rPr>
            </w:pPr>
            <w:r w:rsidRPr="0091074A">
              <w:t xml:space="preserve"> 40 </w:t>
            </w:r>
          </w:p>
        </w:tc>
        <w:tc>
          <w:tcPr>
            <w:tcW w:w="907" w:type="dxa"/>
            <w:tcBorders>
              <w:top w:val="single" w:sz="4" w:space="0" w:color="3A6FAF"/>
              <w:bottom w:val="nil"/>
            </w:tcBorders>
            <w:shd w:val="clear" w:color="auto" w:fill="auto"/>
          </w:tcPr>
          <w:p w14:paraId="40FE7CFA" w14:textId="77777777" w:rsidR="00E90281" w:rsidRPr="002B1D8F" w:rsidRDefault="00E90281" w:rsidP="00A05864">
            <w:pPr>
              <w:pStyle w:val="TableTextCentered"/>
              <w:rPr>
                <w:highlight w:val="yellow"/>
              </w:rPr>
            </w:pPr>
            <w:r w:rsidRPr="0091074A">
              <w:t xml:space="preserve"> 16 </w:t>
            </w:r>
          </w:p>
        </w:tc>
        <w:tc>
          <w:tcPr>
            <w:tcW w:w="907" w:type="dxa"/>
            <w:tcBorders>
              <w:top w:val="single" w:sz="4" w:space="0" w:color="3A6FAF"/>
              <w:bottom w:val="nil"/>
            </w:tcBorders>
            <w:shd w:val="clear" w:color="auto" w:fill="auto"/>
          </w:tcPr>
          <w:p w14:paraId="7E0D5AB5" w14:textId="77777777" w:rsidR="00E90281" w:rsidRPr="002B1D8F" w:rsidRDefault="00E90281" w:rsidP="00A05864">
            <w:pPr>
              <w:pStyle w:val="TableTextCentered"/>
              <w:rPr>
                <w:highlight w:val="yellow"/>
              </w:rPr>
            </w:pPr>
            <w:r w:rsidRPr="0091074A">
              <w:t xml:space="preserve"> 19 </w:t>
            </w:r>
          </w:p>
        </w:tc>
        <w:tc>
          <w:tcPr>
            <w:tcW w:w="907" w:type="dxa"/>
            <w:tcBorders>
              <w:top w:val="single" w:sz="4" w:space="0" w:color="3A6FAF"/>
              <w:bottom w:val="nil"/>
            </w:tcBorders>
            <w:shd w:val="clear" w:color="auto" w:fill="auto"/>
          </w:tcPr>
          <w:p w14:paraId="615DD46D" w14:textId="77777777" w:rsidR="00E90281" w:rsidRPr="002B1D8F" w:rsidRDefault="00E90281" w:rsidP="00A05864">
            <w:pPr>
              <w:pStyle w:val="TableTextCentered"/>
              <w:rPr>
                <w:highlight w:val="yellow"/>
              </w:rPr>
            </w:pPr>
            <w:r w:rsidRPr="0091074A">
              <w:t xml:space="preserve"> 40 </w:t>
            </w:r>
          </w:p>
        </w:tc>
        <w:tc>
          <w:tcPr>
            <w:tcW w:w="907" w:type="dxa"/>
            <w:tcBorders>
              <w:top w:val="single" w:sz="4" w:space="0" w:color="3A6FAF"/>
              <w:bottom w:val="nil"/>
              <w:right w:val="nil"/>
            </w:tcBorders>
            <w:shd w:val="clear" w:color="auto" w:fill="auto"/>
          </w:tcPr>
          <w:p w14:paraId="67AB5168" w14:textId="77777777" w:rsidR="00E90281" w:rsidRPr="002B1D8F" w:rsidRDefault="00E90281" w:rsidP="00A05864">
            <w:pPr>
              <w:pStyle w:val="TableTextCentered"/>
              <w:rPr>
                <w:highlight w:val="yellow"/>
              </w:rPr>
            </w:pPr>
            <w:r w:rsidRPr="0091074A">
              <w:t xml:space="preserve"> 40 </w:t>
            </w:r>
          </w:p>
        </w:tc>
      </w:tr>
      <w:tr w:rsidR="00E90281" w:rsidRPr="002B1D8F" w14:paraId="7AE6A171" w14:textId="77777777" w:rsidTr="006D1FD4">
        <w:trPr>
          <w:trHeight w:val="308"/>
        </w:trPr>
        <w:tc>
          <w:tcPr>
            <w:tcW w:w="1813" w:type="dxa"/>
            <w:tcBorders>
              <w:top w:val="nil"/>
              <w:left w:val="nil"/>
              <w:bottom w:val="nil"/>
            </w:tcBorders>
            <w:shd w:val="clear" w:color="auto" w:fill="auto"/>
            <w:vAlign w:val="center"/>
          </w:tcPr>
          <w:p w14:paraId="7ECF1413" w14:textId="77777777" w:rsidR="00E90281" w:rsidRPr="002B1D8F" w:rsidRDefault="00E90281" w:rsidP="00A05864">
            <w:pPr>
              <w:pStyle w:val="TableTextLeft"/>
            </w:pPr>
            <w:r w:rsidRPr="002B1D8F">
              <w:t>Mi</w:t>
            </w:r>
            <w:r w:rsidRPr="002B1D8F">
              <w:rPr>
                <w:rFonts w:cs="Calibri"/>
                <w:szCs w:val="18"/>
              </w:rPr>
              <w:t>ning</w:t>
            </w:r>
          </w:p>
        </w:tc>
        <w:tc>
          <w:tcPr>
            <w:tcW w:w="907" w:type="dxa"/>
            <w:tcBorders>
              <w:top w:val="nil"/>
              <w:bottom w:val="nil"/>
            </w:tcBorders>
            <w:shd w:val="clear" w:color="auto" w:fill="auto"/>
          </w:tcPr>
          <w:p w14:paraId="69420DE4" w14:textId="77777777" w:rsidR="00E90281" w:rsidRPr="002B1D8F" w:rsidRDefault="00E90281" w:rsidP="00A05864">
            <w:pPr>
              <w:pStyle w:val="TableTextCentered"/>
              <w:rPr>
                <w:highlight w:val="yellow"/>
              </w:rPr>
            </w:pPr>
            <w:r w:rsidRPr="0091074A">
              <w:t xml:space="preserve"> 1.5 </w:t>
            </w:r>
          </w:p>
        </w:tc>
        <w:tc>
          <w:tcPr>
            <w:tcW w:w="907" w:type="dxa"/>
            <w:tcBorders>
              <w:top w:val="nil"/>
              <w:bottom w:val="nil"/>
            </w:tcBorders>
            <w:shd w:val="clear" w:color="auto" w:fill="auto"/>
          </w:tcPr>
          <w:p w14:paraId="261BE0BC" w14:textId="77777777" w:rsidR="00E90281" w:rsidRPr="002B1D8F" w:rsidRDefault="00E90281" w:rsidP="00A05864">
            <w:pPr>
              <w:pStyle w:val="TableTextCentered"/>
              <w:rPr>
                <w:highlight w:val="yellow"/>
              </w:rPr>
            </w:pPr>
            <w:r w:rsidRPr="0091074A">
              <w:t xml:space="preserve"> 131.2 </w:t>
            </w:r>
          </w:p>
        </w:tc>
        <w:tc>
          <w:tcPr>
            <w:tcW w:w="907" w:type="dxa"/>
            <w:tcBorders>
              <w:top w:val="nil"/>
              <w:bottom w:val="nil"/>
            </w:tcBorders>
            <w:shd w:val="clear" w:color="auto" w:fill="auto"/>
          </w:tcPr>
          <w:p w14:paraId="16895E45" w14:textId="77777777" w:rsidR="00E90281" w:rsidRPr="002B1D8F" w:rsidRDefault="00E90281" w:rsidP="00A05864">
            <w:pPr>
              <w:pStyle w:val="TableTextCentered"/>
              <w:rPr>
                <w:highlight w:val="yellow"/>
              </w:rPr>
            </w:pPr>
            <w:r w:rsidRPr="0091074A">
              <w:t xml:space="preserve"> 49 </w:t>
            </w:r>
          </w:p>
        </w:tc>
        <w:tc>
          <w:tcPr>
            <w:tcW w:w="907" w:type="dxa"/>
            <w:tcBorders>
              <w:top w:val="nil"/>
              <w:bottom w:val="nil"/>
            </w:tcBorders>
            <w:shd w:val="clear" w:color="auto" w:fill="auto"/>
          </w:tcPr>
          <w:p w14:paraId="2EF24BF8" w14:textId="77777777" w:rsidR="00E90281" w:rsidRPr="002B1D8F" w:rsidRDefault="00E90281" w:rsidP="00A05864">
            <w:pPr>
              <w:pStyle w:val="TableTextCentered"/>
              <w:rPr>
                <w:highlight w:val="yellow"/>
              </w:rPr>
            </w:pPr>
            <w:r w:rsidRPr="0091074A">
              <w:t xml:space="preserve"> 40 </w:t>
            </w:r>
          </w:p>
        </w:tc>
        <w:tc>
          <w:tcPr>
            <w:tcW w:w="907" w:type="dxa"/>
            <w:tcBorders>
              <w:top w:val="nil"/>
              <w:bottom w:val="nil"/>
            </w:tcBorders>
            <w:shd w:val="clear" w:color="auto" w:fill="auto"/>
          </w:tcPr>
          <w:p w14:paraId="205926D6" w14:textId="77777777" w:rsidR="00E90281" w:rsidRPr="002B1D8F" w:rsidRDefault="00E90281" w:rsidP="00A05864">
            <w:pPr>
              <w:pStyle w:val="TableTextCentered"/>
              <w:rPr>
                <w:highlight w:val="yellow"/>
              </w:rPr>
            </w:pPr>
            <w:r w:rsidRPr="0091074A">
              <w:t xml:space="preserve"> 19 </w:t>
            </w:r>
          </w:p>
        </w:tc>
        <w:tc>
          <w:tcPr>
            <w:tcW w:w="907" w:type="dxa"/>
            <w:tcBorders>
              <w:top w:val="nil"/>
              <w:bottom w:val="nil"/>
            </w:tcBorders>
            <w:shd w:val="clear" w:color="auto" w:fill="auto"/>
          </w:tcPr>
          <w:p w14:paraId="1733ACFF" w14:textId="77777777" w:rsidR="00E90281" w:rsidRPr="002B1D8F" w:rsidRDefault="00E90281" w:rsidP="00A05864">
            <w:pPr>
              <w:pStyle w:val="TableTextCentered"/>
              <w:rPr>
                <w:highlight w:val="yellow"/>
              </w:rPr>
            </w:pPr>
            <w:r w:rsidRPr="0091074A">
              <w:t xml:space="preserve"> 35 </w:t>
            </w:r>
          </w:p>
        </w:tc>
        <w:tc>
          <w:tcPr>
            <w:tcW w:w="907" w:type="dxa"/>
            <w:tcBorders>
              <w:top w:val="nil"/>
              <w:bottom w:val="nil"/>
            </w:tcBorders>
            <w:shd w:val="clear" w:color="auto" w:fill="auto"/>
          </w:tcPr>
          <w:p w14:paraId="34807087" w14:textId="77777777" w:rsidR="00E90281" w:rsidRPr="002B1D8F" w:rsidRDefault="00E90281" w:rsidP="00A05864">
            <w:pPr>
              <w:pStyle w:val="TableTextCentered"/>
              <w:rPr>
                <w:highlight w:val="yellow"/>
              </w:rPr>
            </w:pPr>
            <w:r w:rsidRPr="0091074A">
              <w:t xml:space="preserve"> 32 </w:t>
            </w:r>
          </w:p>
        </w:tc>
        <w:tc>
          <w:tcPr>
            <w:tcW w:w="907" w:type="dxa"/>
            <w:tcBorders>
              <w:top w:val="nil"/>
              <w:bottom w:val="nil"/>
              <w:right w:val="nil"/>
            </w:tcBorders>
            <w:shd w:val="clear" w:color="auto" w:fill="auto"/>
          </w:tcPr>
          <w:p w14:paraId="3E69C63B" w14:textId="77777777" w:rsidR="00E90281" w:rsidRPr="002B1D8F" w:rsidRDefault="00E90281" w:rsidP="00A05864">
            <w:pPr>
              <w:pStyle w:val="TableTextCentered"/>
              <w:rPr>
                <w:highlight w:val="yellow"/>
              </w:rPr>
            </w:pPr>
            <w:r w:rsidRPr="0091074A">
              <w:t xml:space="preserve"> 24 </w:t>
            </w:r>
          </w:p>
        </w:tc>
      </w:tr>
      <w:tr w:rsidR="00E90281" w:rsidRPr="002B1D8F" w14:paraId="1E37B873" w14:textId="77777777" w:rsidTr="006D1FD4">
        <w:trPr>
          <w:trHeight w:val="291"/>
        </w:trPr>
        <w:tc>
          <w:tcPr>
            <w:tcW w:w="1813" w:type="dxa"/>
            <w:tcBorders>
              <w:top w:val="nil"/>
              <w:left w:val="nil"/>
              <w:bottom w:val="nil"/>
            </w:tcBorders>
            <w:shd w:val="clear" w:color="auto" w:fill="auto"/>
            <w:vAlign w:val="center"/>
          </w:tcPr>
          <w:p w14:paraId="7CCC6E59" w14:textId="77777777" w:rsidR="00E90281" w:rsidRPr="002B1D8F" w:rsidRDefault="00E90281" w:rsidP="00A05864">
            <w:pPr>
              <w:pStyle w:val="TableTextLeft"/>
            </w:pPr>
            <w:r w:rsidRPr="002B1D8F">
              <w:t>Manufacturing</w:t>
            </w:r>
          </w:p>
        </w:tc>
        <w:tc>
          <w:tcPr>
            <w:tcW w:w="907" w:type="dxa"/>
            <w:tcBorders>
              <w:top w:val="nil"/>
              <w:bottom w:val="nil"/>
            </w:tcBorders>
            <w:shd w:val="clear" w:color="auto" w:fill="auto"/>
          </w:tcPr>
          <w:p w14:paraId="49B247BD" w14:textId="77777777" w:rsidR="00E90281" w:rsidRPr="002B1D8F" w:rsidRDefault="00E90281" w:rsidP="00A05864">
            <w:pPr>
              <w:pStyle w:val="TableTextCentered"/>
              <w:rPr>
                <w:highlight w:val="yellow"/>
              </w:rPr>
            </w:pPr>
            <w:r w:rsidRPr="0091074A">
              <w:t xml:space="preserve"> 39.9 </w:t>
            </w:r>
          </w:p>
        </w:tc>
        <w:tc>
          <w:tcPr>
            <w:tcW w:w="907" w:type="dxa"/>
            <w:tcBorders>
              <w:top w:val="nil"/>
              <w:bottom w:val="nil"/>
            </w:tcBorders>
            <w:shd w:val="clear" w:color="auto" w:fill="auto"/>
          </w:tcPr>
          <w:p w14:paraId="5776FDCB" w14:textId="77777777" w:rsidR="00E90281" w:rsidRPr="002B1D8F" w:rsidRDefault="00E90281" w:rsidP="00A05864">
            <w:pPr>
              <w:pStyle w:val="TableTextCentered"/>
              <w:rPr>
                <w:highlight w:val="yellow"/>
              </w:rPr>
            </w:pPr>
            <w:r w:rsidRPr="0091074A">
              <w:t xml:space="preserve"> 2,633.4 </w:t>
            </w:r>
          </w:p>
        </w:tc>
        <w:tc>
          <w:tcPr>
            <w:tcW w:w="907" w:type="dxa"/>
            <w:tcBorders>
              <w:top w:val="nil"/>
              <w:bottom w:val="nil"/>
            </w:tcBorders>
            <w:shd w:val="clear" w:color="auto" w:fill="auto"/>
          </w:tcPr>
          <w:p w14:paraId="0AF33050" w14:textId="77777777" w:rsidR="00E90281" w:rsidRPr="002B1D8F" w:rsidRDefault="00E90281" w:rsidP="00A05864">
            <w:pPr>
              <w:pStyle w:val="TableTextCentered"/>
              <w:rPr>
                <w:highlight w:val="yellow"/>
              </w:rPr>
            </w:pPr>
            <w:r w:rsidRPr="0091074A">
              <w:t xml:space="preserve"> 41 </w:t>
            </w:r>
          </w:p>
        </w:tc>
        <w:tc>
          <w:tcPr>
            <w:tcW w:w="907" w:type="dxa"/>
            <w:tcBorders>
              <w:top w:val="nil"/>
              <w:bottom w:val="nil"/>
            </w:tcBorders>
            <w:shd w:val="clear" w:color="auto" w:fill="auto"/>
          </w:tcPr>
          <w:p w14:paraId="2E911F31" w14:textId="77777777" w:rsidR="00E90281" w:rsidRPr="002B1D8F" w:rsidRDefault="00E90281" w:rsidP="00A05864">
            <w:pPr>
              <w:pStyle w:val="TableTextCentered"/>
              <w:rPr>
                <w:highlight w:val="yellow"/>
              </w:rPr>
            </w:pPr>
            <w:r w:rsidRPr="0091074A">
              <w:t xml:space="preserve"> 36 </w:t>
            </w:r>
          </w:p>
        </w:tc>
        <w:tc>
          <w:tcPr>
            <w:tcW w:w="907" w:type="dxa"/>
            <w:tcBorders>
              <w:top w:val="nil"/>
              <w:bottom w:val="nil"/>
            </w:tcBorders>
            <w:shd w:val="clear" w:color="auto" w:fill="auto"/>
          </w:tcPr>
          <w:p w14:paraId="10666223" w14:textId="77777777" w:rsidR="00E90281" w:rsidRPr="002B1D8F" w:rsidRDefault="00E90281" w:rsidP="00A05864">
            <w:pPr>
              <w:pStyle w:val="TableTextCentered"/>
              <w:rPr>
                <w:highlight w:val="yellow"/>
              </w:rPr>
            </w:pPr>
            <w:r w:rsidRPr="0091074A">
              <w:t xml:space="preserve"> 22 </w:t>
            </w:r>
          </w:p>
        </w:tc>
        <w:tc>
          <w:tcPr>
            <w:tcW w:w="907" w:type="dxa"/>
            <w:tcBorders>
              <w:top w:val="nil"/>
              <w:bottom w:val="nil"/>
            </w:tcBorders>
            <w:shd w:val="clear" w:color="auto" w:fill="auto"/>
          </w:tcPr>
          <w:p w14:paraId="42CF8932" w14:textId="77777777" w:rsidR="00E90281" w:rsidRPr="002B1D8F" w:rsidRDefault="00E90281" w:rsidP="00A05864">
            <w:pPr>
              <w:pStyle w:val="TableTextCentered"/>
              <w:rPr>
                <w:highlight w:val="yellow"/>
              </w:rPr>
            </w:pPr>
            <w:r w:rsidRPr="0091074A">
              <w:t xml:space="preserve"> 27 </w:t>
            </w:r>
          </w:p>
        </w:tc>
        <w:tc>
          <w:tcPr>
            <w:tcW w:w="907" w:type="dxa"/>
            <w:tcBorders>
              <w:top w:val="nil"/>
              <w:bottom w:val="nil"/>
            </w:tcBorders>
            <w:shd w:val="clear" w:color="auto" w:fill="auto"/>
          </w:tcPr>
          <w:p w14:paraId="2ECF0AA6" w14:textId="77777777" w:rsidR="00E90281" w:rsidRPr="002B1D8F" w:rsidRDefault="00E90281" w:rsidP="00A05864">
            <w:pPr>
              <w:pStyle w:val="TableTextCentered"/>
              <w:rPr>
                <w:highlight w:val="yellow"/>
              </w:rPr>
            </w:pPr>
            <w:r w:rsidRPr="0091074A">
              <w:t xml:space="preserve"> 37 </w:t>
            </w:r>
          </w:p>
        </w:tc>
        <w:tc>
          <w:tcPr>
            <w:tcW w:w="907" w:type="dxa"/>
            <w:tcBorders>
              <w:top w:val="nil"/>
              <w:bottom w:val="nil"/>
              <w:right w:val="nil"/>
            </w:tcBorders>
            <w:shd w:val="clear" w:color="auto" w:fill="auto"/>
          </w:tcPr>
          <w:p w14:paraId="57D840B8" w14:textId="77777777" w:rsidR="00E90281" w:rsidRPr="002B1D8F" w:rsidRDefault="00E90281" w:rsidP="00A05864">
            <w:pPr>
              <w:pStyle w:val="TableTextCentered"/>
              <w:rPr>
                <w:highlight w:val="yellow"/>
              </w:rPr>
            </w:pPr>
            <w:r w:rsidRPr="0091074A">
              <w:t xml:space="preserve"> 37 </w:t>
            </w:r>
          </w:p>
        </w:tc>
      </w:tr>
      <w:tr w:rsidR="00E90281" w:rsidRPr="002B1D8F" w14:paraId="4FD3EA48" w14:textId="77777777" w:rsidTr="006D1FD4">
        <w:trPr>
          <w:trHeight w:val="308"/>
        </w:trPr>
        <w:tc>
          <w:tcPr>
            <w:tcW w:w="1813" w:type="dxa"/>
            <w:tcBorders>
              <w:top w:val="nil"/>
              <w:left w:val="nil"/>
              <w:bottom w:val="nil"/>
            </w:tcBorders>
            <w:shd w:val="clear" w:color="auto" w:fill="auto"/>
            <w:vAlign w:val="center"/>
          </w:tcPr>
          <w:p w14:paraId="5AABD2F1" w14:textId="77777777" w:rsidR="00E90281" w:rsidRPr="002B1D8F" w:rsidRDefault="00E90281" w:rsidP="00A05864">
            <w:pPr>
              <w:pStyle w:val="TableTextLeft"/>
            </w:pPr>
            <w:r w:rsidRPr="002B1D8F">
              <w:t>Electricity, Ga</w:t>
            </w:r>
            <w:r w:rsidRPr="002B1D8F">
              <w:rPr>
                <w:rFonts w:cs="Calibri"/>
                <w:szCs w:val="18"/>
              </w:rPr>
              <w:t>s, Water and Waste Services</w:t>
            </w:r>
          </w:p>
        </w:tc>
        <w:tc>
          <w:tcPr>
            <w:tcW w:w="907" w:type="dxa"/>
            <w:tcBorders>
              <w:top w:val="nil"/>
              <w:bottom w:val="nil"/>
            </w:tcBorders>
            <w:shd w:val="clear" w:color="auto" w:fill="auto"/>
          </w:tcPr>
          <w:p w14:paraId="0CC8461D" w14:textId="77777777" w:rsidR="00E90281" w:rsidRPr="002B1D8F" w:rsidRDefault="00E90281" w:rsidP="00A05864">
            <w:pPr>
              <w:pStyle w:val="TableTextCentered"/>
              <w:rPr>
                <w:highlight w:val="yellow"/>
              </w:rPr>
            </w:pPr>
            <w:r w:rsidRPr="0091074A">
              <w:t xml:space="preserve"> 1.9 </w:t>
            </w:r>
          </w:p>
        </w:tc>
        <w:tc>
          <w:tcPr>
            <w:tcW w:w="907" w:type="dxa"/>
            <w:tcBorders>
              <w:top w:val="nil"/>
              <w:bottom w:val="nil"/>
            </w:tcBorders>
            <w:shd w:val="clear" w:color="auto" w:fill="auto"/>
          </w:tcPr>
          <w:p w14:paraId="7A3682D9" w14:textId="77777777" w:rsidR="00E90281" w:rsidRPr="002B1D8F" w:rsidRDefault="00E90281" w:rsidP="00A05864">
            <w:pPr>
              <w:pStyle w:val="TableTextCentered"/>
              <w:rPr>
                <w:highlight w:val="yellow"/>
              </w:rPr>
            </w:pPr>
            <w:r w:rsidRPr="0091074A">
              <w:t xml:space="preserve"> 97.7 </w:t>
            </w:r>
          </w:p>
        </w:tc>
        <w:tc>
          <w:tcPr>
            <w:tcW w:w="907" w:type="dxa"/>
            <w:tcBorders>
              <w:top w:val="nil"/>
              <w:bottom w:val="nil"/>
            </w:tcBorders>
            <w:shd w:val="clear" w:color="auto" w:fill="auto"/>
          </w:tcPr>
          <w:p w14:paraId="1846C781" w14:textId="77777777" w:rsidR="00E90281" w:rsidRPr="002B1D8F" w:rsidRDefault="00E90281" w:rsidP="00A05864">
            <w:pPr>
              <w:pStyle w:val="TableTextCentered"/>
              <w:rPr>
                <w:highlight w:val="yellow"/>
              </w:rPr>
            </w:pPr>
            <w:r w:rsidRPr="0091074A">
              <w:t xml:space="preserve"> 38 </w:t>
            </w:r>
          </w:p>
        </w:tc>
        <w:tc>
          <w:tcPr>
            <w:tcW w:w="907" w:type="dxa"/>
            <w:tcBorders>
              <w:top w:val="nil"/>
              <w:bottom w:val="nil"/>
            </w:tcBorders>
            <w:shd w:val="clear" w:color="auto" w:fill="auto"/>
          </w:tcPr>
          <w:p w14:paraId="6E605F53" w14:textId="77777777" w:rsidR="00E90281" w:rsidRPr="002B1D8F" w:rsidRDefault="00E90281" w:rsidP="00A05864">
            <w:pPr>
              <w:pStyle w:val="TableTextCentered"/>
              <w:rPr>
                <w:highlight w:val="yellow"/>
              </w:rPr>
            </w:pPr>
            <w:r w:rsidRPr="0091074A">
              <w:t xml:space="preserve"> 32 </w:t>
            </w:r>
          </w:p>
        </w:tc>
        <w:tc>
          <w:tcPr>
            <w:tcW w:w="907" w:type="dxa"/>
            <w:tcBorders>
              <w:top w:val="nil"/>
              <w:bottom w:val="nil"/>
            </w:tcBorders>
            <w:shd w:val="clear" w:color="auto" w:fill="auto"/>
          </w:tcPr>
          <w:p w14:paraId="0235ED97" w14:textId="77777777" w:rsidR="00E90281" w:rsidRPr="002B1D8F" w:rsidRDefault="00E90281" w:rsidP="00A05864">
            <w:pPr>
              <w:pStyle w:val="TableTextCentered"/>
              <w:rPr>
                <w:highlight w:val="yellow"/>
              </w:rPr>
            </w:pPr>
            <w:r w:rsidRPr="0091074A">
              <w:t xml:space="preserve"> 27 </w:t>
            </w:r>
          </w:p>
        </w:tc>
        <w:tc>
          <w:tcPr>
            <w:tcW w:w="907" w:type="dxa"/>
            <w:tcBorders>
              <w:top w:val="nil"/>
              <w:bottom w:val="nil"/>
            </w:tcBorders>
            <w:shd w:val="clear" w:color="auto" w:fill="auto"/>
          </w:tcPr>
          <w:p w14:paraId="69E865D6" w14:textId="77777777" w:rsidR="00E90281" w:rsidRPr="002B1D8F" w:rsidRDefault="00E90281" w:rsidP="00A05864">
            <w:pPr>
              <w:pStyle w:val="TableTextCentered"/>
              <w:rPr>
                <w:highlight w:val="yellow"/>
              </w:rPr>
            </w:pPr>
            <w:r w:rsidRPr="0091074A">
              <w:t xml:space="preserve"> 38 </w:t>
            </w:r>
          </w:p>
        </w:tc>
        <w:tc>
          <w:tcPr>
            <w:tcW w:w="907" w:type="dxa"/>
            <w:tcBorders>
              <w:top w:val="nil"/>
              <w:bottom w:val="nil"/>
            </w:tcBorders>
            <w:shd w:val="clear" w:color="auto" w:fill="auto"/>
          </w:tcPr>
          <w:p w14:paraId="1397B47D" w14:textId="77777777" w:rsidR="00E90281" w:rsidRPr="002B1D8F" w:rsidRDefault="00E90281" w:rsidP="00A05864">
            <w:pPr>
              <w:pStyle w:val="TableTextCentered"/>
              <w:rPr>
                <w:highlight w:val="yellow"/>
              </w:rPr>
            </w:pPr>
            <w:r w:rsidRPr="0091074A">
              <w:t xml:space="preserve"> 35 </w:t>
            </w:r>
          </w:p>
        </w:tc>
        <w:tc>
          <w:tcPr>
            <w:tcW w:w="907" w:type="dxa"/>
            <w:tcBorders>
              <w:top w:val="nil"/>
              <w:bottom w:val="nil"/>
              <w:right w:val="nil"/>
            </w:tcBorders>
            <w:shd w:val="clear" w:color="auto" w:fill="auto"/>
          </w:tcPr>
          <w:p w14:paraId="3DF3DF8D" w14:textId="77777777" w:rsidR="00E90281" w:rsidRPr="002B1D8F" w:rsidRDefault="00E90281" w:rsidP="00A05864">
            <w:pPr>
              <w:pStyle w:val="TableTextCentered"/>
              <w:rPr>
                <w:highlight w:val="yellow"/>
              </w:rPr>
            </w:pPr>
            <w:r w:rsidRPr="0091074A">
              <w:t xml:space="preserve"> 31 </w:t>
            </w:r>
          </w:p>
        </w:tc>
      </w:tr>
      <w:tr w:rsidR="00E90281" w:rsidRPr="002B1D8F" w14:paraId="314BF148" w14:textId="77777777" w:rsidTr="006D1FD4">
        <w:trPr>
          <w:trHeight w:val="308"/>
        </w:trPr>
        <w:tc>
          <w:tcPr>
            <w:tcW w:w="1813" w:type="dxa"/>
            <w:tcBorders>
              <w:top w:val="nil"/>
              <w:left w:val="nil"/>
              <w:bottom w:val="nil"/>
            </w:tcBorders>
            <w:shd w:val="clear" w:color="auto" w:fill="auto"/>
            <w:vAlign w:val="center"/>
          </w:tcPr>
          <w:p w14:paraId="0FCF9FA1" w14:textId="77777777" w:rsidR="00E90281" w:rsidRPr="002B1D8F" w:rsidRDefault="00E90281" w:rsidP="00A05864">
            <w:pPr>
              <w:pStyle w:val="TableTextLeft"/>
            </w:pPr>
            <w:r w:rsidRPr="002B1D8F">
              <w:t>Constructi</w:t>
            </w:r>
            <w:r w:rsidRPr="002B1D8F">
              <w:rPr>
                <w:rFonts w:cs="Calibri"/>
                <w:szCs w:val="18"/>
              </w:rPr>
              <w:t>on</w:t>
            </w:r>
          </w:p>
        </w:tc>
        <w:tc>
          <w:tcPr>
            <w:tcW w:w="907" w:type="dxa"/>
            <w:tcBorders>
              <w:top w:val="nil"/>
              <w:bottom w:val="nil"/>
            </w:tcBorders>
            <w:shd w:val="clear" w:color="auto" w:fill="auto"/>
          </w:tcPr>
          <w:p w14:paraId="2B2BA44E" w14:textId="77777777" w:rsidR="00E90281" w:rsidRPr="002B1D8F" w:rsidRDefault="00E90281" w:rsidP="00A05864">
            <w:pPr>
              <w:pStyle w:val="TableTextCentered"/>
              <w:rPr>
                <w:highlight w:val="yellow"/>
              </w:rPr>
            </w:pPr>
            <w:r w:rsidRPr="0091074A">
              <w:t xml:space="preserve"> 129.1 </w:t>
            </w:r>
          </w:p>
        </w:tc>
        <w:tc>
          <w:tcPr>
            <w:tcW w:w="907" w:type="dxa"/>
            <w:tcBorders>
              <w:top w:val="nil"/>
              <w:bottom w:val="nil"/>
            </w:tcBorders>
            <w:shd w:val="clear" w:color="auto" w:fill="auto"/>
          </w:tcPr>
          <w:p w14:paraId="444AFC62" w14:textId="77777777" w:rsidR="00E90281" w:rsidRPr="002B1D8F" w:rsidRDefault="00E90281" w:rsidP="00A05864">
            <w:pPr>
              <w:pStyle w:val="TableTextCentered"/>
              <w:rPr>
                <w:highlight w:val="yellow"/>
              </w:rPr>
            </w:pPr>
            <w:r w:rsidRPr="0091074A">
              <w:t xml:space="preserve"> 3,977.3 </w:t>
            </w:r>
          </w:p>
        </w:tc>
        <w:tc>
          <w:tcPr>
            <w:tcW w:w="907" w:type="dxa"/>
            <w:tcBorders>
              <w:top w:val="nil"/>
              <w:bottom w:val="nil"/>
            </w:tcBorders>
            <w:shd w:val="clear" w:color="auto" w:fill="auto"/>
          </w:tcPr>
          <w:p w14:paraId="0BC11059" w14:textId="77777777" w:rsidR="00E90281" w:rsidRPr="002B1D8F" w:rsidRDefault="00E90281" w:rsidP="00A05864">
            <w:pPr>
              <w:pStyle w:val="TableTextCentered"/>
              <w:rPr>
                <w:highlight w:val="yellow"/>
              </w:rPr>
            </w:pPr>
            <w:r w:rsidRPr="0091074A">
              <w:t xml:space="preserve"> 45 </w:t>
            </w:r>
          </w:p>
        </w:tc>
        <w:tc>
          <w:tcPr>
            <w:tcW w:w="907" w:type="dxa"/>
            <w:tcBorders>
              <w:top w:val="nil"/>
              <w:bottom w:val="nil"/>
            </w:tcBorders>
            <w:shd w:val="clear" w:color="auto" w:fill="auto"/>
          </w:tcPr>
          <w:p w14:paraId="089CEA85" w14:textId="77777777" w:rsidR="00E90281" w:rsidRPr="002B1D8F" w:rsidRDefault="00E90281" w:rsidP="00A05864">
            <w:pPr>
              <w:pStyle w:val="TableTextCentered"/>
              <w:rPr>
                <w:highlight w:val="yellow"/>
              </w:rPr>
            </w:pPr>
            <w:r w:rsidRPr="0091074A">
              <w:t xml:space="preserve"> 43 </w:t>
            </w:r>
          </w:p>
        </w:tc>
        <w:tc>
          <w:tcPr>
            <w:tcW w:w="907" w:type="dxa"/>
            <w:tcBorders>
              <w:top w:val="nil"/>
              <w:bottom w:val="nil"/>
            </w:tcBorders>
            <w:shd w:val="clear" w:color="auto" w:fill="auto"/>
          </w:tcPr>
          <w:p w14:paraId="06DDAF09" w14:textId="77777777" w:rsidR="00E90281" w:rsidRPr="002B1D8F" w:rsidRDefault="00E90281" w:rsidP="00A05864">
            <w:pPr>
              <w:pStyle w:val="TableTextCentered"/>
              <w:rPr>
                <w:highlight w:val="yellow"/>
              </w:rPr>
            </w:pPr>
            <w:r w:rsidRPr="0091074A">
              <w:t xml:space="preserve"> 20 </w:t>
            </w:r>
          </w:p>
        </w:tc>
        <w:tc>
          <w:tcPr>
            <w:tcW w:w="907" w:type="dxa"/>
            <w:tcBorders>
              <w:top w:val="nil"/>
              <w:bottom w:val="nil"/>
            </w:tcBorders>
            <w:shd w:val="clear" w:color="auto" w:fill="auto"/>
          </w:tcPr>
          <w:p w14:paraId="0190A106" w14:textId="77777777" w:rsidR="00E90281" w:rsidRPr="002B1D8F" w:rsidRDefault="00E90281" w:rsidP="00A05864">
            <w:pPr>
              <w:pStyle w:val="TableTextCentered"/>
              <w:rPr>
                <w:highlight w:val="yellow"/>
              </w:rPr>
            </w:pPr>
            <w:r w:rsidRPr="0091074A">
              <w:t xml:space="preserve"> 22 </w:t>
            </w:r>
          </w:p>
        </w:tc>
        <w:tc>
          <w:tcPr>
            <w:tcW w:w="907" w:type="dxa"/>
            <w:tcBorders>
              <w:top w:val="nil"/>
              <w:bottom w:val="nil"/>
            </w:tcBorders>
            <w:shd w:val="clear" w:color="auto" w:fill="auto"/>
          </w:tcPr>
          <w:p w14:paraId="247E11DD" w14:textId="77777777" w:rsidR="00E90281" w:rsidRPr="002B1D8F" w:rsidRDefault="00E90281" w:rsidP="00A05864">
            <w:pPr>
              <w:pStyle w:val="TableTextCentered"/>
              <w:rPr>
                <w:highlight w:val="yellow"/>
              </w:rPr>
            </w:pPr>
            <w:r w:rsidRPr="0091074A">
              <w:t xml:space="preserve"> 35 </w:t>
            </w:r>
          </w:p>
        </w:tc>
        <w:tc>
          <w:tcPr>
            <w:tcW w:w="907" w:type="dxa"/>
            <w:tcBorders>
              <w:top w:val="nil"/>
              <w:bottom w:val="nil"/>
              <w:right w:val="nil"/>
            </w:tcBorders>
            <w:shd w:val="clear" w:color="auto" w:fill="auto"/>
          </w:tcPr>
          <w:p w14:paraId="138004FC" w14:textId="77777777" w:rsidR="00E90281" w:rsidRPr="002B1D8F" w:rsidRDefault="00E90281" w:rsidP="00A05864">
            <w:pPr>
              <w:pStyle w:val="TableTextCentered"/>
              <w:rPr>
                <w:highlight w:val="yellow"/>
              </w:rPr>
            </w:pPr>
            <w:r w:rsidRPr="0091074A">
              <w:t xml:space="preserve"> 35 </w:t>
            </w:r>
          </w:p>
        </w:tc>
      </w:tr>
      <w:tr w:rsidR="00E90281" w:rsidRPr="002B1D8F" w14:paraId="5FE44D70" w14:textId="77777777" w:rsidTr="006D1FD4">
        <w:trPr>
          <w:trHeight w:val="308"/>
        </w:trPr>
        <w:tc>
          <w:tcPr>
            <w:tcW w:w="1813" w:type="dxa"/>
            <w:tcBorders>
              <w:top w:val="nil"/>
              <w:left w:val="nil"/>
              <w:bottom w:val="nil"/>
            </w:tcBorders>
            <w:shd w:val="clear" w:color="auto" w:fill="auto"/>
            <w:vAlign w:val="center"/>
          </w:tcPr>
          <w:p w14:paraId="49741C0D" w14:textId="77777777" w:rsidR="00E90281" w:rsidRPr="002B1D8F" w:rsidRDefault="00E90281" w:rsidP="00A05864">
            <w:pPr>
              <w:pStyle w:val="TableTextLeft"/>
            </w:pPr>
            <w:r w:rsidRPr="002B1D8F">
              <w:t>Wholesale Trade</w:t>
            </w:r>
          </w:p>
        </w:tc>
        <w:tc>
          <w:tcPr>
            <w:tcW w:w="907" w:type="dxa"/>
            <w:tcBorders>
              <w:top w:val="nil"/>
              <w:bottom w:val="nil"/>
            </w:tcBorders>
            <w:shd w:val="clear" w:color="auto" w:fill="auto"/>
          </w:tcPr>
          <w:p w14:paraId="06650C75" w14:textId="77777777" w:rsidR="00E90281" w:rsidRPr="002B1D8F" w:rsidRDefault="00E90281" w:rsidP="00A05864">
            <w:pPr>
              <w:pStyle w:val="TableTextCentered"/>
              <w:rPr>
                <w:highlight w:val="yellow"/>
              </w:rPr>
            </w:pPr>
            <w:r w:rsidRPr="0091074A">
              <w:t xml:space="preserve"> 24.1 </w:t>
            </w:r>
          </w:p>
        </w:tc>
        <w:tc>
          <w:tcPr>
            <w:tcW w:w="907" w:type="dxa"/>
            <w:tcBorders>
              <w:top w:val="nil"/>
              <w:bottom w:val="nil"/>
            </w:tcBorders>
            <w:shd w:val="clear" w:color="auto" w:fill="auto"/>
          </w:tcPr>
          <w:p w14:paraId="6D9BABAF" w14:textId="77777777" w:rsidR="00E90281" w:rsidRPr="002B1D8F" w:rsidRDefault="00E90281" w:rsidP="00A05864">
            <w:pPr>
              <w:pStyle w:val="TableTextCentered"/>
              <w:rPr>
                <w:highlight w:val="yellow"/>
              </w:rPr>
            </w:pPr>
            <w:r w:rsidRPr="0091074A">
              <w:t xml:space="preserve"> 1,629.1 </w:t>
            </w:r>
          </w:p>
        </w:tc>
        <w:tc>
          <w:tcPr>
            <w:tcW w:w="907" w:type="dxa"/>
            <w:tcBorders>
              <w:top w:val="nil"/>
              <w:bottom w:val="nil"/>
            </w:tcBorders>
            <w:shd w:val="clear" w:color="auto" w:fill="auto"/>
          </w:tcPr>
          <w:p w14:paraId="081647D9" w14:textId="77777777" w:rsidR="00E90281" w:rsidRPr="002B1D8F" w:rsidRDefault="00E90281" w:rsidP="00A05864">
            <w:pPr>
              <w:pStyle w:val="TableTextCentered"/>
              <w:rPr>
                <w:highlight w:val="yellow"/>
              </w:rPr>
            </w:pPr>
            <w:r w:rsidRPr="0091074A">
              <w:t xml:space="preserve"> 41 </w:t>
            </w:r>
          </w:p>
        </w:tc>
        <w:tc>
          <w:tcPr>
            <w:tcW w:w="907" w:type="dxa"/>
            <w:tcBorders>
              <w:top w:val="nil"/>
              <w:bottom w:val="nil"/>
            </w:tcBorders>
            <w:shd w:val="clear" w:color="auto" w:fill="auto"/>
          </w:tcPr>
          <w:p w14:paraId="59CEF944" w14:textId="77777777" w:rsidR="00E90281" w:rsidRPr="002B1D8F" w:rsidRDefault="00E90281" w:rsidP="00A05864">
            <w:pPr>
              <w:pStyle w:val="TableTextCentered"/>
              <w:rPr>
                <w:highlight w:val="yellow"/>
              </w:rPr>
            </w:pPr>
            <w:r w:rsidRPr="0091074A">
              <w:t xml:space="preserve"> 27 </w:t>
            </w:r>
          </w:p>
        </w:tc>
        <w:tc>
          <w:tcPr>
            <w:tcW w:w="907" w:type="dxa"/>
            <w:tcBorders>
              <w:top w:val="nil"/>
              <w:bottom w:val="nil"/>
            </w:tcBorders>
            <w:shd w:val="clear" w:color="auto" w:fill="auto"/>
          </w:tcPr>
          <w:p w14:paraId="743D90B3" w14:textId="77777777" w:rsidR="00E90281" w:rsidRPr="002B1D8F" w:rsidRDefault="00E90281" w:rsidP="00A05864">
            <w:pPr>
              <w:pStyle w:val="TableTextCentered"/>
              <w:rPr>
                <w:highlight w:val="yellow"/>
              </w:rPr>
            </w:pPr>
            <w:r w:rsidRPr="0091074A">
              <w:t xml:space="preserve"> 21 </w:t>
            </w:r>
          </w:p>
        </w:tc>
        <w:tc>
          <w:tcPr>
            <w:tcW w:w="907" w:type="dxa"/>
            <w:tcBorders>
              <w:top w:val="nil"/>
              <w:bottom w:val="nil"/>
            </w:tcBorders>
            <w:shd w:val="clear" w:color="auto" w:fill="auto"/>
          </w:tcPr>
          <w:p w14:paraId="78E50B8D" w14:textId="77777777" w:rsidR="00E90281" w:rsidRPr="002B1D8F" w:rsidRDefault="00E90281" w:rsidP="00A05864">
            <w:pPr>
              <w:pStyle w:val="TableTextCentered"/>
              <w:rPr>
                <w:highlight w:val="yellow"/>
              </w:rPr>
            </w:pPr>
            <w:r w:rsidRPr="0091074A">
              <w:t xml:space="preserve"> 31 </w:t>
            </w:r>
          </w:p>
        </w:tc>
        <w:tc>
          <w:tcPr>
            <w:tcW w:w="907" w:type="dxa"/>
            <w:tcBorders>
              <w:top w:val="nil"/>
              <w:bottom w:val="nil"/>
            </w:tcBorders>
            <w:shd w:val="clear" w:color="auto" w:fill="auto"/>
          </w:tcPr>
          <w:p w14:paraId="05F9090D" w14:textId="77777777" w:rsidR="00E90281" w:rsidRPr="002B1D8F" w:rsidRDefault="00E90281" w:rsidP="00A05864">
            <w:pPr>
              <w:pStyle w:val="TableTextCentered"/>
              <w:rPr>
                <w:highlight w:val="yellow"/>
              </w:rPr>
            </w:pPr>
            <w:r w:rsidRPr="0091074A">
              <w:t xml:space="preserve"> 38 </w:t>
            </w:r>
          </w:p>
        </w:tc>
        <w:tc>
          <w:tcPr>
            <w:tcW w:w="907" w:type="dxa"/>
            <w:tcBorders>
              <w:top w:val="nil"/>
              <w:bottom w:val="nil"/>
              <w:right w:val="nil"/>
            </w:tcBorders>
            <w:shd w:val="clear" w:color="auto" w:fill="auto"/>
          </w:tcPr>
          <w:p w14:paraId="3DDCEFB2" w14:textId="77777777" w:rsidR="00E90281" w:rsidRPr="002B1D8F" w:rsidRDefault="00E90281" w:rsidP="00A05864">
            <w:pPr>
              <w:pStyle w:val="TableTextCentered"/>
              <w:rPr>
                <w:highlight w:val="yellow"/>
              </w:rPr>
            </w:pPr>
            <w:r w:rsidRPr="0091074A">
              <w:t xml:space="preserve"> 42 </w:t>
            </w:r>
          </w:p>
        </w:tc>
      </w:tr>
      <w:tr w:rsidR="00E90281" w:rsidRPr="002B1D8F" w14:paraId="14D4E3A7" w14:textId="77777777" w:rsidTr="006D1FD4">
        <w:trPr>
          <w:trHeight w:val="308"/>
        </w:trPr>
        <w:tc>
          <w:tcPr>
            <w:tcW w:w="1813" w:type="dxa"/>
            <w:tcBorders>
              <w:top w:val="nil"/>
              <w:left w:val="nil"/>
              <w:bottom w:val="nil"/>
            </w:tcBorders>
            <w:shd w:val="clear" w:color="auto" w:fill="auto"/>
            <w:vAlign w:val="center"/>
          </w:tcPr>
          <w:p w14:paraId="547BB05B" w14:textId="77777777" w:rsidR="00E90281" w:rsidRPr="002B1D8F" w:rsidRDefault="00E90281" w:rsidP="00A05864">
            <w:pPr>
              <w:pStyle w:val="TableTextLeft"/>
            </w:pPr>
            <w:r w:rsidRPr="002B1D8F">
              <w:t>Retail Trade</w:t>
            </w:r>
          </w:p>
        </w:tc>
        <w:tc>
          <w:tcPr>
            <w:tcW w:w="907" w:type="dxa"/>
            <w:tcBorders>
              <w:top w:val="nil"/>
              <w:bottom w:val="nil"/>
            </w:tcBorders>
            <w:shd w:val="clear" w:color="auto" w:fill="auto"/>
          </w:tcPr>
          <w:p w14:paraId="282977C4" w14:textId="77777777" w:rsidR="00E90281" w:rsidRPr="002B1D8F" w:rsidRDefault="00E90281" w:rsidP="00A05864">
            <w:pPr>
              <w:pStyle w:val="TableTextCentered"/>
              <w:rPr>
                <w:highlight w:val="yellow"/>
              </w:rPr>
            </w:pPr>
            <w:r w:rsidRPr="0091074A">
              <w:t xml:space="preserve"> 45.9 </w:t>
            </w:r>
          </w:p>
        </w:tc>
        <w:tc>
          <w:tcPr>
            <w:tcW w:w="907" w:type="dxa"/>
            <w:tcBorders>
              <w:top w:val="nil"/>
              <w:bottom w:val="nil"/>
            </w:tcBorders>
            <w:shd w:val="clear" w:color="auto" w:fill="auto"/>
          </w:tcPr>
          <w:p w14:paraId="59E45279" w14:textId="77777777" w:rsidR="00E90281" w:rsidRPr="002B1D8F" w:rsidRDefault="00E90281" w:rsidP="00A05864">
            <w:pPr>
              <w:pStyle w:val="TableTextCentered"/>
              <w:rPr>
                <w:highlight w:val="yellow"/>
              </w:rPr>
            </w:pPr>
            <w:r w:rsidRPr="0091074A">
              <w:t xml:space="preserve"> 2,734.2 </w:t>
            </w:r>
          </w:p>
        </w:tc>
        <w:tc>
          <w:tcPr>
            <w:tcW w:w="907" w:type="dxa"/>
            <w:tcBorders>
              <w:top w:val="nil"/>
              <w:bottom w:val="nil"/>
            </w:tcBorders>
            <w:shd w:val="clear" w:color="auto" w:fill="auto"/>
          </w:tcPr>
          <w:p w14:paraId="273CD59C" w14:textId="77777777" w:rsidR="00E90281" w:rsidRPr="002B1D8F" w:rsidRDefault="00E90281" w:rsidP="00A05864">
            <w:pPr>
              <w:pStyle w:val="TableTextCentered"/>
              <w:rPr>
                <w:highlight w:val="yellow"/>
              </w:rPr>
            </w:pPr>
            <w:r w:rsidRPr="0091074A">
              <w:t xml:space="preserve"> 40 </w:t>
            </w:r>
          </w:p>
        </w:tc>
        <w:tc>
          <w:tcPr>
            <w:tcW w:w="907" w:type="dxa"/>
            <w:tcBorders>
              <w:top w:val="nil"/>
              <w:bottom w:val="nil"/>
            </w:tcBorders>
            <w:shd w:val="clear" w:color="auto" w:fill="auto"/>
          </w:tcPr>
          <w:p w14:paraId="63DB797E" w14:textId="77777777" w:rsidR="00E90281" w:rsidRPr="002B1D8F" w:rsidRDefault="00E90281" w:rsidP="00A05864">
            <w:pPr>
              <w:pStyle w:val="TableTextCentered"/>
              <w:rPr>
                <w:highlight w:val="yellow"/>
              </w:rPr>
            </w:pPr>
            <w:r w:rsidRPr="0091074A">
              <w:t xml:space="preserve"> 31 </w:t>
            </w:r>
          </w:p>
        </w:tc>
        <w:tc>
          <w:tcPr>
            <w:tcW w:w="907" w:type="dxa"/>
            <w:tcBorders>
              <w:top w:val="nil"/>
              <w:bottom w:val="nil"/>
            </w:tcBorders>
            <w:shd w:val="clear" w:color="auto" w:fill="auto"/>
          </w:tcPr>
          <w:p w14:paraId="75D0BCF9" w14:textId="77777777" w:rsidR="00E90281" w:rsidRPr="002B1D8F" w:rsidRDefault="00E90281" w:rsidP="00A05864">
            <w:pPr>
              <w:pStyle w:val="TableTextCentered"/>
              <w:rPr>
                <w:highlight w:val="yellow"/>
              </w:rPr>
            </w:pPr>
            <w:r w:rsidRPr="0091074A">
              <w:t xml:space="preserve"> 20 </w:t>
            </w:r>
          </w:p>
        </w:tc>
        <w:tc>
          <w:tcPr>
            <w:tcW w:w="907" w:type="dxa"/>
            <w:tcBorders>
              <w:top w:val="nil"/>
              <w:bottom w:val="nil"/>
            </w:tcBorders>
            <w:shd w:val="clear" w:color="auto" w:fill="auto"/>
          </w:tcPr>
          <w:p w14:paraId="63EE935E" w14:textId="77777777" w:rsidR="00E90281" w:rsidRPr="002B1D8F" w:rsidRDefault="00E90281" w:rsidP="00A05864">
            <w:pPr>
              <w:pStyle w:val="TableTextCentered"/>
              <w:rPr>
                <w:highlight w:val="yellow"/>
              </w:rPr>
            </w:pPr>
            <w:r w:rsidRPr="0091074A">
              <w:t xml:space="preserve"> 30 </w:t>
            </w:r>
          </w:p>
        </w:tc>
        <w:tc>
          <w:tcPr>
            <w:tcW w:w="907" w:type="dxa"/>
            <w:tcBorders>
              <w:top w:val="nil"/>
              <w:bottom w:val="nil"/>
            </w:tcBorders>
            <w:shd w:val="clear" w:color="auto" w:fill="auto"/>
          </w:tcPr>
          <w:p w14:paraId="5298612D" w14:textId="77777777" w:rsidR="00E90281" w:rsidRPr="002B1D8F" w:rsidRDefault="00E90281" w:rsidP="00A05864">
            <w:pPr>
              <w:pStyle w:val="TableTextCentered"/>
              <w:rPr>
                <w:highlight w:val="yellow"/>
              </w:rPr>
            </w:pPr>
            <w:r w:rsidRPr="0091074A">
              <w:t xml:space="preserve"> 40 </w:t>
            </w:r>
          </w:p>
        </w:tc>
        <w:tc>
          <w:tcPr>
            <w:tcW w:w="907" w:type="dxa"/>
            <w:tcBorders>
              <w:top w:val="nil"/>
              <w:bottom w:val="nil"/>
              <w:right w:val="nil"/>
            </w:tcBorders>
            <w:shd w:val="clear" w:color="auto" w:fill="auto"/>
          </w:tcPr>
          <w:p w14:paraId="3AD4E7FF" w14:textId="77777777" w:rsidR="00E90281" w:rsidRPr="002B1D8F" w:rsidRDefault="00E90281" w:rsidP="00A05864">
            <w:pPr>
              <w:pStyle w:val="TableTextCentered"/>
              <w:rPr>
                <w:highlight w:val="yellow"/>
              </w:rPr>
            </w:pPr>
            <w:r w:rsidRPr="0091074A">
              <w:t xml:space="preserve"> 39 </w:t>
            </w:r>
          </w:p>
        </w:tc>
      </w:tr>
      <w:tr w:rsidR="00E90281" w:rsidRPr="002B1D8F" w14:paraId="5D842E3B" w14:textId="77777777" w:rsidTr="006D1FD4">
        <w:tc>
          <w:tcPr>
            <w:tcW w:w="1813" w:type="dxa"/>
            <w:tcBorders>
              <w:top w:val="nil"/>
              <w:left w:val="nil"/>
              <w:bottom w:val="nil"/>
            </w:tcBorders>
            <w:shd w:val="clear" w:color="auto" w:fill="auto"/>
            <w:vAlign w:val="center"/>
          </w:tcPr>
          <w:p w14:paraId="462E321E" w14:textId="77777777" w:rsidR="00E90281" w:rsidRPr="002B1D8F" w:rsidRDefault="00E90281" w:rsidP="00A05864">
            <w:pPr>
              <w:pStyle w:val="TableTextLeft"/>
            </w:pPr>
            <w:r w:rsidRPr="002B1D8F">
              <w:t>Accommodation and Food Services</w:t>
            </w:r>
          </w:p>
        </w:tc>
        <w:tc>
          <w:tcPr>
            <w:tcW w:w="907" w:type="dxa"/>
            <w:tcBorders>
              <w:top w:val="nil"/>
              <w:bottom w:val="nil"/>
            </w:tcBorders>
            <w:shd w:val="clear" w:color="auto" w:fill="auto"/>
          </w:tcPr>
          <w:p w14:paraId="7545886E" w14:textId="77777777" w:rsidR="00E90281" w:rsidRPr="002B1D8F" w:rsidRDefault="00E90281" w:rsidP="00A05864">
            <w:pPr>
              <w:pStyle w:val="TableTextCentered"/>
              <w:rPr>
                <w:highlight w:val="yellow"/>
              </w:rPr>
            </w:pPr>
            <w:r w:rsidRPr="0091074A">
              <w:t xml:space="preserve"> 44.4 </w:t>
            </w:r>
          </w:p>
        </w:tc>
        <w:tc>
          <w:tcPr>
            <w:tcW w:w="907" w:type="dxa"/>
            <w:tcBorders>
              <w:top w:val="nil"/>
              <w:bottom w:val="nil"/>
            </w:tcBorders>
            <w:shd w:val="clear" w:color="auto" w:fill="auto"/>
          </w:tcPr>
          <w:p w14:paraId="078FD482" w14:textId="77777777" w:rsidR="00E90281" w:rsidRPr="002B1D8F" w:rsidRDefault="00E90281" w:rsidP="00A05864">
            <w:pPr>
              <w:pStyle w:val="TableTextCentered"/>
              <w:rPr>
                <w:highlight w:val="yellow"/>
              </w:rPr>
            </w:pPr>
            <w:r w:rsidRPr="0091074A">
              <w:t xml:space="preserve"> 2,317.2 </w:t>
            </w:r>
          </w:p>
        </w:tc>
        <w:tc>
          <w:tcPr>
            <w:tcW w:w="907" w:type="dxa"/>
            <w:tcBorders>
              <w:top w:val="nil"/>
              <w:bottom w:val="nil"/>
            </w:tcBorders>
            <w:shd w:val="clear" w:color="auto" w:fill="auto"/>
          </w:tcPr>
          <w:p w14:paraId="33D82C1C" w14:textId="77777777" w:rsidR="00E90281" w:rsidRPr="002B1D8F" w:rsidRDefault="00E90281" w:rsidP="00A05864">
            <w:pPr>
              <w:pStyle w:val="TableTextCentered"/>
              <w:rPr>
                <w:highlight w:val="yellow"/>
              </w:rPr>
            </w:pPr>
            <w:r w:rsidRPr="0091074A">
              <w:t xml:space="preserve"> 47 </w:t>
            </w:r>
          </w:p>
        </w:tc>
        <w:tc>
          <w:tcPr>
            <w:tcW w:w="907" w:type="dxa"/>
            <w:tcBorders>
              <w:top w:val="nil"/>
              <w:bottom w:val="nil"/>
            </w:tcBorders>
            <w:shd w:val="clear" w:color="auto" w:fill="auto"/>
          </w:tcPr>
          <w:p w14:paraId="07210072" w14:textId="77777777" w:rsidR="00E90281" w:rsidRPr="002B1D8F" w:rsidRDefault="00E90281" w:rsidP="00A05864">
            <w:pPr>
              <w:pStyle w:val="TableTextCentered"/>
              <w:rPr>
                <w:highlight w:val="yellow"/>
              </w:rPr>
            </w:pPr>
            <w:r w:rsidRPr="0091074A">
              <w:t xml:space="preserve"> 49 </w:t>
            </w:r>
          </w:p>
        </w:tc>
        <w:tc>
          <w:tcPr>
            <w:tcW w:w="907" w:type="dxa"/>
            <w:tcBorders>
              <w:top w:val="nil"/>
              <w:bottom w:val="nil"/>
            </w:tcBorders>
            <w:shd w:val="clear" w:color="auto" w:fill="auto"/>
          </w:tcPr>
          <w:p w14:paraId="181AD9D4" w14:textId="77777777" w:rsidR="00E90281" w:rsidRPr="002B1D8F" w:rsidRDefault="00E90281" w:rsidP="00A05864">
            <w:pPr>
              <w:pStyle w:val="TableTextCentered"/>
              <w:rPr>
                <w:highlight w:val="yellow"/>
              </w:rPr>
            </w:pPr>
            <w:r w:rsidRPr="0091074A">
              <w:t xml:space="preserve"> 21 </w:t>
            </w:r>
          </w:p>
        </w:tc>
        <w:tc>
          <w:tcPr>
            <w:tcW w:w="907" w:type="dxa"/>
            <w:tcBorders>
              <w:top w:val="nil"/>
              <w:bottom w:val="nil"/>
            </w:tcBorders>
            <w:shd w:val="clear" w:color="auto" w:fill="auto"/>
          </w:tcPr>
          <w:p w14:paraId="59234745" w14:textId="77777777" w:rsidR="00E90281" w:rsidRPr="002B1D8F" w:rsidRDefault="00E90281" w:rsidP="00A05864">
            <w:pPr>
              <w:pStyle w:val="TableTextCentered"/>
              <w:rPr>
                <w:highlight w:val="yellow"/>
              </w:rPr>
            </w:pPr>
            <w:r w:rsidRPr="0091074A">
              <w:t xml:space="preserve"> 20 </w:t>
            </w:r>
          </w:p>
        </w:tc>
        <w:tc>
          <w:tcPr>
            <w:tcW w:w="907" w:type="dxa"/>
            <w:tcBorders>
              <w:top w:val="nil"/>
              <w:bottom w:val="nil"/>
            </w:tcBorders>
            <w:shd w:val="clear" w:color="auto" w:fill="auto"/>
          </w:tcPr>
          <w:p w14:paraId="3972172E" w14:textId="77777777" w:rsidR="00E90281" w:rsidRPr="002B1D8F" w:rsidRDefault="00E90281" w:rsidP="00A05864">
            <w:pPr>
              <w:pStyle w:val="TableTextCentered"/>
              <w:rPr>
                <w:highlight w:val="yellow"/>
              </w:rPr>
            </w:pPr>
            <w:r w:rsidRPr="0091074A">
              <w:t xml:space="preserve"> 32 </w:t>
            </w:r>
          </w:p>
        </w:tc>
        <w:tc>
          <w:tcPr>
            <w:tcW w:w="907" w:type="dxa"/>
            <w:tcBorders>
              <w:top w:val="nil"/>
              <w:bottom w:val="nil"/>
              <w:right w:val="nil"/>
            </w:tcBorders>
            <w:shd w:val="clear" w:color="auto" w:fill="auto"/>
          </w:tcPr>
          <w:p w14:paraId="68F015E0" w14:textId="77777777" w:rsidR="00E90281" w:rsidRPr="002B1D8F" w:rsidRDefault="00E90281" w:rsidP="00A05864">
            <w:pPr>
              <w:pStyle w:val="TableTextCentered"/>
              <w:rPr>
                <w:highlight w:val="yellow"/>
              </w:rPr>
            </w:pPr>
            <w:r w:rsidRPr="0091074A">
              <w:t xml:space="preserve"> 31 </w:t>
            </w:r>
          </w:p>
        </w:tc>
      </w:tr>
      <w:tr w:rsidR="00E90281" w:rsidRPr="002B1D8F" w14:paraId="6B3A57DE" w14:textId="77777777" w:rsidTr="006D1FD4">
        <w:trPr>
          <w:trHeight w:val="308"/>
        </w:trPr>
        <w:tc>
          <w:tcPr>
            <w:tcW w:w="1813" w:type="dxa"/>
            <w:tcBorders>
              <w:top w:val="nil"/>
              <w:left w:val="nil"/>
              <w:bottom w:val="nil"/>
            </w:tcBorders>
            <w:shd w:val="clear" w:color="auto" w:fill="auto"/>
            <w:vAlign w:val="center"/>
          </w:tcPr>
          <w:p w14:paraId="32EE70F1" w14:textId="77777777" w:rsidR="00E90281" w:rsidRPr="002B1D8F" w:rsidRDefault="00E90281" w:rsidP="00A05864">
            <w:pPr>
              <w:pStyle w:val="TableTextLeft"/>
            </w:pPr>
            <w:r w:rsidRPr="002B1D8F">
              <w:t>Transp</w:t>
            </w:r>
            <w:r w:rsidRPr="002B1D8F">
              <w:rPr>
                <w:rFonts w:cs="Calibri"/>
                <w:szCs w:val="18"/>
              </w:rPr>
              <w:t>ort, Postal and Warehousing</w:t>
            </w:r>
          </w:p>
        </w:tc>
        <w:tc>
          <w:tcPr>
            <w:tcW w:w="907" w:type="dxa"/>
            <w:tcBorders>
              <w:top w:val="nil"/>
              <w:bottom w:val="nil"/>
            </w:tcBorders>
            <w:shd w:val="clear" w:color="auto" w:fill="auto"/>
          </w:tcPr>
          <w:p w14:paraId="006F896C" w14:textId="77777777" w:rsidR="00E90281" w:rsidRPr="002B1D8F" w:rsidRDefault="00E90281" w:rsidP="00A05864">
            <w:pPr>
              <w:pStyle w:val="TableTextCentered"/>
              <w:rPr>
                <w:highlight w:val="yellow"/>
              </w:rPr>
            </w:pPr>
            <w:r w:rsidRPr="0091074A">
              <w:t xml:space="preserve"> 50.1 </w:t>
            </w:r>
          </w:p>
        </w:tc>
        <w:tc>
          <w:tcPr>
            <w:tcW w:w="907" w:type="dxa"/>
            <w:tcBorders>
              <w:top w:val="nil"/>
              <w:bottom w:val="nil"/>
            </w:tcBorders>
            <w:shd w:val="clear" w:color="auto" w:fill="auto"/>
          </w:tcPr>
          <w:p w14:paraId="51F7ACBB" w14:textId="77777777" w:rsidR="00E90281" w:rsidRPr="002B1D8F" w:rsidRDefault="00E90281" w:rsidP="00A05864">
            <w:pPr>
              <w:pStyle w:val="TableTextCentered"/>
              <w:rPr>
                <w:highlight w:val="yellow"/>
              </w:rPr>
            </w:pPr>
            <w:r w:rsidRPr="0091074A">
              <w:t xml:space="preserve"> 1,327.2 </w:t>
            </w:r>
          </w:p>
        </w:tc>
        <w:tc>
          <w:tcPr>
            <w:tcW w:w="907" w:type="dxa"/>
            <w:tcBorders>
              <w:top w:val="nil"/>
              <w:bottom w:val="nil"/>
            </w:tcBorders>
            <w:shd w:val="clear" w:color="auto" w:fill="auto"/>
          </w:tcPr>
          <w:p w14:paraId="25AA5A21" w14:textId="77777777" w:rsidR="00E90281" w:rsidRPr="002B1D8F" w:rsidRDefault="00E90281" w:rsidP="00A05864">
            <w:pPr>
              <w:pStyle w:val="TableTextCentered"/>
              <w:rPr>
                <w:highlight w:val="yellow"/>
              </w:rPr>
            </w:pPr>
            <w:r w:rsidRPr="0091074A">
              <w:t xml:space="preserve"> 61 </w:t>
            </w:r>
          </w:p>
        </w:tc>
        <w:tc>
          <w:tcPr>
            <w:tcW w:w="907" w:type="dxa"/>
            <w:tcBorders>
              <w:top w:val="nil"/>
              <w:bottom w:val="nil"/>
            </w:tcBorders>
            <w:shd w:val="clear" w:color="auto" w:fill="auto"/>
          </w:tcPr>
          <w:p w14:paraId="13505AEA" w14:textId="77777777" w:rsidR="00E90281" w:rsidRPr="002B1D8F" w:rsidRDefault="00E90281" w:rsidP="00A05864">
            <w:pPr>
              <w:pStyle w:val="TableTextCentered"/>
              <w:rPr>
                <w:highlight w:val="yellow"/>
              </w:rPr>
            </w:pPr>
            <w:r w:rsidRPr="0091074A">
              <w:t xml:space="preserve"> 61 </w:t>
            </w:r>
          </w:p>
        </w:tc>
        <w:tc>
          <w:tcPr>
            <w:tcW w:w="907" w:type="dxa"/>
            <w:tcBorders>
              <w:top w:val="nil"/>
              <w:bottom w:val="nil"/>
            </w:tcBorders>
            <w:shd w:val="clear" w:color="auto" w:fill="auto"/>
          </w:tcPr>
          <w:p w14:paraId="0CBC7BF5" w14:textId="77777777" w:rsidR="00E90281" w:rsidRPr="002B1D8F" w:rsidRDefault="00E90281" w:rsidP="00A05864">
            <w:pPr>
              <w:pStyle w:val="TableTextCentered"/>
              <w:rPr>
                <w:highlight w:val="yellow"/>
              </w:rPr>
            </w:pPr>
            <w:r w:rsidRPr="0091074A">
              <w:t xml:space="preserve"> 17 </w:t>
            </w:r>
          </w:p>
        </w:tc>
        <w:tc>
          <w:tcPr>
            <w:tcW w:w="907" w:type="dxa"/>
            <w:tcBorders>
              <w:top w:val="nil"/>
              <w:bottom w:val="nil"/>
            </w:tcBorders>
            <w:shd w:val="clear" w:color="auto" w:fill="auto"/>
          </w:tcPr>
          <w:p w14:paraId="35EC1B47" w14:textId="77777777" w:rsidR="00E90281" w:rsidRPr="002B1D8F" w:rsidRDefault="00E90281" w:rsidP="00A05864">
            <w:pPr>
              <w:pStyle w:val="TableTextCentered"/>
              <w:rPr>
                <w:highlight w:val="yellow"/>
              </w:rPr>
            </w:pPr>
            <w:r w:rsidRPr="0091074A">
              <w:t xml:space="preserve"> 19 </w:t>
            </w:r>
          </w:p>
        </w:tc>
        <w:tc>
          <w:tcPr>
            <w:tcW w:w="907" w:type="dxa"/>
            <w:tcBorders>
              <w:top w:val="nil"/>
              <w:bottom w:val="nil"/>
            </w:tcBorders>
            <w:shd w:val="clear" w:color="auto" w:fill="auto"/>
          </w:tcPr>
          <w:p w14:paraId="3DDF5241" w14:textId="77777777" w:rsidR="00E90281" w:rsidRPr="002B1D8F" w:rsidRDefault="00E90281" w:rsidP="00A05864">
            <w:pPr>
              <w:pStyle w:val="TableTextCentered"/>
              <w:rPr>
                <w:highlight w:val="yellow"/>
              </w:rPr>
            </w:pPr>
            <w:r w:rsidRPr="0091074A">
              <w:t xml:space="preserve"> 22 </w:t>
            </w:r>
          </w:p>
        </w:tc>
        <w:tc>
          <w:tcPr>
            <w:tcW w:w="907" w:type="dxa"/>
            <w:tcBorders>
              <w:top w:val="nil"/>
              <w:bottom w:val="nil"/>
              <w:right w:val="nil"/>
            </w:tcBorders>
            <w:shd w:val="clear" w:color="auto" w:fill="auto"/>
          </w:tcPr>
          <w:p w14:paraId="3B634AD3" w14:textId="77777777" w:rsidR="00E90281" w:rsidRPr="002B1D8F" w:rsidRDefault="00E90281" w:rsidP="00A05864">
            <w:pPr>
              <w:pStyle w:val="TableTextCentered"/>
              <w:rPr>
                <w:highlight w:val="yellow"/>
              </w:rPr>
            </w:pPr>
            <w:r w:rsidRPr="0091074A">
              <w:t xml:space="preserve"> 19 </w:t>
            </w:r>
          </w:p>
        </w:tc>
      </w:tr>
      <w:tr w:rsidR="00E90281" w:rsidRPr="002B1D8F" w14:paraId="1741F974" w14:textId="77777777" w:rsidTr="006D1FD4">
        <w:trPr>
          <w:trHeight w:val="308"/>
        </w:trPr>
        <w:tc>
          <w:tcPr>
            <w:tcW w:w="1813" w:type="dxa"/>
            <w:tcBorders>
              <w:top w:val="nil"/>
              <w:left w:val="nil"/>
              <w:bottom w:val="nil"/>
            </w:tcBorders>
            <w:shd w:val="clear" w:color="auto" w:fill="auto"/>
            <w:vAlign w:val="center"/>
          </w:tcPr>
          <w:p w14:paraId="3849C9F9" w14:textId="77777777" w:rsidR="00E90281" w:rsidRPr="002B1D8F" w:rsidRDefault="00E90281" w:rsidP="00A05864">
            <w:pPr>
              <w:pStyle w:val="TableTextLeft"/>
            </w:pPr>
            <w:r w:rsidRPr="002B1D8F">
              <w:t>Infor</w:t>
            </w:r>
            <w:r w:rsidRPr="002B1D8F">
              <w:rPr>
                <w:rFonts w:cs="Calibri"/>
                <w:szCs w:val="18"/>
              </w:rPr>
              <w:t>mation Media and Telecommunications</w:t>
            </w:r>
          </w:p>
        </w:tc>
        <w:tc>
          <w:tcPr>
            <w:tcW w:w="907" w:type="dxa"/>
            <w:tcBorders>
              <w:top w:val="nil"/>
              <w:bottom w:val="nil"/>
            </w:tcBorders>
            <w:shd w:val="clear" w:color="auto" w:fill="auto"/>
          </w:tcPr>
          <w:p w14:paraId="01D625B6" w14:textId="77777777" w:rsidR="00E90281" w:rsidRPr="002B1D8F" w:rsidRDefault="00E90281" w:rsidP="00A05864">
            <w:pPr>
              <w:pStyle w:val="TableTextCentered"/>
              <w:rPr>
                <w:highlight w:val="yellow"/>
              </w:rPr>
            </w:pPr>
            <w:r w:rsidRPr="0091074A">
              <w:t xml:space="preserve"> 9.2 </w:t>
            </w:r>
          </w:p>
        </w:tc>
        <w:tc>
          <w:tcPr>
            <w:tcW w:w="907" w:type="dxa"/>
            <w:tcBorders>
              <w:top w:val="nil"/>
              <w:bottom w:val="nil"/>
            </w:tcBorders>
            <w:shd w:val="clear" w:color="auto" w:fill="auto"/>
          </w:tcPr>
          <w:p w14:paraId="0F7158D7" w14:textId="77777777" w:rsidR="00E90281" w:rsidRPr="002B1D8F" w:rsidRDefault="00E90281" w:rsidP="00A05864">
            <w:pPr>
              <w:pStyle w:val="TableTextCentered"/>
              <w:rPr>
                <w:highlight w:val="yellow"/>
              </w:rPr>
            </w:pPr>
            <w:r w:rsidRPr="0091074A">
              <w:t xml:space="preserve"> 369.5 </w:t>
            </w:r>
          </w:p>
        </w:tc>
        <w:tc>
          <w:tcPr>
            <w:tcW w:w="907" w:type="dxa"/>
            <w:tcBorders>
              <w:top w:val="nil"/>
              <w:bottom w:val="nil"/>
            </w:tcBorders>
            <w:shd w:val="clear" w:color="auto" w:fill="auto"/>
          </w:tcPr>
          <w:p w14:paraId="0A69D98C" w14:textId="77777777" w:rsidR="00E90281" w:rsidRPr="002B1D8F" w:rsidRDefault="00E90281" w:rsidP="00A05864">
            <w:pPr>
              <w:pStyle w:val="TableTextCentered"/>
              <w:rPr>
                <w:highlight w:val="yellow"/>
              </w:rPr>
            </w:pPr>
            <w:r w:rsidRPr="0091074A">
              <w:t xml:space="preserve"> 59 </w:t>
            </w:r>
          </w:p>
        </w:tc>
        <w:tc>
          <w:tcPr>
            <w:tcW w:w="907" w:type="dxa"/>
            <w:tcBorders>
              <w:top w:val="nil"/>
              <w:bottom w:val="nil"/>
            </w:tcBorders>
            <w:shd w:val="clear" w:color="auto" w:fill="auto"/>
          </w:tcPr>
          <w:p w14:paraId="19CB8523" w14:textId="77777777" w:rsidR="00E90281" w:rsidRPr="002B1D8F" w:rsidRDefault="00E90281" w:rsidP="00A05864">
            <w:pPr>
              <w:pStyle w:val="TableTextCentered"/>
              <w:rPr>
                <w:highlight w:val="yellow"/>
              </w:rPr>
            </w:pPr>
            <w:r w:rsidRPr="0091074A">
              <w:t xml:space="preserve"> 48 </w:t>
            </w:r>
          </w:p>
        </w:tc>
        <w:tc>
          <w:tcPr>
            <w:tcW w:w="907" w:type="dxa"/>
            <w:tcBorders>
              <w:top w:val="nil"/>
              <w:bottom w:val="nil"/>
            </w:tcBorders>
            <w:shd w:val="clear" w:color="auto" w:fill="auto"/>
          </w:tcPr>
          <w:p w14:paraId="2FBF48D0" w14:textId="77777777" w:rsidR="00E90281" w:rsidRPr="002B1D8F" w:rsidRDefault="00E90281" w:rsidP="00A05864">
            <w:pPr>
              <w:pStyle w:val="TableTextCentered"/>
              <w:rPr>
                <w:highlight w:val="yellow"/>
              </w:rPr>
            </w:pPr>
            <w:r w:rsidRPr="0091074A">
              <w:t xml:space="preserve"> 15 </w:t>
            </w:r>
          </w:p>
        </w:tc>
        <w:tc>
          <w:tcPr>
            <w:tcW w:w="907" w:type="dxa"/>
            <w:tcBorders>
              <w:top w:val="nil"/>
              <w:bottom w:val="nil"/>
            </w:tcBorders>
            <w:shd w:val="clear" w:color="auto" w:fill="auto"/>
          </w:tcPr>
          <w:p w14:paraId="585916C6" w14:textId="77777777" w:rsidR="00E90281" w:rsidRPr="002B1D8F" w:rsidRDefault="00E90281" w:rsidP="00A05864">
            <w:pPr>
              <w:pStyle w:val="TableTextCentered"/>
              <w:rPr>
                <w:highlight w:val="yellow"/>
              </w:rPr>
            </w:pPr>
            <w:r w:rsidRPr="0091074A">
              <w:t xml:space="preserve"> 27 </w:t>
            </w:r>
          </w:p>
        </w:tc>
        <w:tc>
          <w:tcPr>
            <w:tcW w:w="907" w:type="dxa"/>
            <w:tcBorders>
              <w:top w:val="nil"/>
              <w:bottom w:val="nil"/>
            </w:tcBorders>
            <w:shd w:val="clear" w:color="auto" w:fill="auto"/>
          </w:tcPr>
          <w:p w14:paraId="6CCB8125" w14:textId="77777777" w:rsidR="00E90281" w:rsidRPr="002B1D8F" w:rsidRDefault="00E90281" w:rsidP="00A05864">
            <w:pPr>
              <w:pStyle w:val="TableTextCentered"/>
              <w:rPr>
                <w:highlight w:val="yellow"/>
              </w:rPr>
            </w:pPr>
            <w:r w:rsidRPr="0091074A">
              <w:t xml:space="preserve"> 26 </w:t>
            </w:r>
          </w:p>
        </w:tc>
        <w:tc>
          <w:tcPr>
            <w:tcW w:w="907" w:type="dxa"/>
            <w:tcBorders>
              <w:top w:val="nil"/>
              <w:bottom w:val="nil"/>
              <w:right w:val="nil"/>
            </w:tcBorders>
            <w:shd w:val="clear" w:color="auto" w:fill="auto"/>
          </w:tcPr>
          <w:p w14:paraId="562652C3" w14:textId="77777777" w:rsidR="00E90281" w:rsidRPr="002B1D8F" w:rsidRDefault="00E90281" w:rsidP="00A05864">
            <w:pPr>
              <w:pStyle w:val="TableTextCentered"/>
              <w:rPr>
                <w:highlight w:val="yellow"/>
              </w:rPr>
            </w:pPr>
            <w:r w:rsidRPr="0091074A">
              <w:t xml:space="preserve"> 25 </w:t>
            </w:r>
          </w:p>
        </w:tc>
      </w:tr>
      <w:tr w:rsidR="00E90281" w:rsidRPr="002B1D8F" w14:paraId="21757AB7" w14:textId="77777777" w:rsidTr="006D1FD4">
        <w:trPr>
          <w:trHeight w:val="308"/>
        </w:trPr>
        <w:tc>
          <w:tcPr>
            <w:tcW w:w="1813" w:type="dxa"/>
            <w:tcBorders>
              <w:top w:val="nil"/>
              <w:left w:val="nil"/>
              <w:bottom w:val="nil"/>
            </w:tcBorders>
            <w:shd w:val="clear" w:color="auto" w:fill="auto"/>
            <w:vAlign w:val="center"/>
          </w:tcPr>
          <w:p w14:paraId="590B9F38" w14:textId="77777777" w:rsidR="00E90281" w:rsidRPr="002B1D8F" w:rsidRDefault="00E90281" w:rsidP="00A05864">
            <w:pPr>
              <w:pStyle w:val="TableTextLeft"/>
            </w:pPr>
            <w:r w:rsidRPr="002B1D8F">
              <w:t>Finan</w:t>
            </w:r>
            <w:r w:rsidRPr="002B1D8F">
              <w:rPr>
                <w:rFonts w:cs="Calibri"/>
                <w:szCs w:val="18"/>
              </w:rPr>
              <w:t>cial and Insurance Services</w:t>
            </w:r>
          </w:p>
        </w:tc>
        <w:tc>
          <w:tcPr>
            <w:tcW w:w="907" w:type="dxa"/>
            <w:tcBorders>
              <w:top w:val="nil"/>
              <w:bottom w:val="nil"/>
            </w:tcBorders>
            <w:shd w:val="clear" w:color="auto" w:fill="auto"/>
          </w:tcPr>
          <w:p w14:paraId="2DE81D82" w14:textId="77777777" w:rsidR="00E90281" w:rsidRPr="002B1D8F" w:rsidRDefault="00E90281" w:rsidP="00A05864">
            <w:pPr>
              <w:pStyle w:val="TableTextCentered"/>
              <w:rPr>
                <w:highlight w:val="yellow"/>
              </w:rPr>
            </w:pPr>
            <w:r w:rsidRPr="0091074A">
              <w:t xml:space="preserve"> 13.0 </w:t>
            </w:r>
          </w:p>
        </w:tc>
        <w:tc>
          <w:tcPr>
            <w:tcW w:w="907" w:type="dxa"/>
            <w:tcBorders>
              <w:top w:val="nil"/>
              <w:bottom w:val="nil"/>
            </w:tcBorders>
            <w:shd w:val="clear" w:color="auto" w:fill="auto"/>
          </w:tcPr>
          <w:p w14:paraId="3CC0C8DD" w14:textId="77777777" w:rsidR="00E90281" w:rsidRPr="002B1D8F" w:rsidRDefault="00E90281" w:rsidP="00A05864">
            <w:pPr>
              <w:pStyle w:val="TableTextCentered"/>
              <w:rPr>
                <w:highlight w:val="yellow"/>
              </w:rPr>
            </w:pPr>
            <w:r w:rsidRPr="0091074A">
              <w:t xml:space="preserve"> 430.2 </w:t>
            </w:r>
          </w:p>
        </w:tc>
        <w:tc>
          <w:tcPr>
            <w:tcW w:w="907" w:type="dxa"/>
            <w:tcBorders>
              <w:top w:val="nil"/>
              <w:bottom w:val="nil"/>
            </w:tcBorders>
            <w:shd w:val="clear" w:color="auto" w:fill="auto"/>
          </w:tcPr>
          <w:p w14:paraId="4AE68872" w14:textId="77777777" w:rsidR="00E90281" w:rsidRPr="002B1D8F" w:rsidRDefault="00E90281" w:rsidP="00A05864">
            <w:pPr>
              <w:pStyle w:val="TableTextCentered"/>
              <w:rPr>
                <w:highlight w:val="yellow"/>
              </w:rPr>
            </w:pPr>
            <w:r w:rsidRPr="0091074A">
              <w:t xml:space="preserve"> 40 </w:t>
            </w:r>
          </w:p>
        </w:tc>
        <w:tc>
          <w:tcPr>
            <w:tcW w:w="907" w:type="dxa"/>
            <w:tcBorders>
              <w:top w:val="nil"/>
              <w:bottom w:val="nil"/>
            </w:tcBorders>
            <w:shd w:val="clear" w:color="auto" w:fill="auto"/>
          </w:tcPr>
          <w:p w14:paraId="090D662B" w14:textId="77777777" w:rsidR="00E90281" w:rsidRPr="002B1D8F" w:rsidRDefault="00E90281" w:rsidP="00A05864">
            <w:pPr>
              <w:pStyle w:val="TableTextCentered"/>
              <w:rPr>
                <w:highlight w:val="yellow"/>
              </w:rPr>
            </w:pPr>
            <w:r w:rsidRPr="0091074A">
              <w:t xml:space="preserve"> 37 </w:t>
            </w:r>
          </w:p>
        </w:tc>
        <w:tc>
          <w:tcPr>
            <w:tcW w:w="907" w:type="dxa"/>
            <w:tcBorders>
              <w:top w:val="nil"/>
              <w:bottom w:val="nil"/>
            </w:tcBorders>
            <w:shd w:val="clear" w:color="auto" w:fill="auto"/>
          </w:tcPr>
          <w:p w14:paraId="6215308C" w14:textId="77777777" w:rsidR="00E90281" w:rsidRPr="002B1D8F" w:rsidRDefault="00E90281" w:rsidP="00A05864">
            <w:pPr>
              <w:pStyle w:val="TableTextCentered"/>
              <w:rPr>
                <w:highlight w:val="yellow"/>
              </w:rPr>
            </w:pPr>
            <w:r w:rsidRPr="0091074A">
              <w:t xml:space="preserve"> 22 </w:t>
            </w:r>
          </w:p>
        </w:tc>
        <w:tc>
          <w:tcPr>
            <w:tcW w:w="907" w:type="dxa"/>
            <w:tcBorders>
              <w:top w:val="nil"/>
              <w:bottom w:val="nil"/>
            </w:tcBorders>
            <w:shd w:val="clear" w:color="auto" w:fill="auto"/>
          </w:tcPr>
          <w:p w14:paraId="61F45C26" w14:textId="77777777" w:rsidR="00E90281" w:rsidRPr="002B1D8F" w:rsidRDefault="00E90281" w:rsidP="00A05864">
            <w:pPr>
              <w:pStyle w:val="TableTextCentered"/>
              <w:rPr>
                <w:highlight w:val="yellow"/>
              </w:rPr>
            </w:pPr>
            <w:r w:rsidRPr="0091074A">
              <w:t xml:space="preserve"> 28 </w:t>
            </w:r>
          </w:p>
        </w:tc>
        <w:tc>
          <w:tcPr>
            <w:tcW w:w="907" w:type="dxa"/>
            <w:tcBorders>
              <w:top w:val="nil"/>
              <w:bottom w:val="nil"/>
            </w:tcBorders>
            <w:shd w:val="clear" w:color="auto" w:fill="auto"/>
          </w:tcPr>
          <w:p w14:paraId="76801038" w14:textId="77777777" w:rsidR="00E90281" w:rsidRPr="002B1D8F" w:rsidRDefault="00E90281" w:rsidP="00A05864">
            <w:pPr>
              <w:pStyle w:val="TableTextCentered"/>
              <w:rPr>
                <w:highlight w:val="yellow"/>
              </w:rPr>
            </w:pPr>
            <w:r w:rsidRPr="0091074A">
              <w:t xml:space="preserve"> 38 </w:t>
            </w:r>
          </w:p>
        </w:tc>
        <w:tc>
          <w:tcPr>
            <w:tcW w:w="907" w:type="dxa"/>
            <w:tcBorders>
              <w:top w:val="nil"/>
              <w:bottom w:val="nil"/>
              <w:right w:val="nil"/>
            </w:tcBorders>
            <w:shd w:val="clear" w:color="auto" w:fill="auto"/>
          </w:tcPr>
          <w:p w14:paraId="29FB1C32" w14:textId="77777777" w:rsidR="00E90281" w:rsidRPr="002B1D8F" w:rsidRDefault="00E90281" w:rsidP="00A05864">
            <w:pPr>
              <w:pStyle w:val="TableTextCentered"/>
              <w:rPr>
                <w:highlight w:val="yellow"/>
              </w:rPr>
            </w:pPr>
            <w:r w:rsidRPr="0091074A">
              <w:t xml:space="preserve"> 35 </w:t>
            </w:r>
          </w:p>
        </w:tc>
      </w:tr>
      <w:tr w:rsidR="00E90281" w:rsidRPr="002B1D8F" w14:paraId="3CDC457C" w14:textId="77777777" w:rsidTr="006D1FD4">
        <w:trPr>
          <w:trHeight w:val="291"/>
        </w:trPr>
        <w:tc>
          <w:tcPr>
            <w:tcW w:w="1813" w:type="dxa"/>
            <w:tcBorders>
              <w:top w:val="nil"/>
              <w:left w:val="nil"/>
              <w:bottom w:val="nil"/>
            </w:tcBorders>
            <w:shd w:val="clear" w:color="auto" w:fill="auto"/>
            <w:vAlign w:val="center"/>
          </w:tcPr>
          <w:p w14:paraId="32F17C13" w14:textId="77777777" w:rsidR="00E90281" w:rsidRPr="002B1D8F" w:rsidRDefault="00E90281" w:rsidP="00A05864">
            <w:pPr>
              <w:pStyle w:val="TableTextLeft"/>
            </w:pPr>
            <w:r w:rsidRPr="002B1D8F">
              <w:t xml:space="preserve">Rental, </w:t>
            </w:r>
            <w:r w:rsidRPr="002B1D8F">
              <w:rPr>
                <w:rFonts w:cs="Calibri"/>
                <w:szCs w:val="18"/>
              </w:rPr>
              <w:t>Hiring and Real Estate Services</w:t>
            </w:r>
          </w:p>
        </w:tc>
        <w:tc>
          <w:tcPr>
            <w:tcW w:w="907" w:type="dxa"/>
            <w:tcBorders>
              <w:top w:val="nil"/>
              <w:bottom w:val="nil"/>
            </w:tcBorders>
            <w:shd w:val="clear" w:color="auto" w:fill="auto"/>
          </w:tcPr>
          <w:p w14:paraId="7531A437" w14:textId="77777777" w:rsidR="00E90281" w:rsidRPr="002B1D8F" w:rsidRDefault="00E90281" w:rsidP="00A05864">
            <w:pPr>
              <w:pStyle w:val="TableTextCentered"/>
              <w:rPr>
                <w:highlight w:val="yellow"/>
              </w:rPr>
            </w:pPr>
            <w:r w:rsidRPr="0091074A">
              <w:t xml:space="preserve"> 22.1 </w:t>
            </w:r>
          </w:p>
        </w:tc>
        <w:tc>
          <w:tcPr>
            <w:tcW w:w="907" w:type="dxa"/>
            <w:tcBorders>
              <w:top w:val="nil"/>
              <w:bottom w:val="nil"/>
            </w:tcBorders>
            <w:shd w:val="clear" w:color="auto" w:fill="auto"/>
          </w:tcPr>
          <w:p w14:paraId="0C75BE7B" w14:textId="77777777" w:rsidR="00E90281" w:rsidRPr="002B1D8F" w:rsidRDefault="00E90281" w:rsidP="00A05864">
            <w:pPr>
              <w:pStyle w:val="TableTextCentered"/>
              <w:rPr>
                <w:highlight w:val="yellow"/>
              </w:rPr>
            </w:pPr>
            <w:r w:rsidRPr="0091074A">
              <w:t xml:space="preserve"> 962.3 </w:t>
            </w:r>
          </w:p>
        </w:tc>
        <w:tc>
          <w:tcPr>
            <w:tcW w:w="907" w:type="dxa"/>
            <w:tcBorders>
              <w:top w:val="nil"/>
              <w:bottom w:val="nil"/>
            </w:tcBorders>
            <w:shd w:val="clear" w:color="auto" w:fill="auto"/>
          </w:tcPr>
          <w:p w14:paraId="1C1928C3" w14:textId="77777777" w:rsidR="00E90281" w:rsidRPr="002B1D8F" w:rsidRDefault="00E90281" w:rsidP="00A05864">
            <w:pPr>
              <w:pStyle w:val="TableTextCentered"/>
              <w:rPr>
                <w:highlight w:val="yellow"/>
              </w:rPr>
            </w:pPr>
            <w:r w:rsidRPr="0091074A">
              <w:t xml:space="preserve"> 48 </w:t>
            </w:r>
          </w:p>
        </w:tc>
        <w:tc>
          <w:tcPr>
            <w:tcW w:w="907" w:type="dxa"/>
            <w:tcBorders>
              <w:top w:val="nil"/>
              <w:bottom w:val="nil"/>
            </w:tcBorders>
            <w:shd w:val="clear" w:color="auto" w:fill="auto"/>
          </w:tcPr>
          <w:p w14:paraId="0C3D7D89" w14:textId="77777777" w:rsidR="00E90281" w:rsidRPr="002B1D8F" w:rsidRDefault="00E90281" w:rsidP="00A05864">
            <w:pPr>
              <w:pStyle w:val="TableTextCentered"/>
              <w:rPr>
                <w:highlight w:val="yellow"/>
              </w:rPr>
            </w:pPr>
            <w:r w:rsidRPr="0091074A">
              <w:t xml:space="preserve"> 40 </w:t>
            </w:r>
          </w:p>
        </w:tc>
        <w:tc>
          <w:tcPr>
            <w:tcW w:w="907" w:type="dxa"/>
            <w:tcBorders>
              <w:top w:val="nil"/>
              <w:bottom w:val="nil"/>
            </w:tcBorders>
            <w:shd w:val="clear" w:color="auto" w:fill="auto"/>
          </w:tcPr>
          <w:p w14:paraId="2E05A931" w14:textId="77777777" w:rsidR="00E90281" w:rsidRPr="002B1D8F" w:rsidRDefault="00E90281" w:rsidP="00A05864">
            <w:pPr>
              <w:pStyle w:val="TableTextCentered"/>
              <w:rPr>
                <w:highlight w:val="yellow"/>
              </w:rPr>
            </w:pPr>
            <w:r w:rsidRPr="0091074A">
              <w:t xml:space="preserve"> 19 </w:t>
            </w:r>
          </w:p>
        </w:tc>
        <w:tc>
          <w:tcPr>
            <w:tcW w:w="907" w:type="dxa"/>
            <w:tcBorders>
              <w:top w:val="nil"/>
              <w:bottom w:val="nil"/>
            </w:tcBorders>
            <w:shd w:val="clear" w:color="auto" w:fill="auto"/>
          </w:tcPr>
          <w:p w14:paraId="2A388E06" w14:textId="77777777" w:rsidR="00E90281" w:rsidRPr="002B1D8F" w:rsidRDefault="00E90281" w:rsidP="00A05864">
            <w:pPr>
              <w:pStyle w:val="TableTextCentered"/>
              <w:rPr>
                <w:highlight w:val="yellow"/>
              </w:rPr>
            </w:pPr>
            <w:r w:rsidRPr="0091074A">
              <w:t xml:space="preserve"> 24 </w:t>
            </w:r>
          </w:p>
        </w:tc>
        <w:tc>
          <w:tcPr>
            <w:tcW w:w="907" w:type="dxa"/>
            <w:tcBorders>
              <w:top w:val="nil"/>
              <w:bottom w:val="nil"/>
            </w:tcBorders>
            <w:shd w:val="clear" w:color="auto" w:fill="auto"/>
          </w:tcPr>
          <w:p w14:paraId="56AD521F" w14:textId="77777777" w:rsidR="00E90281" w:rsidRPr="002B1D8F" w:rsidRDefault="00E90281" w:rsidP="00A05864">
            <w:pPr>
              <w:pStyle w:val="TableTextCentered"/>
              <w:rPr>
                <w:highlight w:val="yellow"/>
              </w:rPr>
            </w:pPr>
            <w:r w:rsidRPr="0091074A">
              <w:t xml:space="preserve"> 33 </w:t>
            </w:r>
          </w:p>
        </w:tc>
        <w:tc>
          <w:tcPr>
            <w:tcW w:w="907" w:type="dxa"/>
            <w:tcBorders>
              <w:top w:val="nil"/>
              <w:bottom w:val="nil"/>
              <w:right w:val="nil"/>
            </w:tcBorders>
            <w:shd w:val="clear" w:color="auto" w:fill="auto"/>
          </w:tcPr>
          <w:p w14:paraId="52345636" w14:textId="77777777" w:rsidR="00E90281" w:rsidRPr="002B1D8F" w:rsidRDefault="00E90281" w:rsidP="00A05864">
            <w:pPr>
              <w:pStyle w:val="TableTextCentered"/>
              <w:rPr>
                <w:highlight w:val="yellow"/>
              </w:rPr>
            </w:pPr>
            <w:r w:rsidRPr="0091074A">
              <w:t xml:space="preserve"> 36 </w:t>
            </w:r>
          </w:p>
        </w:tc>
      </w:tr>
      <w:tr w:rsidR="00E90281" w:rsidRPr="002B1D8F" w14:paraId="71D54B89" w14:textId="77777777" w:rsidTr="006D1FD4">
        <w:trPr>
          <w:trHeight w:val="308"/>
        </w:trPr>
        <w:tc>
          <w:tcPr>
            <w:tcW w:w="1813" w:type="dxa"/>
            <w:tcBorders>
              <w:top w:val="nil"/>
              <w:left w:val="nil"/>
              <w:bottom w:val="nil"/>
            </w:tcBorders>
            <w:shd w:val="clear" w:color="auto" w:fill="auto"/>
            <w:vAlign w:val="center"/>
          </w:tcPr>
          <w:p w14:paraId="69628727" w14:textId="77777777" w:rsidR="00E90281" w:rsidRPr="002B1D8F" w:rsidRDefault="00E90281" w:rsidP="00A05864">
            <w:pPr>
              <w:pStyle w:val="TableTextLeft"/>
            </w:pPr>
            <w:r w:rsidRPr="002B1D8F">
              <w:t>Profession</w:t>
            </w:r>
            <w:r w:rsidRPr="002B1D8F">
              <w:rPr>
                <w:rFonts w:cs="Calibri"/>
                <w:szCs w:val="18"/>
              </w:rPr>
              <w:t>al, Scientific and Technical Services</w:t>
            </w:r>
          </w:p>
        </w:tc>
        <w:tc>
          <w:tcPr>
            <w:tcW w:w="907" w:type="dxa"/>
            <w:tcBorders>
              <w:top w:val="nil"/>
              <w:bottom w:val="nil"/>
            </w:tcBorders>
            <w:shd w:val="clear" w:color="auto" w:fill="auto"/>
          </w:tcPr>
          <w:p w14:paraId="03E7CC99" w14:textId="77777777" w:rsidR="00E90281" w:rsidRPr="002B1D8F" w:rsidRDefault="00E90281" w:rsidP="00A05864">
            <w:pPr>
              <w:pStyle w:val="TableTextCentered"/>
              <w:rPr>
                <w:highlight w:val="yellow"/>
              </w:rPr>
            </w:pPr>
            <w:r w:rsidRPr="0091074A">
              <w:t xml:space="preserve"> 97.3 </w:t>
            </w:r>
          </w:p>
        </w:tc>
        <w:tc>
          <w:tcPr>
            <w:tcW w:w="907" w:type="dxa"/>
            <w:tcBorders>
              <w:top w:val="nil"/>
              <w:bottom w:val="nil"/>
            </w:tcBorders>
            <w:shd w:val="clear" w:color="auto" w:fill="auto"/>
          </w:tcPr>
          <w:p w14:paraId="6EA0AC7F" w14:textId="77777777" w:rsidR="00E90281" w:rsidRPr="002B1D8F" w:rsidRDefault="00E90281" w:rsidP="00A05864">
            <w:pPr>
              <w:pStyle w:val="TableTextCentered"/>
              <w:rPr>
                <w:highlight w:val="yellow"/>
              </w:rPr>
            </w:pPr>
            <w:r w:rsidRPr="0091074A">
              <w:t xml:space="preserve"> 3,760.6 </w:t>
            </w:r>
          </w:p>
        </w:tc>
        <w:tc>
          <w:tcPr>
            <w:tcW w:w="907" w:type="dxa"/>
            <w:tcBorders>
              <w:top w:val="nil"/>
              <w:bottom w:val="nil"/>
            </w:tcBorders>
            <w:shd w:val="clear" w:color="auto" w:fill="auto"/>
          </w:tcPr>
          <w:p w14:paraId="250676B4" w14:textId="77777777" w:rsidR="00E90281" w:rsidRPr="002B1D8F" w:rsidRDefault="00E90281" w:rsidP="00A05864">
            <w:pPr>
              <w:pStyle w:val="TableTextCentered"/>
              <w:rPr>
                <w:highlight w:val="yellow"/>
              </w:rPr>
            </w:pPr>
            <w:r w:rsidRPr="0091074A">
              <w:t xml:space="preserve"> 49 </w:t>
            </w:r>
          </w:p>
        </w:tc>
        <w:tc>
          <w:tcPr>
            <w:tcW w:w="907" w:type="dxa"/>
            <w:tcBorders>
              <w:top w:val="nil"/>
              <w:bottom w:val="nil"/>
            </w:tcBorders>
            <w:shd w:val="clear" w:color="auto" w:fill="auto"/>
          </w:tcPr>
          <w:p w14:paraId="0404A6E5" w14:textId="77777777" w:rsidR="00E90281" w:rsidRPr="002B1D8F" w:rsidRDefault="00E90281" w:rsidP="00A05864">
            <w:pPr>
              <w:pStyle w:val="TableTextCentered"/>
              <w:rPr>
                <w:highlight w:val="yellow"/>
              </w:rPr>
            </w:pPr>
            <w:r w:rsidRPr="0091074A">
              <w:t xml:space="preserve"> 43 </w:t>
            </w:r>
          </w:p>
        </w:tc>
        <w:tc>
          <w:tcPr>
            <w:tcW w:w="907" w:type="dxa"/>
            <w:tcBorders>
              <w:top w:val="nil"/>
              <w:bottom w:val="nil"/>
            </w:tcBorders>
            <w:shd w:val="clear" w:color="auto" w:fill="auto"/>
          </w:tcPr>
          <w:p w14:paraId="418347F4" w14:textId="77777777" w:rsidR="00E90281" w:rsidRPr="002B1D8F" w:rsidRDefault="00E90281" w:rsidP="00A05864">
            <w:pPr>
              <w:pStyle w:val="TableTextCentered"/>
              <w:rPr>
                <w:highlight w:val="yellow"/>
              </w:rPr>
            </w:pPr>
            <w:r w:rsidRPr="0091074A">
              <w:t xml:space="preserve"> 19 </w:t>
            </w:r>
          </w:p>
        </w:tc>
        <w:tc>
          <w:tcPr>
            <w:tcW w:w="907" w:type="dxa"/>
            <w:tcBorders>
              <w:top w:val="nil"/>
              <w:bottom w:val="nil"/>
            </w:tcBorders>
            <w:shd w:val="clear" w:color="auto" w:fill="auto"/>
          </w:tcPr>
          <w:p w14:paraId="646C2E49" w14:textId="77777777" w:rsidR="00E90281" w:rsidRPr="002B1D8F" w:rsidRDefault="00E90281" w:rsidP="00A05864">
            <w:pPr>
              <w:pStyle w:val="TableTextCentered"/>
              <w:rPr>
                <w:highlight w:val="yellow"/>
              </w:rPr>
            </w:pPr>
            <w:r w:rsidRPr="0091074A">
              <w:t xml:space="preserve"> 23 </w:t>
            </w:r>
          </w:p>
        </w:tc>
        <w:tc>
          <w:tcPr>
            <w:tcW w:w="907" w:type="dxa"/>
            <w:tcBorders>
              <w:top w:val="nil"/>
              <w:bottom w:val="nil"/>
            </w:tcBorders>
            <w:shd w:val="clear" w:color="auto" w:fill="auto"/>
          </w:tcPr>
          <w:p w14:paraId="25388DC6" w14:textId="77777777" w:rsidR="00E90281" w:rsidRPr="002B1D8F" w:rsidRDefault="00E90281" w:rsidP="00A05864">
            <w:pPr>
              <w:pStyle w:val="TableTextCentered"/>
              <w:rPr>
                <w:highlight w:val="yellow"/>
              </w:rPr>
            </w:pPr>
            <w:r w:rsidRPr="0091074A">
              <w:t xml:space="preserve"> 32 </w:t>
            </w:r>
          </w:p>
        </w:tc>
        <w:tc>
          <w:tcPr>
            <w:tcW w:w="907" w:type="dxa"/>
            <w:tcBorders>
              <w:top w:val="nil"/>
              <w:bottom w:val="nil"/>
              <w:right w:val="nil"/>
            </w:tcBorders>
            <w:shd w:val="clear" w:color="auto" w:fill="auto"/>
          </w:tcPr>
          <w:p w14:paraId="05A3A3F3" w14:textId="77777777" w:rsidR="00E90281" w:rsidRPr="002B1D8F" w:rsidRDefault="00E90281" w:rsidP="00A05864">
            <w:pPr>
              <w:pStyle w:val="TableTextCentered"/>
              <w:rPr>
                <w:highlight w:val="yellow"/>
              </w:rPr>
            </w:pPr>
            <w:r w:rsidRPr="0091074A">
              <w:t xml:space="preserve"> 35 </w:t>
            </w:r>
          </w:p>
        </w:tc>
      </w:tr>
      <w:tr w:rsidR="00E90281" w:rsidRPr="002B1D8F" w14:paraId="18DF630B" w14:textId="77777777" w:rsidTr="006D1FD4">
        <w:trPr>
          <w:trHeight w:val="308"/>
        </w:trPr>
        <w:tc>
          <w:tcPr>
            <w:tcW w:w="1813" w:type="dxa"/>
            <w:tcBorders>
              <w:top w:val="nil"/>
              <w:left w:val="nil"/>
              <w:bottom w:val="nil"/>
            </w:tcBorders>
            <w:shd w:val="clear" w:color="auto" w:fill="auto"/>
            <w:vAlign w:val="center"/>
          </w:tcPr>
          <w:p w14:paraId="1EBFB1B2" w14:textId="77777777" w:rsidR="00E90281" w:rsidRPr="002B1D8F" w:rsidRDefault="00E90281" w:rsidP="00A05864">
            <w:pPr>
              <w:pStyle w:val="TableTextLeft"/>
            </w:pPr>
            <w:r w:rsidRPr="002B1D8F">
              <w:t>Administrative and Support Services</w:t>
            </w:r>
          </w:p>
        </w:tc>
        <w:tc>
          <w:tcPr>
            <w:tcW w:w="907" w:type="dxa"/>
            <w:tcBorders>
              <w:top w:val="nil"/>
              <w:bottom w:val="nil"/>
            </w:tcBorders>
            <w:shd w:val="clear" w:color="auto" w:fill="auto"/>
          </w:tcPr>
          <w:p w14:paraId="3B10B4EF" w14:textId="77777777" w:rsidR="00E90281" w:rsidRPr="002B1D8F" w:rsidRDefault="00E90281" w:rsidP="00A05864">
            <w:pPr>
              <w:pStyle w:val="TableTextCentered"/>
              <w:rPr>
                <w:highlight w:val="yellow"/>
              </w:rPr>
            </w:pPr>
            <w:r w:rsidRPr="0091074A">
              <w:t xml:space="preserve"> 25.4 </w:t>
            </w:r>
          </w:p>
        </w:tc>
        <w:tc>
          <w:tcPr>
            <w:tcW w:w="907" w:type="dxa"/>
            <w:tcBorders>
              <w:top w:val="nil"/>
              <w:bottom w:val="nil"/>
            </w:tcBorders>
            <w:shd w:val="clear" w:color="auto" w:fill="auto"/>
          </w:tcPr>
          <w:p w14:paraId="0AFA024E" w14:textId="77777777" w:rsidR="00E90281" w:rsidRPr="002B1D8F" w:rsidRDefault="00E90281" w:rsidP="00A05864">
            <w:pPr>
              <w:pStyle w:val="TableTextCentered"/>
              <w:rPr>
                <w:highlight w:val="yellow"/>
              </w:rPr>
            </w:pPr>
            <w:r w:rsidRPr="0091074A">
              <w:t xml:space="preserve"> 1,365.6 </w:t>
            </w:r>
          </w:p>
        </w:tc>
        <w:tc>
          <w:tcPr>
            <w:tcW w:w="907" w:type="dxa"/>
            <w:tcBorders>
              <w:top w:val="nil"/>
              <w:bottom w:val="nil"/>
            </w:tcBorders>
            <w:shd w:val="clear" w:color="auto" w:fill="auto"/>
          </w:tcPr>
          <w:p w14:paraId="343716C5" w14:textId="77777777" w:rsidR="00E90281" w:rsidRPr="002B1D8F" w:rsidRDefault="00E90281" w:rsidP="00A05864">
            <w:pPr>
              <w:pStyle w:val="TableTextCentered"/>
              <w:rPr>
                <w:highlight w:val="yellow"/>
              </w:rPr>
            </w:pPr>
            <w:r w:rsidRPr="0091074A">
              <w:t xml:space="preserve"> 58 </w:t>
            </w:r>
          </w:p>
        </w:tc>
        <w:tc>
          <w:tcPr>
            <w:tcW w:w="907" w:type="dxa"/>
            <w:tcBorders>
              <w:top w:val="nil"/>
              <w:bottom w:val="nil"/>
            </w:tcBorders>
            <w:shd w:val="clear" w:color="auto" w:fill="auto"/>
          </w:tcPr>
          <w:p w14:paraId="40715264" w14:textId="77777777" w:rsidR="00E90281" w:rsidRPr="002B1D8F" w:rsidRDefault="00E90281" w:rsidP="00A05864">
            <w:pPr>
              <w:pStyle w:val="TableTextCentered"/>
              <w:rPr>
                <w:highlight w:val="yellow"/>
              </w:rPr>
            </w:pPr>
            <w:r w:rsidRPr="0091074A">
              <w:t xml:space="preserve"> 60 </w:t>
            </w:r>
          </w:p>
        </w:tc>
        <w:tc>
          <w:tcPr>
            <w:tcW w:w="907" w:type="dxa"/>
            <w:tcBorders>
              <w:top w:val="nil"/>
              <w:bottom w:val="nil"/>
            </w:tcBorders>
            <w:shd w:val="clear" w:color="auto" w:fill="auto"/>
          </w:tcPr>
          <w:p w14:paraId="5672A377" w14:textId="77777777" w:rsidR="00E90281" w:rsidRPr="002B1D8F" w:rsidRDefault="00E90281" w:rsidP="00A05864">
            <w:pPr>
              <w:pStyle w:val="TableTextCentered"/>
              <w:rPr>
                <w:highlight w:val="yellow"/>
              </w:rPr>
            </w:pPr>
            <w:r w:rsidRPr="0091074A">
              <w:t xml:space="preserve"> 18 </w:t>
            </w:r>
          </w:p>
        </w:tc>
        <w:tc>
          <w:tcPr>
            <w:tcW w:w="907" w:type="dxa"/>
            <w:tcBorders>
              <w:top w:val="nil"/>
              <w:bottom w:val="nil"/>
            </w:tcBorders>
            <w:shd w:val="clear" w:color="auto" w:fill="auto"/>
          </w:tcPr>
          <w:p w14:paraId="06F5DD9B" w14:textId="77777777" w:rsidR="00E90281" w:rsidRPr="002B1D8F" w:rsidRDefault="00E90281" w:rsidP="00A05864">
            <w:pPr>
              <w:pStyle w:val="TableTextCentered"/>
              <w:rPr>
                <w:highlight w:val="yellow"/>
              </w:rPr>
            </w:pPr>
            <w:r w:rsidRPr="0091074A">
              <w:t xml:space="preserve"> 21 </w:t>
            </w:r>
          </w:p>
        </w:tc>
        <w:tc>
          <w:tcPr>
            <w:tcW w:w="907" w:type="dxa"/>
            <w:tcBorders>
              <w:top w:val="nil"/>
              <w:bottom w:val="nil"/>
            </w:tcBorders>
            <w:shd w:val="clear" w:color="auto" w:fill="auto"/>
          </w:tcPr>
          <w:p w14:paraId="214340D4" w14:textId="77777777" w:rsidR="00E90281" w:rsidRPr="002B1D8F" w:rsidRDefault="00E90281" w:rsidP="00A05864">
            <w:pPr>
              <w:pStyle w:val="TableTextCentered"/>
              <w:rPr>
                <w:highlight w:val="yellow"/>
              </w:rPr>
            </w:pPr>
            <w:r w:rsidRPr="0091074A">
              <w:t xml:space="preserve"> 24 </w:t>
            </w:r>
          </w:p>
        </w:tc>
        <w:tc>
          <w:tcPr>
            <w:tcW w:w="907" w:type="dxa"/>
            <w:tcBorders>
              <w:top w:val="nil"/>
              <w:bottom w:val="nil"/>
              <w:right w:val="nil"/>
            </w:tcBorders>
            <w:shd w:val="clear" w:color="auto" w:fill="auto"/>
          </w:tcPr>
          <w:p w14:paraId="2C1ABD5D" w14:textId="77777777" w:rsidR="00E90281" w:rsidRPr="002B1D8F" w:rsidRDefault="00E90281" w:rsidP="00A05864">
            <w:pPr>
              <w:pStyle w:val="TableTextCentered"/>
              <w:rPr>
                <w:highlight w:val="yellow"/>
              </w:rPr>
            </w:pPr>
            <w:r w:rsidRPr="0091074A">
              <w:t xml:space="preserve"> 19 </w:t>
            </w:r>
          </w:p>
        </w:tc>
      </w:tr>
      <w:tr w:rsidR="00E90281" w:rsidRPr="002B1D8F" w14:paraId="3F5EDD2F" w14:textId="77777777" w:rsidTr="006D1FD4">
        <w:trPr>
          <w:trHeight w:val="308"/>
        </w:trPr>
        <w:tc>
          <w:tcPr>
            <w:tcW w:w="1813" w:type="dxa"/>
            <w:tcBorders>
              <w:top w:val="nil"/>
              <w:left w:val="nil"/>
              <w:bottom w:val="nil"/>
            </w:tcBorders>
            <w:shd w:val="clear" w:color="auto" w:fill="auto"/>
            <w:vAlign w:val="center"/>
          </w:tcPr>
          <w:p w14:paraId="4CE750B2" w14:textId="77777777" w:rsidR="00E90281" w:rsidRPr="002B1D8F" w:rsidRDefault="00E90281" w:rsidP="00A05864">
            <w:pPr>
              <w:pStyle w:val="TableTextLeft"/>
            </w:pPr>
            <w:r w:rsidRPr="002B1D8F">
              <w:t>Publi</w:t>
            </w:r>
            <w:r w:rsidRPr="002B1D8F">
              <w:rPr>
                <w:rFonts w:cs="Calibri"/>
                <w:szCs w:val="18"/>
              </w:rPr>
              <w:t>c Administration and Safety</w:t>
            </w:r>
          </w:p>
        </w:tc>
        <w:tc>
          <w:tcPr>
            <w:tcW w:w="907" w:type="dxa"/>
            <w:tcBorders>
              <w:top w:val="nil"/>
              <w:bottom w:val="nil"/>
            </w:tcBorders>
            <w:shd w:val="clear" w:color="auto" w:fill="auto"/>
          </w:tcPr>
          <w:p w14:paraId="610FA33D" w14:textId="77777777" w:rsidR="00E90281" w:rsidRPr="002B1D8F" w:rsidRDefault="00E90281" w:rsidP="00A05864">
            <w:pPr>
              <w:pStyle w:val="TableTextCentered"/>
              <w:rPr>
                <w:highlight w:val="yellow"/>
              </w:rPr>
            </w:pPr>
            <w:r w:rsidRPr="0091074A">
              <w:t xml:space="preserve"> 2.7 </w:t>
            </w:r>
          </w:p>
        </w:tc>
        <w:tc>
          <w:tcPr>
            <w:tcW w:w="907" w:type="dxa"/>
            <w:tcBorders>
              <w:top w:val="nil"/>
              <w:bottom w:val="nil"/>
            </w:tcBorders>
            <w:shd w:val="clear" w:color="auto" w:fill="auto"/>
          </w:tcPr>
          <w:p w14:paraId="2FF64E8D" w14:textId="77777777" w:rsidR="00E90281" w:rsidRPr="002B1D8F" w:rsidRDefault="00E90281" w:rsidP="00A05864">
            <w:pPr>
              <w:pStyle w:val="TableTextCentered"/>
              <w:rPr>
                <w:highlight w:val="yellow"/>
              </w:rPr>
            </w:pPr>
            <w:r w:rsidRPr="0091074A">
              <w:t xml:space="preserve"> 151.6 </w:t>
            </w:r>
          </w:p>
        </w:tc>
        <w:tc>
          <w:tcPr>
            <w:tcW w:w="907" w:type="dxa"/>
            <w:tcBorders>
              <w:top w:val="nil"/>
              <w:bottom w:val="nil"/>
            </w:tcBorders>
            <w:shd w:val="clear" w:color="auto" w:fill="auto"/>
          </w:tcPr>
          <w:p w14:paraId="17304693" w14:textId="77777777" w:rsidR="00E90281" w:rsidRPr="002B1D8F" w:rsidRDefault="00E90281" w:rsidP="00A05864">
            <w:pPr>
              <w:pStyle w:val="TableTextCentered"/>
              <w:rPr>
                <w:highlight w:val="yellow"/>
              </w:rPr>
            </w:pPr>
            <w:r w:rsidRPr="0091074A">
              <w:t xml:space="preserve"> 46 </w:t>
            </w:r>
          </w:p>
        </w:tc>
        <w:tc>
          <w:tcPr>
            <w:tcW w:w="907" w:type="dxa"/>
            <w:tcBorders>
              <w:top w:val="nil"/>
              <w:bottom w:val="nil"/>
            </w:tcBorders>
            <w:shd w:val="clear" w:color="auto" w:fill="auto"/>
          </w:tcPr>
          <w:p w14:paraId="32103697" w14:textId="77777777" w:rsidR="00E90281" w:rsidRPr="002B1D8F" w:rsidRDefault="00E90281" w:rsidP="00A05864">
            <w:pPr>
              <w:pStyle w:val="TableTextCentered"/>
              <w:rPr>
                <w:highlight w:val="yellow"/>
              </w:rPr>
            </w:pPr>
            <w:r w:rsidRPr="0091074A">
              <w:t xml:space="preserve"> 41 </w:t>
            </w:r>
          </w:p>
        </w:tc>
        <w:tc>
          <w:tcPr>
            <w:tcW w:w="907" w:type="dxa"/>
            <w:tcBorders>
              <w:top w:val="nil"/>
              <w:bottom w:val="nil"/>
            </w:tcBorders>
            <w:shd w:val="clear" w:color="auto" w:fill="auto"/>
          </w:tcPr>
          <w:p w14:paraId="330B19BF" w14:textId="77777777" w:rsidR="00E90281" w:rsidRPr="002B1D8F" w:rsidRDefault="00E90281" w:rsidP="00A05864">
            <w:pPr>
              <w:pStyle w:val="TableTextCentered"/>
              <w:rPr>
                <w:highlight w:val="yellow"/>
              </w:rPr>
            </w:pPr>
            <w:r w:rsidRPr="0091074A">
              <w:t xml:space="preserve"> 23 </w:t>
            </w:r>
          </w:p>
        </w:tc>
        <w:tc>
          <w:tcPr>
            <w:tcW w:w="907" w:type="dxa"/>
            <w:tcBorders>
              <w:top w:val="nil"/>
              <w:bottom w:val="nil"/>
            </w:tcBorders>
            <w:shd w:val="clear" w:color="auto" w:fill="auto"/>
          </w:tcPr>
          <w:p w14:paraId="4BE77486" w14:textId="77777777" w:rsidR="00E90281" w:rsidRPr="002B1D8F" w:rsidRDefault="00E90281" w:rsidP="00A05864">
            <w:pPr>
              <w:pStyle w:val="TableTextCentered"/>
              <w:rPr>
                <w:highlight w:val="yellow"/>
              </w:rPr>
            </w:pPr>
            <w:r w:rsidRPr="0091074A">
              <w:t xml:space="preserve"> 32 </w:t>
            </w:r>
          </w:p>
        </w:tc>
        <w:tc>
          <w:tcPr>
            <w:tcW w:w="907" w:type="dxa"/>
            <w:tcBorders>
              <w:top w:val="nil"/>
              <w:bottom w:val="nil"/>
            </w:tcBorders>
            <w:shd w:val="clear" w:color="auto" w:fill="auto"/>
          </w:tcPr>
          <w:p w14:paraId="096E251B" w14:textId="77777777" w:rsidR="00E90281" w:rsidRPr="002B1D8F" w:rsidRDefault="00E90281" w:rsidP="00A05864">
            <w:pPr>
              <w:pStyle w:val="TableTextCentered"/>
              <w:rPr>
                <w:highlight w:val="yellow"/>
              </w:rPr>
            </w:pPr>
            <w:r w:rsidRPr="0091074A">
              <w:t xml:space="preserve"> 31 </w:t>
            </w:r>
          </w:p>
        </w:tc>
        <w:tc>
          <w:tcPr>
            <w:tcW w:w="907" w:type="dxa"/>
            <w:tcBorders>
              <w:top w:val="nil"/>
              <w:bottom w:val="nil"/>
              <w:right w:val="nil"/>
            </w:tcBorders>
            <w:shd w:val="clear" w:color="auto" w:fill="auto"/>
          </w:tcPr>
          <w:p w14:paraId="619229EA" w14:textId="77777777" w:rsidR="00E90281" w:rsidRPr="002B1D8F" w:rsidRDefault="00E90281" w:rsidP="00A05864">
            <w:pPr>
              <w:pStyle w:val="TableTextCentered"/>
              <w:rPr>
                <w:highlight w:val="yellow"/>
              </w:rPr>
            </w:pPr>
            <w:r w:rsidRPr="0091074A">
              <w:t xml:space="preserve"> 27 </w:t>
            </w:r>
          </w:p>
        </w:tc>
      </w:tr>
      <w:tr w:rsidR="00E90281" w:rsidRPr="002B1D8F" w14:paraId="6BC3ABD6" w14:textId="77777777" w:rsidTr="006D1FD4">
        <w:trPr>
          <w:trHeight w:val="308"/>
        </w:trPr>
        <w:tc>
          <w:tcPr>
            <w:tcW w:w="1813" w:type="dxa"/>
            <w:tcBorders>
              <w:top w:val="nil"/>
              <w:left w:val="nil"/>
              <w:bottom w:val="nil"/>
            </w:tcBorders>
            <w:shd w:val="clear" w:color="auto" w:fill="auto"/>
            <w:vAlign w:val="center"/>
          </w:tcPr>
          <w:p w14:paraId="3558327C" w14:textId="77777777" w:rsidR="00E90281" w:rsidRPr="002B1D8F" w:rsidRDefault="00E90281" w:rsidP="00A05864">
            <w:pPr>
              <w:pStyle w:val="TableTextLeft"/>
            </w:pPr>
            <w:r w:rsidRPr="002B1D8F">
              <w:t>Educatio</w:t>
            </w:r>
            <w:r w:rsidRPr="002B1D8F">
              <w:rPr>
                <w:rFonts w:cs="Calibri"/>
                <w:szCs w:val="18"/>
              </w:rPr>
              <w:t>n and Training</w:t>
            </w:r>
          </w:p>
        </w:tc>
        <w:tc>
          <w:tcPr>
            <w:tcW w:w="907" w:type="dxa"/>
            <w:tcBorders>
              <w:top w:val="nil"/>
              <w:bottom w:val="nil"/>
            </w:tcBorders>
            <w:shd w:val="clear" w:color="auto" w:fill="auto"/>
          </w:tcPr>
          <w:p w14:paraId="139593CB" w14:textId="77777777" w:rsidR="00E90281" w:rsidRPr="002B1D8F" w:rsidRDefault="00E90281" w:rsidP="00A05864">
            <w:pPr>
              <w:pStyle w:val="TableTextCentered"/>
              <w:rPr>
                <w:highlight w:val="yellow"/>
              </w:rPr>
            </w:pPr>
            <w:r w:rsidRPr="0091074A">
              <w:t xml:space="preserve"> 10.9 </w:t>
            </w:r>
          </w:p>
        </w:tc>
        <w:tc>
          <w:tcPr>
            <w:tcW w:w="907" w:type="dxa"/>
            <w:tcBorders>
              <w:top w:val="nil"/>
              <w:bottom w:val="nil"/>
            </w:tcBorders>
            <w:shd w:val="clear" w:color="auto" w:fill="auto"/>
          </w:tcPr>
          <w:p w14:paraId="6C5396EE" w14:textId="77777777" w:rsidR="00E90281" w:rsidRPr="002B1D8F" w:rsidRDefault="00E90281" w:rsidP="00A05864">
            <w:pPr>
              <w:pStyle w:val="TableTextCentered"/>
              <w:rPr>
                <w:highlight w:val="yellow"/>
              </w:rPr>
            </w:pPr>
            <w:r w:rsidRPr="0091074A">
              <w:t xml:space="preserve"> 443.5 </w:t>
            </w:r>
          </w:p>
        </w:tc>
        <w:tc>
          <w:tcPr>
            <w:tcW w:w="907" w:type="dxa"/>
            <w:tcBorders>
              <w:top w:val="nil"/>
              <w:bottom w:val="nil"/>
            </w:tcBorders>
            <w:shd w:val="clear" w:color="auto" w:fill="auto"/>
          </w:tcPr>
          <w:p w14:paraId="5DD20D8A" w14:textId="77777777" w:rsidR="00E90281" w:rsidRPr="002B1D8F" w:rsidRDefault="00E90281" w:rsidP="00A05864">
            <w:pPr>
              <w:pStyle w:val="TableTextCentered"/>
              <w:rPr>
                <w:highlight w:val="yellow"/>
              </w:rPr>
            </w:pPr>
            <w:r w:rsidRPr="0091074A">
              <w:t xml:space="preserve"> 54 </w:t>
            </w:r>
          </w:p>
        </w:tc>
        <w:tc>
          <w:tcPr>
            <w:tcW w:w="907" w:type="dxa"/>
            <w:tcBorders>
              <w:top w:val="nil"/>
              <w:bottom w:val="nil"/>
            </w:tcBorders>
            <w:shd w:val="clear" w:color="auto" w:fill="auto"/>
          </w:tcPr>
          <w:p w14:paraId="5E5E4252" w14:textId="77777777" w:rsidR="00E90281" w:rsidRPr="002B1D8F" w:rsidRDefault="00E90281" w:rsidP="00A05864">
            <w:pPr>
              <w:pStyle w:val="TableTextCentered"/>
              <w:rPr>
                <w:highlight w:val="yellow"/>
              </w:rPr>
            </w:pPr>
            <w:r w:rsidRPr="0091074A">
              <w:t xml:space="preserve"> 59 </w:t>
            </w:r>
          </w:p>
        </w:tc>
        <w:tc>
          <w:tcPr>
            <w:tcW w:w="907" w:type="dxa"/>
            <w:tcBorders>
              <w:top w:val="nil"/>
              <w:bottom w:val="nil"/>
            </w:tcBorders>
            <w:shd w:val="clear" w:color="auto" w:fill="auto"/>
          </w:tcPr>
          <w:p w14:paraId="61231FCD" w14:textId="77777777" w:rsidR="00E90281" w:rsidRPr="002B1D8F" w:rsidRDefault="00E90281" w:rsidP="00A05864">
            <w:pPr>
              <w:pStyle w:val="TableTextCentered"/>
              <w:rPr>
                <w:highlight w:val="yellow"/>
              </w:rPr>
            </w:pPr>
            <w:r w:rsidRPr="0091074A">
              <w:t xml:space="preserve"> 17 </w:t>
            </w:r>
          </w:p>
        </w:tc>
        <w:tc>
          <w:tcPr>
            <w:tcW w:w="907" w:type="dxa"/>
            <w:tcBorders>
              <w:top w:val="nil"/>
              <w:bottom w:val="nil"/>
            </w:tcBorders>
            <w:shd w:val="clear" w:color="auto" w:fill="auto"/>
          </w:tcPr>
          <w:p w14:paraId="1B87D76A" w14:textId="77777777" w:rsidR="00E90281" w:rsidRPr="002B1D8F" w:rsidRDefault="00E90281" w:rsidP="00A05864">
            <w:pPr>
              <w:pStyle w:val="TableTextCentered"/>
              <w:rPr>
                <w:highlight w:val="yellow"/>
              </w:rPr>
            </w:pPr>
            <w:r w:rsidRPr="0091074A">
              <w:t xml:space="preserve"> 17 </w:t>
            </w:r>
          </w:p>
        </w:tc>
        <w:tc>
          <w:tcPr>
            <w:tcW w:w="907" w:type="dxa"/>
            <w:tcBorders>
              <w:top w:val="nil"/>
              <w:bottom w:val="nil"/>
            </w:tcBorders>
            <w:shd w:val="clear" w:color="auto" w:fill="auto"/>
          </w:tcPr>
          <w:p w14:paraId="455FAC1D" w14:textId="77777777" w:rsidR="00E90281" w:rsidRPr="002B1D8F" w:rsidRDefault="00E90281" w:rsidP="00A05864">
            <w:pPr>
              <w:pStyle w:val="TableTextCentered"/>
              <w:rPr>
                <w:highlight w:val="yellow"/>
              </w:rPr>
            </w:pPr>
            <w:r w:rsidRPr="0091074A">
              <w:t xml:space="preserve"> 29 </w:t>
            </w:r>
          </w:p>
        </w:tc>
        <w:tc>
          <w:tcPr>
            <w:tcW w:w="907" w:type="dxa"/>
            <w:tcBorders>
              <w:top w:val="nil"/>
              <w:bottom w:val="nil"/>
              <w:right w:val="nil"/>
            </w:tcBorders>
            <w:shd w:val="clear" w:color="auto" w:fill="auto"/>
          </w:tcPr>
          <w:p w14:paraId="025AADA1" w14:textId="77777777" w:rsidR="00E90281" w:rsidRPr="002B1D8F" w:rsidRDefault="00E90281" w:rsidP="00A05864">
            <w:pPr>
              <w:pStyle w:val="TableTextCentered"/>
              <w:rPr>
                <w:highlight w:val="yellow"/>
              </w:rPr>
            </w:pPr>
            <w:r w:rsidRPr="0091074A">
              <w:t xml:space="preserve"> 24 </w:t>
            </w:r>
          </w:p>
        </w:tc>
      </w:tr>
      <w:tr w:rsidR="00E90281" w:rsidRPr="002B1D8F" w14:paraId="0962BCBA" w14:textId="77777777" w:rsidTr="006D1FD4">
        <w:trPr>
          <w:trHeight w:val="308"/>
        </w:trPr>
        <w:tc>
          <w:tcPr>
            <w:tcW w:w="1813" w:type="dxa"/>
            <w:tcBorders>
              <w:top w:val="nil"/>
              <w:left w:val="nil"/>
              <w:bottom w:val="nil"/>
            </w:tcBorders>
            <w:shd w:val="clear" w:color="auto" w:fill="auto"/>
            <w:vAlign w:val="center"/>
          </w:tcPr>
          <w:p w14:paraId="4CA43358" w14:textId="77777777" w:rsidR="00E90281" w:rsidRPr="002B1D8F" w:rsidRDefault="00E90281" w:rsidP="00A05864">
            <w:pPr>
              <w:pStyle w:val="TableTextLeft"/>
            </w:pPr>
            <w:r w:rsidRPr="002B1D8F">
              <w:t>Health Care and Social As</w:t>
            </w:r>
            <w:r w:rsidRPr="002B1D8F">
              <w:rPr>
                <w:rFonts w:cs="Calibri"/>
                <w:szCs w:val="18"/>
              </w:rPr>
              <w:t>sistance</w:t>
            </w:r>
          </w:p>
        </w:tc>
        <w:tc>
          <w:tcPr>
            <w:tcW w:w="907" w:type="dxa"/>
            <w:tcBorders>
              <w:top w:val="nil"/>
              <w:bottom w:val="nil"/>
            </w:tcBorders>
            <w:shd w:val="clear" w:color="auto" w:fill="auto"/>
          </w:tcPr>
          <w:p w14:paraId="52529873" w14:textId="77777777" w:rsidR="00E90281" w:rsidRPr="002B1D8F" w:rsidRDefault="00E90281" w:rsidP="00A05864">
            <w:pPr>
              <w:pStyle w:val="TableTextCentered"/>
              <w:rPr>
                <w:highlight w:val="yellow"/>
              </w:rPr>
            </w:pPr>
            <w:r w:rsidRPr="0091074A">
              <w:t xml:space="preserve"> 50.8 </w:t>
            </w:r>
          </w:p>
        </w:tc>
        <w:tc>
          <w:tcPr>
            <w:tcW w:w="907" w:type="dxa"/>
            <w:tcBorders>
              <w:top w:val="nil"/>
              <w:bottom w:val="nil"/>
            </w:tcBorders>
            <w:shd w:val="clear" w:color="auto" w:fill="auto"/>
          </w:tcPr>
          <w:p w14:paraId="45AF59AE" w14:textId="77777777" w:rsidR="00E90281" w:rsidRPr="002B1D8F" w:rsidRDefault="00E90281" w:rsidP="00A05864">
            <w:pPr>
              <w:pStyle w:val="TableTextCentered"/>
              <w:rPr>
                <w:highlight w:val="yellow"/>
              </w:rPr>
            </w:pPr>
            <w:r w:rsidRPr="0091074A">
              <w:t xml:space="preserve"> 1,652.1 </w:t>
            </w:r>
          </w:p>
        </w:tc>
        <w:tc>
          <w:tcPr>
            <w:tcW w:w="907" w:type="dxa"/>
            <w:tcBorders>
              <w:top w:val="nil"/>
              <w:bottom w:val="nil"/>
            </w:tcBorders>
            <w:shd w:val="clear" w:color="auto" w:fill="auto"/>
          </w:tcPr>
          <w:p w14:paraId="7310433F" w14:textId="77777777" w:rsidR="00E90281" w:rsidRPr="002B1D8F" w:rsidRDefault="00E90281" w:rsidP="00A05864">
            <w:pPr>
              <w:pStyle w:val="TableTextCentered"/>
              <w:rPr>
                <w:highlight w:val="yellow"/>
              </w:rPr>
            </w:pPr>
            <w:r w:rsidRPr="0091074A">
              <w:t xml:space="preserve"> 28 </w:t>
            </w:r>
          </w:p>
        </w:tc>
        <w:tc>
          <w:tcPr>
            <w:tcW w:w="907" w:type="dxa"/>
            <w:tcBorders>
              <w:top w:val="nil"/>
              <w:bottom w:val="nil"/>
            </w:tcBorders>
            <w:shd w:val="clear" w:color="auto" w:fill="auto"/>
          </w:tcPr>
          <w:p w14:paraId="51F0BC53" w14:textId="77777777" w:rsidR="00E90281" w:rsidRPr="002B1D8F" w:rsidRDefault="00E90281" w:rsidP="00A05864">
            <w:pPr>
              <w:pStyle w:val="TableTextCentered"/>
              <w:rPr>
                <w:highlight w:val="yellow"/>
              </w:rPr>
            </w:pPr>
            <w:r w:rsidRPr="0091074A">
              <w:t xml:space="preserve"> 21 </w:t>
            </w:r>
          </w:p>
        </w:tc>
        <w:tc>
          <w:tcPr>
            <w:tcW w:w="907" w:type="dxa"/>
            <w:tcBorders>
              <w:top w:val="nil"/>
              <w:bottom w:val="nil"/>
            </w:tcBorders>
            <w:shd w:val="clear" w:color="auto" w:fill="auto"/>
          </w:tcPr>
          <w:p w14:paraId="1B75A07C" w14:textId="77777777" w:rsidR="00E90281" w:rsidRPr="002B1D8F" w:rsidRDefault="00E90281" w:rsidP="00A05864">
            <w:pPr>
              <w:pStyle w:val="TableTextCentered"/>
              <w:rPr>
                <w:highlight w:val="yellow"/>
              </w:rPr>
            </w:pPr>
            <w:r w:rsidRPr="0091074A">
              <w:t xml:space="preserve"> 25 </w:t>
            </w:r>
          </w:p>
        </w:tc>
        <w:tc>
          <w:tcPr>
            <w:tcW w:w="907" w:type="dxa"/>
            <w:tcBorders>
              <w:top w:val="nil"/>
              <w:bottom w:val="nil"/>
            </w:tcBorders>
            <w:shd w:val="clear" w:color="auto" w:fill="auto"/>
          </w:tcPr>
          <w:p w14:paraId="0A9A70D8" w14:textId="77777777" w:rsidR="00E90281" w:rsidRPr="002B1D8F" w:rsidRDefault="00E90281" w:rsidP="00A05864">
            <w:pPr>
              <w:pStyle w:val="TableTextCentered"/>
              <w:rPr>
                <w:highlight w:val="yellow"/>
              </w:rPr>
            </w:pPr>
            <w:r w:rsidRPr="0091074A">
              <w:t xml:space="preserve"> 26 </w:t>
            </w:r>
          </w:p>
        </w:tc>
        <w:tc>
          <w:tcPr>
            <w:tcW w:w="907" w:type="dxa"/>
            <w:tcBorders>
              <w:top w:val="nil"/>
              <w:bottom w:val="nil"/>
            </w:tcBorders>
            <w:shd w:val="clear" w:color="auto" w:fill="auto"/>
          </w:tcPr>
          <w:p w14:paraId="61E7BFFF" w14:textId="77777777" w:rsidR="00E90281" w:rsidRPr="002B1D8F" w:rsidRDefault="00E90281" w:rsidP="00A05864">
            <w:pPr>
              <w:pStyle w:val="TableTextCentered"/>
              <w:rPr>
                <w:highlight w:val="yellow"/>
              </w:rPr>
            </w:pPr>
            <w:r w:rsidRPr="0091074A">
              <w:t xml:space="preserve"> 47 </w:t>
            </w:r>
          </w:p>
        </w:tc>
        <w:tc>
          <w:tcPr>
            <w:tcW w:w="907" w:type="dxa"/>
            <w:tcBorders>
              <w:top w:val="nil"/>
              <w:bottom w:val="nil"/>
              <w:right w:val="nil"/>
            </w:tcBorders>
            <w:shd w:val="clear" w:color="auto" w:fill="auto"/>
          </w:tcPr>
          <w:p w14:paraId="12BD75F4" w14:textId="77777777" w:rsidR="00E90281" w:rsidRPr="002B1D8F" w:rsidRDefault="00E90281" w:rsidP="00A05864">
            <w:pPr>
              <w:pStyle w:val="TableTextCentered"/>
              <w:rPr>
                <w:highlight w:val="yellow"/>
              </w:rPr>
            </w:pPr>
            <w:r w:rsidRPr="0091074A">
              <w:t xml:space="preserve"> 53 </w:t>
            </w:r>
          </w:p>
        </w:tc>
      </w:tr>
      <w:tr w:rsidR="00E90281" w:rsidRPr="002B1D8F" w14:paraId="0B0BA9E4" w14:textId="77777777" w:rsidTr="006D1FD4">
        <w:trPr>
          <w:trHeight w:val="308"/>
        </w:trPr>
        <w:tc>
          <w:tcPr>
            <w:tcW w:w="1813" w:type="dxa"/>
            <w:tcBorders>
              <w:top w:val="nil"/>
              <w:left w:val="nil"/>
            </w:tcBorders>
            <w:shd w:val="clear" w:color="auto" w:fill="auto"/>
            <w:vAlign w:val="center"/>
          </w:tcPr>
          <w:p w14:paraId="2BEEF00E" w14:textId="77777777" w:rsidR="00E90281" w:rsidRPr="002B1D8F" w:rsidRDefault="00E90281" w:rsidP="00A05864">
            <w:pPr>
              <w:pStyle w:val="TableTextLeft"/>
            </w:pPr>
            <w:r w:rsidRPr="002B1D8F">
              <w:t>Arts</w:t>
            </w:r>
            <w:r w:rsidRPr="002B1D8F">
              <w:rPr>
                <w:rFonts w:cs="Calibri"/>
                <w:szCs w:val="18"/>
              </w:rPr>
              <w:t xml:space="preserve"> and Recreation Services</w:t>
            </w:r>
          </w:p>
        </w:tc>
        <w:tc>
          <w:tcPr>
            <w:tcW w:w="907" w:type="dxa"/>
            <w:tcBorders>
              <w:top w:val="nil"/>
            </w:tcBorders>
            <w:shd w:val="clear" w:color="auto" w:fill="auto"/>
          </w:tcPr>
          <w:p w14:paraId="087C23AE" w14:textId="77777777" w:rsidR="00E90281" w:rsidRPr="002B1D8F" w:rsidRDefault="00E90281" w:rsidP="00A05864">
            <w:pPr>
              <w:pStyle w:val="TableTextCentered"/>
              <w:rPr>
                <w:highlight w:val="yellow"/>
              </w:rPr>
            </w:pPr>
            <w:r w:rsidRPr="0091074A">
              <w:t xml:space="preserve"> 16.1 </w:t>
            </w:r>
          </w:p>
        </w:tc>
        <w:tc>
          <w:tcPr>
            <w:tcW w:w="907" w:type="dxa"/>
            <w:tcBorders>
              <w:top w:val="nil"/>
            </w:tcBorders>
            <w:shd w:val="clear" w:color="auto" w:fill="auto"/>
          </w:tcPr>
          <w:p w14:paraId="1D716E7B" w14:textId="77777777" w:rsidR="00E90281" w:rsidRPr="002B1D8F" w:rsidRDefault="00E90281" w:rsidP="00A05864">
            <w:pPr>
              <w:pStyle w:val="TableTextCentered"/>
              <w:rPr>
                <w:highlight w:val="yellow"/>
              </w:rPr>
            </w:pPr>
            <w:r w:rsidRPr="0091074A">
              <w:t xml:space="preserve"> 705.0 </w:t>
            </w:r>
          </w:p>
        </w:tc>
        <w:tc>
          <w:tcPr>
            <w:tcW w:w="907" w:type="dxa"/>
            <w:tcBorders>
              <w:top w:val="nil"/>
            </w:tcBorders>
            <w:shd w:val="clear" w:color="auto" w:fill="auto"/>
          </w:tcPr>
          <w:p w14:paraId="23A814DD" w14:textId="77777777" w:rsidR="00E90281" w:rsidRPr="002B1D8F" w:rsidRDefault="00E90281" w:rsidP="00A05864">
            <w:pPr>
              <w:pStyle w:val="TableTextCentered"/>
              <w:rPr>
                <w:highlight w:val="yellow"/>
              </w:rPr>
            </w:pPr>
            <w:r w:rsidRPr="0091074A">
              <w:t xml:space="preserve"> 54 </w:t>
            </w:r>
          </w:p>
        </w:tc>
        <w:tc>
          <w:tcPr>
            <w:tcW w:w="907" w:type="dxa"/>
            <w:tcBorders>
              <w:top w:val="nil"/>
            </w:tcBorders>
            <w:shd w:val="clear" w:color="auto" w:fill="auto"/>
          </w:tcPr>
          <w:p w14:paraId="02353443" w14:textId="77777777" w:rsidR="00E90281" w:rsidRPr="002B1D8F" w:rsidRDefault="00E90281" w:rsidP="00A05864">
            <w:pPr>
              <w:pStyle w:val="TableTextCentered"/>
              <w:rPr>
                <w:highlight w:val="yellow"/>
              </w:rPr>
            </w:pPr>
            <w:r w:rsidRPr="0091074A">
              <w:t xml:space="preserve"> 64 </w:t>
            </w:r>
          </w:p>
        </w:tc>
        <w:tc>
          <w:tcPr>
            <w:tcW w:w="907" w:type="dxa"/>
            <w:tcBorders>
              <w:top w:val="nil"/>
            </w:tcBorders>
            <w:shd w:val="clear" w:color="auto" w:fill="auto"/>
          </w:tcPr>
          <w:p w14:paraId="4E2296E0" w14:textId="77777777" w:rsidR="00E90281" w:rsidRPr="002B1D8F" w:rsidRDefault="00E90281" w:rsidP="00A05864">
            <w:pPr>
              <w:pStyle w:val="TableTextCentered"/>
              <w:rPr>
                <w:highlight w:val="yellow"/>
              </w:rPr>
            </w:pPr>
            <w:r w:rsidRPr="0091074A">
              <w:t xml:space="preserve"> 18 </w:t>
            </w:r>
          </w:p>
        </w:tc>
        <w:tc>
          <w:tcPr>
            <w:tcW w:w="907" w:type="dxa"/>
            <w:tcBorders>
              <w:top w:val="nil"/>
            </w:tcBorders>
            <w:shd w:val="clear" w:color="auto" w:fill="auto"/>
          </w:tcPr>
          <w:p w14:paraId="2002F37C" w14:textId="77777777" w:rsidR="00E90281" w:rsidRPr="002B1D8F" w:rsidRDefault="00E90281" w:rsidP="00A05864">
            <w:pPr>
              <w:pStyle w:val="TableTextCentered"/>
              <w:rPr>
                <w:highlight w:val="yellow"/>
              </w:rPr>
            </w:pPr>
            <w:r w:rsidRPr="0091074A">
              <w:t xml:space="preserve"> 17 </w:t>
            </w:r>
          </w:p>
        </w:tc>
        <w:tc>
          <w:tcPr>
            <w:tcW w:w="907" w:type="dxa"/>
            <w:tcBorders>
              <w:top w:val="nil"/>
            </w:tcBorders>
            <w:shd w:val="clear" w:color="auto" w:fill="auto"/>
          </w:tcPr>
          <w:p w14:paraId="2C4399F0" w14:textId="77777777" w:rsidR="00E90281" w:rsidRPr="002B1D8F" w:rsidRDefault="00E90281" w:rsidP="00A05864">
            <w:pPr>
              <w:pStyle w:val="TableTextCentered"/>
              <w:rPr>
                <w:highlight w:val="yellow"/>
              </w:rPr>
            </w:pPr>
            <w:r w:rsidRPr="0091074A">
              <w:t xml:space="preserve"> 28 </w:t>
            </w:r>
          </w:p>
        </w:tc>
        <w:tc>
          <w:tcPr>
            <w:tcW w:w="907" w:type="dxa"/>
            <w:tcBorders>
              <w:top w:val="nil"/>
              <w:right w:val="nil"/>
            </w:tcBorders>
            <w:shd w:val="clear" w:color="auto" w:fill="auto"/>
          </w:tcPr>
          <w:p w14:paraId="38756760" w14:textId="77777777" w:rsidR="00E90281" w:rsidRPr="002B1D8F" w:rsidRDefault="00E90281" w:rsidP="00A05864">
            <w:pPr>
              <w:pStyle w:val="TableTextCentered"/>
              <w:rPr>
                <w:highlight w:val="yellow"/>
              </w:rPr>
            </w:pPr>
            <w:r w:rsidRPr="0091074A">
              <w:t xml:space="preserve"> 20 </w:t>
            </w:r>
          </w:p>
        </w:tc>
      </w:tr>
      <w:tr w:rsidR="00E90281" w:rsidRPr="002B1D8F" w14:paraId="4B16DF26" w14:textId="77777777" w:rsidTr="006D1FD4">
        <w:trPr>
          <w:trHeight w:val="308"/>
        </w:trPr>
        <w:tc>
          <w:tcPr>
            <w:tcW w:w="1813" w:type="dxa"/>
            <w:tcBorders>
              <w:top w:val="nil"/>
              <w:left w:val="nil"/>
              <w:bottom w:val="single" w:sz="4" w:space="0" w:color="3A6FAF"/>
            </w:tcBorders>
            <w:shd w:val="clear" w:color="auto" w:fill="auto"/>
            <w:vAlign w:val="center"/>
          </w:tcPr>
          <w:p w14:paraId="59814567" w14:textId="77777777" w:rsidR="00E90281" w:rsidRPr="002B1D8F" w:rsidRDefault="00E90281" w:rsidP="00A05864">
            <w:pPr>
              <w:pStyle w:val="TableTextLeft"/>
            </w:pPr>
            <w:r w:rsidRPr="002B1D8F">
              <w:t>Other Services</w:t>
            </w:r>
          </w:p>
        </w:tc>
        <w:tc>
          <w:tcPr>
            <w:tcW w:w="907" w:type="dxa"/>
            <w:tcBorders>
              <w:top w:val="nil"/>
              <w:bottom w:val="single" w:sz="4" w:space="0" w:color="3A6FAF"/>
            </w:tcBorders>
            <w:shd w:val="clear" w:color="auto" w:fill="auto"/>
          </w:tcPr>
          <w:p w14:paraId="4F505563" w14:textId="77777777" w:rsidR="00E90281" w:rsidRPr="002B1D8F" w:rsidRDefault="00E90281" w:rsidP="00A05864">
            <w:pPr>
              <w:pStyle w:val="TableTextCentered"/>
              <w:rPr>
                <w:highlight w:val="yellow"/>
              </w:rPr>
            </w:pPr>
            <w:r w:rsidRPr="0091074A">
              <w:t xml:space="preserve"> 45.6 </w:t>
            </w:r>
          </w:p>
        </w:tc>
        <w:tc>
          <w:tcPr>
            <w:tcW w:w="907" w:type="dxa"/>
            <w:tcBorders>
              <w:top w:val="nil"/>
              <w:bottom w:val="single" w:sz="4" w:space="0" w:color="3A6FAF"/>
            </w:tcBorders>
            <w:shd w:val="clear" w:color="auto" w:fill="auto"/>
          </w:tcPr>
          <w:p w14:paraId="57E8900E" w14:textId="77777777" w:rsidR="00E90281" w:rsidRPr="002B1D8F" w:rsidRDefault="00E90281" w:rsidP="00A05864">
            <w:pPr>
              <w:pStyle w:val="TableTextCentered"/>
              <w:rPr>
                <w:highlight w:val="yellow"/>
              </w:rPr>
            </w:pPr>
            <w:r w:rsidRPr="0091074A">
              <w:t xml:space="preserve"> 1,356.0 </w:t>
            </w:r>
          </w:p>
        </w:tc>
        <w:tc>
          <w:tcPr>
            <w:tcW w:w="907" w:type="dxa"/>
            <w:tcBorders>
              <w:top w:val="nil"/>
              <w:bottom w:val="single" w:sz="4" w:space="0" w:color="3A6FAF"/>
            </w:tcBorders>
            <w:shd w:val="clear" w:color="auto" w:fill="auto"/>
          </w:tcPr>
          <w:p w14:paraId="0FEB41CE" w14:textId="77777777" w:rsidR="00E90281" w:rsidRPr="002B1D8F" w:rsidRDefault="00E90281" w:rsidP="00A05864">
            <w:pPr>
              <w:pStyle w:val="TableTextCentered"/>
              <w:rPr>
                <w:highlight w:val="yellow"/>
              </w:rPr>
            </w:pPr>
            <w:r w:rsidRPr="0091074A">
              <w:t xml:space="preserve"> 41 </w:t>
            </w:r>
          </w:p>
        </w:tc>
        <w:tc>
          <w:tcPr>
            <w:tcW w:w="907" w:type="dxa"/>
            <w:tcBorders>
              <w:top w:val="nil"/>
              <w:bottom w:val="single" w:sz="4" w:space="0" w:color="3A6FAF"/>
            </w:tcBorders>
            <w:shd w:val="clear" w:color="auto" w:fill="auto"/>
          </w:tcPr>
          <w:p w14:paraId="4F4831B5" w14:textId="77777777" w:rsidR="00E90281" w:rsidRPr="002B1D8F" w:rsidRDefault="00E90281" w:rsidP="00A05864">
            <w:pPr>
              <w:pStyle w:val="TableTextCentered"/>
              <w:rPr>
                <w:highlight w:val="yellow"/>
              </w:rPr>
            </w:pPr>
            <w:r w:rsidRPr="0091074A">
              <w:t xml:space="preserve"> 39 </w:t>
            </w:r>
          </w:p>
        </w:tc>
        <w:tc>
          <w:tcPr>
            <w:tcW w:w="907" w:type="dxa"/>
            <w:tcBorders>
              <w:top w:val="nil"/>
              <w:bottom w:val="single" w:sz="4" w:space="0" w:color="3A6FAF"/>
            </w:tcBorders>
            <w:shd w:val="clear" w:color="auto" w:fill="auto"/>
          </w:tcPr>
          <w:p w14:paraId="1FA7DD99" w14:textId="77777777" w:rsidR="00E90281" w:rsidRPr="002B1D8F" w:rsidRDefault="00E90281" w:rsidP="00A05864">
            <w:pPr>
              <w:pStyle w:val="TableTextCentered"/>
              <w:rPr>
                <w:highlight w:val="yellow"/>
              </w:rPr>
            </w:pPr>
            <w:r w:rsidRPr="0091074A">
              <w:t xml:space="preserve"> 25 </w:t>
            </w:r>
          </w:p>
        </w:tc>
        <w:tc>
          <w:tcPr>
            <w:tcW w:w="907" w:type="dxa"/>
            <w:tcBorders>
              <w:top w:val="nil"/>
              <w:bottom w:val="single" w:sz="4" w:space="0" w:color="3A6FAF"/>
            </w:tcBorders>
            <w:shd w:val="clear" w:color="auto" w:fill="auto"/>
          </w:tcPr>
          <w:p w14:paraId="05ECFF31" w14:textId="77777777" w:rsidR="00E90281" w:rsidRPr="002B1D8F" w:rsidRDefault="00E90281" w:rsidP="00A05864">
            <w:pPr>
              <w:pStyle w:val="TableTextCentered"/>
              <w:rPr>
                <w:highlight w:val="yellow"/>
              </w:rPr>
            </w:pPr>
            <w:r w:rsidRPr="0091074A">
              <w:t xml:space="preserve"> 27 </w:t>
            </w:r>
          </w:p>
        </w:tc>
        <w:tc>
          <w:tcPr>
            <w:tcW w:w="907" w:type="dxa"/>
            <w:tcBorders>
              <w:top w:val="nil"/>
              <w:bottom w:val="single" w:sz="4" w:space="0" w:color="3A6FAF"/>
            </w:tcBorders>
            <w:shd w:val="clear" w:color="auto" w:fill="auto"/>
          </w:tcPr>
          <w:p w14:paraId="7006AEA6" w14:textId="77777777" w:rsidR="00E90281" w:rsidRPr="002B1D8F" w:rsidRDefault="00E90281" w:rsidP="00A05864">
            <w:pPr>
              <w:pStyle w:val="TableTextCentered"/>
              <w:rPr>
                <w:highlight w:val="yellow"/>
              </w:rPr>
            </w:pPr>
            <w:r w:rsidRPr="0091074A">
              <w:t xml:space="preserve"> 35 </w:t>
            </w:r>
          </w:p>
        </w:tc>
        <w:tc>
          <w:tcPr>
            <w:tcW w:w="907" w:type="dxa"/>
            <w:tcBorders>
              <w:top w:val="nil"/>
              <w:bottom w:val="single" w:sz="4" w:space="0" w:color="3A6FAF"/>
              <w:right w:val="nil"/>
            </w:tcBorders>
            <w:shd w:val="clear" w:color="auto" w:fill="auto"/>
          </w:tcPr>
          <w:p w14:paraId="4B670AD1" w14:textId="77777777" w:rsidR="00E90281" w:rsidRPr="002B1D8F" w:rsidRDefault="00E90281" w:rsidP="00A05864">
            <w:pPr>
              <w:pStyle w:val="TableTextCentered"/>
              <w:rPr>
                <w:highlight w:val="yellow"/>
              </w:rPr>
            </w:pPr>
            <w:r w:rsidRPr="0091074A">
              <w:t xml:space="preserve"> 35 </w:t>
            </w:r>
          </w:p>
        </w:tc>
      </w:tr>
    </w:tbl>
    <w:p w14:paraId="5241DFBB" w14:textId="2AC5D09E" w:rsidR="006B17FE" w:rsidRDefault="006B17FE" w:rsidP="006B17FE">
      <w:pPr>
        <w:spacing w:before="0" w:after="0" w:line="276" w:lineRule="auto"/>
        <w:jc w:val="both"/>
        <w:rPr>
          <w:sz w:val="18"/>
          <w:szCs w:val="16"/>
        </w:rPr>
      </w:pPr>
      <w:r w:rsidRPr="003E7BD1">
        <w:rPr>
          <w:sz w:val="18"/>
          <w:szCs w:val="16"/>
        </w:rPr>
        <w:t>Note</w:t>
      </w:r>
      <w:r>
        <w:rPr>
          <w:sz w:val="18"/>
          <w:szCs w:val="16"/>
        </w:rPr>
        <w:t xml:space="preserve">: </w:t>
      </w:r>
      <w:r w:rsidRPr="00493645">
        <w:rPr>
          <w:sz w:val="18"/>
          <w:szCs w:val="16"/>
        </w:rPr>
        <w:t>Large businesses (those with turnover greater than $1 billion) were subject to a 50 per cent decline in turnover test.</w:t>
      </w:r>
      <w:r>
        <w:rPr>
          <w:sz w:val="18"/>
          <w:szCs w:val="16"/>
        </w:rPr>
        <w:t xml:space="preserve"> Turnover analysis is based on quarterly data compared to a year earlier.</w:t>
      </w:r>
    </w:p>
    <w:p w14:paraId="0DBDEDCE" w14:textId="106D7583" w:rsidR="00B61369" w:rsidRPr="003E7BD1" w:rsidRDefault="0065237A" w:rsidP="00B61369">
      <w:pPr>
        <w:spacing w:before="0" w:after="200" w:line="276" w:lineRule="auto"/>
        <w:rPr>
          <w:sz w:val="18"/>
          <w:szCs w:val="16"/>
        </w:rPr>
      </w:pPr>
      <w:r>
        <w:rPr>
          <w:sz w:val="18"/>
          <w:szCs w:val="16"/>
        </w:rPr>
        <w:t>Source:</w:t>
      </w:r>
      <w:r w:rsidR="00B61369">
        <w:rPr>
          <w:sz w:val="18"/>
          <w:szCs w:val="16"/>
        </w:rPr>
        <w:t xml:space="preserve"> JobKeeper disbursement data as at November 2020 and BAS data as at August 2021.</w:t>
      </w:r>
    </w:p>
    <w:p w14:paraId="08B27997" w14:textId="46335D68" w:rsidR="006D1FD4" w:rsidRDefault="006D1FD4">
      <w:pPr>
        <w:spacing w:before="0" w:after="200" w:line="276" w:lineRule="auto"/>
      </w:pPr>
      <w:r>
        <w:br w:type="page"/>
      </w:r>
    </w:p>
    <w:p w14:paraId="3BFE7542" w14:textId="6511144C" w:rsidR="00E028C0" w:rsidRPr="002C73BA" w:rsidRDefault="00E028C0" w:rsidP="00F47CDD">
      <w:pPr>
        <w:pStyle w:val="TableMainHeading"/>
      </w:pPr>
      <w:bookmarkStart w:id="230" w:name="_Toc84842612"/>
      <w:r>
        <w:lastRenderedPageBreak/>
        <w:t xml:space="preserve">JobKeeper recipients by </w:t>
      </w:r>
      <w:r w:rsidR="00905363">
        <w:t>through-the-year</w:t>
      </w:r>
      <w:r>
        <w:t xml:space="preserve"> turnover </w:t>
      </w:r>
      <w:r w:rsidR="00EE3B19">
        <w:t>decline</w:t>
      </w:r>
      <w:r>
        <w:t xml:space="preserve"> </w:t>
      </w:r>
      <w:r w:rsidR="00C05A71">
        <w:t xml:space="preserve">by </w:t>
      </w:r>
      <w:r w:rsidR="00386AFA">
        <w:t>s</w:t>
      </w:r>
      <w:r>
        <w:t>tate, September</w:t>
      </w:r>
      <w:r w:rsidR="006D1FD4">
        <w:t> </w:t>
      </w:r>
      <w:r>
        <w:t>quarter 2020</w:t>
      </w:r>
      <w:bookmarkEnd w:id="230"/>
    </w:p>
    <w:tbl>
      <w:tblPr>
        <w:tblStyle w:val="TableGrid"/>
        <w:tblW w:w="5137" w:type="pct"/>
        <w:tblLook w:val="04A0" w:firstRow="1" w:lastRow="0" w:firstColumn="1" w:lastColumn="0" w:noHBand="0" w:noVBand="1"/>
      </w:tblPr>
      <w:tblGrid>
        <w:gridCol w:w="603"/>
        <w:gridCol w:w="840"/>
        <w:gridCol w:w="819"/>
        <w:gridCol w:w="20"/>
        <w:gridCol w:w="907"/>
        <w:gridCol w:w="1349"/>
        <w:gridCol w:w="90"/>
        <w:gridCol w:w="907"/>
        <w:gridCol w:w="1337"/>
        <w:gridCol w:w="102"/>
        <w:gridCol w:w="907"/>
        <w:gridCol w:w="1318"/>
        <w:gridCol w:w="121"/>
      </w:tblGrid>
      <w:tr w:rsidR="00993D8C" w:rsidRPr="00B14085" w14:paraId="14386E05" w14:textId="77777777" w:rsidTr="006D1FD4">
        <w:trPr>
          <w:gridAfter w:val="1"/>
          <w:wAfter w:w="121" w:type="dxa"/>
          <w:trHeight w:val="599"/>
        </w:trPr>
        <w:tc>
          <w:tcPr>
            <w:tcW w:w="603" w:type="dxa"/>
            <w:tcBorders>
              <w:top w:val="single" w:sz="4" w:space="0" w:color="3A6FAF"/>
              <w:left w:val="nil"/>
            </w:tcBorders>
            <w:shd w:val="clear" w:color="auto" w:fill="auto"/>
          </w:tcPr>
          <w:p w14:paraId="1940F190" w14:textId="77777777" w:rsidR="00993D8C" w:rsidRPr="00B14085" w:rsidRDefault="00993D8C" w:rsidP="00993D8C">
            <w:pPr>
              <w:spacing w:before="40" w:after="40"/>
              <w:rPr>
                <w:color w:val="000000"/>
                <w:sz w:val="18"/>
                <w:highlight w:val="yellow"/>
              </w:rPr>
            </w:pPr>
          </w:p>
        </w:tc>
        <w:tc>
          <w:tcPr>
            <w:tcW w:w="1659" w:type="dxa"/>
            <w:gridSpan w:val="2"/>
            <w:tcBorders>
              <w:top w:val="single" w:sz="4" w:space="0" w:color="3A6FAF"/>
            </w:tcBorders>
            <w:shd w:val="clear" w:color="auto" w:fill="auto"/>
          </w:tcPr>
          <w:p w14:paraId="6B7FD2D6" w14:textId="77777777" w:rsidR="00993D8C" w:rsidRPr="00B14085" w:rsidRDefault="00993D8C" w:rsidP="00993D8C">
            <w:pPr>
              <w:spacing w:before="40" w:after="40"/>
              <w:jc w:val="center"/>
              <w:rPr>
                <w:b/>
                <w:color w:val="002C47"/>
              </w:rPr>
            </w:pPr>
            <w:r w:rsidRPr="00B14085">
              <w:rPr>
                <w:b/>
                <w:color w:val="002C47"/>
              </w:rPr>
              <w:t>Totals</w:t>
            </w:r>
          </w:p>
        </w:tc>
        <w:tc>
          <w:tcPr>
            <w:tcW w:w="2276" w:type="dxa"/>
            <w:gridSpan w:val="3"/>
            <w:tcBorders>
              <w:top w:val="single" w:sz="4" w:space="0" w:color="3A6FAF"/>
            </w:tcBorders>
            <w:shd w:val="clear" w:color="auto" w:fill="auto"/>
          </w:tcPr>
          <w:p w14:paraId="21C85E6B" w14:textId="06B0FF1B" w:rsidR="00993D8C" w:rsidRPr="00B14085" w:rsidRDefault="00997912" w:rsidP="00993D8C">
            <w:pPr>
              <w:spacing w:before="40" w:after="40"/>
              <w:jc w:val="center"/>
              <w:rPr>
                <w:b/>
                <w:color w:val="002C47"/>
              </w:rPr>
            </w:pPr>
            <w:r>
              <w:rPr>
                <w:b/>
                <w:bCs/>
                <w:color w:val="002C47"/>
              </w:rPr>
              <w:t xml:space="preserve">Turnover decline </w:t>
            </w:r>
            <w:r>
              <w:rPr>
                <w:b/>
                <w:bCs/>
                <w:color w:val="002C47"/>
              </w:rPr>
              <w:br/>
              <w:t>more than 30%</w:t>
            </w:r>
            <w:r>
              <w:rPr>
                <w:b/>
                <w:bCs/>
                <w:color w:val="002C47"/>
              </w:rPr>
              <w:br/>
              <w:t>(or 50%)</w:t>
            </w:r>
          </w:p>
        </w:tc>
        <w:tc>
          <w:tcPr>
            <w:tcW w:w="2334" w:type="dxa"/>
            <w:gridSpan w:val="3"/>
            <w:tcBorders>
              <w:top w:val="single" w:sz="4" w:space="0" w:color="3A6FAF"/>
            </w:tcBorders>
            <w:shd w:val="clear" w:color="auto" w:fill="auto"/>
          </w:tcPr>
          <w:p w14:paraId="1EDB0052" w14:textId="4DD4E268" w:rsidR="00993D8C" w:rsidRPr="00B14085" w:rsidRDefault="00997912" w:rsidP="00993D8C">
            <w:pPr>
              <w:spacing w:before="40" w:after="40"/>
              <w:jc w:val="center"/>
              <w:rPr>
                <w:b/>
                <w:color w:val="002C47"/>
              </w:rPr>
            </w:pPr>
            <w:r>
              <w:rPr>
                <w:b/>
                <w:bCs/>
                <w:color w:val="002C47"/>
              </w:rPr>
              <w:t>Turnover decline   between 0 –</w:t>
            </w:r>
            <w:r w:rsidRPr="008C492F">
              <w:rPr>
                <w:b/>
                <w:bCs/>
                <w:color w:val="002C47"/>
              </w:rPr>
              <w:t xml:space="preserve"> </w:t>
            </w:r>
            <w:r>
              <w:rPr>
                <w:b/>
                <w:bCs/>
                <w:color w:val="002C47"/>
              </w:rPr>
              <w:t xml:space="preserve">30% </w:t>
            </w:r>
            <w:r>
              <w:rPr>
                <w:b/>
                <w:bCs/>
                <w:color w:val="002C47"/>
              </w:rPr>
              <w:br/>
              <w:t>(or 50%)</w:t>
            </w:r>
          </w:p>
        </w:tc>
        <w:tc>
          <w:tcPr>
            <w:tcW w:w="2327" w:type="dxa"/>
            <w:gridSpan w:val="3"/>
            <w:tcBorders>
              <w:top w:val="single" w:sz="4" w:space="0" w:color="3A6FAF"/>
              <w:right w:val="nil"/>
            </w:tcBorders>
            <w:shd w:val="clear" w:color="auto" w:fill="auto"/>
          </w:tcPr>
          <w:p w14:paraId="52A80E46" w14:textId="6931805A" w:rsidR="00993D8C" w:rsidRPr="00B14085" w:rsidRDefault="00997912" w:rsidP="00993D8C">
            <w:pPr>
              <w:spacing w:before="40" w:after="40"/>
              <w:jc w:val="center"/>
              <w:rPr>
                <w:b/>
                <w:color w:val="002C47"/>
              </w:rPr>
            </w:pPr>
            <w:r>
              <w:rPr>
                <w:b/>
                <w:color w:val="002C47"/>
              </w:rPr>
              <w:t>T</w:t>
            </w:r>
            <w:r w:rsidR="00993D8C" w:rsidRPr="00B14085">
              <w:rPr>
                <w:b/>
                <w:color w:val="002C47"/>
              </w:rPr>
              <w:t>urnover</w:t>
            </w:r>
            <w:r>
              <w:rPr>
                <w:b/>
                <w:color w:val="002C47"/>
              </w:rPr>
              <w:t xml:space="preserve"> increase</w:t>
            </w:r>
          </w:p>
        </w:tc>
      </w:tr>
      <w:tr w:rsidR="00993D8C" w:rsidRPr="00B14085" w14:paraId="737A1532" w14:textId="77777777" w:rsidTr="006D1FD4">
        <w:trPr>
          <w:trHeight w:val="616"/>
        </w:trPr>
        <w:tc>
          <w:tcPr>
            <w:tcW w:w="603" w:type="dxa"/>
            <w:tcBorders>
              <w:left w:val="nil"/>
              <w:bottom w:val="single" w:sz="4" w:space="0" w:color="3A6FAF"/>
            </w:tcBorders>
            <w:shd w:val="clear" w:color="auto" w:fill="auto"/>
          </w:tcPr>
          <w:p w14:paraId="53E18072" w14:textId="77777777" w:rsidR="00993D8C" w:rsidRPr="00B14085" w:rsidRDefault="00993D8C" w:rsidP="00993D8C">
            <w:pPr>
              <w:spacing w:before="40" w:after="40"/>
              <w:rPr>
                <w:color w:val="000000"/>
                <w:sz w:val="18"/>
                <w:highlight w:val="yellow"/>
              </w:rPr>
            </w:pPr>
          </w:p>
        </w:tc>
        <w:tc>
          <w:tcPr>
            <w:tcW w:w="840" w:type="dxa"/>
            <w:tcBorders>
              <w:bottom w:val="single" w:sz="4" w:space="0" w:color="3A6FAF"/>
            </w:tcBorders>
            <w:shd w:val="clear" w:color="auto" w:fill="auto"/>
          </w:tcPr>
          <w:p w14:paraId="0D096BF6" w14:textId="3E1559B9" w:rsidR="00993D8C" w:rsidRPr="00B14085" w:rsidRDefault="00993D8C" w:rsidP="00993D8C">
            <w:pPr>
              <w:spacing w:before="40" w:after="40"/>
              <w:jc w:val="center"/>
              <w:rPr>
                <w:b/>
                <w:color w:val="002C47"/>
              </w:rPr>
            </w:pPr>
            <w:r w:rsidRPr="00B14085">
              <w:rPr>
                <w:b/>
                <w:color w:val="002C47"/>
              </w:rPr>
              <w:t>Entities (</w:t>
            </w:r>
            <w:r w:rsidR="0038520A">
              <w:rPr>
                <w:b/>
                <w:color w:val="002C47"/>
              </w:rPr>
              <w:t>‘</w:t>
            </w:r>
            <w:r w:rsidRPr="00B14085">
              <w:rPr>
                <w:b/>
                <w:color w:val="002C47"/>
              </w:rPr>
              <w:t>000s)</w:t>
            </w:r>
          </w:p>
        </w:tc>
        <w:tc>
          <w:tcPr>
            <w:tcW w:w="839" w:type="dxa"/>
            <w:gridSpan w:val="2"/>
            <w:tcBorders>
              <w:bottom w:val="single" w:sz="4" w:space="0" w:color="3A6FAF"/>
            </w:tcBorders>
            <w:shd w:val="clear" w:color="auto" w:fill="auto"/>
          </w:tcPr>
          <w:p w14:paraId="3D7F67FA" w14:textId="4FED0005" w:rsidR="00993D8C" w:rsidRPr="00B14085" w:rsidRDefault="00993D8C" w:rsidP="00993D8C">
            <w:pPr>
              <w:spacing w:before="40" w:after="40"/>
              <w:jc w:val="center"/>
              <w:rPr>
                <w:b/>
                <w:color w:val="002C47"/>
              </w:rPr>
            </w:pPr>
            <w:r w:rsidRPr="00B14085">
              <w:rPr>
                <w:b/>
                <w:color w:val="002C47"/>
              </w:rPr>
              <w:t>Disburs</w:t>
            </w:r>
            <w:r w:rsidR="002F708C">
              <w:rPr>
                <w:b/>
                <w:color w:val="002C47"/>
              </w:rPr>
              <w:t xml:space="preserve"> </w:t>
            </w:r>
            <w:r w:rsidR="000B031F">
              <w:rPr>
                <w:b/>
                <w:color w:val="002C47"/>
              </w:rPr>
              <w:t>e</w:t>
            </w:r>
            <w:r w:rsidRPr="00B14085">
              <w:rPr>
                <w:b/>
                <w:color w:val="002C47"/>
              </w:rPr>
              <w:t>ments ($m)</w:t>
            </w:r>
          </w:p>
        </w:tc>
        <w:tc>
          <w:tcPr>
            <w:tcW w:w="907" w:type="dxa"/>
            <w:tcBorders>
              <w:bottom w:val="single" w:sz="4" w:space="0" w:color="3A6FAF"/>
            </w:tcBorders>
            <w:shd w:val="clear" w:color="auto" w:fill="auto"/>
          </w:tcPr>
          <w:p w14:paraId="5BC4B0B8" w14:textId="77777777" w:rsidR="00993D8C" w:rsidRPr="00B14085" w:rsidRDefault="00993D8C" w:rsidP="00993D8C">
            <w:pPr>
              <w:spacing w:before="40" w:after="40"/>
              <w:jc w:val="center"/>
              <w:rPr>
                <w:b/>
                <w:color w:val="002C47"/>
              </w:rPr>
            </w:pPr>
            <w:r w:rsidRPr="00B14085">
              <w:rPr>
                <w:b/>
                <w:color w:val="002C47"/>
              </w:rPr>
              <w:t>Share of entities (%)</w:t>
            </w:r>
          </w:p>
        </w:tc>
        <w:tc>
          <w:tcPr>
            <w:tcW w:w="1439" w:type="dxa"/>
            <w:gridSpan w:val="2"/>
            <w:tcBorders>
              <w:bottom w:val="single" w:sz="4" w:space="0" w:color="3A6FAF"/>
            </w:tcBorders>
            <w:shd w:val="clear" w:color="auto" w:fill="auto"/>
          </w:tcPr>
          <w:p w14:paraId="23BC66F3" w14:textId="024A1E05" w:rsidR="00993D8C" w:rsidRPr="00B14085" w:rsidRDefault="00993D8C" w:rsidP="00993D8C">
            <w:pPr>
              <w:spacing w:before="40" w:after="40"/>
              <w:jc w:val="center"/>
              <w:rPr>
                <w:b/>
                <w:color w:val="002C47"/>
              </w:rPr>
            </w:pPr>
            <w:r w:rsidRPr="00B14085">
              <w:rPr>
                <w:b/>
                <w:color w:val="002C47"/>
              </w:rPr>
              <w:t>Share of disbursements (%)</w:t>
            </w:r>
          </w:p>
        </w:tc>
        <w:tc>
          <w:tcPr>
            <w:tcW w:w="907" w:type="dxa"/>
            <w:tcBorders>
              <w:bottom w:val="single" w:sz="4" w:space="0" w:color="3A6FAF"/>
            </w:tcBorders>
            <w:shd w:val="clear" w:color="auto" w:fill="auto"/>
          </w:tcPr>
          <w:p w14:paraId="0DC64588" w14:textId="77777777" w:rsidR="00993D8C" w:rsidRPr="00B14085" w:rsidRDefault="00993D8C" w:rsidP="00993D8C">
            <w:pPr>
              <w:spacing w:before="40" w:after="40"/>
              <w:jc w:val="center"/>
              <w:rPr>
                <w:b/>
                <w:color w:val="002C47"/>
              </w:rPr>
            </w:pPr>
            <w:r w:rsidRPr="00B14085">
              <w:rPr>
                <w:b/>
                <w:color w:val="002C47"/>
              </w:rPr>
              <w:t>Share of entities (%)</w:t>
            </w:r>
          </w:p>
        </w:tc>
        <w:tc>
          <w:tcPr>
            <w:tcW w:w="1439" w:type="dxa"/>
            <w:gridSpan w:val="2"/>
            <w:tcBorders>
              <w:bottom w:val="single" w:sz="4" w:space="0" w:color="3A6FAF"/>
            </w:tcBorders>
            <w:shd w:val="clear" w:color="auto" w:fill="auto"/>
          </w:tcPr>
          <w:p w14:paraId="0A66304D" w14:textId="706E4FC6" w:rsidR="00993D8C" w:rsidRPr="00B14085" w:rsidRDefault="00993D8C" w:rsidP="00993D8C">
            <w:pPr>
              <w:spacing w:before="40" w:after="40"/>
              <w:jc w:val="center"/>
              <w:rPr>
                <w:b/>
                <w:color w:val="002C47"/>
              </w:rPr>
            </w:pPr>
            <w:r w:rsidRPr="00B14085">
              <w:rPr>
                <w:b/>
                <w:color w:val="002C47"/>
              </w:rPr>
              <w:t>Share of disbursements (%)</w:t>
            </w:r>
          </w:p>
        </w:tc>
        <w:tc>
          <w:tcPr>
            <w:tcW w:w="907" w:type="dxa"/>
            <w:tcBorders>
              <w:bottom w:val="single" w:sz="4" w:space="0" w:color="3A6FAF"/>
            </w:tcBorders>
            <w:shd w:val="clear" w:color="auto" w:fill="auto"/>
          </w:tcPr>
          <w:p w14:paraId="0D57AECD" w14:textId="77777777" w:rsidR="00993D8C" w:rsidRPr="00B14085" w:rsidRDefault="00993D8C" w:rsidP="00993D8C">
            <w:pPr>
              <w:spacing w:before="40" w:after="40"/>
              <w:jc w:val="center"/>
              <w:rPr>
                <w:b/>
                <w:color w:val="002C47"/>
              </w:rPr>
            </w:pPr>
            <w:r w:rsidRPr="00B14085">
              <w:rPr>
                <w:b/>
                <w:color w:val="002C47"/>
              </w:rPr>
              <w:t>Share of entities (%)</w:t>
            </w:r>
          </w:p>
        </w:tc>
        <w:tc>
          <w:tcPr>
            <w:tcW w:w="1439" w:type="dxa"/>
            <w:gridSpan w:val="2"/>
            <w:tcBorders>
              <w:bottom w:val="single" w:sz="4" w:space="0" w:color="3A6FAF"/>
              <w:right w:val="nil"/>
            </w:tcBorders>
            <w:shd w:val="clear" w:color="auto" w:fill="auto"/>
          </w:tcPr>
          <w:p w14:paraId="77D9A41E" w14:textId="52F75458" w:rsidR="00993D8C" w:rsidRPr="00B14085" w:rsidRDefault="00993D8C" w:rsidP="00993D8C">
            <w:pPr>
              <w:spacing w:before="40" w:after="40"/>
              <w:jc w:val="center"/>
              <w:rPr>
                <w:b/>
                <w:color w:val="002C47"/>
              </w:rPr>
            </w:pPr>
            <w:r w:rsidRPr="00B14085">
              <w:rPr>
                <w:b/>
                <w:color w:val="002C47"/>
              </w:rPr>
              <w:t>Share of disbursements (%)</w:t>
            </w:r>
          </w:p>
        </w:tc>
      </w:tr>
      <w:tr w:rsidR="00993D8C" w:rsidRPr="00B14085" w14:paraId="06930D76" w14:textId="77777777" w:rsidTr="006D1FD4">
        <w:trPr>
          <w:trHeight w:val="308"/>
        </w:trPr>
        <w:tc>
          <w:tcPr>
            <w:tcW w:w="603" w:type="dxa"/>
            <w:tcBorders>
              <w:top w:val="single" w:sz="4" w:space="0" w:color="3A6FAF"/>
              <w:left w:val="nil"/>
              <w:bottom w:val="nil"/>
            </w:tcBorders>
            <w:shd w:val="clear" w:color="auto" w:fill="auto"/>
            <w:vAlign w:val="bottom"/>
          </w:tcPr>
          <w:p w14:paraId="2D8C1A93" w14:textId="77777777" w:rsidR="00993D8C" w:rsidRPr="00B14085" w:rsidRDefault="00993D8C" w:rsidP="00993D8C">
            <w:pPr>
              <w:spacing w:before="40" w:after="40"/>
              <w:rPr>
                <w:color w:val="000000"/>
                <w:sz w:val="18"/>
              </w:rPr>
            </w:pPr>
            <w:r w:rsidRPr="00B14085">
              <w:rPr>
                <w:rFonts w:cs="Calibri"/>
                <w:color w:val="000000"/>
                <w:sz w:val="18"/>
              </w:rPr>
              <w:t>NSW</w:t>
            </w:r>
          </w:p>
        </w:tc>
        <w:tc>
          <w:tcPr>
            <w:tcW w:w="840" w:type="dxa"/>
            <w:tcBorders>
              <w:top w:val="single" w:sz="4" w:space="0" w:color="3A6FAF"/>
              <w:bottom w:val="nil"/>
            </w:tcBorders>
            <w:shd w:val="clear" w:color="auto" w:fill="auto"/>
          </w:tcPr>
          <w:p w14:paraId="72E4332B" w14:textId="77777777" w:rsidR="00993D8C" w:rsidRPr="00B14085" w:rsidRDefault="00993D8C" w:rsidP="00A05864">
            <w:pPr>
              <w:pStyle w:val="TableTextCentered"/>
              <w:rPr>
                <w:highlight w:val="yellow"/>
              </w:rPr>
            </w:pPr>
            <w:r w:rsidRPr="00FB1D70">
              <w:t xml:space="preserve"> 221.3 </w:t>
            </w:r>
          </w:p>
        </w:tc>
        <w:tc>
          <w:tcPr>
            <w:tcW w:w="839" w:type="dxa"/>
            <w:gridSpan w:val="2"/>
            <w:tcBorders>
              <w:top w:val="single" w:sz="4" w:space="0" w:color="3A6FAF"/>
              <w:bottom w:val="nil"/>
            </w:tcBorders>
            <w:shd w:val="clear" w:color="auto" w:fill="auto"/>
          </w:tcPr>
          <w:p w14:paraId="378BFA8C" w14:textId="77777777" w:rsidR="00993D8C" w:rsidRPr="00B14085" w:rsidRDefault="00993D8C" w:rsidP="00A05864">
            <w:pPr>
              <w:pStyle w:val="TableTextCentered"/>
              <w:rPr>
                <w:highlight w:val="yellow"/>
              </w:rPr>
            </w:pPr>
            <w:r w:rsidRPr="00FB1D70">
              <w:t xml:space="preserve"> 8,683.0 </w:t>
            </w:r>
          </w:p>
        </w:tc>
        <w:tc>
          <w:tcPr>
            <w:tcW w:w="907" w:type="dxa"/>
            <w:tcBorders>
              <w:top w:val="single" w:sz="4" w:space="0" w:color="3A6FAF"/>
              <w:bottom w:val="nil"/>
            </w:tcBorders>
            <w:shd w:val="clear" w:color="auto" w:fill="auto"/>
          </w:tcPr>
          <w:p w14:paraId="1017A581" w14:textId="77777777" w:rsidR="00993D8C" w:rsidRPr="00B14085" w:rsidRDefault="00993D8C" w:rsidP="00A05864">
            <w:pPr>
              <w:pStyle w:val="TableTextCentered"/>
              <w:rPr>
                <w:highlight w:val="yellow"/>
              </w:rPr>
            </w:pPr>
            <w:r w:rsidRPr="00FB1D70">
              <w:t xml:space="preserve"> 44 </w:t>
            </w:r>
          </w:p>
        </w:tc>
        <w:tc>
          <w:tcPr>
            <w:tcW w:w="1439" w:type="dxa"/>
            <w:gridSpan w:val="2"/>
            <w:tcBorders>
              <w:top w:val="single" w:sz="4" w:space="0" w:color="3A6FAF"/>
              <w:bottom w:val="nil"/>
            </w:tcBorders>
            <w:shd w:val="clear" w:color="auto" w:fill="auto"/>
          </w:tcPr>
          <w:p w14:paraId="7634F4C4" w14:textId="77777777" w:rsidR="00993D8C" w:rsidRPr="00B14085" w:rsidRDefault="00993D8C" w:rsidP="00A05864">
            <w:pPr>
              <w:pStyle w:val="TableTextCentered"/>
              <w:rPr>
                <w:highlight w:val="yellow"/>
              </w:rPr>
            </w:pPr>
            <w:r w:rsidRPr="00FB1D70">
              <w:t xml:space="preserve"> 40 </w:t>
            </w:r>
          </w:p>
        </w:tc>
        <w:tc>
          <w:tcPr>
            <w:tcW w:w="907" w:type="dxa"/>
            <w:tcBorders>
              <w:top w:val="single" w:sz="4" w:space="0" w:color="3A6FAF"/>
              <w:bottom w:val="nil"/>
            </w:tcBorders>
            <w:shd w:val="clear" w:color="auto" w:fill="auto"/>
          </w:tcPr>
          <w:p w14:paraId="689EF82A" w14:textId="77777777" w:rsidR="00993D8C" w:rsidRPr="00B14085" w:rsidRDefault="00993D8C" w:rsidP="00A05864">
            <w:pPr>
              <w:pStyle w:val="TableTextCentered"/>
              <w:rPr>
                <w:highlight w:val="yellow"/>
              </w:rPr>
            </w:pPr>
            <w:r w:rsidRPr="00FB1D70">
              <w:t xml:space="preserve"> 21 </w:t>
            </w:r>
          </w:p>
        </w:tc>
        <w:tc>
          <w:tcPr>
            <w:tcW w:w="1439" w:type="dxa"/>
            <w:gridSpan w:val="2"/>
            <w:tcBorders>
              <w:top w:val="single" w:sz="4" w:space="0" w:color="3A6FAF"/>
              <w:bottom w:val="nil"/>
            </w:tcBorders>
            <w:shd w:val="clear" w:color="auto" w:fill="auto"/>
          </w:tcPr>
          <w:p w14:paraId="35A351EE" w14:textId="77777777" w:rsidR="00993D8C" w:rsidRPr="00B14085" w:rsidRDefault="00993D8C" w:rsidP="00A05864">
            <w:pPr>
              <w:pStyle w:val="TableTextCentered"/>
              <w:rPr>
                <w:highlight w:val="yellow"/>
              </w:rPr>
            </w:pPr>
            <w:r w:rsidRPr="00FB1D70">
              <w:t xml:space="preserve"> 24 </w:t>
            </w:r>
          </w:p>
        </w:tc>
        <w:tc>
          <w:tcPr>
            <w:tcW w:w="907" w:type="dxa"/>
            <w:tcBorders>
              <w:top w:val="single" w:sz="4" w:space="0" w:color="3A6FAF"/>
              <w:bottom w:val="nil"/>
            </w:tcBorders>
            <w:shd w:val="clear" w:color="auto" w:fill="auto"/>
          </w:tcPr>
          <w:p w14:paraId="558AD5CD" w14:textId="77777777" w:rsidR="00993D8C" w:rsidRPr="00B14085" w:rsidRDefault="00993D8C" w:rsidP="00A05864">
            <w:pPr>
              <w:pStyle w:val="TableTextCentered"/>
              <w:rPr>
                <w:highlight w:val="yellow"/>
              </w:rPr>
            </w:pPr>
            <w:r w:rsidRPr="00FB1D70">
              <w:t xml:space="preserve"> 36 </w:t>
            </w:r>
          </w:p>
        </w:tc>
        <w:tc>
          <w:tcPr>
            <w:tcW w:w="1439" w:type="dxa"/>
            <w:gridSpan w:val="2"/>
            <w:tcBorders>
              <w:top w:val="single" w:sz="4" w:space="0" w:color="3A6FAF"/>
              <w:bottom w:val="nil"/>
              <w:right w:val="nil"/>
            </w:tcBorders>
            <w:shd w:val="clear" w:color="auto" w:fill="auto"/>
          </w:tcPr>
          <w:p w14:paraId="4A38F81B" w14:textId="77777777" w:rsidR="00993D8C" w:rsidRPr="00B14085" w:rsidRDefault="00993D8C" w:rsidP="00A05864">
            <w:pPr>
              <w:pStyle w:val="TableTextCentered"/>
              <w:rPr>
                <w:highlight w:val="yellow"/>
              </w:rPr>
            </w:pPr>
            <w:r w:rsidRPr="00FB1D70">
              <w:t xml:space="preserve"> 36 </w:t>
            </w:r>
          </w:p>
        </w:tc>
      </w:tr>
      <w:tr w:rsidR="00993D8C" w:rsidRPr="00B14085" w14:paraId="2994424C" w14:textId="77777777" w:rsidTr="006D1FD4">
        <w:trPr>
          <w:trHeight w:val="308"/>
        </w:trPr>
        <w:tc>
          <w:tcPr>
            <w:tcW w:w="603" w:type="dxa"/>
            <w:tcBorders>
              <w:top w:val="nil"/>
              <w:left w:val="nil"/>
              <w:bottom w:val="nil"/>
            </w:tcBorders>
            <w:shd w:val="clear" w:color="auto" w:fill="auto"/>
            <w:vAlign w:val="bottom"/>
          </w:tcPr>
          <w:p w14:paraId="52781FB0" w14:textId="77777777" w:rsidR="00993D8C" w:rsidRPr="00B14085" w:rsidRDefault="00993D8C" w:rsidP="00993D8C">
            <w:pPr>
              <w:spacing w:before="40" w:after="40"/>
              <w:rPr>
                <w:rFonts w:cs="Calibri"/>
                <w:color w:val="000000"/>
                <w:sz w:val="18"/>
              </w:rPr>
            </w:pPr>
            <w:r w:rsidRPr="00B14085">
              <w:rPr>
                <w:rFonts w:cs="Calibri"/>
                <w:color w:val="000000"/>
                <w:sz w:val="18"/>
              </w:rPr>
              <w:t>VIC</w:t>
            </w:r>
          </w:p>
        </w:tc>
        <w:tc>
          <w:tcPr>
            <w:tcW w:w="840" w:type="dxa"/>
            <w:tcBorders>
              <w:top w:val="nil"/>
              <w:bottom w:val="nil"/>
            </w:tcBorders>
            <w:shd w:val="clear" w:color="auto" w:fill="auto"/>
          </w:tcPr>
          <w:p w14:paraId="65648923" w14:textId="77777777" w:rsidR="00993D8C" w:rsidRPr="00B14085" w:rsidRDefault="00993D8C" w:rsidP="00A05864">
            <w:pPr>
              <w:pStyle w:val="TableTextCentered"/>
            </w:pPr>
            <w:r w:rsidRPr="00FB1D70">
              <w:t xml:space="preserve">190.3 </w:t>
            </w:r>
          </w:p>
        </w:tc>
        <w:tc>
          <w:tcPr>
            <w:tcW w:w="839" w:type="dxa"/>
            <w:gridSpan w:val="2"/>
            <w:tcBorders>
              <w:top w:val="nil"/>
              <w:bottom w:val="nil"/>
            </w:tcBorders>
            <w:shd w:val="clear" w:color="auto" w:fill="auto"/>
          </w:tcPr>
          <w:p w14:paraId="5CEDFAA0" w14:textId="77777777" w:rsidR="00993D8C" w:rsidRPr="00B14085" w:rsidRDefault="00993D8C" w:rsidP="00A05864">
            <w:pPr>
              <w:pStyle w:val="TableTextCentered"/>
            </w:pPr>
            <w:r w:rsidRPr="00FB1D70">
              <w:t xml:space="preserve"> 8,253.6 </w:t>
            </w:r>
          </w:p>
        </w:tc>
        <w:tc>
          <w:tcPr>
            <w:tcW w:w="907" w:type="dxa"/>
            <w:tcBorders>
              <w:top w:val="nil"/>
              <w:bottom w:val="nil"/>
            </w:tcBorders>
            <w:shd w:val="clear" w:color="auto" w:fill="auto"/>
          </w:tcPr>
          <w:p w14:paraId="30B4B015" w14:textId="77777777" w:rsidR="00993D8C" w:rsidRPr="00B14085" w:rsidRDefault="00993D8C" w:rsidP="00A05864">
            <w:pPr>
              <w:pStyle w:val="TableTextCentered"/>
            </w:pPr>
            <w:r w:rsidRPr="00FB1D70">
              <w:t xml:space="preserve"> 57 </w:t>
            </w:r>
          </w:p>
        </w:tc>
        <w:tc>
          <w:tcPr>
            <w:tcW w:w="1439" w:type="dxa"/>
            <w:gridSpan w:val="2"/>
            <w:tcBorders>
              <w:top w:val="nil"/>
              <w:bottom w:val="nil"/>
            </w:tcBorders>
            <w:shd w:val="clear" w:color="auto" w:fill="auto"/>
          </w:tcPr>
          <w:p w14:paraId="1ED3D4F2" w14:textId="77777777" w:rsidR="00993D8C" w:rsidRPr="00B14085" w:rsidRDefault="00993D8C" w:rsidP="00A05864">
            <w:pPr>
              <w:pStyle w:val="TableTextCentered"/>
            </w:pPr>
            <w:r w:rsidRPr="00FB1D70">
              <w:t xml:space="preserve"> 52 </w:t>
            </w:r>
          </w:p>
        </w:tc>
        <w:tc>
          <w:tcPr>
            <w:tcW w:w="907" w:type="dxa"/>
            <w:tcBorders>
              <w:top w:val="nil"/>
              <w:bottom w:val="nil"/>
            </w:tcBorders>
            <w:shd w:val="clear" w:color="auto" w:fill="auto"/>
          </w:tcPr>
          <w:p w14:paraId="3F9D0E0C" w14:textId="77777777" w:rsidR="00993D8C" w:rsidRPr="00B14085" w:rsidRDefault="00993D8C" w:rsidP="00A05864">
            <w:pPr>
              <w:pStyle w:val="TableTextCentered"/>
            </w:pPr>
            <w:r w:rsidRPr="00FB1D70">
              <w:t xml:space="preserve"> 17 </w:t>
            </w:r>
          </w:p>
        </w:tc>
        <w:tc>
          <w:tcPr>
            <w:tcW w:w="1439" w:type="dxa"/>
            <w:gridSpan w:val="2"/>
            <w:tcBorders>
              <w:top w:val="nil"/>
              <w:bottom w:val="nil"/>
            </w:tcBorders>
            <w:shd w:val="clear" w:color="auto" w:fill="auto"/>
          </w:tcPr>
          <w:p w14:paraId="0730BCCD" w14:textId="77777777" w:rsidR="00993D8C" w:rsidRPr="00B14085" w:rsidRDefault="00993D8C" w:rsidP="00A05864">
            <w:pPr>
              <w:pStyle w:val="TableTextCentered"/>
            </w:pPr>
            <w:r w:rsidRPr="00FB1D70">
              <w:t xml:space="preserve"> 23 </w:t>
            </w:r>
          </w:p>
        </w:tc>
        <w:tc>
          <w:tcPr>
            <w:tcW w:w="907" w:type="dxa"/>
            <w:tcBorders>
              <w:top w:val="nil"/>
              <w:bottom w:val="nil"/>
            </w:tcBorders>
            <w:shd w:val="clear" w:color="auto" w:fill="auto"/>
          </w:tcPr>
          <w:p w14:paraId="73C7C129" w14:textId="77777777" w:rsidR="00993D8C" w:rsidRPr="00B14085" w:rsidRDefault="00993D8C" w:rsidP="00A05864">
            <w:pPr>
              <w:pStyle w:val="TableTextCentered"/>
            </w:pPr>
            <w:r w:rsidRPr="00FB1D70">
              <w:t xml:space="preserve"> 25 </w:t>
            </w:r>
          </w:p>
        </w:tc>
        <w:tc>
          <w:tcPr>
            <w:tcW w:w="1439" w:type="dxa"/>
            <w:gridSpan w:val="2"/>
            <w:tcBorders>
              <w:top w:val="nil"/>
              <w:bottom w:val="nil"/>
              <w:right w:val="nil"/>
            </w:tcBorders>
            <w:shd w:val="clear" w:color="auto" w:fill="auto"/>
          </w:tcPr>
          <w:p w14:paraId="514A470B" w14:textId="77777777" w:rsidR="00993D8C" w:rsidRPr="00B14085" w:rsidRDefault="00993D8C" w:rsidP="00A05864">
            <w:pPr>
              <w:pStyle w:val="TableTextCentered"/>
            </w:pPr>
            <w:r w:rsidRPr="00FB1D70">
              <w:t xml:space="preserve"> 25 </w:t>
            </w:r>
          </w:p>
        </w:tc>
      </w:tr>
      <w:tr w:rsidR="00993D8C" w:rsidRPr="00B14085" w14:paraId="21B17BE9" w14:textId="77777777" w:rsidTr="006D1FD4">
        <w:trPr>
          <w:trHeight w:val="308"/>
        </w:trPr>
        <w:tc>
          <w:tcPr>
            <w:tcW w:w="603" w:type="dxa"/>
            <w:tcBorders>
              <w:top w:val="nil"/>
              <w:left w:val="nil"/>
              <w:bottom w:val="nil"/>
            </w:tcBorders>
            <w:shd w:val="clear" w:color="auto" w:fill="auto"/>
            <w:vAlign w:val="bottom"/>
          </w:tcPr>
          <w:p w14:paraId="37C01428" w14:textId="77777777" w:rsidR="00993D8C" w:rsidRPr="00B14085" w:rsidRDefault="00993D8C" w:rsidP="00993D8C">
            <w:pPr>
              <w:spacing w:before="40" w:after="40"/>
              <w:rPr>
                <w:color w:val="000000"/>
                <w:sz w:val="18"/>
              </w:rPr>
            </w:pPr>
            <w:r w:rsidRPr="00B14085">
              <w:rPr>
                <w:rFonts w:cs="Calibri"/>
                <w:color w:val="000000"/>
                <w:sz w:val="18"/>
              </w:rPr>
              <w:t>QLD</w:t>
            </w:r>
          </w:p>
        </w:tc>
        <w:tc>
          <w:tcPr>
            <w:tcW w:w="840" w:type="dxa"/>
            <w:tcBorders>
              <w:top w:val="nil"/>
              <w:bottom w:val="nil"/>
            </w:tcBorders>
            <w:shd w:val="clear" w:color="auto" w:fill="auto"/>
          </w:tcPr>
          <w:p w14:paraId="5ED2255C" w14:textId="77777777" w:rsidR="00993D8C" w:rsidRPr="00B14085" w:rsidRDefault="00993D8C" w:rsidP="00A05864">
            <w:pPr>
              <w:pStyle w:val="TableTextCentered"/>
              <w:rPr>
                <w:highlight w:val="yellow"/>
              </w:rPr>
            </w:pPr>
            <w:r w:rsidRPr="00FB1D70">
              <w:t xml:space="preserve"> 125.8 </w:t>
            </w:r>
          </w:p>
        </w:tc>
        <w:tc>
          <w:tcPr>
            <w:tcW w:w="839" w:type="dxa"/>
            <w:gridSpan w:val="2"/>
            <w:tcBorders>
              <w:top w:val="nil"/>
              <w:bottom w:val="nil"/>
            </w:tcBorders>
            <w:shd w:val="clear" w:color="auto" w:fill="auto"/>
          </w:tcPr>
          <w:p w14:paraId="3EF02AAA" w14:textId="77777777" w:rsidR="00993D8C" w:rsidRPr="00B14085" w:rsidRDefault="00993D8C" w:rsidP="00A05864">
            <w:pPr>
              <w:pStyle w:val="TableTextCentered"/>
              <w:rPr>
                <w:highlight w:val="yellow"/>
              </w:rPr>
            </w:pPr>
            <w:r w:rsidRPr="00FB1D70">
              <w:t xml:space="preserve"> 4,964.9 </w:t>
            </w:r>
          </w:p>
        </w:tc>
        <w:tc>
          <w:tcPr>
            <w:tcW w:w="907" w:type="dxa"/>
            <w:tcBorders>
              <w:top w:val="nil"/>
              <w:bottom w:val="nil"/>
            </w:tcBorders>
            <w:shd w:val="clear" w:color="auto" w:fill="auto"/>
          </w:tcPr>
          <w:p w14:paraId="1EA19958" w14:textId="77777777" w:rsidR="00993D8C" w:rsidRPr="00B14085" w:rsidRDefault="00993D8C" w:rsidP="00A05864">
            <w:pPr>
              <w:pStyle w:val="TableTextCentered"/>
              <w:rPr>
                <w:highlight w:val="yellow"/>
              </w:rPr>
            </w:pPr>
            <w:r w:rsidRPr="00FB1D70">
              <w:t xml:space="preserve"> 40 </w:t>
            </w:r>
          </w:p>
        </w:tc>
        <w:tc>
          <w:tcPr>
            <w:tcW w:w="1439" w:type="dxa"/>
            <w:gridSpan w:val="2"/>
            <w:tcBorders>
              <w:top w:val="nil"/>
              <w:bottom w:val="nil"/>
            </w:tcBorders>
            <w:shd w:val="clear" w:color="auto" w:fill="auto"/>
          </w:tcPr>
          <w:p w14:paraId="388499CA" w14:textId="77777777" w:rsidR="00993D8C" w:rsidRPr="00B14085" w:rsidRDefault="00993D8C" w:rsidP="00A05864">
            <w:pPr>
              <w:pStyle w:val="TableTextCentered"/>
              <w:rPr>
                <w:highlight w:val="yellow"/>
              </w:rPr>
            </w:pPr>
            <w:r w:rsidRPr="00FB1D70">
              <w:t xml:space="preserve"> 38 </w:t>
            </w:r>
          </w:p>
        </w:tc>
        <w:tc>
          <w:tcPr>
            <w:tcW w:w="907" w:type="dxa"/>
            <w:tcBorders>
              <w:top w:val="nil"/>
              <w:bottom w:val="nil"/>
            </w:tcBorders>
            <w:shd w:val="clear" w:color="auto" w:fill="auto"/>
          </w:tcPr>
          <w:p w14:paraId="520CA589" w14:textId="77777777" w:rsidR="00993D8C" w:rsidRPr="00B14085" w:rsidRDefault="00993D8C" w:rsidP="00A05864">
            <w:pPr>
              <w:pStyle w:val="TableTextCentered"/>
              <w:rPr>
                <w:highlight w:val="yellow"/>
              </w:rPr>
            </w:pPr>
            <w:r w:rsidRPr="00FB1D70">
              <w:t xml:space="preserve"> 22 </w:t>
            </w:r>
          </w:p>
        </w:tc>
        <w:tc>
          <w:tcPr>
            <w:tcW w:w="1439" w:type="dxa"/>
            <w:gridSpan w:val="2"/>
            <w:tcBorders>
              <w:top w:val="nil"/>
              <w:bottom w:val="nil"/>
            </w:tcBorders>
            <w:shd w:val="clear" w:color="auto" w:fill="auto"/>
          </w:tcPr>
          <w:p w14:paraId="4A3759BA" w14:textId="77777777" w:rsidR="00993D8C" w:rsidRPr="00B14085" w:rsidRDefault="00993D8C" w:rsidP="00A05864">
            <w:pPr>
              <w:pStyle w:val="TableTextCentered"/>
              <w:rPr>
                <w:highlight w:val="yellow"/>
              </w:rPr>
            </w:pPr>
            <w:r w:rsidRPr="00FB1D70">
              <w:t xml:space="preserve"> 25 </w:t>
            </w:r>
          </w:p>
        </w:tc>
        <w:tc>
          <w:tcPr>
            <w:tcW w:w="907" w:type="dxa"/>
            <w:tcBorders>
              <w:top w:val="nil"/>
              <w:bottom w:val="nil"/>
            </w:tcBorders>
            <w:shd w:val="clear" w:color="auto" w:fill="auto"/>
          </w:tcPr>
          <w:p w14:paraId="487A100F" w14:textId="77777777" w:rsidR="00993D8C" w:rsidRPr="00B14085" w:rsidRDefault="00993D8C" w:rsidP="00A05864">
            <w:pPr>
              <w:pStyle w:val="TableTextCentered"/>
              <w:rPr>
                <w:highlight w:val="yellow"/>
              </w:rPr>
            </w:pPr>
            <w:r w:rsidRPr="00FB1D70">
              <w:t xml:space="preserve"> 38 </w:t>
            </w:r>
          </w:p>
        </w:tc>
        <w:tc>
          <w:tcPr>
            <w:tcW w:w="1439" w:type="dxa"/>
            <w:gridSpan w:val="2"/>
            <w:tcBorders>
              <w:top w:val="nil"/>
              <w:bottom w:val="nil"/>
              <w:right w:val="nil"/>
            </w:tcBorders>
            <w:shd w:val="clear" w:color="auto" w:fill="auto"/>
          </w:tcPr>
          <w:p w14:paraId="0DC6E0F9" w14:textId="77777777" w:rsidR="00993D8C" w:rsidRPr="00B14085" w:rsidRDefault="00993D8C" w:rsidP="00A05864">
            <w:pPr>
              <w:pStyle w:val="TableTextCentered"/>
              <w:rPr>
                <w:highlight w:val="yellow"/>
              </w:rPr>
            </w:pPr>
            <w:r w:rsidRPr="00FB1D70">
              <w:t xml:space="preserve"> 37 </w:t>
            </w:r>
          </w:p>
        </w:tc>
      </w:tr>
      <w:tr w:rsidR="00993D8C" w:rsidRPr="00B14085" w14:paraId="42A4B71B" w14:textId="77777777" w:rsidTr="006D1FD4">
        <w:trPr>
          <w:trHeight w:val="308"/>
        </w:trPr>
        <w:tc>
          <w:tcPr>
            <w:tcW w:w="603" w:type="dxa"/>
            <w:tcBorders>
              <w:top w:val="nil"/>
              <w:left w:val="nil"/>
              <w:bottom w:val="nil"/>
            </w:tcBorders>
            <w:shd w:val="clear" w:color="auto" w:fill="auto"/>
            <w:vAlign w:val="bottom"/>
          </w:tcPr>
          <w:p w14:paraId="30EB701D" w14:textId="77777777" w:rsidR="00993D8C" w:rsidRPr="00B14085" w:rsidRDefault="00993D8C" w:rsidP="00993D8C">
            <w:pPr>
              <w:spacing w:before="40" w:after="40"/>
              <w:rPr>
                <w:rFonts w:cs="Calibri"/>
                <w:color w:val="000000"/>
                <w:sz w:val="18"/>
              </w:rPr>
            </w:pPr>
            <w:r w:rsidRPr="00B14085">
              <w:rPr>
                <w:rFonts w:cs="Calibri"/>
                <w:color w:val="000000"/>
                <w:sz w:val="18"/>
              </w:rPr>
              <w:t xml:space="preserve">WA </w:t>
            </w:r>
          </w:p>
        </w:tc>
        <w:tc>
          <w:tcPr>
            <w:tcW w:w="840" w:type="dxa"/>
            <w:tcBorders>
              <w:top w:val="nil"/>
              <w:bottom w:val="nil"/>
            </w:tcBorders>
            <w:shd w:val="clear" w:color="auto" w:fill="auto"/>
          </w:tcPr>
          <w:p w14:paraId="5338D38A" w14:textId="77777777" w:rsidR="00993D8C" w:rsidRPr="00B14085" w:rsidRDefault="00993D8C" w:rsidP="00A05864">
            <w:pPr>
              <w:pStyle w:val="TableTextCentered"/>
            </w:pPr>
            <w:r w:rsidRPr="00FB1D70">
              <w:t xml:space="preserve"> 62.0 </w:t>
            </w:r>
          </w:p>
        </w:tc>
        <w:tc>
          <w:tcPr>
            <w:tcW w:w="839" w:type="dxa"/>
            <w:gridSpan w:val="2"/>
            <w:tcBorders>
              <w:top w:val="nil"/>
              <w:bottom w:val="nil"/>
            </w:tcBorders>
            <w:shd w:val="clear" w:color="auto" w:fill="auto"/>
          </w:tcPr>
          <w:p w14:paraId="46182827" w14:textId="77777777" w:rsidR="00993D8C" w:rsidRPr="00B14085" w:rsidRDefault="00993D8C" w:rsidP="00A05864">
            <w:pPr>
              <w:pStyle w:val="TableTextCentered"/>
            </w:pPr>
            <w:r w:rsidRPr="00FB1D70">
              <w:t xml:space="preserve"> 2,341.4 </w:t>
            </w:r>
          </w:p>
        </w:tc>
        <w:tc>
          <w:tcPr>
            <w:tcW w:w="907" w:type="dxa"/>
            <w:tcBorders>
              <w:top w:val="nil"/>
              <w:bottom w:val="nil"/>
            </w:tcBorders>
            <w:shd w:val="clear" w:color="auto" w:fill="auto"/>
          </w:tcPr>
          <w:p w14:paraId="27C943E6" w14:textId="77777777" w:rsidR="00993D8C" w:rsidRPr="00B14085" w:rsidRDefault="00993D8C" w:rsidP="00A05864">
            <w:pPr>
              <w:pStyle w:val="TableTextCentered"/>
            </w:pPr>
            <w:r w:rsidRPr="00FB1D70">
              <w:t xml:space="preserve"> 36 </w:t>
            </w:r>
          </w:p>
        </w:tc>
        <w:tc>
          <w:tcPr>
            <w:tcW w:w="1439" w:type="dxa"/>
            <w:gridSpan w:val="2"/>
            <w:tcBorders>
              <w:top w:val="nil"/>
              <w:bottom w:val="nil"/>
            </w:tcBorders>
            <w:shd w:val="clear" w:color="auto" w:fill="auto"/>
          </w:tcPr>
          <w:p w14:paraId="6F3E9F53" w14:textId="77777777" w:rsidR="00993D8C" w:rsidRPr="00B14085" w:rsidRDefault="00993D8C" w:rsidP="00A05864">
            <w:pPr>
              <w:pStyle w:val="TableTextCentered"/>
            </w:pPr>
            <w:r w:rsidRPr="00FB1D70">
              <w:t xml:space="preserve"> 29 </w:t>
            </w:r>
          </w:p>
        </w:tc>
        <w:tc>
          <w:tcPr>
            <w:tcW w:w="907" w:type="dxa"/>
            <w:tcBorders>
              <w:top w:val="nil"/>
              <w:bottom w:val="nil"/>
            </w:tcBorders>
            <w:shd w:val="clear" w:color="auto" w:fill="auto"/>
          </w:tcPr>
          <w:p w14:paraId="50732C03" w14:textId="77777777" w:rsidR="00993D8C" w:rsidRPr="00B14085" w:rsidRDefault="00993D8C" w:rsidP="00A05864">
            <w:pPr>
              <w:pStyle w:val="TableTextCentered"/>
            </w:pPr>
            <w:r w:rsidRPr="00FB1D70">
              <w:t xml:space="preserve"> 21 </w:t>
            </w:r>
          </w:p>
        </w:tc>
        <w:tc>
          <w:tcPr>
            <w:tcW w:w="1439" w:type="dxa"/>
            <w:gridSpan w:val="2"/>
            <w:tcBorders>
              <w:top w:val="nil"/>
              <w:bottom w:val="nil"/>
            </w:tcBorders>
            <w:shd w:val="clear" w:color="auto" w:fill="auto"/>
          </w:tcPr>
          <w:p w14:paraId="6D6C487A" w14:textId="77777777" w:rsidR="00993D8C" w:rsidRPr="00B14085" w:rsidRDefault="00993D8C" w:rsidP="00A05864">
            <w:pPr>
              <w:pStyle w:val="TableTextCentered"/>
            </w:pPr>
            <w:r w:rsidRPr="00FB1D70">
              <w:t xml:space="preserve"> 26 </w:t>
            </w:r>
          </w:p>
        </w:tc>
        <w:tc>
          <w:tcPr>
            <w:tcW w:w="907" w:type="dxa"/>
            <w:tcBorders>
              <w:top w:val="nil"/>
              <w:bottom w:val="nil"/>
            </w:tcBorders>
            <w:shd w:val="clear" w:color="auto" w:fill="auto"/>
          </w:tcPr>
          <w:p w14:paraId="6E2564E8" w14:textId="77777777" w:rsidR="00993D8C" w:rsidRPr="00B14085" w:rsidRDefault="00993D8C" w:rsidP="00A05864">
            <w:pPr>
              <w:pStyle w:val="TableTextCentered"/>
            </w:pPr>
            <w:r w:rsidRPr="00FB1D70">
              <w:t xml:space="preserve"> 43 </w:t>
            </w:r>
          </w:p>
        </w:tc>
        <w:tc>
          <w:tcPr>
            <w:tcW w:w="1439" w:type="dxa"/>
            <w:gridSpan w:val="2"/>
            <w:tcBorders>
              <w:top w:val="nil"/>
              <w:bottom w:val="nil"/>
              <w:right w:val="nil"/>
            </w:tcBorders>
            <w:shd w:val="clear" w:color="auto" w:fill="auto"/>
          </w:tcPr>
          <w:p w14:paraId="2B9D0A66" w14:textId="77777777" w:rsidR="00993D8C" w:rsidRPr="00B14085" w:rsidRDefault="00993D8C" w:rsidP="00A05864">
            <w:pPr>
              <w:pStyle w:val="TableTextCentered"/>
            </w:pPr>
            <w:r w:rsidRPr="00FB1D70">
              <w:t xml:space="preserve"> 45 </w:t>
            </w:r>
          </w:p>
        </w:tc>
      </w:tr>
      <w:tr w:rsidR="00993D8C" w:rsidRPr="00B14085" w14:paraId="7A0FB8E9" w14:textId="77777777" w:rsidTr="006D1FD4">
        <w:trPr>
          <w:trHeight w:val="308"/>
        </w:trPr>
        <w:tc>
          <w:tcPr>
            <w:tcW w:w="603" w:type="dxa"/>
            <w:tcBorders>
              <w:top w:val="nil"/>
              <w:left w:val="nil"/>
              <w:bottom w:val="nil"/>
            </w:tcBorders>
            <w:shd w:val="clear" w:color="auto" w:fill="auto"/>
            <w:vAlign w:val="bottom"/>
          </w:tcPr>
          <w:p w14:paraId="44116EA9" w14:textId="77777777" w:rsidR="00993D8C" w:rsidRPr="00B14085" w:rsidRDefault="00993D8C" w:rsidP="00993D8C">
            <w:pPr>
              <w:spacing w:before="40" w:after="40"/>
              <w:rPr>
                <w:color w:val="000000"/>
                <w:sz w:val="18"/>
              </w:rPr>
            </w:pPr>
            <w:r w:rsidRPr="00B14085">
              <w:rPr>
                <w:rFonts w:cs="Calibri"/>
                <w:color w:val="000000"/>
                <w:sz w:val="18"/>
              </w:rPr>
              <w:t xml:space="preserve">SA </w:t>
            </w:r>
          </w:p>
        </w:tc>
        <w:tc>
          <w:tcPr>
            <w:tcW w:w="840" w:type="dxa"/>
            <w:tcBorders>
              <w:top w:val="nil"/>
              <w:bottom w:val="nil"/>
            </w:tcBorders>
            <w:shd w:val="clear" w:color="auto" w:fill="auto"/>
          </w:tcPr>
          <w:p w14:paraId="6BCF19CA" w14:textId="77777777" w:rsidR="00993D8C" w:rsidRPr="00B14085" w:rsidRDefault="00993D8C" w:rsidP="00A05864">
            <w:pPr>
              <w:pStyle w:val="TableTextCentered"/>
              <w:rPr>
                <w:highlight w:val="yellow"/>
              </w:rPr>
            </w:pPr>
            <w:r w:rsidRPr="00FB1D70">
              <w:t xml:space="preserve"> 39.2 </w:t>
            </w:r>
          </w:p>
        </w:tc>
        <w:tc>
          <w:tcPr>
            <w:tcW w:w="839" w:type="dxa"/>
            <w:gridSpan w:val="2"/>
            <w:tcBorders>
              <w:top w:val="nil"/>
              <w:bottom w:val="nil"/>
            </w:tcBorders>
            <w:shd w:val="clear" w:color="auto" w:fill="auto"/>
          </w:tcPr>
          <w:p w14:paraId="031D56C5" w14:textId="77777777" w:rsidR="00993D8C" w:rsidRPr="00B14085" w:rsidRDefault="00993D8C" w:rsidP="00A05864">
            <w:pPr>
              <w:pStyle w:val="TableTextCentered"/>
              <w:rPr>
                <w:highlight w:val="yellow"/>
              </w:rPr>
            </w:pPr>
            <w:r w:rsidRPr="00FB1D70">
              <w:t xml:space="preserve"> 1,563.1 </w:t>
            </w:r>
          </w:p>
        </w:tc>
        <w:tc>
          <w:tcPr>
            <w:tcW w:w="907" w:type="dxa"/>
            <w:tcBorders>
              <w:top w:val="nil"/>
              <w:bottom w:val="nil"/>
            </w:tcBorders>
            <w:shd w:val="clear" w:color="auto" w:fill="auto"/>
          </w:tcPr>
          <w:p w14:paraId="179664C3" w14:textId="77777777" w:rsidR="00993D8C" w:rsidRPr="00B14085" w:rsidRDefault="00993D8C" w:rsidP="00A05864">
            <w:pPr>
              <w:pStyle w:val="TableTextCentered"/>
              <w:rPr>
                <w:highlight w:val="yellow"/>
              </w:rPr>
            </w:pPr>
            <w:r w:rsidRPr="00FB1D70">
              <w:t xml:space="preserve"> 37 </w:t>
            </w:r>
          </w:p>
        </w:tc>
        <w:tc>
          <w:tcPr>
            <w:tcW w:w="1439" w:type="dxa"/>
            <w:gridSpan w:val="2"/>
            <w:tcBorders>
              <w:top w:val="nil"/>
              <w:bottom w:val="nil"/>
            </w:tcBorders>
            <w:shd w:val="clear" w:color="auto" w:fill="auto"/>
          </w:tcPr>
          <w:p w14:paraId="7FA45239" w14:textId="77777777" w:rsidR="00993D8C" w:rsidRPr="00B14085" w:rsidRDefault="00993D8C" w:rsidP="00A05864">
            <w:pPr>
              <w:pStyle w:val="TableTextCentered"/>
              <w:rPr>
                <w:highlight w:val="yellow"/>
              </w:rPr>
            </w:pPr>
            <w:r w:rsidRPr="00FB1D70">
              <w:t xml:space="preserve"> 30 </w:t>
            </w:r>
          </w:p>
        </w:tc>
        <w:tc>
          <w:tcPr>
            <w:tcW w:w="907" w:type="dxa"/>
            <w:tcBorders>
              <w:top w:val="nil"/>
              <w:bottom w:val="nil"/>
            </w:tcBorders>
            <w:shd w:val="clear" w:color="auto" w:fill="auto"/>
          </w:tcPr>
          <w:p w14:paraId="5DF34D31" w14:textId="77777777" w:rsidR="00993D8C" w:rsidRPr="00B14085" w:rsidRDefault="00993D8C" w:rsidP="00A05864">
            <w:pPr>
              <w:pStyle w:val="TableTextCentered"/>
              <w:rPr>
                <w:highlight w:val="yellow"/>
              </w:rPr>
            </w:pPr>
            <w:r w:rsidRPr="00FB1D70">
              <w:t xml:space="preserve"> 22 </w:t>
            </w:r>
          </w:p>
        </w:tc>
        <w:tc>
          <w:tcPr>
            <w:tcW w:w="1439" w:type="dxa"/>
            <w:gridSpan w:val="2"/>
            <w:tcBorders>
              <w:top w:val="nil"/>
              <w:bottom w:val="nil"/>
            </w:tcBorders>
            <w:shd w:val="clear" w:color="auto" w:fill="auto"/>
          </w:tcPr>
          <w:p w14:paraId="59E52DA3" w14:textId="77777777" w:rsidR="00993D8C" w:rsidRPr="00B14085" w:rsidRDefault="00993D8C" w:rsidP="00A05864">
            <w:pPr>
              <w:pStyle w:val="TableTextCentered"/>
              <w:rPr>
                <w:highlight w:val="yellow"/>
              </w:rPr>
            </w:pPr>
            <w:r w:rsidRPr="00FB1D70">
              <w:t xml:space="preserve"> 26 </w:t>
            </w:r>
          </w:p>
        </w:tc>
        <w:tc>
          <w:tcPr>
            <w:tcW w:w="907" w:type="dxa"/>
            <w:tcBorders>
              <w:top w:val="nil"/>
              <w:bottom w:val="nil"/>
            </w:tcBorders>
            <w:shd w:val="clear" w:color="auto" w:fill="auto"/>
          </w:tcPr>
          <w:p w14:paraId="4814A214" w14:textId="77777777" w:rsidR="00993D8C" w:rsidRPr="00B14085" w:rsidRDefault="00993D8C" w:rsidP="00A05864">
            <w:pPr>
              <w:pStyle w:val="TableTextCentered"/>
              <w:rPr>
                <w:highlight w:val="yellow"/>
              </w:rPr>
            </w:pPr>
            <w:r w:rsidRPr="00FB1D70">
              <w:t xml:space="preserve"> 41 </w:t>
            </w:r>
          </w:p>
        </w:tc>
        <w:tc>
          <w:tcPr>
            <w:tcW w:w="1439" w:type="dxa"/>
            <w:gridSpan w:val="2"/>
            <w:tcBorders>
              <w:top w:val="nil"/>
              <w:bottom w:val="nil"/>
              <w:right w:val="nil"/>
            </w:tcBorders>
            <w:shd w:val="clear" w:color="auto" w:fill="auto"/>
          </w:tcPr>
          <w:p w14:paraId="5A9AA744" w14:textId="77777777" w:rsidR="00993D8C" w:rsidRPr="00B14085" w:rsidRDefault="00993D8C" w:rsidP="00A05864">
            <w:pPr>
              <w:pStyle w:val="TableTextCentered"/>
              <w:rPr>
                <w:highlight w:val="yellow"/>
              </w:rPr>
            </w:pPr>
            <w:r w:rsidRPr="00FB1D70">
              <w:t xml:space="preserve"> 43 </w:t>
            </w:r>
          </w:p>
        </w:tc>
      </w:tr>
      <w:tr w:rsidR="00993D8C" w:rsidRPr="00B14085" w14:paraId="7A533CEB" w14:textId="77777777" w:rsidTr="006D1FD4">
        <w:trPr>
          <w:trHeight w:val="308"/>
        </w:trPr>
        <w:tc>
          <w:tcPr>
            <w:tcW w:w="603" w:type="dxa"/>
            <w:tcBorders>
              <w:top w:val="nil"/>
              <w:left w:val="nil"/>
              <w:bottom w:val="nil"/>
            </w:tcBorders>
            <w:shd w:val="clear" w:color="auto" w:fill="auto"/>
            <w:vAlign w:val="bottom"/>
          </w:tcPr>
          <w:p w14:paraId="4835C159" w14:textId="77777777" w:rsidR="00993D8C" w:rsidRPr="00B14085" w:rsidRDefault="00993D8C" w:rsidP="00993D8C">
            <w:pPr>
              <w:spacing w:before="40" w:after="40"/>
              <w:rPr>
                <w:color w:val="000000"/>
                <w:sz w:val="18"/>
              </w:rPr>
            </w:pPr>
            <w:r w:rsidRPr="00B14085">
              <w:rPr>
                <w:rFonts w:cs="Calibri"/>
                <w:color w:val="000000"/>
                <w:sz w:val="18"/>
              </w:rPr>
              <w:t>TAS</w:t>
            </w:r>
          </w:p>
        </w:tc>
        <w:tc>
          <w:tcPr>
            <w:tcW w:w="840" w:type="dxa"/>
            <w:tcBorders>
              <w:top w:val="nil"/>
              <w:bottom w:val="nil"/>
            </w:tcBorders>
            <w:shd w:val="clear" w:color="auto" w:fill="auto"/>
          </w:tcPr>
          <w:p w14:paraId="5147532A" w14:textId="77777777" w:rsidR="00993D8C" w:rsidRPr="00B14085" w:rsidRDefault="00993D8C" w:rsidP="00A05864">
            <w:pPr>
              <w:pStyle w:val="TableTextCentered"/>
              <w:rPr>
                <w:highlight w:val="yellow"/>
              </w:rPr>
            </w:pPr>
            <w:r w:rsidRPr="00FB1D70">
              <w:t xml:space="preserve"> 10.8 </w:t>
            </w:r>
          </w:p>
        </w:tc>
        <w:tc>
          <w:tcPr>
            <w:tcW w:w="839" w:type="dxa"/>
            <w:gridSpan w:val="2"/>
            <w:tcBorders>
              <w:top w:val="nil"/>
              <w:bottom w:val="nil"/>
            </w:tcBorders>
            <w:shd w:val="clear" w:color="auto" w:fill="auto"/>
          </w:tcPr>
          <w:p w14:paraId="384E5850" w14:textId="77777777" w:rsidR="00993D8C" w:rsidRPr="00B14085" w:rsidRDefault="00993D8C" w:rsidP="00A05864">
            <w:pPr>
              <w:pStyle w:val="TableTextCentered"/>
              <w:rPr>
                <w:highlight w:val="yellow"/>
              </w:rPr>
            </w:pPr>
            <w:r w:rsidRPr="00FB1D70">
              <w:t xml:space="preserve"> 458.2 </w:t>
            </w:r>
          </w:p>
        </w:tc>
        <w:tc>
          <w:tcPr>
            <w:tcW w:w="907" w:type="dxa"/>
            <w:tcBorders>
              <w:top w:val="nil"/>
              <w:bottom w:val="nil"/>
            </w:tcBorders>
            <w:shd w:val="clear" w:color="auto" w:fill="auto"/>
          </w:tcPr>
          <w:p w14:paraId="309EB7AD" w14:textId="77777777" w:rsidR="00993D8C" w:rsidRPr="00B14085" w:rsidRDefault="00993D8C" w:rsidP="00A05864">
            <w:pPr>
              <w:pStyle w:val="TableTextCentered"/>
              <w:rPr>
                <w:highlight w:val="yellow"/>
              </w:rPr>
            </w:pPr>
            <w:r w:rsidRPr="00FB1D70">
              <w:t xml:space="preserve"> 36 </w:t>
            </w:r>
          </w:p>
        </w:tc>
        <w:tc>
          <w:tcPr>
            <w:tcW w:w="1439" w:type="dxa"/>
            <w:gridSpan w:val="2"/>
            <w:tcBorders>
              <w:top w:val="nil"/>
              <w:bottom w:val="nil"/>
            </w:tcBorders>
            <w:shd w:val="clear" w:color="auto" w:fill="auto"/>
          </w:tcPr>
          <w:p w14:paraId="53F92DAE" w14:textId="77777777" w:rsidR="00993D8C" w:rsidRPr="00B14085" w:rsidRDefault="00993D8C" w:rsidP="00A05864">
            <w:pPr>
              <w:pStyle w:val="TableTextCentered"/>
              <w:rPr>
                <w:highlight w:val="yellow"/>
              </w:rPr>
            </w:pPr>
            <w:r w:rsidRPr="00FB1D70">
              <w:t xml:space="preserve"> 33 </w:t>
            </w:r>
          </w:p>
        </w:tc>
        <w:tc>
          <w:tcPr>
            <w:tcW w:w="907" w:type="dxa"/>
            <w:tcBorders>
              <w:top w:val="nil"/>
              <w:bottom w:val="nil"/>
            </w:tcBorders>
            <w:shd w:val="clear" w:color="auto" w:fill="auto"/>
          </w:tcPr>
          <w:p w14:paraId="195A5124" w14:textId="77777777" w:rsidR="00993D8C" w:rsidRPr="00B14085" w:rsidRDefault="00993D8C" w:rsidP="00A05864">
            <w:pPr>
              <w:pStyle w:val="TableTextCentered"/>
              <w:rPr>
                <w:highlight w:val="yellow"/>
              </w:rPr>
            </w:pPr>
            <w:r w:rsidRPr="00FB1D70">
              <w:t xml:space="preserve"> 21 </w:t>
            </w:r>
          </w:p>
        </w:tc>
        <w:tc>
          <w:tcPr>
            <w:tcW w:w="1439" w:type="dxa"/>
            <w:gridSpan w:val="2"/>
            <w:tcBorders>
              <w:top w:val="nil"/>
              <w:bottom w:val="nil"/>
            </w:tcBorders>
            <w:shd w:val="clear" w:color="auto" w:fill="auto"/>
          </w:tcPr>
          <w:p w14:paraId="38E79F41" w14:textId="77777777" w:rsidR="00993D8C" w:rsidRPr="00B14085" w:rsidRDefault="00993D8C" w:rsidP="00A05864">
            <w:pPr>
              <w:pStyle w:val="TableTextCentered"/>
              <w:rPr>
                <w:highlight w:val="yellow"/>
              </w:rPr>
            </w:pPr>
            <w:r w:rsidRPr="00FB1D70">
              <w:t xml:space="preserve"> 24 </w:t>
            </w:r>
          </w:p>
        </w:tc>
        <w:tc>
          <w:tcPr>
            <w:tcW w:w="907" w:type="dxa"/>
            <w:tcBorders>
              <w:top w:val="nil"/>
              <w:bottom w:val="nil"/>
            </w:tcBorders>
            <w:shd w:val="clear" w:color="auto" w:fill="auto"/>
          </w:tcPr>
          <w:p w14:paraId="28D55DE7" w14:textId="77777777" w:rsidR="00993D8C" w:rsidRPr="00B14085" w:rsidRDefault="00993D8C" w:rsidP="00A05864">
            <w:pPr>
              <w:pStyle w:val="TableTextCentered"/>
              <w:rPr>
                <w:highlight w:val="yellow"/>
              </w:rPr>
            </w:pPr>
            <w:r w:rsidRPr="00FB1D70">
              <w:t xml:space="preserve"> 42 </w:t>
            </w:r>
          </w:p>
        </w:tc>
        <w:tc>
          <w:tcPr>
            <w:tcW w:w="1439" w:type="dxa"/>
            <w:gridSpan w:val="2"/>
            <w:tcBorders>
              <w:top w:val="nil"/>
              <w:bottom w:val="nil"/>
              <w:right w:val="nil"/>
            </w:tcBorders>
            <w:shd w:val="clear" w:color="auto" w:fill="auto"/>
          </w:tcPr>
          <w:p w14:paraId="1C801FDE" w14:textId="77777777" w:rsidR="00993D8C" w:rsidRPr="00B14085" w:rsidRDefault="00993D8C" w:rsidP="00A05864">
            <w:pPr>
              <w:pStyle w:val="TableTextCentered"/>
              <w:rPr>
                <w:highlight w:val="yellow"/>
              </w:rPr>
            </w:pPr>
            <w:r w:rsidRPr="00FB1D70">
              <w:t xml:space="preserve"> 43 </w:t>
            </w:r>
          </w:p>
        </w:tc>
      </w:tr>
      <w:tr w:rsidR="00993D8C" w:rsidRPr="00B14085" w14:paraId="62700EB4" w14:textId="77777777" w:rsidTr="006D1FD4">
        <w:trPr>
          <w:trHeight w:val="308"/>
        </w:trPr>
        <w:tc>
          <w:tcPr>
            <w:tcW w:w="603" w:type="dxa"/>
            <w:tcBorders>
              <w:top w:val="nil"/>
              <w:left w:val="nil"/>
            </w:tcBorders>
            <w:shd w:val="clear" w:color="auto" w:fill="auto"/>
          </w:tcPr>
          <w:p w14:paraId="66550931" w14:textId="77777777" w:rsidR="00993D8C" w:rsidRPr="00B14085" w:rsidRDefault="00993D8C" w:rsidP="00993D8C">
            <w:pPr>
              <w:spacing w:before="40" w:after="40"/>
              <w:rPr>
                <w:rFonts w:cs="Calibri"/>
                <w:color w:val="000000"/>
                <w:sz w:val="18"/>
              </w:rPr>
            </w:pPr>
            <w:r w:rsidRPr="00B14085">
              <w:rPr>
                <w:color w:val="000000"/>
                <w:sz w:val="18"/>
              </w:rPr>
              <w:t>ACT</w:t>
            </w:r>
          </w:p>
        </w:tc>
        <w:tc>
          <w:tcPr>
            <w:tcW w:w="840" w:type="dxa"/>
            <w:tcBorders>
              <w:top w:val="nil"/>
            </w:tcBorders>
            <w:shd w:val="clear" w:color="auto" w:fill="auto"/>
          </w:tcPr>
          <w:p w14:paraId="674E8686" w14:textId="77777777" w:rsidR="00993D8C" w:rsidRPr="00B14085" w:rsidRDefault="00993D8C" w:rsidP="00A05864">
            <w:pPr>
              <w:pStyle w:val="TableTextCentered"/>
            </w:pPr>
            <w:r w:rsidRPr="00FB1D70">
              <w:t xml:space="preserve"> 8.0 </w:t>
            </w:r>
          </w:p>
        </w:tc>
        <w:tc>
          <w:tcPr>
            <w:tcW w:w="839" w:type="dxa"/>
            <w:gridSpan w:val="2"/>
            <w:tcBorders>
              <w:top w:val="nil"/>
            </w:tcBorders>
            <w:shd w:val="clear" w:color="auto" w:fill="auto"/>
          </w:tcPr>
          <w:p w14:paraId="4A8BA7D5" w14:textId="77777777" w:rsidR="00993D8C" w:rsidRPr="00B14085" w:rsidRDefault="00993D8C" w:rsidP="00A05864">
            <w:pPr>
              <w:pStyle w:val="TableTextCentered"/>
            </w:pPr>
            <w:r w:rsidRPr="00FB1D70">
              <w:t xml:space="preserve"> 324.2 </w:t>
            </w:r>
          </w:p>
        </w:tc>
        <w:tc>
          <w:tcPr>
            <w:tcW w:w="907" w:type="dxa"/>
            <w:tcBorders>
              <w:top w:val="nil"/>
            </w:tcBorders>
            <w:shd w:val="clear" w:color="auto" w:fill="auto"/>
          </w:tcPr>
          <w:p w14:paraId="6AB27875" w14:textId="77777777" w:rsidR="00993D8C" w:rsidRPr="00B14085" w:rsidRDefault="00993D8C" w:rsidP="00A05864">
            <w:pPr>
              <w:pStyle w:val="TableTextCentered"/>
            </w:pPr>
            <w:r w:rsidRPr="00FB1D70">
              <w:t xml:space="preserve"> 40 </w:t>
            </w:r>
          </w:p>
        </w:tc>
        <w:tc>
          <w:tcPr>
            <w:tcW w:w="1439" w:type="dxa"/>
            <w:gridSpan w:val="2"/>
            <w:tcBorders>
              <w:top w:val="nil"/>
            </w:tcBorders>
            <w:shd w:val="clear" w:color="auto" w:fill="auto"/>
          </w:tcPr>
          <w:p w14:paraId="5BC417CA" w14:textId="77777777" w:rsidR="00993D8C" w:rsidRPr="00B14085" w:rsidRDefault="00993D8C" w:rsidP="00A05864">
            <w:pPr>
              <w:pStyle w:val="TableTextCentered"/>
            </w:pPr>
            <w:r w:rsidRPr="00FB1D70">
              <w:t xml:space="preserve"> 38 </w:t>
            </w:r>
          </w:p>
        </w:tc>
        <w:tc>
          <w:tcPr>
            <w:tcW w:w="907" w:type="dxa"/>
            <w:tcBorders>
              <w:top w:val="nil"/>
            </w:tcBorders>
            <w:shd w:val="clear" w:color="auto" w:fill="auto"/>
          </w:tcPr>
          <w:p w14:paraId="0CD180D2" w14:textId="77777777" w:rsidR="00993D8C" w:rsidRPr="00B14085" w:rsidRDefault="00993D8C" w:rsidP="00A05864">
            <w:pPr>
              <w:pStyle w:val="TableTextCentered"/>
            </w:pPr>
            <w:r w:rsidRPr="00FB1D70">
              <w:t xml:space="preserve"> 22 </w:t>
            </w:r>
          </w:p>
        </w:tc>
        <w:tc>
          <w:tcPr>
            <w:tcW w:w="1439" w:type="dxa"/>
            <w:gridSpan w:val="2"/>
            <w:tcBorders>
              <w:top w:val="nil"/>
            </w:tcBorders>
            <w:shd w:val="clear" w:color="auto" w:fill="auto"/>
          </w:tcPr>
          <w:p w14:paraId="5C47A2FF" w14:textId="77777777" w:rsidR="00993D8C" w:rsidRPr="00B14085" w:rsidRDefault="00993D8C" w:rsidP="00A05864">
            <w:pPr>
              <w:pStyle w:val="TableTextCentered"/>
            </w:pPr>
            <w:r w:rsidRPr="00FB1D70">
              <w:t xml:space="preserve"> 25 </w:t>
            </w:r>
          </w:p>
        </w:tc>
        <w:tc>
          <w:tcPr>
            <w:tcW w:w="907" w:type="dxa"/>
            <w:tcBorders>
              <w:top w:val="nil"/>
            </w:tcBorders>
            <w:shd w:val="clear" w:color="auto" w:fill="auto"/>
          </w:tcPr>
          <w:p w14:paraId="4344FF02" w14:textId="77777777" w:rsidR="00993D8C" w:rsidRPr="00B14085" w:rsidRDefault="00993D8C" w:rsidP="00A05864">
            <w:pPr>
              <w:pStyle w:val="TableTextCentered"/>
            </w:pPr>
            <w:r w:rsidRPr="00FB1D70">
              <w:t xml:space="preserve"> 38 </w:t>
            </w:r>
          </w:p>
        </w:tc>
        <w:tc>
          <w:tcPr>
            <w:tcW w:w="1439" w:type="dxa"/>
            <w:gridSpan w:val="2"/>
            <w:tcBorders>
              <w:top w:val="nil"/>
              <w:right w:val="nil"/>
            </w:tcBorders>
            <w:shd w:val="clear" w:color="auto" w:fill="auto"/>
          </w:tcPr>
          <w:p w14:paraId="48F7B88F" w14:textId="77777777" w:rsidR="00993D8C" w:rsidRPr="00B14085" w:rsidRDefault="00993D8C" w:rsidP="00A05864">
            <w:pPr>
              <w:pStyle w:val="TableTextCentered"/>
            </w:pPr>
            <w:r w:rsidRPr="00FB1D70">
              <w:t xml:space="preserve"> 37 </w:t>
            </w:r>
          </w:p>
        </w:tc>
      </w:tr>
      <w:tr w:rsidR="00993D8C" w:rsidRPr="00B14085" w14:paraId="46988855" w14:textId="77777777" w:rsidTr="006D1FD4">
        <w:trPr>
          <w:trHeight w:val="308"/>
        </w:trPr>
        <w:tc>
          <w:tcPr>
            <w:tcW w:w="603" w:type="dxa"/>
            <w:tcBorders>
              <w:top w:val="nil"/>
              <w:left w:val="nil"/>
              <w:bottom w:val="single" w:sz="4" w:space="0" w:color="3A6FAF"/>
            </w:tcBorders>
            <w:shd w:val="clear" w:color="auto" w:fill="auto"/>
            <w:vAlign w:val="bottom"/>
          </w:tcPr>
          <w:p w14:paraId="7FF0F78A" w14:textId="77777777" w:rsidR="00993D8C" w:rsidRPr="00B14085" w:rsidRDefault="00993D8C" w:rsidP="00993D8C">
            <w:pPr>
              <w:spacing w:before="40" w:after="40"/>
              <w:rPr>
                <w:color w:val="000000"/>
                <w:sz w:val="18"/>
              </w:rPr>
            </w:pPr>
            <w:r w:rsidRPr="00B14085">
              <w:rPr>
                <w:rFonts w:cs="Calibri"/>
                <w:color w:val="000000"/>
                <w:sz w:val="18"/>
              </w:rPr>
              <w:t xml:space="preserve">NT </w:t>
            </w:r>
          </w:p>
        </w:tc>
        <w:tc>
          <w:tcPr>
            <w:tcW w:w="840" w:type="dxa"/>
            <w:tcBorders>
              <w:top w:val="nil"/>
              <w:bottom w:val="single" w:sz="4" w:space="0" w:color="3A6FAF"/>
            </w:tcBorders>
            <w:shd w:val="clear" w:color="auto" w:fill="auto"/>
          </w:tcPr>
          <w:p w14:paraId="5A555567" w14:textId="77777777" w:rsidR="00993D8C" w:rsidRPr="00B14085" w:rsidRDefault="00993D8C" w:rsidP="00A05864">
            <w:pPr>
              <w:pStyle w:val="TableTextCentered"/>
              <w:rPr>
                <w:highlight w:val="yellow"/>
              </w:rPr>
            </w:pPr>
            <w:r w:rsidRPr="00FB1D70">
              <w:t xml:space="preserve"> 3.7 </w:t>
            </w:r>
          </w:p>
        </w:tc>
        <w:tc>
          <w:tcPr>
            <w:tcW w:w="839" w:type="dxa"/>
            <w:gridSpan w:val="2"/>
            <w:tcBorders>
              <w:top w:val="nil"/>
              <w:bottom w:val="single" w:sz="4" w:space="0" w:color="3A6FAF"/>
            </w:tcBorders>
            <w:shd w:val="clear" w:color="auto" w:fill="auto"/>
          </w:tcPr>
          <w:p w14:paraId="16BA3C64" w14:textId="77777777" w:rsidR="00993D8C" w:rsidRPr="00B14085" w:rsidRDefault="00993D8C" w:rsidP="00A05864">
            <w:pPr>
              <w:pStyle w:val="TableTextCentered"/>
              <w:rPr>
                <w:highlight w:val="yellow"/>
              </w:rPr>
            </w:pPr>
            <w:r w:rsidRPr="00FB1D70">
              <w:t xml:space="preserve"> 137.1 </w:t>
            </w:r>
          </w:p>
        </w:tc>
        <w:tc>
          <w:tcPr>
            <w:tcW w:w="907" w:type="dxa"/>
            <w:tcBorders>
              <w:top w:val="nil"/>
              <w:bottom w:val="single" w:sz="4" w:space="0" w:color="3A6FAF"/>
            </w:tcBorders>
            <w:shd w:val="clear" w:color="auto" w:fill="auto"/>
          </w:tcPr>
          <w:p w14:paraId="01AB985B" w14:textId="77777777" w:rsidR="00993D8C" w:rsidRPr="00B14085" w:rsidRDefault="00993D8C" w:rsidP="00A05864">
            <w:pPr>
              <w:pStyle w:val="TableTextCentered"/>
              <w:rPr>
                <w:highlight w:val="yellow"/>
              </w:rPr>
            </w:pPr>
            <w:r w:rsidRPr="00FB1D70">
              <w:t xml:space="preserve"> 36 </w:t>
            </w:r>
          </w:p>
        </w:tc>
        <w:tc>
          <w:tcPr>
            <w:tcW w:w="1439" w:type="dxa"/>
            <w:gridSpan w:val="2"/>
            <w:tcBorders>
              <w:top w:val="nil"/>
              <w:bottom w:val="single" w:sz="4" w:space="0" w:color="3A6FAF"/>
            </w:tcBorders>
            <w:shd w:val="clear" w:color="auto" w:fill="auto"/>
          </w:tcPr>
          <w:p w14:paraId="2F008E3C" w14:textId="77777777" w:rsidR="00993D8C" w:rsidRPr="00B14085" w:rsidRDefault="00993D8C" w:rsidP="00A05864">
            <w:pPr>
              <w:pStyle w:val="TableTextCentered"/>
              <w:rPr>
                <w:highlight w:val="yellow"/>
              </w:rPr>
            </w:pPr>
            <w:r w:rsidRPr="00FB1D70">
              <w:t xml:space="preserve"> 35 </w:t>
            </w:r>
          </w:p>
        </w:tc>
        <w:tc>
          <w:tcPr>
            <w:tcW w:w="907" w:type="dxa"/>
            <w:tcBorders>
              <w:top w:val="nil"/>
              <w:bottom w:val="single" w:sz="4" w:space="0" w:color="3A6FAF"/>
            </w:tcBorders>
            <w:shd w:val="clear" w:color="auto" w:fill="auto"/>
          </w:tcPr>
          <w:p w14:paraId="435D6FF6" w14:textId="77777777" w:rsidR="00993D8C" w:rsidRPr="00B14085" w:rsidRDefault="00993D8C" w:rsidP="00A05864">
            <w:pPr>
              <w:pStyle w:val="TableTextCentered"/>
              <w:rPr>
                <w:highlight w:val="yellow"/>
              </w:rPr>
            </w:pPr>
            <w:r w:rsidRPr="00FB1D70">
              <w:t xml:space="preserve"> 23 </w:t>
            </w:r>
          </w:p>
        </w:tc>
        <w:tc>
          <w:tcPr>
            <w:tcW w:w="1439" w:type="dxa"/>
            <w:gridSpan w:val="2"/>
            <w:tcBorders>
              <w:top w:val="nil"/>
              <w:bottom w:val="single" w:sz="4" w:space="0" w:color="3A6FAF"/>
            </w:tcBorders>
            <w:shd w:val="clear" w:color="auto" w:fill="auto"/>
          </w:tcPr>
          <w:p w14:paraId="729D0AE1" w14:textId="77777777" w:rsidR="00993D8C" w:rsidRPr="00B14085" w:rsidRDefault="00993D8C" w:rsidP="00A05864">
            <w:pPr>
              <w:pStyle w:val="TableTextCentered"/>
              <w:rPr>
                <w:highlight w:val="yellow"/>
              </w:rPr>
            </w:pPr>
            <w:r w:rsidRPr="00FB1D70">
              <w:t xml:space="preserve"> 25 </w:t>
            </w:r>
          </w:p>
        </w:tc>
        <w:tc>
          <w:tcPr>
            <w:tcW w:w="907" w:type="dxa"/>
            <w:tcBorders>
              <w:top w:val="nil"/>
              <w:bottom w:val="single" w:sz="4" w:space="0" w:color="3A6FAF"/>
            </w:tcBorders>
            <w:shd w:val="clear" w:color="auto" w:fill="auto"/>
          </w:tcPr>
          <w:p w14:paraId="0DB743C4" w14:textId="77777777" w:rsidR="00993D8C" w:rsidRPr="00B14085" w:rsidRDefault="00993D8C" w:rsidP="00A05864">
            <w:pPr>
              <w:pStyle w:val="TableTextCentered"/>
              <w:rPr>
                <w:highlight w:val="yellow"/>
              </w:rPr>
            </w:pPr>
            <w:r w:rsidRPr="00FB1D70">
              <w:t xml:space="preserve"> 41 </w:t>
            </w:r>
          </w:p>
        </w:tc>
        <w:tc>
          <w:tcPr>
            <w:tcW w:w="1439" w:type="dxa"/>
            <w:gridSpan w:val="2"/>
            <w:tcBorders>
              <w:top w:val="nil"/>
              <w:bottom w:val="single" w:sz="4" w:space="0" w:color="3A6FAF"/>
              <w:right w:val="nil"/>
            </w:tcBorders>
            <w:shd w:val="clear" w:color="auto" w:fill="auto"/>
          </w:tcPr>
          <w:p w14:paraId="4AAF6A94" w14:textId="77777777" w:rsidR="00993D8C" w:rsidRPr="00B14085" w:rsidRDefault="00993D8C" w:rsidP="00A05864">
            <w:pPr>
              <w:pStyle w:val="TableTextCentered"/>
              <w:rPr>
                <w:highlight w:val="yellow"/>
              </w:rPr>
            </w:pPr>
            <w:r w:rsidRPr="00FB1D70">
              <w:t xml:space="preserve"> 40 </w:t>
            </w:r>
          </w:p>
        </w:tc>
      </w:tr>
    </w:tbl>
    <w:p w14:paraId="4B059EE6" w14:textId="15E3F030" w:rsidR="00997912" w:rsidRDefault="00997912" w:rsidP="00997912">
      <w:pPr>
        <w:spacing w:before="0" w:after="0" w:line="276" w:lineRule="auto"/>
        <w:jc w:val="both"/>
        <w:rPr>
          <w:sz w:val="18"/>
          <w:szCs w:val="16"/>
        </w:rPr>
      </w:pPr>
      <w:r w:rsidRPr="003E7BD1">
        <w:rPr>
          <w:sz w:val="18"/>
          <w:szCs w:val="16"/>
        </w:rPr>
        <w:t>Note</w:t>
      </w:r>
      <w:r>
        <w:rPr>
          <w:sz w:val="18"/>
          <w:szCs w:val="16"/>
        </w:rPr>
        <w:t xml:space="preserve">: </w:t>
      </w:r>
      <w:r w:rsidRPr="00493645">
        <w:rPr>
          <w:sz w:val="18"/>
          <w:szCs w:val="16"/>
        </w:rPr>
        <w:t>Large businesses (those with turnover greater than $1 billion) were subject to a 50 per cent decline in turnover test.</w:t>
      </w:r>
      <w:r>
        <w:rPr>
          <w:sz w:val="18"/>
          <w:szCs w:val="16"/>
        </w:rPr>
        <w:t xml:space="preserve"> Turnover analysis is based on quarterly data compared to a year earlier.</w:t>
      </w:r>
    </w:p>
    <w:p w14:paraId="336A6091" w14:textId="157F2D9D" w:rsidR="00B61369" w:rsidRPr="003E7BD1" w:rsidRDefault="003C2B06" w:rsidP="00B61369">
      <w:pPr>
        <w:spacing w:before="0" w:after="200" w:line="276" w:lineRule="auto"/>
        <w:rPr>
          <w:sz w:val="18"/>
          <w:szCs w:val="16"/>
        </w:rPr>
      </w:pPr>
      <w:r>
        <w:rPr>
          <w:sz w:val="18"/>
          <w:szCs w:val="16"/>
        </w:rPr>
        <w:t>Source:</w:t>
      </w:r>
      <w:r w:rsidR="00B61369">
        <w:rPr>
          <w:sz w:val="18"/>
          <w:szCs w:val="16"/>
        </w:rPr>
        <w:t xml:space="preserve"> JobKeeper disbursement data as at November 2020 and BAS data as at August 2021.</w:t>
      </w:r>
    </w:p>
    <w:p w14:paraId="4C04C400" w14:textId="2F9AC001" w:rsidR="00F012EA" w:rsidRDefault="00F012EA" w:rsidP="00DE56A0">
      <w:pPr>
        <w:spacing w:before="0" w:after="200" w:line="276" w:lineRule="auto"/>
      </w:pPr>
    </w:p>
    <w:p w14:paraId="1BEEF8C8" w14:textId="6D48964C" w:rsidR="00655AD7" w:rsidRDefault="00655AD7" w:rsidP="00655AD7">
      <w:pPr>
        <w:pStyle w:val="TableMainHeading"/>
      </w:pPr>
      <w:bookmarkStart w:id="231" w:name="_Toc84842613"/>
      <w:bookmarkEnd w:id="225"/>
      <w:r w:rsidRPr="007C26F1">
        <w:t>Employment increases in JobKeeper businesses</w:t>
      </w:r>
      <w:r w:rsidR="00495F77" w:rsidRPr="007C26F1">
        <w:t xml:space="preserve"> </w:t>
      </w:r>
      <w:r w:rsidR="00905363">
        <w:t>with through</w:t>
      </w:r>
      <w:r w:rsidR="00A05864">
        <w:noBreakHyphen/>
      </w:r>
      <w:r w:rsidR="00905363">
        <w:t>the</w:t>
      </w:r>
      <w:r w:rsidR="00A05864">
        <w:noBreakHyphen/>
      </w:r>
      <w:r w:rsidR="00905363">
        <w:t>year</w:t>
      </w:r>
      <w:r w:rsidR="00495F77" w:rsidRPr="007C26F1">
        <w:t xml:space="preserve"> </w:t>
      </w:r>
      <w:r w:rsidR="00FE2B0D" w:rsidRPr="007C26F1">
        <w:t>turnover decline</w:t>
      </w:r>
      <w:r w:rsidR="002C6598">
        <w:t>s</w:t>
      </w:r>
      <w:r w:rsidR="00FE2B0D" w:rsidRPr="007C26F1">
        <w:t xml:space="preserve"> of </w:t>
      </w:r>
      <w:r w:rsidR="002C6598">
        <w:t xml:space="preserve">less than </w:t>
      </w:r>
      <w:r w:rsidR="00FE2B0D" w:rsidRPr="007C26F1">
        <w:t>30 per cent</w:t>
      </w:r>
      <w:r w:rsidR="00905363">
        <w:t xml:space="preserve"> in June quarter 2020</w:t>
      </w:r>
      <w:r w:rsidR="00495F77" w:rsidRPr="007C26F1">
        <w:t xml:space="preserve">, </w:t>
      </w:r>
      <w:r w:rsidR="00905363">
        <w:t>May</w:t>
      </w:r>
      <w:r w:rsidR="00905363" w:rsidRPr="007C26F1">
        <w:t xml:space="preserve"> </w:t>
      </w:r>
      <w:r w:rsidR="00495F77" w:rsidRPr="007C26F1">
        <w:t xml:space="preserve">to </w:t>
      </w:r>
      <w:r w:rsidRPr="007C26F1">
        <w:t>September 2020</w:t>
      </w:r>
      <w:bookmarkEnd w:id="231"/>
    </w:p>
    <w:tbl>
      <w:tblPr>
        <w:tblStyle w:val="TableGrid3"/>
        <w:tblW w:w="5000" w:type="pct"/>
        <w:tblLook w:val="04A0" w:firstRow="1" w:lastRow="0" w:firstColumn="1" w:lastColumn="0" w:noHBand="0" w:noVBand="1"/>
      </w:tblPr>
      <w:tblGrid>
        <w:gridCol w:w="4536"/>
        <w:gridCol w:w="1276"/>
        <w:gridCol w:w="1923"/>
        <w:gridCol w:w="1336"/>
      </w:tblGrid>
      <w:tr w:rsidR="00CE1F2D" w:rsidRPr="00CE1F2D" w14:paraId="1CFAA721" w14:textId="77777777" w:rsidTr="006C354D">
        <w:tc>
          <w:tcPr>
            <w:tcW w:w="4536" w:type="dxa"/>
            <w:tcBorders>
              <w:top w:val="single" w:sz="4" w:space="0" w:color="3A6FAF"/>
              <w:bottom w:val="single" w:sz="4" w:space="0" w:color="3A6FAF"/>
            </w:tcBorders>
            <w:shd w:val="clear" w:color="auto" w:fill="auto"/>
          </w:tcPr>
          <w:p w14:paraId="2BDCC9C6" w14:textId="77777777" w:rsidR="00CE1F2D" w:rsidRPr="00CE1F2D" w:rsidRDefault="00CE1F2D" w:rsidP="00CE1F2D">
            <w:pPr>
              <w:spacing w:before="40" w:after="40"/>
              <w:jc w:val="right"/>
              <w:rPr>
                <w:b/>
                <w:color w:val="002C47"/>
              </w:rPr>
            </w:pPr>
          </w:p>
        </w:tc>
        <w:tc>
          <w:tcPr>
            <w:tcW w:w="1276" w:type="dxa"/>
            <w:tcBorders>
              <w:top w:val="single" w:sz="4" w:space="0" w:color="3A6FAF"/>
              <w:bottom w:val="single" w:sz="4" w:space="0" w:color="3A6FAF"/>
            </w:tcBorders>
            <w:shd w:val="clear" w:color="auto" w:fill="auto"/>
          </w:tcPr>
          <w:p w14:paraId="50356C59" w14:textId="77777777" w:rsidR="00CE1F2D" w:rsidRPr="00CE1F2D" w:rsidRDefault="00CE1F2D" w:rsidP="00CE1F2D">
            <w:pPr>
              <w:spacing w:before="40" w:after="40"/>
              <w:jc w:val="right"/>
              <w:rPr>
                <w:b/>
                <w:color w:val="002C47"/>
              </w:rPr>
            </w:pPr>
            <w:r w:rsidRPr="00CE1F2D">
              <w:rPr>
                <w:b/>
                <w:color w:val="002C47"/>
              </w:rPr>
              <w:t>JobKeeper workers</w:t>
            </w:r>
          </w:p>
        </w:tc>
        <w:tc>
          <w:tcPr>
            <w:tcW w:w="1923" w:type="dxa"/>
            <w:tcBorders>
              <w:top w:val="single" w:sz="4" w:space="0" w:color="3A6FAF"/>
              <w:bottom w:val="single" w:sz="4" w:space="0" w:color="3A6FAF"/>
            </w:tcBorders>
            <w:shd w:val="clear" w:color="auto" w:fill="auto"/>
          </w:tcPr>
          <w:p w14:paraId="2C8A6DBF" w14:textId="77777777" w:rsidR="00CE1F2D" w:rsidRPr="00CE1F2D" w:rsidRDefault="00CE1F2D" w:rsidP="00CE1F2D">
            <w:pPr>
              <w:spacing w:before="40" w:after="40"/>
              <w:jc w:val="right"/>
              <w:rPr>
                <w:b/>
                <w:color w:val="002C47"/>
              </w:rPr>
            </w:pPr>
            <w:r w:rsidRPr="00CE1F2D">
              <w:rPr>
                <w:b/>
                <w:color w:val="002C47"/>
              </w:rPr>
              <w:t>Non-JobKeeper workers</w:t>
            </w:r>
          </w:p>
        </w:tc>
        <w:tc>
          <w:tcPr>
            <w:tcW w:w="1336" w:type="dxa"/>
            <w:tcBorders>
              <w:top w:val="single" w:sz="4" w:space="0" w:color="3A6FAF"/>
              <w:bottom w:val="single" w:sz="4" w:space="0" w:color="3A6FAF"/>
            </w:tcBorders>
            <w:shd w:val="clear" w:color="auto" w:fill="auto"/>
          </w:tcPr>
          <w:p w14:paraId="55A102F0" w14:textId="77777777" w:rsidR="00CE1F2D" w:rsidRPr="00CE1F2D" w:rsidRDefault="00CE1F2D" w:rsidP="00CE1F2D">
            <w:pPr>
              <w:spacing w:before="40" w:after="40"/>
              <w:jc w:val="right"/>
              <w:rPr>
                <w:b/>
                <w:color w:val="002C47"/>
              </w:rPr>
            </w:pPr>
            <w:r w:rsidRPr="00CE1F2D">
              <w:rPr>
                <w:b/>
                <w:color w:val="002C47"/>
              </w:rPr>
              <w:t>Total</w:t>
            </w:r>
          </w:p>
        </w:tc>
      </w:tr>
      <w:tr w:rsidR="00CE1F2D" w:rsidRPr="00CE1F2D" w14:paraId="02F8B046" w14:textId="77777777" w:rsidTr="006C354D">
        <w:tc>
          <w:tcPr>
            <w:tcW w:w="4536" w:type="dxa"/>
            <w:tcBorders>
              <w:top w:val="single" w:sz="4" w:space="0" w:color="3A6FAF"/>
            </w:tcBorders>
            <w:shd w:val="clear" w:color="auto" w:fill="auto"/>
          </w:tcPr>
          <w:p w14:paraId="56EA4CB7" w14:textId="77777777" w:rsidR="00CE1F2D" w:rsidRPr="00CE1F2D" w:rsidRDefault="00CE1F2D" w:rsidP="00CE1F2D">
            <w:pPr>
              <w:spacing w:before="40" w:after="40"/>
              <w:rPr>
                <w:color w:val="000000"/>
                <w:sz w:val="18"/>
              </w:rPr>
            </w:pPr>
            <w:r w:rsidRPr="00CE1F2D">
              <w:rPr>
                <w:color w:val="000000"/>
                <w:sz w:val="18"/>
              </w:rPr>
              <w:t>Businesses with turnover increase</w:t>
            </w:r>
          </w:p>
        </w:tc>
        <w:tc>
          <w:tcPr>
            <w:tcW w:w="1276" w:type="dxa"/>
            <w:tcBorders>
              <w:top w:val="single" w:sz="4" w:space="0" w:color="3A6FAF"/>
            </w:tcBorders>
            <w:shd w:val="clear" w:color="auto" w:fill="auto"/>
          </w:tcPr>
          <w:p w14:paraId="758DFD5E" w14:textId="77777777" w:rsidR="00CE1F2D" w:rsidRPr="00CE1F2D" w:rsidRDefault="00CE1F2D" w:rsidP="00CE1F2D">
            <w:pPr>
              <w:spacing w:before="40" w:after="40"/>
              <w:jc w:val="right"/>
              <w:rPr>
                <w:color w:val="000000"/>
                <w:sz w:val="18"/>
              </w:rPr>
            </w:pPr>
            <w:r w:rsidRPr="00CE1F2D">
              <w:rPr>
                <w:color w:val="000000"/>
                <w:sz w:val="18"/>
              </w:rPr>
              <w:t>80,000</w:t>
            </w:r>
          </w:p>
        </w:tc>
        <w:tc>
          <w:tcPr>
            <w:tcW w:w="1923" w:type="dxa"/>
            <w:tcBorders>
              <w:top w:val="single" w:sz="4" w:space="0" w:color="3A6FAF"/>
            </w:tcBorders>
            <w:shd w:val="clear" w:color="auto" w:fill="auto"/>
          </w:tcPr>
          <w:p w14:paraId="633DE6C6" w14:textId="77777777" w:rsidR="00CE1F2D" w:rsidRPr="00CE1F2D" w:rsidRDefault="00CE1F2D" w:rsidP="00CE1F2D">
            <w:pPr>
              <w:spacing w:before="40" w:after="40"/>
              <w:jc w:val="right"/>
              <w:rPr>
                <w:color w:val="000000"/>
                <w:sz w:val="18"/>
              </w:rPr>
            </w:pPr>
            <w:r w:rsidRPr="00CE1F2D">
              <w:rPr>
                <w:color w:val="000000"/>
                <w:sz w:val="18"/>
              </w:rPr>
              <w:t>55,000</w:t>
            </w:r>
          </w:p>
        </w:tc>
        <w:tc>
          <w:tcPr>
            <w:tcW w:w="1336" w:type="dxa"/>
            <w:tcBorders>
              <w:top w:val="single" w:sz="4" w:space="0" w:color="3A6FAF"/>
            </w:tcBorders>
            <w:shd w:val="clear" w:color="auto" w:fill="auto"/>
          </w:tcPr>
          <w:p w14:paraId="58CB1BDC" w14:textId="77777777" w:rsidR="00CE1F2D" w:rsidRPr="00CE1F2D" w:rsidRDefault="00CE1F2D" w:rsidP="00CE1F2D">
            <w:pPr>
              <w:spacing w:before="40" w:after="40"/>
              <w:jc w:val="right"/>
              <w:rPr>
                <w:color w:val="000000"/>
                <w:sz w:val="18"/>
              </w:rPr>
            </w:pPr>
            <w:r w:rsidRPr="00CE1F2D">
              <w:rPr>
                <w:color w:val="000000"/>
                <w:sz w:val="18"/>
              </w:rPr>
              <w:t>135,000</w:t>
            </w:r>
          </w:p>
        </w:tc>
      </w:tr>
      <w:tr w:rsidR="00CE1F2D" w:rsidRPr="00CE1F2D" w14:paraId="444313AC" w14:textId="77777777" w:rsidTr="006C354D">
        <w:tc>
          <w:tcPr>
            <w:tcW w:w="4536" w:type="dxa"/>
            <w:shd w:val="clear" w:color="auto" w:fill="auto"/>
          </w:tcPr>
          <w:p w14:paraId="198F2FBE" w14:textId="76EC50F5" w:rsidR="00CE1F2D" w:rsidRPr="00CE1F2D" w:rsidRDefault="00CE1F2D" w:rsidP="006C354D">
            <w:pPr>
              <w:spacing w:before="40" w:after="40"/>
              <w:jc w:val="left"/>
              <w:rPr>
                <w:color w:val="000000"/>
                <w:sz w:val="18"/>
              </w:rPr>
            </w:pPr>
            <w:r w:rsidRPr="00CE1F2D">
              <w:rPr>
                <w:color w:val="000000"/>
                <w:sz w:val="18"/>
              </w:rPr>
              <w:t xml:space="preserve">Business with turnover decline between </w:t>
            </w:r>
            <w:r w:rsidRPr="006D2C97">
              <w:rPr>
                <w:color w:val="000000"/>
                <w:sz w:val="18"/>
              </w:rPr>
              <w:t>0</w:t>
            </w:r>
            <w:r w:rsidR="004D3461" w:rsidRPr="006C354D">
              <w:rPr>
                <w:color w:val="000000"/>
                <w:sz w:val="18"/>
              </w:rPr>
              <w:t xml:space="preserve"> – 30%</w:t>
            </w:r>
            <w:r w:rsidR="004D3461" w:rsidRPr="004D3461">
              <w:rPr>
                <w:b/>
                <w:bCs/>
                <w:color w:val="000000"/>
                <w:sz w:val="18"/>
              </w:rPr>
              <w:t xml:space="preserve"> </w:t>
            </w:r>
            <w:r w:rsidRPr="00CE1F2D">
              <w:rPr>
                <w:color w:val="000000"/>
                <w:sz w:val="18"/>
              </w:rPr>
              <w:t>(or 50%)</w:t>
            </w:r>
          </w:p>
        </w:tc>
        <w:tc>
          <w:tcPr>
            <w:tcW w:w="1276" w:type="dxa"/>
            <w:shd w:val="clear" w:color="auto" w:fill="auto"/>
          </w:tcPr>
          <w:p w14:paraId="25275C5A" w14:textId="77777777" w:rsidR="00CE1F2D" w:rsidRPr="00CE1F2D" w:rsidRDefault="00CE1F2D" w:rsidP="00CE1F2D">
            <w:pPr>
              <w:spacing w:before="40" w:after="40"/>
              <w:jc w:val="right"/>
              <w:rPr>
                <w:color w:val="000000"/>
                <w:sz w:val="18"/>
              </w:rPr>
            </w:pPr>
            <w:r w:rsidRPr="00CE1F2D">
              <w:rPr>
                <w:color w:val="000000"/>
                <w:sz w:val="18"/>
              </w:rPr>
              <w:t>125,000</w:t>
            </w:r>
          </w:p>
        </w:tc>
        <w:tc>
          <w:tcPr>
            <w:tcW w:w="1923" w:type="dxa"/>
            <w:shd w:val="clear" w:color="auto" w:fill="auto"/>
          </w:tcPr>
          <w:p w14:paraId="720EA862" w14:textId="77777777" w:rsidR="00CE1F2D" w:rsidRPr="00CE1F2D" w:rsidRDefault="00CE1F2D" w:rsidP="00CE1F2D">
            <w:pPr>
              <w:spacing w:before="40" w:after="40"/>
              <w:jc w:val="right"/>
              <w:rPr>
                <w:color w:val="000000"/>
                <w:sz w:val="18"/>
              </w:rPr>
            </w:pPr>
            <w:r w:rsidRPr="00CE1F2D">
              <w:rPr>
                <w:color w:val="000000"/>
                <w:sz w:val="18"/>
              </w:rPr>
              <w:t>90,000</w:t>
            </w:r>
          </w:p>
        </w:tc>
        <w:tc>
          <w:tcPr>
            <w:tcW w:w="1336" w:type="dxa"/>
            <w:shd w:val="clear" w:color="auto" w:fill="auto"/>
          </w:tcPr>
          <w:p w14:paraId="375EA094" w14:textId="77777777" w:rsidR="00CE1F2D" w:rsidRPr="00CE1F2D" w:rsidRDefault="00CE1F2D" w:rsidP="00CE1F2D">
            <w:pPr>
              <w:spacing w:before="40" w:after="40"/>
              <w:jc w:val="right"/>
              <w:rPr>
                <w:color w:val="000000"/>
                <w:sz w:val="18"/>
              </w:rPr>
            </w:pPr>
            <w:r w:rsidRPr="00CE1F2D">
              <w:rPr>
                <w:color w:val="000000"/>
                <w:sz w:val="18"/>
              </w:rPr>
              <w:t>215,000</w:t>
            </w:r>
          </w:p>
        </w:tc>
      </w:tr>
      <w:tr w:rsidR="00CE1F2D" w:rsidRPr="00CE1F2D" w14:paraId="6CB5F9E3" w14:textId="77777777" w:rsidTr="006C354D">
        <w:tc>
          <w:tcPr>
            <w:tcW w:w="4536" w:type="dxa"/>
            <w:tcBorders>
              <w:top w:val="single" w:sz="4" w:space="0" w:color="3A6FAF"/>
              <w:bottom w:val="single" w:sz="4" w:space="0" w:color="3A6FAF"/>
            </w:tcBorders>
            <w:shd w:val="clear" w:color="auto" w:fill="auto"/>
          </w:tcPr>
          <w:p w14:paraId="5C569961" w14:textId="77777777" w:rsidR="00CE1F2D" w:rsidRPr="00CE1F2D" w:rsidRDefault="00CE1F2D" w:rsidP="00CE1F2D">
            <w:pPr>
              <w:spacing w:before="40" w:after="40"/>
              <w:rPr>
                <w:b/>
                <w:color w:val="002C47"/>
              </w:rPr>
            </w:pPr>
            <w:r w:rsidRPr="00CE1F2D">
              <w:rPr>
                <w:b/>
                <w:color w:val="002C47"/>
              </w:rPr>
              <w:t>Total</w:t>
            </w:r>
          </w:p>
        </w:tc>
        <w:tc>
          <w:tcPr>
            <w:tcW w:w="1276" w:type="dxa"/>
            <w:tcBorders>
              <w:top w:val="single" w:sz="4" w:space="0" w:color="3A6FAF"/>
              <w:bottom w:val="single" w:sz="4" w:space="0" w:color="3A6FAF"/>
            </w:tcBorders>
            <w:shd w:val="clear" w:color="auto" w:fill="auto"/>
          </w:tcPr>
          <w:p w14:paraId="01470DA9" w14:textId="77777777" w:rsidR="00CE1F2D" w:rsidRPr="00CE1F2D" w:rsidRDefault="00CE1F2D" w:rsidP="00CE1F2D">
            <w:pPr>
              <w:spacing w:before="40" w:after="40"/>
              <w:jc w:val="right"/>
              <w:rPr>
                <w:b/>
                <w:color w:val="002C47"/>
              </w:rPr>
            </w:pPr>
            <w:r w:rsidRPr="00CE1F2D">
              <w:rPr>
                <w:b/>
                <w:color w:val="002C47"/>
              </w:rPr>
              <w:t>205,000</w:t>
            </w:r>
          </w:p>
        </w:tc>
        <w:tc>
          <w:tcPr>
            <w:tcW w:w="1923" w:type="dxa"/>
            <w:tcBorders>
              <w:top w:val="single" w:sz="4" w:space="0" w:color="3A6FAF"/>
              <w:bottom w:val="single" w:sz="4" w:space="0" w:color="3A6FAF"/>
            </w:tcBorders>
            <w:shd w:val="clear" w:color="auto" w:fill="auto"/>
          </w:tcPr>
          <w:p w14:paraId="1DE3C3B2" w14:textId="77777777" w:rsidR="00CE1F2D" w:rsidRPr="00CE1F2D" w:rsidRDefault="00CE1F2D" w:rsidP="00CE1F2D">
            <w:pPr>
              <w:spacing w:before="40" w:after="40"/>
              <w:jc w:val="right"/>
              <w:rPr>
                <w:b/>
                <w:color w:val="002C47"/>
              </w:rPr>
            </w:pPr>
            <w:r w:rsidRPr="00CE1F2D">
              <w:rPr>
                <w:b/>
                <w:color w:val="002C47"/>
              </w:rPr>
              <w:t>145,000</w:t>
            </w:r>
          </w:p>
        </w:tc>
        <w:tc>
          <w:tcPr>
            <w:tcW w:w="1336" w:type="dxa"/>
            <w:tcBorders>
              <w:top w:val="single" w:sz="4" w:space="0" w:color="3A6FAF"/>
              <w:bottom w:val="single" w:sz="4" w:space="0" w:color="3A6FAF"/>
            </w:tcBorders>
            <w:shd w:val="clear" w:color="auto" w:fill="auto"/>
          </w:tcPr>
          <w:p w14:paraId="45D73917" w14:textId="77777777" w:rsidR="00CE1F2D" w:rsidRPr="00CE1F2D" w:rsidRDefault="00CE1F2D" w:rsidP="00CE1F2D">
            <w:pPr>
              <w:spacing w:before="40" w:after="40"/>
              <w:jc w:val="right"/>
              <w:rPr>
                <w:b/>
                <w:color w:val="002C47"/>
              </w:rPr>
            </w:pPr>
            <w:r w:rsidRPr="00CE1F2D">
              <w:rPr>
                <w:b/>
                <w:color w:val="002C47"/>
              </w:rPr>
              <w:t>350,000</w:t>
            </w:r>
          </w:p>
        </w:tc>
      </w:tr>
    </w:tbl>
    <w:p w14:paraId="293117EF" w14:textId="054EC74B" w:rsidR="00655AD7" w:rsidRDefault="002B10EB" w:rsidP="00655AD7">
      <w:pPr>
        <w:rPr>
          <w:rFonts w:eastAsiaTheme="minorHAnsi" w:cs="Calibri"/>
          <w:szCs w:val="22"/>
          <w:lang w:eastAsia="en-US"/>
        </w:rPr>
      </w:pPr>
      <w:r w:rsidRPr="003E7BD1">
        <w:rPr>
          <w:sz w:val="18"/>
          <w:szCs w:val="16"/>
        </w:rPr>
        <w:t>Note</w:t>
      </w:r>
      <w:r>
        <w:rPr>
          <w:sz w:val="18"/>
          <w:szCs w:val="16"/>
        </w:rPr>
        <w:t xml:space="preserve">: </w:t>
      </w:r>
      <w:r w:rsidR="00C875FE">
        <w:rPr>
          <w:sz w:val="18"/>
          <w:szCs w:val="16"/>
        </w:rPr>
        <w:t xml:space="preserve">These are estimates based on applying percentage changes observed within </w:t>
      </w:r>
      <w:r w:rsidR="000B5AF4">
        <w:rPr>
          <w:sz w:val="18"/>
          <w:szCs w:val="16"/>
        </w:rPr>
        <w:t xml:space="preserve">the </w:t>
      </w:r>
      <w:r w:rsidR="00C875FE">
        <w:rPr>
          <w:sz w:val="18"/>
          <w:szCs w:val="16"/>
        </w:rPr>
        <w:t>STP sample, which focuses on weekly and fortnightly pay cycles, to estimates of the total stock of employees at the start of JobKeeper. For JobKeeper workers, stock is assumed to be the 3.1 million average employees covered by the payment over the first phase of the program, scaled down to reflect the lower sample used for the turnover analysis ($47 billion of the $70 billion paid). For non</w:t>
      </w:r>
      <w:r w:rsidR="006403E8">
        <w:rPr>
          <w:sz w:val="18"/>
          <w:szCs w:val="16"/>
        </w:rPr>
        <w:noBreakHyphen/>
      </w:r>
      <w:r w:rsidR="00C875FE">
        <w:rPr>
          <w:sz w:val="18"/>
          <w:szCs w:val="16"/>
        </w:rPr>
        <w:t>JobKeeper workers we apply a ratio of 6 non-JobKeeper workers for every JobKeeper worker</w:t>
      </w:r>
      <w:r w:rsidR="00154EF8">
        <w:rPr>
          <w:sz w:val="18"/>
          <w:szCs w:val="16"/>
        </w:rPr>
        <w:t>, based on data for March and evidence in the 3-month JobKeeper review.</w:t>
      </w:r>
      <w:r w:rsidR="007B5CD0">
        <w:rPr>
          <w:sz w:val="18"/>
          <w:szCs w:val="16"/>
        </w:rPr>
        <w:t xml:space="preserve"> </w:t>
      </w:r>
      <w:r w:rsidR="007B5CD0" w:rsidRPr="00493645">
        <w:rPr>
          <w:sz w:val="18"/>
          <w:szCs w:val="16"/>
        </w:rPr>
        <w:t>Large businesses (those with turnover greater than $1 billion) were subject to a 50 per cent decline in turnover test.</w:t>
      </w:r>
      <w:r w:rsidR="00905363">
        <w:rPr>
          <w:sz w:val="18"/>
          <w:szCs w:val="16"/>
        </w:rPr>
        <w:t xml:space="preserve"> Increase from employment trough in early May to September. </w:t>
      </w:r>
    </w:p>
    <w:p w14:paraId="4994A13C" w14:textId="77777777" w:rsidR="00F012EA" w:rsidRPr="008627B1" w:rsidRDefault="00F012EA" w:rsidP="00DE56A0">
      <w:pPr>
        <w:spacing w:before="0" w:after="200" w:line="276" w:lineRule="auto"/>
      </w:pPr>
    </w:p>
    <w:sectPr w:rsidR="00F012EA" w:rsidRPr="008627B1" w:rsidSect="00B93F12">
      <w:pgSz w:w="11907" w:h="16840" w:orient="landscape" w:code="9"/>
      <w:pgMar w:top="1418" w:right="1418" w:bottom="1418" w:left="1418" w:header="907"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6735F" w14:textId="77777777" w:rsidR="00462210" w:rsidRDefault="00462210" w:rsidP="005F100C">
      <w:pPr>
        <w:spacing w:after="0"/>
      </w:pPr>
      <w:r>
        <w:separator/>
      </w:r>
    </w:p>
  </w:endnote>
  <w:endnote w:type="continuationSeparator" w:id="0">
    <w:p w14:paraId="00A7390D" w14:textId="77777777" w:rsidR="00462210" w:rsidRDefault="00462210" w:rsidP="005F100C">
      <w:pPr>
        <w:spacing w:after="0"/>
      </w:pPr>
      <w:r>
        <w:continuationSeparator/>
      </w:r>
    </w:p>
  </w:endnote>
  <w:endnote w:type="continuationNotice" w:id="1">
    <w:p w14:paraId="1DA1CBBA" w14:textId="77777777" w:rsidR="00462210" w:rsidRDefault="004622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C0AD6" w14:textId="77777777" w:rsidR="0086557F" w:rsidRDefault="00865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F8524" w14:textId="77777777" w:rsidR="0086557F" w:rsidRDefault="008655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AED71" w14:textId="77777777" w:rsidR="0086557F" w:rsidRDefault="008655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A13C7" w14:textId="38230086" w:rsidR="00462210" w:rsidRPr="00096C34" w:rsidRDefault="00462210" w:rsidP="00B93F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ED313" w14:textId="1F4D9083" w:rsidR="00462210" w:rsidRPr="00B93F12" w:rsidRDefault="00462210" w:rsidP="00B93F12">
    <w:pPr>
      <w:pStyle w:val="Footer"/>
      <w:rPr>
        <w:rStyle w:val="PageNumber"/>
        <w:rFonts w:ascii="Calibri" w:hAnsi="Calibri"/>
        <w:b w:val="0"/>
        <w:color w:val="002C47"/>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C43AE" w14:textId="0C6FD4B6" w:rsidR="00462210" w:rsidRPr="00B93F12" w:rsidRDefault="00462210" w:rsidP="00B93F12">
    <w:pPr>
      <w:pStyle w:val="Footer"/>
      <w:rPr>
        <w:rStyle w:val="PageNumber"/>
        <w:rFonts w:ascii="Calibri" w:hAnsi="Calibri"/>
        <w:b w:val="0"/>
        <w:color w:val="002C47"/>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00C01" w14:textId="77777777" w:rsidR="00462210" w:rsidRDefault="00462210" w:rsidP="005F100C">
      <w:pPr>
        <w:spacing w:after="0"/>
      </w:pPr>
      <w:r>
        <w:separator/>
      </w:r>
    </w:p>
  </w:footnote>
  <w:footnote w:type="continuationSeparator" w:id="0">
    <w:p w14:paraId="0AAE8E33" w14:textId="77777777" w:rsidR="00462210" w:rsidRDefault="00462210" w:rsidP="005F100C">
      <w:pPr>
        <w:spacing w:after="0"/>
      </w:pPr>
      <w:r>
        <w:continuationSeparator/>
      </w:r>
    </w:p>
  </w:footnote>
  <w:footnote w:type="continuationNotice" w:id="1">
    <w:p w14:paraId="2BD17D9D" w14:textId="77777777" w:rsidR="00462210" w:rsidRDefault="00462210">
      <w:pPr>
        <w:spacing w:after="0"/>
      </w:pPr>
    </w:p>
  </w:footnote>
  <w:footnote w:id="2">
    <w:p w14:paraId="1DCE4F2E" w14:textId="0CDA88F3" w:rsidR="00462210" w:rsidRDefault="00462210" w:rsidP="00BF441C">
      <w:pPr>
        <w:pStyle w:val="FootnoteText"/>
      </w:pPr>
      <w:r w:rsidRPr="00314ED9">
        <w:rPr>
          <w:rStyle w:val="FootnoteReference"/>
          <w:vertAlign w:val="baseline"/>
        </w:rPr>
        <w:footnoteRef/>
      </w:r>
      <w:r>
        <w:t xml:space="preserve"> </w:t>
      </w:r>
      <w:r>
        <w:tab/>
        <w:t xml:space="preserve">Australian Treasury, </w:t>
      </w:r>
      <w:hyperlink r:id="rId1" w:history="1">
        <w:r w:rsidRPr="00603D91">
          <w:rPr>
            <w:rStyle w:val="Hyperlink"/>
            <w:i/>
          </w:rPr>
          <w:t>The JobKeeper Payment: Three</w:t>
        </w:r>
        <w:r>
          <w:rPr>
            <w:rStyle w:val="Hyperlink"/>
            <w:i/>
          </w:rPr>
          <w:noBreakHyphen/>
        </w:r>
        <w:r w:rsidRPr="00603D91">
          <w:rPr>
            <w:rStyle w:val="Hyperlink"/>
            <w:i/>
          </w:rPr>
          <w:t>month review</w:t>
        </w:r>
      </w:hyperlink>
      <w:r w:rsidRPr="0034367C">
        <w:t>, Ju</w:t>
      </w:r>
      <w:r>
        <w:t>ly 2020.</w:t>
      </w:r>
    </w:p>
  </w:footnote>
  <w:footnote w:id="3">
    <w:p w14:paraId="2B9F6031" w14:textId="68355919" w:rsidR="00462210" w:rsidRPr="00386E52" w:rsidRDefault="00462210">
      <w:pPr>
        <w:pStyle w:val="FootnoteText"/>
      </w:pPr>
      <w:r w:rsidRPr="00314ED9">
        <w:rPr>
          <w:rStyle w:val="FootnoteReference"/>
          <w:vertAlign w:val="baseline"/>
        </w:rPr>
        <w:footnoteRef/>
      </w:r>
      <w:r>
        <w:t xml:space="preserve"> </w:t>
      </w:r>
      <w:r>
        <w:tab/>
      </w:r>
      <w:r w:rsidRPr="007E4617">
        <w:rPr>
          <w:rStyle w:val="Hyperlink"/>
          <w:rFonts w:asciiTheme="minorHAnsi" w:hAnsiTheme="minorHAnsi"/>
          <w:color w:val="auto"/>
        </w:rPr>
        <w:t>Prime Minister and Treasurer</w:t>
      </w:r>
      <w:r>
        <w:rPr>
          <w:rStyle w:val="Hyperlink"/>
          <w:rFonts w:asciiTheme="minorHAnsi" w:hAnsiTheme="minorHAnsi"/>
          <w:color w:val="auto"/>
        </w:rPr>
        <w:t>’s</w:t>
      </w:r>
      <w:r w:rsidRPr="007E4617">
        <w:rPr>
          <w:rStyle w:val="Hyperlink"/>
          <w:rFonts w:asciiTheme="minorHAnsi" w:hAnsiTheme="minorHAnsi"/>
          <w:color w:val="auto"/>
        </w:rPr>
        <w:t xml:space="preserve"> joint media release</w:t>
      </w:r>
      <w:r w:rsidDel="00F72FED">
        <w:rPr>
          <w:rStyle w:val="Hyperlink"/>
          <w:rFonts w:asciiTheme="minorHAnsi" w:hAnsiTheme="minorHAnsi"/>
        </w:rPr>
        <w:t xml:space="preserve"> </w:t>
      </w:r>
      <w:hyperlink r:id="rId2" w:history="1">
        <w:r w:rsidRPr="00386E52">
          <w:rPr>
            <w:rStyle w:val="Hyperlink"/>
            <w:rFonts w:asciiTheme="minorHAnsi" w:hAnsiTheme="minorHAnsi"/>
            <w:i/>
            <w:iCs/>
          </w:rPr>
          <w:t>$130 billion JobKeeper payment to keep Australians in a job</w:t>
        </w:r>
      </w:hyperlink>
      <w:r w:rsidRPr="00386E52">
        <w:rPr>
          <w:rStyle w:val="Hyperlink"/>
          <w:rFonts w:asciiTheme="minorHAnsi" w:hAnsiTheme="minorHAnsi"/>
          <w:color w:val="auto"/>
        </w:rPr>
        <w:t xml:space="preserve"> </w:t>
      </w:r>
      <w:r>
        <w:rPr>
          <w:rStyle w:val="Hyperlink"/>
          <w:rFonts w:asciiTheme="minorHAnsi" w:hAnsiTheme="minorHAnsi"/>
          <w:color w:val="auto"/>
        </w:rPr>
        <w:t xml:space="preserve">on </w:t>
      </w:r>
      <w:r w:rsidRPr="00386E52">
        <w:rPr>
          <w:rStyle w:val="Hyperlink"/>
          <w:rFonts w:asciiTheme="minorHAnsi" w:hAnsiTheme="minorHAnsi"/>
          <w:color w:val="auto"/>
        </w:rPr>
        <w:t>30 March 2020</w:t>
      </w:r>
      <w:r>
        <w:rPr>
          <w:rStyle w:val="Hyperlink"/>
          <w:rFonts w:asciiTheme="minorHAnsi" w:hAnsiTheme="minorHAnsi"/>
          <w:color w:val="auto"/>
        </w:rPr>
        <w:t xml:space="preserve">. </w:t>
      </w:r>
    </w:p>
  </w:footnote>
  <w:footnote w:id="4">
    <w:p w14:paraId="473D7E59" w14:textId="03C9781D" w:rsidR="00462210" w:rsidRDefault="00462210" w:rsidP="000119E1">
      <w:pPr>
        <w:pStyle w:val="FootnoteText"/>
      </w:pPr>
      <w:r w:rsidRPr="00314ED9">
        <w:rPr>
          <w:rStyle w:val="FootnoteReference"/>
          <w:vertAlign w:val="baseline"/>
        </w:rPr>
        <w:footnoteRef/>
      </w:r>
      <w:hyperlink r:id="rId3" w:history="1">
        <w:r w:rsidRPr="00386E52">
          <w:t xml:space="preserve"> </w:t>
        </w:r>
        <w:r>
          <w:tab/>
          <w:t xml:space="preserve">The </w:t>
        </w:r>
        <w:r w:rsidRPr="00386E52">
          <w:t>Treasury Secretary</w:t>
        </w:r>
        <w:r>
          <w:t>’</w:t>
        </w:r>
        <w:r w:rsidRPr="00386E52">
          <w:t xml:space="preserve">s June 2020 </w:t>
        </w:r>
        <w:r w:rsidRPr="004D653B">
          <w:rPr>
            <w:rStyle w:val="Hyperlink"/>
            <w:i/>
          </w:rPr>
          <w:t>Opening Address to the COVID</w:t>
        </w:r>
        <w:r>
          <w:rPr>
            <w:rStyle w:val="Hyperlink"/>
            <w:i/>
          </w:rPr>
          <w:noBreakHyphen/>
        </w:r>
        <w:r w:rsidRPr="004D653B">
          <w:rPr>
            <w:rStyle w:val="Hyperlink"/>
            <w:i/>
          </w:rPr>
          <w:t>19 Senate Committee</w:t>
        </w:r>
      </w:hyperlink>
      <w:r>
        <w:t xml:space="preserve"> provides further detail on the health considerations, social distancing restrictions and economic situation at the time of the development of JobKeeper. </w:t>
      </w:r>
    </w:p>
  </w:footnote>
  <w:footnote w:id="5">
    <w:p w14:paraId="5A670880" w14:textId="3968BAC2" w:rsidR="00462210" w:rsidRDefault="00462210">
      <w:pPr>
        <w:pStyle w:val="FootnoteText"/>
      </w:pPr>
      <w:r w:rsidRPr="001C1F5B">
        <w:rPr>
          <w:rStyle w:val="FootnoteReference"/>
          <w:vertAlign w:val="baseline"/>
        </w:rPr>
        <w:footnoteRef/>
      </w:r>
      <w:r>
        <w:t xml:space="preserve"> </w:t>
      </w:r>
      <w:r>
        <w:tab/>
        <w:t xml:space="preserve">Prime Minister and Treasurer’s joint media releases announcing the first and second economic stimulus packages: </w:t>
      </w:r>
      <w:hyperlink r:id="rId4" w:history="1">
        <w:r w:rsidRPr="00077C54">
          <w:rPr>
            <w:rStyle w:val="Hyperlink"/>
            <w:i/>
            <w:iCs/>
          </w:rPr>
          <w:t>Economic Stimulus Package</w:t>
        </w:r>
      </w:hyperlink>
      <w:r>
        <w:t xml:space="preserve"> on 12 March 2020 and </w:t>
      </w:r>
      <w:hyperlink r:id="rId5" w:history="1">
        <w:r w:rsidRPr="00077C54">
          <w:rPr>
            <w:rStyle w:val="Hyperlink"/>
            <w:i/>
            <w:iCs/>
          </w:rPr>
          <w:t>Supporting Australian workers and businesses</w:t>
        </w:r>
      </w:hyperlink>
      <w:r>
        <w:t xml:space="preserve"> on 22 March 2020.</w:t>
      </w:r>
    </w:p>
  </w:footnote>
  <w:footnote w:id="6">
    <w:p w14:paraId="53162B9A" w14:textId="79373D90" w:rsidR="00462210" w:rsidRDefault="00462210">
      <w:pPr>
        <w:pStyle w:val="FootnoteText"/>
      </w:pPr>
      <w:r w:rsidRPr="00EC3487">
        <w:rPr>
          <w:rStyle w:val="FootnoteReference"/>
          <w:vertAlign w:val="baseline"/>
        </w:rPr>
        <w:footnoteRef/>
      </w:r>
      <w:r>
        <w:t xml:space="preserve"> </w:t>
      </w:r>
      <w:r w:rsidRPr="00386E52">
        <w:t xml:space="preserve"> </w:t>
      </w:r>
      <w:r>
        <w:tab/>
      </w:r>
      <w:r w:rsidRPr="008730AB">
        <w:rPr>
          <w:rFonts w:asciiTheme="minorHAnsi" w:hAnsiTheme="minorHAnsi" w:cstheme="minorHAnsi"/>
        </w:rPr>
        <w:t>Australian Health Protection Principal Committee (AHPPC) coronavirus (COVID</w:t>
      </w:r>
      <w:r>
        <w:rPr>
          <w:rFonts w:asciiTheme="minorHAnsi" w:hAnsiTheme="minorHAnsi" w:cstheme="minorHAnsi"/>
        </w:rPr>
        <w:noBreakHyphen/>
      </w:r>
      <w:r w:rsidRPr="008730AB">
        <w:rPr>
          <w:rFonts w:asciiTheme="minorHAnsi" w:hAnsiTheme="minorHAnsi" w:cstheme="minorHAnsi"/>
        </w:rPr>
        <w:t xml:space="preserve">19) </w:t>
      </w:r>
      <w:hyperlink r:id="rId6" w:history="1">
        <w:r w:rsidRPr="008730AB">
          <w:rPr>
            <w:rStyle w:val="Hyperlink"/>
            <w:rFonts w:asciiTheme="minorHAnsi" w:hAnsiTheme="minorHAnsi" w:cstheme="minorHAnsi"/>
            <w:i/>
          </w:rPr>
          <w:t>statement</w:t>
        </w:r>
      </w:hyperlink>
      <w:r w:rsidRPr="008730AB">
        <w:rPr>
          <w:rFonts w:asciiTheme="minorHAnsi" w:hAnsiTheme="minorHAnsi" w:cstheme="minorHAnsi"/>
        </w:rPr>
        <w:t xml:space="preserve"> on 17</w:t>
      </w:r>
      <w:r>
        <w:rPr>
          <w:rFonts w:asciiTheme="minorHAnsi" w:hAnsiTheme="minorHAnsi" w:cstheme="minorHAnsi"/>
        </w:rPr>
        <w:t> </w:t>
      </w:r>
      <w:r w:rsidRPr="008730AB">
        <w:rPr>
          <w:rFonts w:asciiTheme="minorHAnsi" w:hAnsiTheme="minorHAnsi" w:cstheme="minorHAnsi"/>
        </w:rPr>
        <w:t>March</w:t>
      </w:r>
      <w:r>
        <w:rPr>
          <w:rFonts w:asciiTheme="minorHAnsi" w:hAnsiTheme="minorHAnsi" w:cstheme="minorHAnsi"/>
        </w:rPr>
        <w:t> </w:t>
      </w:r>
      <w:r w:rsidRPr="008730AB">
        <w:rPr>
          <w:rFonts w:asciiTheme="minorHAnsi" w:hAnsiTheme="minorHAnsi" w:cstheme="minorHAnsi"/>
        </w:rPr>
        <w:t>2020.</w:t>
      </w:r>
    </w:p>
  </w:footnote>
  <w:footnote w:id="7">
    <w:p w14:paraId="5BC4E731" w14:textId="61B4EC50" w:rsidR="00462210" w:rsidRDefault="00462210">
      <w:pPr>
        <w:pStyle w:val="FootnoteText"/>
      </w:pPr>
      <w:r w:rsidRPr="002713AB">
        <w:footnoteRef/>
      </w:r>
      <w:r>
        <w:t xml:space="preserve"> </w:t>
      </w:r>
      <w:r>
        <w:tab/>
      </w:r>
      <w:r w:rsidRPr="002713AB">
        <w:t>ABS Business Indicators, Business Impacts of COVID 19, March 2020</w:t>
      </w:r>
      <w:r>
        <w:t>.</w:t>
      </w:r>
    </w:p>
  </w:footnote>
  <w:footnote w:id="8">
    <w:p w14:paraId="404FC1FF" w14:textId="20CF3584" w:rsidR="00462210" w:rsidRDefault="00462210">
      <w:pPr>
        <w:pStyle w:val="FootnoteText"/>
      </w:pPr>
      <w:r w:rsidRPr="00314ED9">
        <w:rPr>
          <w:rStyle w:val="FootnoteReference"/>
          <w:vertAlign w:val="baseline"/>
        </w:rPr>
        <w:footnoteRef/>
      </w:r>
      <w:r>
        <w:t xml:space="preserve"> </w:t>
      </w:r>
      <w:r>
        <w:tab/>
      </w:r>
      <w:r w:rsidRPr="008730AB">
        <w:rPr>
          <w:rFonts w:asciiTheme="minorHAnsi" w:hAnsiTheme="minorHAnsi" w:cstheme="minorHAnsi"/>
        </w:rPr>
        <w:t xml:space="preserve">The ATO also noted in the LCR </w:t>
      </w:r>
      <w:r>
        <w:rPr>
          <w:rFonts w:asciiTheme="minorHAnsi" w:hAnsiTheme="minorHAnsi" w:cstheme="minorHAnsi"/>
        </w:rPr>
        <w:t>“</w:t>
      </w:r>
      <w:r w:rsidRPr="008730AB">
        <w:rPr>
          <w:rFonts w:asciiTheme="minorHAnsi" w:hAnsiTheme="minorHAnsi" w:cstheme="minorHAnsi"/>
        </w:rPr>
        <w:t>In calculating your projected GST turnover you are not expected to take into account the impact that the JobKeeper payments may have on your ongoing business. To do this would be to presume the answer to the very question you are asking.</w:t>
      </w:r>
      <w:r>
        <w:rPr>
          <w:rFonts w:asciiTheme="minorHAnsi" w:hAnsiTheme="minorHAnsi" w:cstheme="minorHAnsi"/>
        </w:rPr>
        <w:t>”</w:t>
      </w:r>
      <w:r w:rsidRPr="008730AB">
        <w:rPr>
          <w:rFonts w:asciiTheme="minorHAnsi" w:hAnsiTheme="minorHAnsi" w:cstheme="minorHAnsi"/>
        </w:rPr>
        <w:t xml:space="preserve"> Source: Australian Taxation Office, </w:t>
      </w:r>
      <w:hyperlink r:id="rId7" w:history="1">
        <w:r w:rsidRPr="008730AB">
          <w:rPr>
            <w:rStyle w:val="Hyperlink"/>
            <w:rFonts w:asciiTheme="minorHAnsi" w:hAnsiTheme="minorHAnsi" w:cstheme="minorHAnsi"/>
            <w:i/>
          </w:rPr>
          <w:t>Law Companion Ruling 2020/1</w:t>
        </w:r>
      </w:hyperlink>
      <w:r w:rsidRPr="008730AB">
        <w:rPr>
          <w:rStyle w:val="Hyperlink"/>
          <w:rFonts w:asciiTheme="minorHAnsi" w:hAnsiTheme="minorHAnsi" w:cstheme="minorHAnsi"/>
          <w:color w:val="auto"/>
        </w:rPr>
        <w:t>, May 2020.</w:t>
      </w:r>
    </w:p>
  </w:footnote>
  <w:footnote w:id="9">
    <w:p w14:paraId="2581C397" w14:textId="704C37FC" w:rsidR="00462210" w:rsidRDefault="00462210">
      <w:pPr>
        <w:pStyle w:val="FootnoteText"/>
      </w:pPr>
      <w:r w:rsidRPr="00314ED9">
        <w:rPr>
          <w:rStyle w:val="FootnoteReference"/>
          <w:vertAlign w:val="baseline"/>
        </w:rPr>
        <w:footnoteRef/>
      </w:r>
      <w:r>
        <w:t xml:space="preserve"> </w:t>
      </w:r>
      <w:r>
        <w:tab/>
        <w:t>Research on the design of tax policy has found that as program complexity increases the quality of individual judgement falls, with participants less able to respond optimally to incentives. Expected payoffs, risk aversion and loss aversion can adversely affect behaviours. See, for example: Banerjee and Ewing (2004) ‘</w:t>
      </w:r>
      <w:r w:rsidRPr="009645F3">
        <w:t>Risk, Wellbeing and Public Policy</w:t>
      </w:r>
      <w:r>
        <w:rPr>
          <w:i/>
          <w:iCs/>
        </w:rPr>
        <w:t>’</w:t>
      </w:r>
      <w:r>
        <w:t>: 2004, The Treasury, Economic Roundup Winter 2004; Reeson and Dunstall (2009), ‘Behavioural Economics and Complex Decision</w:t>
      </w:r>
      <w:r>
        <w:noBreakHyphen/>
        <w:t xml:space="preserve">Making’: 2009, CSIRO, CMIS Report No. 09/110; </w:t>
      </w:r>
      <w:r w:rsidRPr="00DF6F5B">
        <w:t xml:space="preserve">Kahneman </w:t>
      </w:r>
      <w:r>
        <w:t xml:space="preserve">and </w:t>
      </w:r>
      <w:r w:rsidRPr="00DF6F5B">
        <w:t>Tversky (1984)</w:t>
      </w:r>
      <w:r>
        <w:t>,</w:t>
      </w:r>
      <w:r w:rsidRPr="00DF6F5B">
        <w:t xml:space="preserve"> </w:t>
      </w:r>
      <w:r>
        <w:t>‘</w:t>
      </w:r>
      <w:r w:rsidRPr="00DF6F5B">
        <w:t>Choices, values, frames</w:t>
      </w:r>
      <w:r>
        <w:t>’,</w:t>
      </w:r>
      <w:r w:rsidRPr="00DF6F5B">
        <w:t xml:space="preserve"> American Psychologist 39(4):341</w:t>
      </w:r>
      <w:r>
        <w:noBreakHyphen/>
      </w:r>
      <w:r w:rsidRPr="00DF6F5B">
        <w:t>350</w:t>
      </w:r>
      <w:r>
        <w:t xml:space="preserve">; and </w:t>
      </w:r>
      <w:r w:rsidRPr="00AE536D">
        <w:t xml:space="preserve">Leicester, Levell, and Rasul (2012), </w:t>
      </w:r>
      <w:r>
        <w:t>‘</w:t>
      </w:r>
      <w:r w:rsidRPr="00AE536D">
        <w:t>Tax and benefit policy: insights from behavioural economics</w:t>
      </w:r>
      <w:r>
        <w:t>’</w:t>
      </w:r>
      <w:r w:rsidRPr="00AE536D">
        <w:t>: 2012, Institute for Fiscal Studies</w:t>
      </w:r>
      <w:r>
        <w:t xml:space="preserve">. </w:t>
      </w:r>
    </w:p>
  </w:footnote>
  <w:footnote w:id="10">
    <w:p w14:paraId="4DEBE17B" w14:textId="1AA5ED34" w:rsidR="00462210" w:rsidRDefault="00462210" w:rsidP="00266012">
      <w:pPr>
        <w:pStyle w:val="FootnoteText"/>
      </w:pPr>
      <w:r w:rsidRPr="00EC3487">
        <w:rPr>
          <w:rStyle w:val="FootnoteReference"/>
          <w:vertAlign w:val="baseline"/>
        </w:rPr>
        <w:footnoteRef/>
      </w:r>
      <w:r>
        <w:t xml:space="preserve"> </w:t>
      </w:r>
      <w:r>
        <w:tab/>
        <w:t>Regarding the role of uncertainty, consider the case where a business thinks there is a fifty</w:t>
      </w:r>
      <w:r>
        <w:noBreakHyphen/>
        <w:t xml:space="preserve">fifty chance that revenue ends up at 103 or 123 per cent of normal levels. The mean expected outcome is then for revenue to be 113 per cent higher, meaning they would be indifferent between increasing production, or stalling and getting JobKeeper. However, if they are risk averse they will prefer the sure option of JobKeeper. </w:t>
      </w:r>
    </w:p>
  </w:footnote>
  <w:footnote w:id="11">
    <w:p w14:paraId="57950F64" w14:textId="7E608488" w:rsidR="00462210" w:rsidRDefault="00462210">
      <w:pPr>
        <w:pStyle w:val="FootnoteText"/>
      </w:pPr>
      <w:r w:rsidRPr="00AB5B35">
        <w:rPr>
          <w:rStyle w:val="FootnoteReference"/>
          <w:vertAlign w:val="baseline"/>
        </w:rPr>
        <w:footnoteRef/>
      </w:r>
      <w:r w:rsidRPr="00AB5B35">
        <w:rPr>
          <w:rStyle w:val="FootnoteReference"/>
          <w:vertAlign w:val="baseline"/>
        </w:rPr>
        <w:t xml:space="preserve"> </w:t>
      </w:r>
      <w:r>
        <w:tab/>
      </w:r>
      <w:r w:rsidRPr="007E4617">
        <w:rPr>
          <w:rStyle w:val="Hyperlink"/>
          <w:rFonts w:asciiTheme="minorHAnsi" w:hAnsiTheme="minorHAnsi"/>
          <w:color w:val="auto"/>
        </w:rPr>
        <w:t>Prime Minister and Treasurer</w:t>
      </w:r>
      <w:r>
        <w:rPr>
          <w:rStyle w:val="Hyperlink"/>
          <w:rFonts w:asciiTheme="minorHAnsi" w:hAnsiTheme="minorHAnsi"/>
          <w:color w:val="auto"/>
        </w:rPr>
        <w:t>’s</w:t>
      </w:r>
      <w:r w:rsidRPr="007E4617">
        <w:rPr>
          <w:rStyle w:val="Hyperlink"/>
          <w:rFonts w:asciiTheme="minorHAnsi" w:hAnsiTheme="minorHAnsi"/>
          <w:color w:val="auto"/>
        </w:rPr>
        <w:t xml:space="preserve"> joint media release</w:t>
      </w:r>
      <w:r w:rsidDel="00F72FED">
        <w:rPr>
          <w:rStyle w:val="Hyperlink"/>
          <w:rFonts w:asciiTheme="minorHAnsi" w:hAnsiTheme="minorHAnsi"/>
        </w:rPr>
        <w:t xml:space="preserve"> </w:t>
      </w:r>
      <w:hyperlink r:id="rId8" w:history="1">
        <w:r w:rsidRPr="00AA3FA7">
          <w:rPr>
            <w:rStyle w:val="Hyperlink"/>
            <w:i/>
            <w:iCs/>
          </w:rPr>
          <w:t>J</w:t>
        </w:r>
        <w:r>
          <w:rPr>
            <w:rStyle w:val="Hyperlink"/>
            <w:i/>
            <w:iCs/>
          </w:rPr>
          <w:t>o</w:t>
        </w:r>
        <w:r w:rsidRPr="00AA3FA7">
          <w:rPr>
            <w:rStyle w:val="Hyperlink"/>
            <w:i/>
            <w:iCs/>
          </w:rPr>
          <w:t>bKeeper Payment and income support extended</w:t>
        </w:r>
      </w:hyperlink>
      <w:r>
        <w:t xml:space="preserve"> </w:t>
      </w:r>
      <w:r>
        <w:rPr>
          <w:rStyle w:val="Hyperlink"/>
          <w:rFonts w:asciiTheme="minorHAnsi" w:hAnsiTheme="minorHAnsi"/>
          <w:color w:val="auto"/>
        </w:rPr>
        <w:t xml:space="preserve">on 21 July </w:t>
      </w:r>
      <w:r w:rsidRPr="00386E52">
        <w:rPr>
          <w:rStyle w:val="Hyperlink"/>
          <w:rFonts w:asciiTheme="minorHAnsi" w:hAnsiTheme="minorHAnsi"/>
          <w:color w:val="auto"/>
        </w:rPr>
        <w:t>2020</w:t>
      </w:r>
      <w:r>
        <w:rPr>
          <w:rStyle w:val="Hyperlink"/>
          <w:rFonts w:asciiTheme="minorHAnsi" w:hAnsiTheme="minorHAnsi"/>
          <w:color w:val="auto"/>
        </w:rPr>
        <w:t>.</w:t>
      </w:r>
    </w:p>
  </w:footnote>
  <w:footnote w:id="12">
    <w:p w14:paraId="3ED4A0F2" w14:textId="614DBA59" w:rsidR="00462210" w:rsidRDefault="00462210" w:rsidP="000E6EFD">
      <w:pPr>
        <w:pStyle w:val="FootnoteText"/>
      </w:pPr>
      <w:r w:rsidRPr="00603D91">
        <w:rPr>
          <w:rStyle w:val="FootnoteReference"/>
          <w:vertAlign w:val="baseline"/>
        </w:rPr>
        <w:footnoteRef/>
      </w:r>
      <w:r>
        <w:t xml:space="preserve"> </w:t>
      </w:r>
      <w:r>
        <w:tab/>
        <w:t xml:space="preserve">Australian National Audit Office, </w:t>
      </w:r>
      <w:hyperlink r:id="rId9" w:history="1">
        <w:r w:rsidRPr="00603D91">
          <w:rPr>
            <w:rStyle w:val="Hyperlink"/>
            <w:i/>
            <w:iCs/>
          </w:rPr>
          <w:t>Australian Taxation Office</w:t>
        </w:r>
        <w:r>
          <w:rPr>
            <w:rStyle w:val="Hyperlink"/>
            <w:i/>
            <w:iCs/>
          </w:rPr>
          <w:t>’</w:t>
        </w:r>
        <w:r w:rsidRPr="00603D91">
          <w:rPr>
            <w:rStyle w:val="Hyperlink"/>
            <w:i/>
            <w:iCs/>
          </w:rPr>
          <w:t>s (ATO) Management of Risks Related to the Rapid Implementation of COVID</w:t>
        </w:r>
        <w:r>
          <w:rPr>
            <w:rStyle w:val="Hyperlink"/>
            <w:i/>
            <w:iCs/>
          </w:rPr>
          <w:noBreakHyphen/>
        </w:r>
        <w:r w:rsidRPr="00603D91">
          <w:rPr>
            <w:rStyle w:val="Hyperlink"/>
            <w:i/>
            <w:iCs/>
          </w:rPr>
          <w:t>19 Economic Response Measures</w:t>
        </w:r>
      </w:hyperlink>
      <w:r w:rsidRPr="00603D91">
        <w:t>, December 2020</w:t>
      </w:r>
      <w:r>
        <w:t>.</w:t>
      </w:r>
    </w:p>
  </w:footnote>
  <w:footnote w:id="13">
    <w:p w14:paraId="4D0C60E7" w14:textId="5C677910" w:rsidR="00462210" w:rsidRPr="007E6DE1" w:rsidRDefault="00462210" w:rsidP="00322B0E">
      <w:pPr>
        <w:pStyle w:val="FootnoteText"/>
        <w:rPr>
          <w:sz w:val="18"/>
          <w:szCs w:val="18"/>
        </w:rPr>
      </w:pPr>
      <w:r w:rsidRPr="004C06B0" w:rsidDel="00314ED9">
        <w:rPr>
          <w:rStyle w:val="FootnoteReference"/>
          <w:vertAlign w:val="baseline"/>
        </w:rPr>
        <w:footnoteRef/>
      </w:r>
      <w:r w:rsidRPr="004C06B0">
        <w:t xml:space="preserve"> </w:t>
      </w:r>
      <w:r w:rsidRPr="004C06B0">
        <w:tab/>
        <w:t>Other services includes a broad range of personal services; religious, civic, professional and other interest group services; selected repair and maintenance activities; and private households employing staff.</w:t>
      </w:r>
    </w:p>
  </w:footnote>
  <w:footnote w:id="14">
    <w:p w14:paraId="461EFF17" w14:textId="5D7D7848" w:rsidR="00462210" w:rsidRPr="00184326" w:rsidRDefault="00462210" w:rsidP="002C1856">
      <w:pPr>
        <w:pStyle w:val="FootnoteText"/>
        <w:rPr>
          <w:rStyle w:val="FootnoteReference"/>
          <w:sz w:val="18"/>
          <w:szCs w:val="18"/>
          <w:vertAlign w:val="baseline"/>
        </w:rPr>
      </w:pPr>
      <w:r w:rsidRPr="00CD560E">
        <w:rPr>
          <w:rStyle w:val="FootnoteReference"/>
          <w:vertAlign w:val="baseline"/>
        </w:rPr>
        <w:footnoteRef/>
      </w:r>
      <w:r w:rsidRPr="00CD560E">
        <w:rPr>
          <w:rStyle w:val="FootnoteReference"/>
          <w:vertAlign w:val="baseline"/>
        </w:rPr>
        <w:t xml:space="preserve"> </w:t>
      </w:r>
      <w:r w:rsidRPr="00CD560E">
        <w:tab/>
        <w:t>Figure 11 shows JobKeeper coverage of unique individuals, who received JobKeeper in one or more fortnights in the first six months of the program, by SA4 region. Pre</w:t>
      </w:r>
      <w:r>
        <w:noBreakHyphen/>
      </w:r>
      <w:r w:rsidRPr="00CD560E">
        <w:t>COVID</w:t>
      </w:r>
      <w:r>
        <w:noBreakHyphen/>
      </w:r>
      <w:r w:rsidRPr="00CD560E">
        <w:t xml:space="preserve">19 employment is given by average employment in the year to February 2020. The employment number includes all employment categories and therefore includes some employees who were ineligible for JobKeeper e.g. </w:t>
      </w:r>
      <w:r w:rsidRPr="00CD560E">
        <w:rPr>
          <w:rStyle w:val="FootnoteReference"/>
          <w:vertAlign w:val="baseline"/>
        </w:rPr>
        <w:t>public</w:t>
      </w:r>
      <w:r w:rsidRPr="00CD560E">
        <w:t xml:space="preserve"> sector workers, casual employees not eligible for JobKeeper. The Australian Capital Territory SA4 is equal to the state total and has only been included once.</w:t>
      </w:r>
      <w:r>
        <w:rPr>
          <w:sz w:val="18"/>
          <w:szCs w:val="18"/>
        </w:rPr>
        <w:t xml:space="preserve"> </w:t>
      </w:r>
    </w:p>
  </w:footnote>
  <w:footnote w:id="15">
    <w:p w14:paraId="2E2CE741" w14:textId="301B6A2E" w:rsidR="00462210" w:rsidRPr="00CD560E" w:rsidRDefault="00462210" w:rsidP="002C1856">
      <w:pPr>
        <w:pStyle w:val="FootnoteText"/>
      </w:pPr>
      <w:r w:rsidRPr="00CD560E">
        <w:rPr>
          <w:rStyle w:val="FootnoteReference"/>
          <w:vertAlign w:val="baseline"/>
        </w:rPr>
        <w:footnoteRef/>
      </w:r>
      <w:r w:rsidRPr="00CD560E">
        <w:rPr>
          <w:rStyle w:val="FootnoteReference"/>
          <w:vertAlign w:val="baseline"/>
        </w:rPr>
        <w:t xml:space="preserve"> </w:t>
      </w:r>
      <w:r w:rsidRPr="00CD560E">
        <w:tab/>
        <w:t>Source: ATO administrative data on JobKeeper unique individuals by postcode allocated to population weighted ABS SA4 regions</w:t>
      </w:r>
      <w:r>
        <w:t xml:space="preserve"> and</w:t>
      </w:r>
      <w:r w:rsidRPr="00CD560E">
        <w:t xml:space="preserve"> ABS Labour Force, Australia, Detailed, Monthly, June 2021 (Cat. No. 6291.0.55.003).</w:t>
      </w:r>
    </w:p>
  </w:footnote>
  <w:footnote w:id="16">
    <w:p w14:paraId="2442071B" w14:textId="06025838" w:rsidR="00462210" w:rsidRDefault="00462210">
      <w:pPr>
        <w:pStyle w:val="FootnoteText"/>
      </w:pPr>
      <w:r w:rsidRPr="00314ED9" w:rsidDel="00314ED9">
        <w:rPr>
          <w:rStyle w:val="FootnoteReference"/>
          <w:vertAlign w:val="baseline"/>
        </w:rPr>
        <w:footnoteRef/>
      </w:r>
      <w:r>
        <w:t xml:space="preserve"> </w:t>
      </w:r>
      <w:r>
        <w:tab/>
        <w:t xml:space="preserve">For a discussion of the coverage of STP, see </w:t>
      </w:r>
      <w:hyperlink r:id="rId10" w:history="1">
        <w:r w:rsidRPr="00326CD9">
          <w:rPr>
            <w:rStyle w:val="Hyperlink"/>
            <w:i/>
          </w:rPr>
          <w:t>The JobKeeper Payment: Three</w:t>
        </w:r>
        <w:r>
          <w:rPr>
            <w:rStyle w:val="Hyperlink"/>
            <w:i/>
          </w:rPr>
          <w:noBreakHyphen/>
        </w:r>
        <w:r w:rsidRPr="00326CD9">
          <w:rPr>
            <w:rStyle w:val="Hyperlink"/>
            <w:i/>
          </w:rPr>
          <w:t>month review</w:t>
        </w:r>
      </w:hyperlink>
      <w:r>
        <w:rPr>
          <w:lang w:val="en-US"/>
        </w:rPr>
        <w:t>.</w:t>
      </w:r>
    </w:p>
  </w:footnote>
  <w:footnote w:id="17">
    <w:p w14:paraId="5210504E" w14:textId="2B1379D0" w:rsidR="00462210" w:rsidRDefault="00462210" w:rsidP="00886AD2">
      <w:pPr>
        <w:pStyle w:val="FootnoteText"/>
      </w:pPr>
      <w:r w:rsidRPr="00314ED9" w:rsidDel="00314ED9">
        <w:rPr>
          <w:rStyle w:val="FootnoteReference"/>
          <w:vertAlign w:val="baseline"/>
        </w:rPr>
        <w:footnoteRef/>
      </w:r>
      <w:r>
        <w:t xml:space="preserve"> </w:t>
      </w:r>
      <w:r>
        <w:tab/>
        <w:t>This is consistent with the ABS</w:t>
      </w:r>
      <w:r w:rsidRPr="00DB781A">
        <w:t xml:space="preserve"> </w:t>
      </w:r>
      <w:r>
        <w:t>Weekly Payroll Jobs and Wages in</w:t>
      </w:r>
      <w:r w:rsidRPr="00DB781A">
        <w:t xml:space="preserve"> Australia, </w:t>
      </w:r>
      <w:r>
        <w:t xml:space="preserve">Week ending 24 April </w:t>
      </w:r>
      <w:r w:rsidRPr="00DB781A">
        <w:t>2020</w:t>
      </w:r>
      <w:r>
        <w:t xml:space="preserve"> </w:t>
      </w:r>
      <w:r w:rsidRPr="005366C5">
        <w:t>(Cat. No. 6160.0.55.001)</w:t>
      </w:r>
      <w:r>
        <w:t>.</w:t>
      </w:r>
    </w:p>
  </w:footnote>
  <w:footnote w:id="18">
    <w:p w14:paraId="78068661" w14:textId="2C906E2A" w:rsidR="00462210" w:rsidRDefault="00462210" w:rsidP="00EC3487">
      <w:pPr>
        <w:pStyle w:val="FootnoteText"/>
      </w:pPr>
      <w:r w:rsidRPr="00EC3487">
        <w:rPr>
          <w:rStyle w:val="FootnoteReference"/>
          <w:vertAlign w:val="baseline"/>
        </w:rPr>
        <w:footnoteRef/>
      </w:r>
      <w:r>
        <w:t xml:space="preserve"> </w:t>
      </w:r>
      <w:r>
        <w:tab/>
      </w:r>
      <w:r w:rsidRPr="009B1337">
        <w:t>Some of the observed attenuation of the unemployment rate rise is a result of measurement of the labour force status of workers receiving JobKeeper. Zero</w:t>
      </w:r>
      <w:r>
        <w:noBreakHyphen/>
      </w:r>
      <w:r w:rsidRPr="009B1337">
        <w:t>hour workers who may otherwise have been recorded as unemployed or not in the labour force were recorded as employed when they were receiving JobKeeper payments.</w:t>
      </w:r>
      <w:r w:rsidRPr="009B1337" w:rsidDel="009B1337">
        <w:t xml:space="preserve"> </w:t>
      </w:r>
    </w:p>
  </w:footnote>
  <w:footnote w:id="19">
    <w:p w14:paraId="02DCFA6F" w14:textId="4F392354" w:rsidR="00462210" w:rsidRPr="002D3B50" w:rsidRDefault="00462210" w:rsidP="00C33706">
      <w:pPr>
        <w:pStyle w:val="FootnoteText"/>
      </w:pPr>
      <w:r w:rsidRPr="00B808A2">
        <w:rPr>
          <w:rStyle w:val="FootnoteReference"/>
          <w:vertAlign w:val="baseline"/>
        </w:rPr>
        <w:footnoteRef/>
      </w:r>
      <w:r>
        <w:t xml:space="preserve"> </w:t>
      </w:r>
      <w:r>
        <w:tab/>
      </w:r>
      <w:r w:rsidRPr="00F953EF">
        <w:t xml:space="preserve">The December </w:t>
      </w:r>
      <w:r>
        <w:t>quarter</w:t>
      </w:r>
      <w:r w:rsidRPr="00F953EF">
        <w:t xml:space="preserve"> National Accounts showed a 13.6 per cent increase in gross mixed income, and an 11.7 per cent increase in gross operating surplus for private non</w:t>
      </w:r>
      <w:r>
        <w:noBreakHyphen/>
      </w:r>
      <w:r w:rsidRPr="00F953EF">
        <w:t>financial corporations, from December</w:t>
      </w:r>
      <w:r>
        <w:t> </w:t>
      </w:r>
      <w:r w:rsidRPr="00F953EF">
        <w:t>2019 to December 2020.</w:t>
      </w:r>
    </w:p>
  </w:footnote>
  <w:footnote w:id="20">
    <w:p w14:paraId="395848DB" w14:textId="72C7503A" w:rsidR="00462210" w:rsidRDefault="00462210">
      <w:pPr>
        <w:pStyle w:val="FootnoteText"/>
      </w:pPr>
      <w:r w:rsidRPr="002E70DA">
        <w:rPr>
          <w:rStyle w:val="FootnoteReference"/>
          <w:vertAlign w:val="baseline"/>
        </w:rPr>
        <w:footnoteRef/>
      </w:r>
      <w:r>
        <w:t xml:space="preserve"> </w:t>
      </w:r>
      <w:r>
        <w:tab/>
        <w:t>This analysis may understate these effects, given many JobKeeper workers may have applied for but never actually received JobSeeker.</w:t>
      </w:r>
    </w:p>
  </w:footnote>
  <w:footnote w:id="21">
    <w:p w14:paraId="20F79792" w14:textId="71D9D455" w:rsidR="00462210" w:rsidRDefault="00462210" w:rsidP="00E9249A">
      <w:pPr>
        <w:pStyle w:val="FootnoteText"/>
      </w:pPr>
      <w:r w:rsidRPr="00314ED9" w:rsidDel="00314ED9">
        <w:rPr>
          <w:rStyle w:val="FootnoteReference"/>
          <w:vertAlign w:val="baseline"/>
        </w:rPr>
        <w:footnoteRef/>
      </w:r>
      <w:r>
        <w:t xml:space="preserve"> </w:t>
      </w:r>
      <w:r>
        <w:tab/>
        <w:t xml:space="preserve">D </w:t>
      </w:r>
      <w:r w:rsidRPr="00F91EAF">
        <w:t xml:space="preserve">Andrews, </w:t>
      </w:r>
      <w:r>
        <w:t xml:space="preserve">E Bahar and </w:t>
      </w:r>
      <w:r w:rsidRPr="00F91EAF">
        <w:t xml:space="preserve">J Hambur (2021), </w:t>
      </w:r>
      <w:hyperlink r:id="rId11" w:history="1">
        <w:r w:rsidRPr="00584E9B">
          <w:rPr>
            <w:rStyle w:val="Hyperlink"/>
            <w:i/>
          </w:rPr>
          <w:t>The COVID</w:t>
        </w:r>
        <w:r>
          <w:rPr>
            <w:rStyle w:val="Hyperlink"/>
            <w:i/>
          </w:rPr>
          <w:noBreakHyphen/>
        </w:r>
        <w:r w:rsidRPr="00584E9B">
          <w:rPr>
            <w:rStyle w:val="Hyperlink"/>
            <w:i/>
          </w:rPr>
          <w:t>19 shock and productivity</w:t>
        </w:r>
        <w:r>
          <w:rPr>
            <w:rStyle w:val="Hyperlink"/>
            <w:i/>
          </w:rPr>
          <w:noBreakHyphen/>
        </w:r>
        <w:r w:rsidRPr="00584E9B">
          <w:rPr>
            <w:rStyle w:val="Hyperlink"/>
            <w:i/>
          </w:rPr>
          <w:t>enhancing reallocation in Australia: Real</w:t>
        </w:r>
        <w:r>
          <w:rPr>
            <w:rStyle w:val="Hyperlink"/>
            <w:i/>
          </w:rPr>
          <w:noBreakHyphen/>
        </w:r>
        <w:r w:rsidRPr="00584E9B">
          <w:rPr>
            <w:rStyle w:val="Hyperlink"/>
            <w:i/>
          </w:rPr>
          <w:t>time evidence from Single Touch Payroll</w:t>
        </w:r>
      </w:hyperlink>
      <w:r w:rsidRPr="00F91EAF">
        <w:t xml:space="preserve">, </w:t>
      </w:r>
      <w:r w:rsidRPr="00584E9B">
        <w:t>OECD Economics Department Working Paper</w:t>
      </w:r>
      <w:r w:rsidRPr="00F91EAF">
        <w:t xml:space="preserve"> No.</w:t>
      </w:r>
      <w:r w:rsidR="0007509F">
        <w:t> </w:t>
      </w:r>
      <w:r w:rsidRPr="00F91EAF">
        <w:t>1677</w:t>
      </w:r>
      <w:r>
        <w:t>. This paper was jointly funded by the OECD and Treasury.</w:t>
      </w:r>
    </w:p>
  </w:footnote>
  <w:footnote w:id="22">
    <w:p w14:paraId="1C80ED99" w14:textId="5BC2010E" w:rsidR="00462210" w:rsidRPr="00EA361D" w:rsidRDefault="00462210">
      <w:pPr>
        <w:pStyle w:val="FootnoteText"/>
        <w:rPr>
          <w:rStyle w:val="FootnoteReference"/>
          <w:vertAlign w:val="baseline"/>
        </w:rPr>
      </w:pPr>
      <w:r w:rsidRPr="00EA361D">
        <w:rPr>
          <w:rStyle w:val="FootnoteReference"/>
          <w:vertAlign w:val="baseline"/>
        </w:rPr>
        <w:footnoteRef/>
      </w:r>
      <w:r w:rsidRPr="00EA361D">
        <w:rPr>
          <w:rStyle w:val="FootnoteReference"/>
          <w:vertAlign w:val="baseline"/>
        </w:rPr>
        <w:t xml:space="preserve"> </w:t>
      </w:r>
      <w:r>
        <w:tab/>
      </w:r>
      <w:r w:rsidRPr="00562239">
        <w:t xml:space="preserve">Reserve Bank of Australia, </w:t>
      </w:r>
      <w:hyperlink r:id="rId12" w:history="1">
        <w:r w:rsidRPr="00562239">
          <w:rPr>
            <w:rStyle w:val="Hyperlink"/>
          </w:rPr>
          <w:t>Financial Stability Review Box B: Business Failure Risk in the COVID-19 Pandemic</w:t>
        </w:r>
      </w:hyperlink>
      <w:r w:rsidRPr="00562239">
        <w:t>, October 2020</w:t>
      </w:r>
    </w:p>
  </w:footnote>
  <w:footnote w:id="23">
    <w:p w14:paraId="0FBBC1F4" w14:textId="1B066BFA" w:rsidR="00462210" w:rsidRDefault="00462210" w:rsidP="00F640F8">
      <w:pPr>
        <w:pStyle w:val="FootnoteText"/>
      </w:pPr>
      <w:r w:rsidRPr="00314ED9" w:rsidDel="00314ED9">
        <w:rPr>
          <w:rStyle w:val="FootnoteReference"/>
          <w:vertAlign w:val="baseline"/>
        </w:rPr>
        <w:footnoteRef/>
      </w:r>
      <w:r>
        <w:t xml:space="preserve"> </w:t>
      </w:r>
      <w:r>
        <w:tab/>
      </w:r>
      <w:r w:rsidRPr="00947090">
        <w:t xml:space="preserve">Sensis, </w:t>
      </w:r>
      <w:hyperlink r:id="rId13" w:history="1">
        <w:r>
          <w:rPr>
            <w:rStyle w:val="Hyperlink"/>
            <w:i/>
          </w:rPr>
          <w:t>September 2020 Business Index</w:t>
        </w:r>
      </w:hyperlink>
      <w:r w:rsidRPr="00947090">
        <w:t xml:space="preserve">, </w:t>
      </w:r>
      <w:r>
        <w:t xml:space="preserve">September </w:t>
      </w:r>
      <w:r w:rsidRPr="00947090">
        <w:t>2020</w:t>
      </w:r>
      <w:r>
        <w:t>.</w:t>
      </w:r>
    </w:p>
  </w:footnote>
  <w:footnote w:id="24">
    <w:p w14:paraId="310C55F4" w14:textId="4E8305DA" w:rsidR="00462210" w:rsidRDefault="00462210" w:rsidP="00F640F8">
      <w:pPr>
        <w:pStyle w:val="FootnoteText"/>
      </w:pPr>
      <w:r w:rsidRPr="00314ED9" w:rsidDel="00314ED9">
        <w:rPr>
          <w:rStyle w:val="FootnoteReference"/>
          <w:vertAlign w:val="baseline"/>
        </w:rPr>
        <w:footnoteRef/>
      </w:r>
      <w:r>
        <w:t xml:space="preserve"> </w:t>
      </w:r>
      <w:r>
        <w:tab/>
        <w:t xml:space="preserve">MYOB, </w:t>
      </w:r>
      <w:hyperlink r:id="rId14" w:history="1">
        <w:r w:rsidRPr="00433409">
          <w:rPr>
            <w:rStyle w:val="Hyperlink"/>
            <w:i/>
          </w:rPr>
          <w:t>Business Monitor: Budget Edition</w:t>
        </w:r>
      </w:hyperlink>
      <w:r w:rsidRPr="00A31E36">
        <w:t xml:space="preserve">, </w:t>
      </w:r>
      <w:r>
        <w:t xml:space="preserve">September </w:t>
      </w:r>
      <w:r w:rsidRPr="00A31E36">
        <w:t>2020</w:t>
      </w:r>
      <w:r>
        <w:t>.</w:t>
      </w:r>
    </w:p>
  </w:footnote>
  <w:footnote w:id="25">
    <w:p w14:paraId="49949C66" w14:textId="761F6EDE" w:rsidR="00462210" w:rsidRDefault="00462210">
      <w:pPr>
        <w:pStyle w:val="FootnoteText"/>
      </w:pPr>
      <w:r w:rsidRPr="00672665">
        <w:rPr>
          <w:rStyle w:val="FootnoteReference"/>
          <w:vertAlign w:val="baseline"/>
        </w:rPr>
        <w:footnoteRef/>
      </w:r>
      <w:r w:rsidRPr="00672665">
        <w:t xml:space="preserve"> </w:t>
      </w:r>
      <w:r>
        <w:tab/>
        <w:t xml:space="preserve">R Breunig and S Johnson, </w:t>
      </w:r>
      <w:hyperlink r:id="rId15" w:history="1">
        <w:r w:rsidRPr="00672665">
          <w:rPr>
            <w:rStyle w:val="Hyperlink"/>
            <w:i/>
            <w:iCs/>
          </w:rPr>
          <w:t>Taxpayer responsiveness to marginal tax rates: Bunching evidence from the Australian personal income tax system</w:t>
        </w:r>
      </w:hyperlink>
      <w:r>
        <w:t>, September 2017</w:t>
      </w:r>
    </w:p>
  </w:footnote>
  <w:footnote w:id="26">
    <w:p w14:paraId="718039BC" w14:textId="666A4F93" w:rsidR="00462210" w:rsidRDefault="00462210" w:rsidP="00DE2CB6">
      <w:pPr>
        <w:pStyle w:val="FootnoteText"/>
      </w:pPr>
      <w:r w:rsidRPr="00314ED9" w:rsidDel="00314ED9">
        <w:rPr>
          <w:rStyle w:val="FootnoteReference"/>
          <w:vertAlign w:val="baseline"/>
        </w:rPr>
        <w:footnoteRef/>
      </w:r>
      <w:r w:rsidDel="00195138">
        <w:t xml:space="preserve"> </w:t>
      </w:r>
      <w:r>
        <w:tab/>
        <w:t xml:space="preserve">There is evidence that increases in cash flow can increase investment spending for businesses. </w:t>
      </w:r>
      <w:hyperlink r:id="rId16" w:history="1">
        <w:r w:rsidRPr="00DC2D3C">
          <w:rPr>
            <w:rStyle w:val="Hyperlink"/>
            <w:color w:val="auto"/>
          </w:rPr>
          <w:t>La Cava (2005)</w:t>
        </w:r>
      </w:hyperlink>
      <w:r>
        <w:t xml:space="preserve"> finds that when businesses experiencing financial distress are separated from other businesses there is empirical evidence of a channel for cash flow of businesses to influence investment decisions, suggesting fiscal policy can support investment by providing financial support to a broad class of businesses.</w:t>
      </w:r>
    </w:p>
  </w:footnote>
  <w:footnote w:id="27">
    <w:p w14:paraId="5612F3E1" w14:textId="655200AE" w:rsidR="00462210" w:rsidRDefault="00462210" w:rsidP="00DF45AA">
      <w:pPr>
        <w:pStyle w:val="FootnoteText"/>
      </w:pPr>
      <w:r w:rsidRPr="00314ED9" w:rsidDel="00314ED9">
        <w:rPr>
          <w:rStyle w:val="FootnoteReference"/>
          <w:vertAlign w:val="baseline"/>
        </w:rPr>
        <w:footnoteRef/>
      </w:r>
      <w:r>
        <w:t xml:space="preserve"> </w:t>
      </w:r>
      <w:r>
        <w:tab/>
        <w:t xml:space="preserve">These forecasts were developed with the help of Treasury’s macroeconometric model. See: Bullen et al (2021), </w:t>
      </w:r>
      <w:hyperlink r:id="rId17" w:history="1">
        <w:r w:rsidRPr="00433409">
          <w:rPr>
            <w:rStyle w:val="Hyperlink"/>
            <w:i/>
          </w:rPr>
          <w:t>The Treasury Macroeconometric Model of Australia: Modelling Approach</w:t>
        </w:r>
      </w:hyperlink>
      <w:r>
        <w:t xml:space="preserve">, Treasury Paper, September 2021. </w:t>
      </w:r>
    </w:p>
  </w:footnote>
  <w:footnote w:id="28">
    <w:p w14:paraId="3FA51224" w14:textId="5365865A" w:rsidR="00462210" w:rsidRDefault="00462210" w:rsidP="00DC4307">
      <w:pPr>
        <w:pStyle w:val="FootnoteText"/>
      </w:pPr>
      <w:r w:rsidRPr="00314ED9" w:rsidDel="00314ED9">
        <w:rPr>
          <w:rStyle w:val="FootnoteReference"/>
          <w:vertAlign w:val="baseline"/>
        </w:rPr>
        <w:footnoteRef/>
      </w:r>
      <w:r>
        <w:t xml:space="preserve"> </w:t>
      </w:r>
      <w:r>
        <w:tab/>
        <w:t>Note that all analysis uses gross disbursements and does not net out repayments (including voluntary repayments).</w:t>
      </w:r>
    </w:p>
  </w:footnote>
  <w:footnote w:id="29">
    <w:p w14:paraId="024CE1C3" w14:textId="1455799C" w:rsidR="00462210" w:rsidRDefault="00462210" w:rsidP="00E0153A">
      <w:pPr>
        <w:pStyle w:val="FootnoteText"/>
      </w:pPr>
      <w:r w:rsidRPr="00314ED9" w:rsidDel="00314ED9">
        <w:rPr>
          <w:rStyle w:val="FootnoteReference"/>
          <w:vertAlign w:val="baseline"/>
        </w:rPr>
        <w:footnoteRef/>
      </w:r>
      <w:r>
        <w:t xml:space="preserve"> </w:t>
      </w:r>
      <w:r>
        <w:tab/>
        <w:t>Given Business Activity Statements are reported for the entire group, rather than a specific entity, analysis for JobKeeper entities within groups is difficult. While</w:t>
      </w:r>
      <w:r w:rsidDel="005D25F7">
        <w:t xml:space="preserve"> </w:t>
      </w:r>
      <w:r>
        <w:t>the analysis included cases where the recipient entity was the reporting entity, the Business Activity Statement data cannot be relied on to capture that entity’s turnover. For example, turnover for the JobKeeper entity may have declined, while turnover for the group, which is reported in Business Activity Statements, increased. This represented a compromise between maximising the sample and maximising the accuracy of the analysis. Based on the turnover distributions in the sample, including all entities in consolidated entities, or excluding them all, does not substantially change the analysis.</w:t>
      </w:r>
    </w:p>
  </w:footnote>
  <w:footnote w:id="30">
    <w:p w14:paraId="3226F528" w14:textId="41CD7EA5" w:rsidR="00462210" w:rsidRDefault="00462210" w:rsidP="00163B52">
      <w:pPr>
        <w:pStyle w:val="FootnoteText"/>
      </w:pPr>
      <w:r w:rsidRPr="0083592A">
        <w:rPr>
          <w:rStyle w:val="FootnoteReference"/>
          <w:vertAlign w:val="baseline"/>
        </w:rPr>
        <w:footnoteRef/>
      </w:r>
      <w:r>
        <w:t xml:space="preserve"> </w:t>
      </w:r>
      <w:r>
        <w:tab/>
        <w:t>Broadly similar shares of businesses tend to have such extreme outcomes under ‘normal’ economic conditions.</w:t>
      </w:r>
    </w:p>
  </w:footnote>
  <w:footnote w:id="31">
    <w:p w14:paraId="6871472C" w14:textId="51E4C34B" w:rsidR="00462210" w:rsidRDefault="00462210" w:rsidP="004A1369">
      <w:pPr>
        <w:pStyle w:val="FootnoteText"/>
      </w:pPr>
      <w:r w:rsidRPr="0083592A">
        <w:rPr>
          <w:rStyle w:val="FootnoteReference"/>
          <w:vertAlign w:val="baseline"/>
        </w:rPr>
        <w:footnoteRef/>
      </w:r>
      <w:r>
        <w:tab/>
        <w:t xml:space="preserve">The </w:t>
      </w:r>
      <w:r w:rsidRPr="00D14FCB">
        <w:t xml:space="preserve">ATO set out guidance on how to undertake the decline in turnover test/s and the relevant evidence to support the turnover decline estimate, including where using an alternative test. When undertaking compliance activities or reviews of claims the ATO requires the business to demonstrate that they have appropriately applied this guidance. </w:t>
      </w:r>
      <w:r>
        <w:t xml:space="preserve">The </w:t>
      </w:r>
      <w:r w:rsidRPr="00D14FCB">
        <w:t>ATO issued advice in Law Companion Ruling (LCR 2020/1</w:t>
      </w:r>
      <w:r>
        <w:t xml:space="preserve"> – </w:t>
      </w:r>
      <w:hyperlink r:id="rId18" w:history="1">
        <w:r w:rsidRPr="00D14FCB">
          <w:rPr>
            <w:rStyle w:val="Hyperlink"/>
          </w:rPr>
          <w:t>lcr2020</w:t>
        </w:r>
        <w:r>
          <w:rPr>
            <w:rStyle w:val="Hyperlink"/>
          </w:rPr>
          <w:noBreakHyphen/>
        </w:r>
        <w:r w:rsidRPr="00D14FCB">
          <w:rPr>
            <w:rStyle w:val="Hyperlink"/>
          </w:rPr>
          <w:t>001.pdf (ato.gov.au)</w:t>
        </w:r>
      </w:hyperlink>
      <w:r w:rsidRPr="00D14FCB">
        <w:rPr>
          <w:rStyle w:val="Hyperlink"/>
        </w:rPr>
        <w:t xml:space="preserve"> </w:t>
      </w:r>
      <w:r w:rsidRPr="00D14FCB">
        <w:rPr>
          <w:rStyle w:val="Hyperlink"/>
          <w:color w:val="auto"/>
        </w:rPr>
        <w:t xml:space="preserve">and other </w:t>
      </w:r>
      <w:r>
        <w:rPr>
          <w:rStyle w:val="Hyperlink"/>
          <w:color w:val="auto"/>
        </w:rPr>
        <w:t xml:space="preserve">alternative test </w:t>
      </w:r>
      <w:r w:rsidRPr="00D14FCB">
        <w:rPr>
          <w:rStyle w:val="Hyperlink"/>
          <w:color w:val="auto"/>
        </w:rPr>
        <w:t xml:space="preserve">guidance material </w:t>
      </w:r>
      <w:hyperlink r:id="rId19" w:anchor="modifiedbasictest" w:history="1">
        <w:r w:rsidRPr="0048183A">
          <w:rPr>
            <w:rStyle w:val="Hyperlink"/>
            <w:rFonts w:eastAsia="Calibri"/>
          </w:rPr>
          <w:t>Alternative test | Australian Taxation Office (ato.gov.au)</w:t>
        </w:r>
      </w:hyperlink>
      <w:r>
        <w:rPr>
          <w:rFonts w:eastAsia="Calibri" w:cs="Calibri"/>
          <w:lang w:eastAsia="en-US"/>
        </w:rPr>
        <w:t>.</w:t>
      </w:r>
    </w:p>
  </w:footnote>
  <w:footnote w:id="32">
    <w:p w14:paraId="6D9B4B26" w14:textId="71B86E0A" w:rsidR="00462210" w:rsidRDefault="00462210" w:rsidP="000303BC">
      <w:pPr>
        <w:pStyle w:val="FootnoteText"/>
        <w:ind w:left="426"/>
      </w:pPr>
      <w:r w:rsidRPr="000303BC">
        <w:rPr>
          <w:rStyle w:val="FootnoteReference"/>
          <w:vertAlign w:val="baseline"/>
        </w:rPr>
        <w:footnoteRef/>
      </w:r>
      <w:r>
        <w:t xml:space="preserve"> </w:t>
      </w:r>
      <w:r>
        <w:tab/>
        <w:t>Specifically, growth from the March quarter 2019 to the March quarter 2020 is compared to growth from the June quarter 2019 to the June quarter 2020, or the September quarter 2019 to the September quarter 2020. Results are qualitatively similar looking at actual quarter on quarter changes. However, seasonality makes these comparisons more difficult.</w:t>
      </w:r>
    </w:p>
  </w:footnote>
  <w:footnote w:id="33">
    <w:p w14:paraId="166ACF23" w14:textId="6F417E28" w:rsidR="00462210" w:rsidRDefault="00462210" w:rsidP="0061046F">
      <w:pPr>
        <w:pStyle w:val="FootnoteText"/>
      </w:pPr>
      <w:r w:rsidRPr="00314ED9" w:rsidDel="00314ED9">
        <w:rPr>
          <w:rStyle w:val="FootnoteReference"/>
          <w:vertAlign w:val="baseline"/>
        </w:rPr>
        <w:footnoteRef/>
      </w:r>
      <w:r>
        <w:t xml:space="preserve"> </w:t>
      </w:r>
      <w:r>
        <w:tab/>
        <w:t>Change in turnover growth cannot be calculated for all firms with increased turnover (e.g. due to firms not existing in March 2019). As such, the $4.9 billion figure is arrived at by applying shares calculated for available sample, to the full quarterly figures for firms with a turnover increase.</w:t>
      </w:r>
    </w:p>
  </w:footnote>
  <w:footnote w:id="34">
    <w:p w14:paraId="7220C770" w14:textId="77777777" w:rsidR="00462210" w:rsidRPr="006F13E6" w:rsidRDefault="00462210" w:rsidP="00DE62B2">
      <w:pPr>
        <w:pStyle w:val="FootnoteText"/>
      </w:pPr>
      <w:r w:rsidRPr="003F16D8">
        <w:rPr>
          <w:rStyle w:val="FootnoteReference"/>
          <w:vertAlign w:val="baseline"/>
        </w:rPr>
        <w:footnoteRef/>
      </w:r>
      <w:r w:rsidRPr="006F13E6">
        <w:t xml:space="preserve"> </w:t>
      </w:r>
      <w:r>
        <w:tab/>
        <w:t>This is a sample of generally larger businesses. Businesses with GST turnover of greater than $20 million are required to report their Business Activity Statements on a monthly basis.</w:t>
      </w:r>
    </w:p>
  </w:footnote>
  <w:footnote w:id="35">
    <w:p w14:paraId="542C5920" w14:textId="154A394E" w:rsidR="00462210" w:rsidRPr="000B7E8C" w:rsidRDefault="00462210" w:rsidP="00B64A44">
      <w:pPr>
        <w:pStyle w:val="FootnoteText"/>
        <w:rPr>
          <w:rStyle w:val="FootnoteReference"/>
          <w:vertAlign w:val="baseline"/>
        </w:rPr>
      </w:pPr>
      <w:r w:rsidRPr="000B7E8C">
        <w:rPr>
          <w:rStyle w:val="FootnoteReference"/>
          <w:vertAlign w:val="baseline"/>
        </w:rPr>
        <w:footnoteRef/>
      </w:r>
      <w:r w:rsidRPr="000B7E8C">
        <w:rPr>
          <w:rStyle w:val="FootnoteReference"/>
          <w:vertAlign w:val="baseline"/>
        </w:rPr>
        <w:t xml:space="preserve"> </w:t>
      </w:r>
      <w:r w:rsidRPr="000B7E8C">
        <w:rPr>
          <w:rStyle w:val="FootnoteReference"/>
          <w:vertAlign w:val="baseline"/>
        </w:rPr>
        <w:tab/>
        <w:t>The increase in jobs is calculated from the trough in May, given</w:t>
      </w:r>
      <w:r>
        <w:t xml:space="preserve"> the</w:t>
      </w:r>
      <w:r w:rsidRPr="000B7E8C">
        <w:rPr>
          <w:rStyle w:val="FootnoteReference"/>
          <w:vertAlign w:val="baseline"/>
        </w:rPr>
        <w:t xml:space="preserve"> </w:t>
      </w:r>
      <w:r>
        <w:rPr>
          <w:rStyle w:val="FootnoteReference"/>
          <w:vertAlign w:val="baseline"/>
        </w:rPr>
        <w:t>ti</w:t>
      </w:r>
      <w:r>
        <w:t>ming of</w:t>
      </w:r>
      <w:r w:rsidRPr="000B7E8C">
        <w:rPr>
          <w:rStyle w:val="FootnoteReference"/>
          <w:vertAlign w:val="baseline"/>
        </w:rPr>
        <w:t xml:space="preserve"> initial payments.</w:t>
      </w:r>
    </w:p>
  </w:footnote>
  <w:footnote w:id="36">
    <w:p w14:paraId="44640F25" w14:textId="0B0EFCD1" w:rsidR="00462210" w:rsidRDefault="00462210" w:rsidP="00B64A44">
      <w:pPr>
        <w:pStyle w:val="FootnoteText"/>
      </w:pPr>
      <w:r w:rsidRPr="0021481F">
        <w:rPr>
          <w:rStyle w:val="FootnoteReference"/>
          <w:vertAlign w:val="baseline"/>
        </w:rPr>
        <w:footnoteRef/>
      </w:r>
      <w:r>
        <w:t xml:space="preserve"> </w:t>
      </w:r>
      <w:r>
        <w:tab/>
        <w:t>These estimates assume that, prior to the pandemic, around one</w:t>
      </w:r>
      <w:r>
        <w:noBreakHyphen/>
        <w:t xml:space="preserve">third of employment in these businesses were workers that were not eligible for JobKeeper, consistent with evidence in the </w:t>
      </w:r>
      <w:r w:rsidRPr="005C42D5">
        <w:rPr>
          <w:i/>
        </w:rPr>
        <w:t>JobKeeper</w:t>
      </w:r>
      <w:r w:rsidRPr="002007D0" w:rsidDel="00D5555E">
        <w:rPr>
          <w:i/>
        </w:rPr>
        <w:t xml:space="preserve"> </w:t>
      </w:r>
      <w:r w:rsidRPr="002007D0">
        <w:rPr>
          <w:i/>
        </w:rPr>
        <w:t>review</w:t>
      </w:r>
      <w:r>
        <w:t>.</w:t>
      </w:r>
    </w:p>
  </w:footnote>
  <w:footnote w:id="37">
    <w:p w14:paraId="3CEF85D0" w14:textId="1C1A06D4" w:rsidR="00462210" w:rsidRPr="002E29CD" w:rsidRDefault="00462210">
      <w:pPr>
        <w:pStyle w:val="FootnoteText"/>
        <w:rPr>
          <w:rStyle w:val="FootnoteReference"/>
          <w:vertAlign w:val="baseline"/>
        </w:rPr>
      </w:pPr>
      <w:r w:rsidRPr="00643B55">
        <w:rPr>
          <w:rStyle w:val="FootnoteReference"/>
          <w:vertAlign w:val="baseline"/>
        </w:rPr>
        <w:footnoteRef/>
      </w:r>
      <w:r w:rsidRPr="002E29CD">
        <w:rPr>
          <w:rStyle w:val="FootnoteReference"/>
          <w:vertAlign w:val="baseline"/>
        </w:rPr>
        <w:t xml:space="preserve"> </w:t>
      </w:r>
      <w:r>
        <w:tab/>
      </w:r>
      <w:r w:rsidRPr="002E29CD">
        <w:rPr>
          <w:rStyle w:val="FootnoteReference"/>
          <w:vertAlign w:val="baseline"/>
        </w:rPr>
        <w:t>While JobKeeper ended on 28 March 2021, t</w:t>
      </w:r>
      <w:r w:rsidRPr="00643B55">
        <w:t>he ATO continues to administer the program, with compliance work ongoing and the ATO able to process JobKeeper payments for eligible recipients until 31</w:t>
      </w:r>
      <w:r>
        <w:t> </w:t>
      </w:r>
      <w:r w:rsidRPr="00643B55">
        <w:t>March 2022.</w:t>
      </w:r>
    </w:p>
  </w:footnote>
  <w:footnote w:id="38">
    <w:p w14:paraId="4D7BA386" w14:textId="55FE6A00" w:rsidR="00462210" w:rsidRDefault="00462210">
      <w:pPr>
        <w:pStyle w:val="FootnoteText"/>
      </w:pPr>
      <w:r w:rsidRPr="007779E0">
        <w:rPr>
          <w:rStyle w:val="FootnoteReference"/>
          <w:vertAlign w:val="baseline"/>
        </w:rPr>
        <w:footnoteRef/>
      </w:r>
      <w:r w:rsidRPr="00E76B7F">
        <w:t xml:space="preserve"> </w:t>
      </w:r>
      <w:r>
        <w:tab/>
        <w:t xml:space="preserve">Institute of Public Administration Australia, </w:t>
      </w:r>
      <w:hyperlink r:id="rId20" w:history="1">
        <w:r w:rsidRPr="007779E0">
          <w:rPr>
            <w:rStyle w:val="Hyperlink"/>
            <w:i/>
            <w:iCs/>
          </w:rPr>
          <w:t>Public Policy Lessons from the Global Financial Crisis</w:t>
        </w:r>
      </w:hyperlink>
      <w:r>
        <w:t>, May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19C8" w14:textId="278AE9AF" w:rsidR="00462210" w:rsidRDefault="00B1613D" w:rsidP="00ED6924">
    <w:pPr>
      <w:pStyle w:val="SecurityClassificationHeader"/>
    </w:pPr>
    <w:r>
      <w:fldChar w:fldCharType="begin"/>
    </w:r>
    <w:r>
      <w:instrText xml:space="preserve"> DOCPROPERTY SecurityClassification \* MERGEFORMAT </w:instrText>
    </w:r>
    <w:r>
      <w:fldChar w:fldCharType="separate"/>
    </w:r>
    <w:r w:rsidR="004E7A44">
      <w:t>Protected</w:t>
    </w:r>
    <w:r>
      <w:fldChar w:fldCharType="end"/>
    </w:r>
  </w:p>
  <w:p w14:paraId="48285695" w14:textId="36420BAA" w:rsidR="00462210" w:rsidRDefault="00B1613D" w:rsidP="00ED6924">
    <w:pPr>
      <w:pStyle w:val="DLMSecurityHeader"/>
    </w:pPr>
    <w:r>
      <w:fldChar w:fldCharType="begin"/>
    </w:r>
    <w:r>
      <w:instrText xml:space="preserve"> DOCPROPERTY DLMSecurityClassification \* MERGEFORMAT </w:instrText>
    </w:r>
    <w:r>
      <w:fldChar w:fldCharType="separate"/>
    </w:r>
    <w:r w:rsidR="004E7A44">
      <w:t>Sensitive:  Cabinet</w:t>
    </w:r>
    <w:r>
      <w:fldChar w:fldCharType="end"/>
    </w:r>
    <w:r>
      <w:rPr>
        <w:noProof/>
      </w:rPr>
      <w:pict w14:anchorId="211A0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608860" o:spid="_x0000_s2050" type="#_x0000_t136" style="position:absolute;left:0;text-align:left;margin-left:0;margin-top:0;width:409.65pt;height:245.8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8B4F2" w14:textId="5D1BE266" w:rsidR="00462210" w:rsidRPr="005552E2" w:rsidRDefault="00B1613D" w:rsidP="00BD20C1">
    <w:pPr>
      <w:pStyle w:val="HeaderOdd"/>
      <w:rPr>
        <w:b/>
      </w:rPr>
    </w:pPr>
    <w:r>
      <w:fldChar w:fldCharType="begin"/>
    </w:r>
    <w:r>
      <w:instrText xml:space="preserve"> STYLEREF  "Heading 1"  \* MERGEFORMAT </w:instrText>
    </w:r>
    <w:r>
      <w:fldChar w:fldCharType="separate"/>
    </w:r>
    <w:r>
      <w:rPr>
        <w:noProof/>
      </w:rPr>
      <w:t>Executive summary</w:t>
    </w:r>
    <w:r>
      <w:rPr>
        <w:noProof/>
      </w:rPr>
      <w:fldChar w:fldCharType="end"/>
    </w:r>
    <w:r w:rsidR="00462210">
      <w:rPr>
        <w:noProof/>
      </w:rPr>
      <w:t xml:space="preserve">  |  </w:t>
    </w:r>
    <w:r w:rsidR="00462210" w:rsidRPr="00BD20C1">
      <w:rPr>
        <w:rStyle w:val="PageNumber"/>
        <w:rFonts w:ascii="Calibri" w:hAnsi="Calibri"/>
        <w:color w:val="002C47"/>
        <w:sz w:val="20"/>
      </w:rPr>
      <w:fldChar w:fldCharType="begin"/>
    </w:r>
    <w:r w:rsidR="00462210" w:rsidRPr="00BD20C1">
      <w:rPr>
        <w:rStyle w:val="PageNumber"/>
        <w:rFonts w:ascii="Calibri" w:hAnsi="Calibri"/>
        <w:color w:val="002C47"/>
        <w:sz w:val="20"/>
      </w:rPr>
      <w:instrText xml:space="preserve"> PAGE   \* MERGEFORMAT </w:instrText>
    </w:r>
    <w:r w:rsidR="00462210" w:rsidRPr="00BD20C1">
      <w:rPr>
        <w:rStyle w:val="PageNumber"/>
        <w:rFonts w:ascii="Calibri" w:hAnsi="Calibri"/>
        <w:color w:val="002C47"/>
        <w:sz w:val="20"/>
      </w:rPr>
      <w:fldChar w:fldCharType="separate"/>
    </w:r>
    <w:r w:rsidR="00462210">
      <w:rPr>
        <w:rStyle w:val="PageNumber"/>
        <w:rFonts w:ascii="Calibri" w:hAnsi="Calibri"/>
        <w:color w:val="002C47"/>
        <w:sz w:val="20"/>
      </w:rPr>
      <w:t>iv</w:t>
    </w:r>
    <w:r w:rsidR="00462210" w:rsidRPr="00BD20C1">
      <w:rPr>
        <w:rStyle w:val="PageNumber"/>
        <w:rFonts w:ascii="Calibri" w:hAnsi="Calibri"/>
        <w:color w:val="002C47"/>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5E9EE" w14:textId="36D1E67B" w:rsidR="00462210" w:rsidRDefault="00B1613D" w:rsidP="00ED6924">
    <w:pPr>
      <w:pStyle w:val="SecurityClassificationHeader"/>
    </w:pPr>
    <w:r>
      <w:fldChar w:fldCharType="begin"/>
    </w:r>
    <w:r>
      <w:instrText xml:space="preserve"> DOCPROPERTY SecurityClassification \* MERGEFORMAT </w:instrText>
    </w:r>
    <w:r>
      <w:fldChar w:fldCharType="separate"/>
    </w:r>
    <w:r w:rsidR="004E7A44">
      <w:t>Protected</w:t>
    </w:r>
    <w:r>
      <w:fldChar w:fldCharType="end"/>
    </w:r>
  </w:p>
  <w:p w14:paraId="4AEA6295" w14:textId="375092C4" w:rsidR="00462210" w:rsidRDefault="00B1613D" w:rsidP="00ED6924">
    <w:pPr>
      <w:pStyle w:val="DLMSecurityHeader"/>
    </w:pPr>
    <w:r>
      <w:fldChar w:fldCharType="begin"/>
    </w:r>
    <w:r>
      <w:instrText xml:space="preserve"> DOCPROPERTY DLMSecurityClassification \* MERGEFORMAT </w:instrText>
    </w:r>
    <w:r>
      <w:fldChar w:fldCharType="separate"/>
    </w:r>
    <w:r w:rsidR="004E7A44">
      <w:t>Sensitive:  Cabinet</w:t>
    </w:r>
    <w:r>
      <w:fldChar w:fldCharType="end"/>
    </w:r>
    <w:r>
      <w:rPr>
        <w:noProof/>
      </w:rPr>
      <w:pict w14:anchorId="7D955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608861" o:spid="_x0000_s2051" type="#_x0000_t136" style="position:absolute;left:0;text-align:left;margin-left:0;margin-top:0;width:409.65pt;height:245.8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3E15F" w14:textId="6D16D139" w:rsidR="00462210" w:rsidRPr="00F012EA" w:rsidRDefault="00462210" w:rsidP="00B93F12">
    <w:pPr>
      <w:pStyle w:val="SecurityClassificationHeader"/>
      <w:spacing w:before="0"/>
    </w:pPr>
    <w:r>
      <w:rPr>
        <w:noProof/>
        <w:lang w:eastAsia="zh-CN"/>
      </w:rPr>
      <w:drawing>
        <wp:anchor distT="0" distB="0" distL="114300" distR="114300" simplePos="0" relativeHeight="251658244" behindDoc="1" locked="0" layoutInCell="1" allowOverlap="1" wp14:anchorId="7F48B760" wp14:editId="1FF2D8D2">
          <wp:simplePos x="0" y="0"/>
          <wp:positionH relativeFrom="margin">
            <wp:posOffset>-570821</wp:posOffset>
          </wp:positionH>
          <wp:positionV relativeFrom="page">
            <wp:posOffset>159488</wp:posOffset>
          </wp:positionV>
          <wp:extent cx="6904354" cy="9762384"/>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04354" cy="9762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13D">
      <w:rPr>
        <w:noProof/>
      </w:rPr>
      <w:pict w14:anchorId="66358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608859" o:spid="_x0000_s2049" type="#_x0000_t136" style="position:absolute;left:0;text-align:left;margin-left:0;margin-top:0;width:409.65pt;height:245.8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7C86" w14:textId="1255B7CC" w:rsidR="00462210" w:rsidRDefault="00462210" w:rsidP="00FD63D7">
    <w:pPr>
      <w:pStyle w:val="HeaderEven"/>
    </w:pPr>
    <w:r w:rsidRPr="005552E2">
      <w:rPr>
        <w:rStyle w:val="PageNumber"/>
      </w:rPr>
      <w:fldChar w:fldCharType="begin"/>
    </w:r>
    <w:r w:rsidRPr="005552E2">
      <w:rPr>
        <w:rStyle w:val="PageNumber"/>
      </w:rPr>
      <w:instrText xml:space="preserve"> PAGE   \* MERGEFORMAT </w:instrText>
    </w:r>
    <w:r w:rsidRPr="005552E2">
      <w:rPr>
        <w:rStyle w:val="PageNumber"/>
      </w:rPr>
      <w:fldChar w:fldCharType="separate"/>
    </w:r>
    <w:r w:rsidRPr="005552E2">
      <w:rPr>
        <w:rStyle w:val="PageNumber"/>
      </w:rPr>
      <w:t>vi</w:t>
    </w:r>
    <w:r w:rsidRPr="005552E2">
      <w:rPr>
        <w:rStyle w:val="PageNumber"/>
      </w:rPr>
      <w:fldChar w:fldCharType="end"/>
    </w:r>
    <w:r>
      <w:rPr>
        <w:rStyle w:val="PageNumber"/>
        <w:rFonts w:ascii="Calibri" w:hAnsi="Calibri"/>
        <w:color w:val="002C47"/>
        <w:sz w:val="20"/>
      </w:rPr>
      <w:t xml:space="preserve">  </w:t>
    </w:r>
    <w:r w:rsidRPr="005552E2">
      <w:t xml:space="preserve">| </w:t>
    </w:r>
    <w:r>
      <w:rPr>
        <w:rStyle w:val="PageNumber"/>
        <w:rFonts w:ascii="Calibri" w:hAnsi="Calibri"/>
        <w:color w:val="002C47"/>
        <w:sz w:val="20"/>
      </w:rPr>
      <w:t xml:space="preserve"> </w:t>
    </w:r>
    <w:r w:rsidR="00B1613D">
      <w:fldChar w:fldCharType="begin"/>
    </w:r>
    <w:r w:rsidR="00B1613D">
      <w:instrText xml:space="preserve"> TITLE   \* MERGEFORMAT </w:instrText>
    </w:r>
    <w:r w:rsidR="00B1613D">
      <w:fldChar w:fldCharType="separate"/>
    </w:r>
    <w:r w:rsidR="004E7A44">
      <w:t>Insights from the first six months of JobKeeper</w:t>
    </w:r>
    <w:r w:rsidR="00B1613D">
      <w:fldChar w:fldCharType="end"/>
    </w: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D8EE0" w14:textId="1D5B8256" w:rsidR="00462210" w:rsidRDefault="00B1613D" w:rsidP="00ED6924">
    <w:pPr>
      <w:pStyle w:val="SecurityClassificationHeader"/>
    </w:pPr>
    <w:r>
      <w:fldChar w:fldCharType="begin"/>
    </w:r>
    <w:r>
      <w:instrText xml:space="preserve"> DOCPROPERTY SecurityClassification \* MERGEFORMAT </w:instrText>
    </w:r>
    <w:r>
      <w:fldChar w:fldCharType="separate"/>
    </w:r>
    <w:r w:rsidR="004E7A44">
      <w:t>Protected</w:t>
    </w:r>
    <w:r>
      <w:fldChar w:fldCharType="end"/>
    </w:r>
  </w:p>
  <w:p w14:paraId="56BEF812" w14:textId="5E4DBDAE" w:rsidR="00462210" w:rsidRDefault="00B1613D" w:rsidP="00810BC6">
    <w:pPr>
      <w:pStyle w:val="DLMSecurityHeader"/>
    </w:pPr>
    <w:r>
      <w:fldChar w:fldCharType="begin"/>
    </w:r>
    <w:r>
      <w:instrText xml:space="preserve"> DOCPROPERTY DLMSecurityClassification \* MERGEFORMAT </w:instrText>
    </w:r>
    <w:r>
      <w:fldChar w:fldCharType="separate"/>
    </w:r>
    <w:r w:rsidR="004E7A44">
      <w:t>Sensitive:  Cabinet</w:t>
    </w:r>
    <w:r>
      <w:fldChar w:fldCharType="end"/>
    </w:r>
  </w:p>
  <w:p w14:paraId="773FBC6D" w14:textId="347CE52B" w:rsidR="00462210" w:rsidRDefault="00B1613D" w:rsidP="00FD63D7">
    <w:pPr>
      <w:pStyle w:val="HeaderOdd"/>
    </w:pPr>
    <w:r>
      <w:fldChar w:fldCharType="begin"/>
    </w:r>
    <w:r>
      <w:instrText xml:space="preserve"> ST</w:instrText>
    </w:r>
    <w:r>
      <w:instrText xml:space="preserve">YLEREF  "Heading 1"  \* MERGEFORMAT </w:instrText>
    </w:r>
    <w:r>
      <w:fldChar w:fldCharType="separate"/>
    </w:r>
    <w:r w:rsidR="004E7A44">
      <w:rPr>
        <w:noProof/>
      </w:rPr>
      <w:t>Executive summary</w:t>
    </w:r>
    <w:r>
      <w:rPr>
        <w:noProof/>
      </w:rPr>
      <w:fldChar w:fldCharType="end"/>
    </w:r>
    <w:r>
      <w:rPr>
        <w:noProof/>
      </w:rPr>
      <w:pict w14:anchorId="49707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608864" o:spid="_x0000_s2065" type="#_x0000_t136" style="position:absolute;left:0;text-align:left;margin-left:0;margin-top:0;width:409.65pt;height:245.8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A3CDD" w14:textId="08A55D1C" w:rsidR="00462210" w:rsidRPr="0038520A" w:rsidRDefault="00462210" w:rsidP="0038520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FAF05" w14:textId="12BA1FAF" w:rsidR="00462210" w:rsidRPr="005552E2" w:rsidRDefault="00B1613D" w:rsidP="00FD63D7">
    <w:pPr>
      <w:pStyle w:val="HeaderOdd"/>
      <w:rPr>
        <w:b/>
      </w:rPr>
    </w:pPr>
    <w:r>
      <w:fldChar w:fldCharType="begin"/>
    </w:r>
    <w:r>
      <w:instrText xml:space="preserve"> TITLE   \* MERGEFORMAT </w:instrText>
    </w:r>
    <w:r>
      <w:fldChar w:fldCharType="separate"/>
    </w:r>
    <w:r w:rsidR="004E7A44">
      <w:t>Insights from the first six months of JobKeeper</w:t>
    </w:r>
    <w:r>
      <w:fldChar w:fldCharType="end"/>
    </w:r>
    <w:r w:rsidR="00462210">
      <w:rPr>
        <w:noProof/>
      </w:rPr>
      <w:t xml:space="preserve">  |  </w:t>
    </w:r>
    <w:r w:rsidR="00462210" w:rsidRPr="00BD20C1">
      <w:rPr>
        <w:rStyle w:val="PageNumber"/>
        <w:rFonts w:ascii="Calibri" w:hAnsi="Calibri"/>
        <w:color w:val="002C47"/>
        <w:sz w:val="20"/>
      </w:rPr>
      <w:fldChar w:fldCharType="begin"/>
    </w:r>
    <w:r w:rsidR="00462210" w:rsidRPr="00BD20C1">
      <w:rPr>
        <w:rStyle w:val="PageNumber"/>
        <w:rFonts w:ascii="Calibri" w:hAnsi="Calibri"/>
        <w:color w:val="002C47"/>
        <w:sz w:val="20"/>
      </w:rPr>
      <w:instrText xml:space="preserve"> PAGE   \* MERGEFORMAT </w:instrText>
    </w:r>
    <w:r w:rsidR="00462210" w:rsidRPr="00BD20C1">
      <w:rPr>
        <w:rStyle w:val="PageNumber"/>
        <w:rFonts w:ascii="Calibri" w:hAnsi="Calibri"/>
        <w:color w:val="002C47"/>
        <w:sz w:val="20"/>
      </w:rPr>
      <w:fldChar w:fldCharType="separate"/>
    </w:r>
    <w:r w:rsidR="00462210">
      <w:rPr>
        <w:rStyle w:val="PageNumber"/>
        <w:color w:val="002C47"/>
        <w:sz w:val="20"/>
      </w:rPr>
      <w:t>v</w:t>
    </w:r>
    <w:r w:rsidR="00462210" w:rsidRPr="00BD20C1">
      <w:rPr>
        <w:rStyle w:val="PageNumber"/>
        <w:rFonts w:ascii="Calibri" w:hAnsi="Calibri"/>
        <w:color w:val="002C47"/>
        <w:sz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F1EEE" w14:textId="561FC101" w:rsidR="00462210" w:rsidRPr="00BD20C1" w:rsidRDefault="00462210" w:rsidP="00BD20C1">
    <w:pPr>
      <w:pStyle w:val="HeaderOd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9F5B8" w14:textId="2649FAB4" w:rsidR="00462210" w:rsidRPr="005552E2" w:rsidRDefault="00B1613D" w:rsidP="005552E2">
    <w:pPr>
      <w:pStyle w:val="HeaderOdd"/>
      <w:rPr>
        <w:b/>
      </w:rPr>
    </w:pPr>
    <w:r>
      <w:fldChar w:fldCharType="begin"/>
    </w:r>
    <w:r>
      <w:instrText xml:space="preserve"> STYLEREF  "Heading 1"  \* MERGEFORMAT </w:instrText>
    </w:r>
    <w:r>
      <w:fldChar w:fldCharType="separate"/>
    </w:r>
    <w:r>
      <w:rPr>
        <w:noProof/>
      </w:rPr>
      <w:t>1. JobKeeper design and implementation</w:t>
    </w:r>
    <w:r>
      <w:rPr>
        <w:noProof/>
      </w:rPr>
      <w:fldChar w:fldCharType="end"/>
    </w:r>
    <w:r w:rsidR="00462210">
      <w:rPr>
        <w:noProof/>
      </w:rPr>
      <w:t xml:space="preserve">  |  </w:t>
    </w:r>
    <w:r w:rsidR="00462210" w:rsidRPr="00BD20C1">
      <w:rPr>
        <w:rStyle w:val="PageNumber"/>
        <w:rFonts w:ascii="Calibri" w:hAnsi="Calibri"/>
        <w:color w:val="002C47"/>
        <w:sz w:val="20"/>
      </w:rPr>
      <w:fldChar w:fldCharType="begin"/>
    </w:r>
    <w:r w:rsidR="00462210" w:rsidRPr="00BD20C1">
      <w:rPr>
        <w:rStyle w:val="PageNumber"/>
        <w:rFonts w:ascii="Calibri" w:hAnsi="Calibri"/>
        <w:color w:val="002C47"/>
        <w:sz w:val="20"/>
      </w:rPr>
      <w:instrText xml:space="preserve"> PAGE   \* MERGEFORMAT </w:instrText>
    </w:r>
    <w:r w:rsidR="00462210" w:rsidRPr="00BD20C1">
      <w:rPr>
        <w:rStyle w:val="PageNumber"/>
        <w:rFonts w:ascii="Calibri" w:hAnsi="Calibri"/>
        <w:color w:val="002C47"/>
        <w:sz w:val="20"/>
      </w:rPr>
      <w:fldChar w:fldCharType="separate"/>
    </w:r>
    <w:r w:rsidR="00462210">
      <w:rPr>
        <w:rStyle w:val="PageNumber"/>
        <w:color w:val="002C47"/>
        <w:sz w:val="20"/>
      </w:rPr>
      <w:t>v</w:t>
    </w:r>
    <w:r w:rsidR="00462210" w:rsidRPr="00BD20C1">
      <w:rPr>
        <w:rStyle w:val="PageNumber"/>
        <w:rFonts w:ascii="Calibri" w:hAnsi="Calibri"/>
        <w:color w:val="002C47"/>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0F35"/>
    <w:multiLevelType w:val="hybridMultilevel"/>
    <w:tmpl w:val="92DA42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CB28C4"/>
    <w:multiLevelType w:val="multilevel"/>
    <w:tmpl w:val="FB966738"/>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Arial Bold" w:hAnsi="Arial Bold" w:cs="Arial" w:hint="default"/>
        <w:b/>
        <w:i w:val="0"/>
        <w:color w:val="003157"/>
      </w:rPr>
    </w:lvl>
    <w:lvl w:ilvl="2">
      <w:start w:val="1"/>
      <w:numFmt w:val="decimal"/>
      <w:pStyle w:val="AppendixHeadingLevel3"/>
      <w:lvlText w:val="%1.%2.%3"/>
      <w:lvlJc w:val="left"/>
      <w:pPr>
        <w:tabs>
          <w:tab w:val="num" w:pos="1134"/>
        </w:tabs>
        <w:ind w:left="0" w:firstLine="0"/>
      </w:pPr>
      <w:rPr>
        <w:rFonts w:ascii="Arial Bold" w:hAnsi="Arial Bold" w:cs="Arial" w:hint="default"/>
        <w:b/>
        <w:i w:val="0"/>
        <w:color w:val="003157"/>
      </w:rPr>
    </w:lvl>
    <w:lvl w:ilvl="3">
      <w:start w:val="1"/>
      <w:numFmt w:val="decimal"/>
      <w:pStyle w:val="AppendixHeadingLevel4"/>
      <w:lvlText w:val="%1.%2.%3.%4"/>
      <w:lvlJc w:val="left"/>
      <w:pPr>
        <w:tabs>
          <w:tab w:val="num" w:pos="1135"/>
        </w:tabs>
        <w:ind w:left="1" w:hanging="1"/>
      </w:pPr>
      <w:rPr>
        <w:rFonts w:ascii="Arial" w:hAnsi="Arial" w:cs="Arial" w:hint="default"/>
        <w:b w:val="0"/>
        <w:i w:val="0"/>
        <w:color w:val="003157"/>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90B0DB0"/>
    <w:multiLevelType w:val="multilevel"/>
    <w:tmpl w:val="D9A8A212"/>
    <w:styleLink w:val="RomanNumeralList"/>
    <w:lvl w:ilvl="0">
      <w:start w:val="1"/>
      <w:numFmt w:val="lowerRoman"/>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8F6F7B"/>
    <w:multiLevelType w:val="hybridMultilevel"/>
    <w:tmpl w:val="92CE7416"/>
    <w:lvl w:ilvl="0" w:tplc="EA56A110">
      <w:numFmt w:val="bullet"/>
      <w:lvlText w:val=""/>
      <w:lvlJc w:val="left"/>
      <w:pPr>
        <w:ind w:left="720" w:hanging="360"/>
      </w:pPr>
      <w:rPr>
        <w:rFonts w:ascii="Wingdings" w:eastAsia="Times New Roman" w:hAnsi="Wingdings" w:cs="Segoe UI" w:hint="default"/>
        <w:color w:val="000000"/>
        <w:sz w:val="2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61559C"/>
    <w:multiLevelType w:val="hybridMultilevel"/>
    <w:tmpl w:val="172A20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6CC4E5D"/>
    <w:multiLevelType w:val="multilevel"/>
    <w:tmpl w:val="D10E9CF6"/>
    <w:numStyleLink w:val="OneLevelList"/>
  </w:abstractNum>
  <w:abstractNum w:abstractNumId="9"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B1405CF"/>
    <w:multiLevelType w:val="multilevel"/>
    <w:tmpl w:val="D410258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33212E"/>
    <w:multiLevelType w:val="hybridMultilevel"/>
    <w:tmpl w:val="57A24D44"/>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EA2A0F"/>
    <w:multiLevelType w:val="hybridMultilevel"/>
    <w:tmpl w:val="358E0ABE"/>
    <w:lvl w:ilvl="0" w:tplc="548A9F96">
      <w:start w:val="1"/>
      <w:numFmt w:val="lowerRoman"/>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7" w15:restartNumberingAfterBreak="0">
    <w:nsid w:val="2E676638"/>
    <w:multiLevelType w:val="multilevel"/>
    <w:tmpl w:val="32F2C594"/>
    <w:lvl w:ilvl="0">
      <w:start w:val="1"/>
      <w:numFmt w:val="bullet"/>
      <w:lvlText w:val="•"/>
      <w:lvlJc w:val="left"/>
      <w:pPr>
        <w:tabs>
          <w:tab w:val="num" w:pos="614"/>
        </w:tabs>
        <w:ind w:left="614" w:hanging="614"/>
      </w:pPr>
      <w:rPr>
        <w:rFonts w:ascii="Times New Roman" w:hAnsi="Times New Roman" w:cs="Times New Roman"/>
      </w:rPr>
    </w:lvl>
    <w:lvl w:ilvl="1">
      <w:start w:val="1"/>
      <w:numFmt w:val="bullet"/>
      <w:lvlText w:val="–"/>
      <w:lvlJc w:val="left"/>
      <w:pPr>
        <w:tabs>
          <w:tab w:val="num" w:pos="1228"/>
        </w:tabs>
        <w:ind w:left="1228" w:hanging="614"/>
      </w:pPr>
      <w:rPr>
        <w:rFonts w:ascii="Times New Roman" w:hAnsi="Times New Roman" w:cs="Times New Roman"/>
      </w:rPr>
    </w:lvl>
    <w:lvl w:ilvl="2">
      <w:start w:val="1"/>
      <w:numFmt w:val="bulle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9" w15:restartNumberingAfterBreak="0">
    <w:nsid w:val="30A20068"/>
    <w:multiLevelType w:val="multilevel"/>
    <w:tmpl w:val="321CC7C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238442C"/>
    <w:multiLevelType w:val="multilevel"/>
    <w:tmpl w:val="4DAA0B3E"/>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001503"/>
    <w:multiLevelType w:val="hybridMultilevel"/>
    <w:tmpl w:val="DCEC0026"/>
    <w:lvl w:ilvl="0" w:tplc="B4C697CC">
      <w:start w:val="1"/>
      <w:numFmt w:val="decimal"/>
      <w:pStyle w:val="TableMainHeading"/>
      <w:suff w:val="space"/>
      <w:lvlText w:val="Table %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D37B15"/>
    <w:multiLevelType w:val="multilevel"/>
    <w:tmpl w:val="2EF60920"/>
    <w:lvl w:ilvl="0">
      <w:start w:val="1"/>
      <w:numFmt w:val="decimal"/>
      <w:lvlText w:val="%1."/>
      <w:lvlJc w:val="left"/>
      <w:pPr>
        <w:tabs>
          <w:tab w:val="num" w:pos="472"/>
        </w:tabs>
        <w:ind w:left="472" w:hanging="472"/>
      </w:pPr>
    </w:lvl>
    <w:lvl w:ilvl="1">
      <w:start w:val="1"/>
      <w:numFmt w:val="decimal"/>
      <w:lvlText w:val="%1.%2."/>
      <w:lvlJc w:val="left"/>
      <w:pPr>
        <w:tabs>
          <w:tab w:val="num" w:pos="944"/>
        </w:tabs>
        <w:ind w:left="944" w:hanging="472"/>
      </w:pPr>
    </w:lvl>
    <w:lvl w:ilvl="2">
      <w:start w:val="1"/>
      <w:numFmt w:val="decimal"/>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882185D"/>
    <w:multiLevelType w:val="multilevel"/>
    <w:tmpl w:val="DEE6A600"/>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A6B5B0C"/>
    <w:multiLevelType w:val="multilevel"/>
    <w:tmpl w:val="1542CA6C"/>
    <w:lvl w:ilvl="0">
      <w:start w:val="1"/>
      <w:numFmt w:val="decimal"/>
      <w:lvlText w:val="%1."/>
      <w:lvlJc w:val="left"/>
      <w:pPr>
        <w:tabs>
          <w:tab w:val="num" w:pos="472"/>
        </w:tabs>
        <w:ind w:left="472" w:hanging="472"/>
      </w:pPr>
    </w:lvl>
    <w:lvl w:ilvl="1">
      <w:start w:val="1"/>
      <w:numFmt w:val="decimal"/>
      <w:lvlText w:val="%1.%2."/>
      <w:lvlJc w:val="left"/>
      <w:pPr>
        <w:tabs>
          <w:tab w:val="num" w:pos="944"/>
        </w:tabs>
        <w:ind w:left="944" w:hanging="472"/>
      </w:pPr>
    </w:lvl>
    <w:lvl w:ilvl="2">
      <w:start w:val="1"/>
      <w:numFmt w:val="decimal"/>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B4E692B"/>
    <w:multiLevelType w:val="multilevel"/>
    <w:tmpl w:val="2EF60920"/>
    <w:name w:val="StandardNumberedList"/>
    <w:lvl w:ilvl="0">
      <w:start w:val="1"/>
      <w:numFmt w:val="decimal"/>
      <w:lvlText w:val="%1."/>
      <w:lvlJc w:val="left"/>
      <w:pPr>
        <w:tabs>
          <w:tab w:val="num" w:pos="472"/>
        </w:tabs>
        <w:ind w:left="472" w:hanging="472"/>
      </w:pPr>
    </w:lvl>
    <w:lvl w:ilvl="1">
      <w:start w:val="1"/>
      <w:numFmt w:val="decimal"/>
      <w:lvlText w:val="%1.%2."/>
      <w:lvlJc w:val="left"/>
      <w:pPr>
        <w:tabs>
          <w:tab w:val="num" w:pos="944"/>
        </w:tabs>
        <w:ind w:left="944" w:hanging="472"/>
      </w:pPr>
    </w:lvl>
    <w:lvl w:ilvl="2">
      <w:start w:val="1"/>
      <w:numFmt w:val="decimal"/>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1075E6"/>
    <w:multiLevelType w:val="hybridMultilevel"/>
    <w:tmpl w:val="B71C20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C554A3D"/>
    <w:multiLevelType w:val="multilevel"/>
    <w:tmpl w:val="4302358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CF41562"/>
    <w:multiLevelType w:val="singleLevel"/>
    <w:tmpl w:val="EB5E137A"/>
    <w:lvl w:ilvl="0">
      <w:start w:val="1"/>
      <w:numFmt w:val="bullet"/>
      <w:lvlText w:val=""/>
      <w:lvlJc w:val="left"/>
      <w:pPr>
        <w:tabs>
          <w:tab w:val="num" w:pos="360"/>
        </w:tabs>
        <w:ind w:left="284" w:hanging="284"/>
      </w:pPr>
      <w:rPr>
        <w:rFonts w:ascii="Wingdings" w:hAnsi="Wingdings" w:hint="default"/>
        <w:sz w:val="10"/>
      </w:rPr>
    </w:lvl>
  </w:abstractNum>
  <w:abstractNum w:abstractNumId="30" w15:restartNumberingAfterBreak="0">
    <w:nsid w:val="3D9413AD"/>
    <w:multiLevelType w:val="hybridMultilevel"/>
    <w:tmpl w:val="E0C8088C"/>
    <w:lvl w:ilvl="0" w:tplc="0C9C131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1021F54"/>
    <w:multiLevelType w:val="hybridMultilevel"/>
    <w:tmpl w:val="358E0ABE"/>
    <w:lvl w:ilvl="0" w:tplc="548A9F96">
      <w:start w:val="1"/>
      <w:numFmt w:val="lowerRoman"/>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445B0A7E"/>
    <w:multiLevelType w:val="multilevel"/>
    <w:tmpl w:val="EDEE4FB6"/>
    <w:numStyleLink w:val="RecommendationBulletList"/>
  </w:abstractNum>
  <w:abstractNum w:abstractNumId="33" w15:restartNumberingAfterBreak="0">
    <w:nsid w:val="46D771C0"/>
    <w:multiLevelType w:val="hybridMultilevel"/>
    <w:tmpl w:val="C8C84640"/>
    <w:lvl w:ilvl="0" w:tplc="0C090019">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7320ED3"/>
    <w:multiLevelType w:val="multilevel"/>
    <w:tmpl w:val="9C04CFA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83E25F6"/>
    <w:multiLevelType w:val="multilevel"/>
    <w:tmpl w:val="2D022FDA"/>
    <w:styleLink w:val="AlphaParagraphList"/>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37" w15:restartNumberingAfterBreak="0">
    <w:nsid w:val="4EB125DE"/>
    <w:multiLevelType w:val="hybridMultilevel"/>
    <w:tmpl w:val="5E8800FA"/>
    <w:lvl w:ilvl="0" w:tplc="0C090001">
      <w:start w:val="1"/>
      <w:numFmt w:val="bullet"/>
      <w:lvlText w:val=""/>
      <w:lvlJc w:val="left"/>
      <w:pPr>
        <w:ind w:left="360" w:hanging="360"/>
      </w:pPr>
      <w:rPr>
        <w:rFonts w:ascii="Symbol" w:hAnsi="Symbol" w:hint="default"/>
      </w:rPr>
    </w:lvl>
    <w:lvl w:ilvl="1" w:tplc="C5CA8B92">
      <w:start w:val="1"/>
      <w:numFmt w:val="bullet"/>
      <w:lvlText w:val="­"/>
      <w:lvlJc w:val="left"/>
      <w:pPr>
        <w:ind w:left="1080" w:hanging="360"/>
      </w:pPr>
      <w:rPr>
        <w:rFonts w:ascii="Courier New" w:hAnsi="Courier New" w:hint="default"/>
      </w:rPr>
    </w:lvl>
    <w:lvl w:ilvl="2" w:tplc="0C09000B">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10D2021"/>
    <w:multiLevelType w:val="multilevel"/>
    <w:tmpl w:val="72F8140E"/>
    <w:numStyleLink w:val="OutlineList"/>
  </w:abstractNum>
  <w:abstractNum w:abstractNumId="39" w15:restartNumberingAfterBreak="0">
    <w:nsid w:val="53DD17D9"/>
    <w:multiLevelType w:val="multilevel"/>
    <w:tmpl w:val="FB5EF12E"/>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5AB4DA1"/>
    <w:multiLevelType w:val="hybridMultilevel"/>
    <w:tmpl w:val="358E0ABE"/>
    <w:lvl w:ilvl="0" w:tplc="548A9F96">
      <w:start w:val="1"/>
      <w:numFmt w:val="lowerRoman"/>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55F73129"/>
    <w:multiLevelType w:val="multilevel"/>
    <w:tmpl w:val="D9A8A212"/>
    <w:numStyleLink w:val="RomanNumeralList"/>
  </w:abstractNum>
  <w:abstractNum w:abstractNumId="42" w15:restartNumberingAfterBreak="0">
    <w:nsid w:val="562E6D0A"/>
    <w:multiLevelType w:val="hybridMultilevel"/>
    <w:tmpl w:val="E1F65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8B85318"/>
    <w:multiLevelType w:val="hybridMultilevel"/>
    <w:tmpl w:val="FAECC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8F0A96"/>
    <w:multiLevelType w:val="hybridMultilevel"/>
    <w:tmpl w:val="2BC8F9AC"/>
    <w:lvl w:ilvl="0" w:tplc="75604958">
      <w:start w:val="1"/>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AC391A"/>
    <w:multiLevelType w:val="hybridMultilevel"/>
    <w:tmpl w:val="C7825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D55C3A"/>
    <w:multiLevelType w:val="hybridMultilevel"/>
    <w:tmpl w:val="E440E810"/>
    <w:lvl w:ilvl="0" w:tplc="F0FA379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3AD2A63"/>
    <w:multiLevelType w:val="hybridMultilevel"/>
    <w:tmpl w:val="972AAEF8"/>
    <w:lvl w:ilvl="0" w:tplc="0C090019">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9" w15:restartNumberingAfterBreak="0">
    <w:nsid w:val="66022277"/>
    <w:multiLevelType w:val="singleLevel"/>
    <w:tmpl w:val="9ECEC236"/>
    <w:name w:val="AlphaChartTableFootnoteList"/>
    <w:lvl w:ilvl="0">
      <w:start w:val="1"/>
      <w:numFmt w:val="lowerLetter"/>
      <w:lvlText w:val="(%1)"/>
      <w:lvlJc w:val="left"/>
      <w:pPr>
        <w:ind w:left="360" w:hanging="360"/>
      </w:pPr>
      <w:rPr>
        <w:rFonts w:ascii="Calibri" w:hAnsi="Calibri" w:cs="Arial" w:hint="default"/>
        <w:b w:val="0"/>
        <w:i w:val="0"/>
        <w:color w:val="000000"/>
        <w:sz w:val="20"/>
      </w:rPr>
    </w:lvl>
  </w:abstractNum>
  <w:abstractNum w:abstractNumId="50" w15:restartNumberingAfterBreak="0">
    <w:nsid w:val="689D0E56"/>
    <w:multiLevelType w:val="hybridMultilevel"/>
    <w:tmpl w:val="AC166C8C"/>
    <w:lvl w:ilvl="0" w:tplc="0C090019">
      <w:start w:val="2"/>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A5F7B24"/>
    <w:multiLevelType w:val="multilevel"/>
    <w:tmpl w:val="2090AC60"/>
    <w:styleLink w:val="ChartandTableFootnoteAlphaList"/>
    <w:lvl w:ilvl="0">
      <w:start w:val="1"/>
      <w:numFmt w:val="decimal"/>
      <w:lvlRestart w:val="0"/>
      <w:lvlText w:val="%1."/>
      <w:lvlJc w:val="left"/>
      <w:pPr>
        <w:tabs>
          <w:tab w:val="num" w:pos="850"/>
        </w:tabs>
        <w:ind w:left="0" w:firstLine="0"/>
      </w:pPr>
      <w:rPr>
        <w:rFonts w:ascii="Arial Bold" w:hAnsi="Arial Bold" w:cs="Arial" w:hint="default"/>
        <w:b/>
        <w:i w:val="0"/>
        <w:color w:val="003157"/>
      </w:rPr>
    </w:lvl>
    <w:lvl w:ilvl="1">
      <w:start w:val="1"/>
      <w:numFmt w:val="decimal"/>
      <w:lvlText w:val="%1.%2"/>
      <w:lvlJc w:val="left"/>
      <w:pPr>
        <w:tabs>
          <w:tab w:val="num" w:pos="-1702"/>
        </w:tabs>
        <w:ind w:left="-2552" w:firstLine="0"/>
      </w:pPr>
      <w:rPr>
        <w:rFonts w:ascii="Arial Bold" w:hAnsi="Arial Bold" w:cs="Arial" w:hint="default"/>
        <w:b/>
        <w:i w:val="0"/>
        <w:color w:val="003157"/>
      </w:rPr>
    </w:lvl>
    <w:lvl w:ilvl="2">
      <w:start w:val="1"/>
      <w:numFmt w:val="none"/>
      <w:lvlText w:val=""/>
      <w:lvlJc w:val="left"/>
      <w:pPr>
        <w:tabs>
          <w:tab w:val="num" w:pos="-2552"/>
        </w:tabs>
        <w:ind w:left="-2552" w:firstLine="0"/>
      </w:pPr>
      <w:rPr>
        <w:rFonts w:ascii="Arial" w:hAnsi="Arial" w:cs="Arial" w:hint="default"/>
        <w:b w:val="0"/>
        <w:i w:val="0"/>
        <w:color w:val="003157"/>
      </w:rPr>
    </w:lvl>
    <w:lvl w:ilvl="3">
      <w:start w:val="1"/>
      <w:numFmt w:val="decimal"/>
      <w:lvlText w:val="%4"/>
      <w:lvlJc w:val="left"/>
      <w:pPr>
        <w:tabs>
          <w:tab w:val="num" w:pos="-284"/>
        </w:tabs>
        <w:ind w:left="-284" w:hanging="567"/>
      </w:pPr>
      <w:rPr>
        <w:rFonts w:hint="default"/>
        <w:b w:val="0"/>
        <w:i w:val="0"/>
        <w:color w:val="000000"/>
      </w:rPr>
    </w:lvl>
    <w:lvl w:ilvl="4">
      <w:start w:val="1"/>
      <w:numFmt w:val="decimal"/>
      <w:lvlText w:val="%5"/>
      <w:lvlJc w:val="left"/>
      <w:pPr>
        <w:tabs>
          <w:tab w:val="num" w:pos="283"/>
        </w:tabs>
        <w:ind w:left="283" w:hanging="567"/>
      </w:pPr>
      <w:rPr>
        <w:rFonts w:hint="default"/>
        <w:b w:val="0"/>
        <w:i w:val="0"/>
        <w:color w:val="000000"/>
      </w:rPr>
    </w:lvl>
    <w:lvl w:ilvl="5">
      <w:start w:val="1"/>
      <w:numFmt w:val="decimal"/>
      <w:lvlText w:val="%6"/>
      <w:lvlJc w:val="left"/>
      <w:pPr>
        <w:tabs>
          <w:tab w:val="num" w:pos="850"/>
        </w:tabs>
        <w:ind w:left="850" w:hanging="567"/>
      </w:pPr>
      <w:rPr>
        <w:rFonts w:hint="default"/>
        <w:b w:val="0"/>
        <w:i w:val="0"/>
        <w:color w:val="000000"/>
      </w:rPr>
    </w:lvl>
    <w:lvl w:ilvl="6">
      <w:start w:val="1"/>
      <w:numFmt w:val="decimal"/>
      <w:lvlText w:val="%7"/>
      <w:lvlJc w:val="left"/>
      <w:pPr>
        <w:tabs>
          <w:tab w:val="num" w:pos="1417"/>
        </w:tabs>
        <w:ind w:left="1417" w:hanging="567"/>
      </w:pPr>
      <w:rPr>
        <w:rFonts w:hint="default"/>
        <w:b w:val="0"/>
        <w:i w:val="0"/>
        <w:color w:val="000000"/>
      </w:rPr>
    </w:lvl>
    <w:lvl w:ilvl="7">
      <w:start w:val="1"/>
      <w:numFmt w:val="decimal"/>
      <w:lvlText w:val="%8"/>
      <w:lvlJc w:val="left"/>
      <w:pPr>
        <w:tabs>
          <w:tab w:val="num" w:pos="1984"/>
        </w:tabs>
        <w:ind w:left="1984" w:hanging="567"/>
      </w:pPr>
      <w:rPr>
        <w:rFonts w:hint="default"/>
        <w:b w:val="0"/>
        <w:i w:val="0"/>
        <w:color w:val="000000"/>
      </w:rPr>
    </w:lvl>
    <w:lvl w:ilvl="8">
      <w:start w:val="1"/>
      <w:numFmt w:val="decimal"/>
      <w:lvlText w:val="%9"/>
      <w:lvlJc w:val="left"/>
      <w:pPr>
        <w:tabs>
          <w:tab w:val="num" w:pos="2551"/>
        </w:tabs>
        <w:ind w:left="2551" w:hanging="567"/>
      </w:pPr>
      <w:rPr>
        <w:rFonts w:hint="default"/>
        <w:b w:val="0"/>
        <w:i w:val="0"/>
        <w:color w:val="000000"/>
      </w:rPr>
    </w:lvl>
  </w:abstractNum>
  <w:abstractNum w:abstractNumId="52" w15:restartNumberingAfterBreak="0">
    <w:nsid w:val="703156AC"/>
    <w:multiLevelType w:val="hybridMultilevel"/>
    <w:tmpl w:val="DB02990C"/>
    <w:lvl w:ilvl="0" w:tplc="DD60694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347368F"/>
    <w:multiLevelType w:val="hybridMultilevel"/>
    <w:tmpl w:val="738EA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7414621D"/>
    <w:multiLevelType w:val="multilevel"/>
    <w:tmpl w:val="AA90D96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7BEC6C54"/>
    <w:multiLevelType w:val="hybridMultilevel"/>
    <w:tmpl w:val="A672F008"/>
    <w:lvl w:ilvl="0" w:tplc="F09E793E">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C32701D"/>
    <w:multiLevelType w:val="hybridMultilevel"/>
    <w:tmpl w:val="D5B6276C"/>
    <w:lvl w:ilvl="0" w:tplc="9DF8D6C0">
      <w:start w:val="1"/>
      <w:numFmt w:val="decimal"/>
      <w:pStyle w:val="ChartMainHeading"/>
      <w:suff w:val="space"/>
      <w:lvlText w:val="Figure %1:"/>
      <w:lvlJc w:val="left"/>
      <w:pPr>
        <w:ind w:left="0"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59"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8"/>
  </w:num>
  <w:num w:numId="2">
    <w:abstractNumId w:val="2"/>
  </w:num>
  <w:num w:numId="3">
    <w:abstractNumId w:val="35"/>
  </w:num>
  <w:num w:numId="4">
    <w:abstractNumId w:val="21"/>
  </w:num>
  <w:num w:numId="5">
    <w:abstractNumId w:val="5"/>
  </w:num>
  <w:num w:numId="6">
    <w:abstractNumId w:val="11"/>
  </w:num>
  <w:num w:numId="7">
    <w:abstractNumId w:val="3"/>
  </w:num>
  <w:num w:numId="8">
    <w:abstractNumId w:val="8"/>
  </w:num>
  <w:num w:numId="9">
    <w:abstractNumId w:val="38"/>
  </w:num>
  <w:num w:numId="10">
    <w:abstractNumId w:val="32"/>
  </w:num>
  <w:num w:numId="11">
    <w:abstractNumId w:val="20"/>
  </w:num>
  <w:num w:numId="12">
    <w:abstractNumId w:val="40"/>
  </w:num>
  <w:num w:numId="13">
    <w:abstractNumId w:val="31"/>
  </w:num>
  <w:num w:numId="14">
    <w:abstractNumId w:val="1"/>
  </w:num>
  <w:num w:numId="15">
    <w:abstractNumId w:val="29"/>
  </w:num>
  <w:num w:numId="16">
    <w:abstractNumId w:val="39"/>
  </w:num>
  <w:num w:numId="17">
    <w:abstractNumId w:val="9"/>
  </w:num>
  <w:num w:numId="18">
    <w:abstractNumId w:val="15"/>
  </w:num>
  <w:num w:numId="19">
    <w:abstractNumId w:val="13"/>
    <w:lvlOverride w:ilvl="0">
      <w:lvl w:ilvl="0" w:tplc="548A9F96">
        <w:start w:val="1"/>
        <w:numFmt w:val="bullet"/>
        <w:lvlText w:val="•"/>
        <w:lvlJc w:val="left"/>
        <w:pPr>
          <w:tabs>
            <w:tab w:val="num" w:pos="1004"/>
          </w:tabs>
          <w:ind w:left="1004" w:hanging="28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C090019">
        <w:start w:val="1"/>
        <w:numFmt w:val="bullet"/>
        <w:lvlText w:val=""/>
        <w:lvlJc w:val="left"/>
        <w:pPr>
          <w:ind w:left="1440" w:hanging="360"/>
        </w:pPr>
        <w:rPr>
          <w:rFonts w:ascii="Times New Roman" w:hAnsi="Times New Roman" w:cs="Times New Roman" w:hint="default"/>
        </w:rPr>
      </w:lvl>
    </w:lvlOverride>
  </w:num>
  <w:num w:numId="20">
    <w:abstractNumId w:val="41"/>
  </w:num>
  <w:num w:numId="21">
    <w:abstractNumId w:val="13"/>
  </w:num>
  <w:num w:numId="22">
    <w:abstractNumId w:val="51"/>
  </w:num>
  <w:num w:numId="23">
    <w:abstractNumId w:val="17"/>
  </w:num>
  <w:num w:numId="24">
    <w:abstractNumId w:val="49"/>
  </w:num>
  <w:num w:numId="25">
    <w:abstractNumId w:val="52"/>
  </w:num>
  <w:num w:numId="26">
    <w:abstractNumId w:val="30"/>
  </w:num>
  <w:num w:numId="27">
    <w:abstractNumId w:val="27"/>
  </w:num>
  <w:num w:numId="28">
    <w:abstractNumId w:val="43"/>
  </w:num>
  <w:num w:numId="29">
    <w:abstractNumId w:val="45"/>
  </w:num>
  <w:num w:numId="30">
    <w:abstractNumId w:val="37"/>
  </w:num>
  <w:num w:numId="31">
    <w:abstractNumId w:val="48"/>
  </w:num>
  <w:num w:numId="32">
    <w:abstractNumId w:val="19"/>
  </w:num>
  <w:num w:numId="33">
    <w:abstractNumId w:val="26"/>
  </w:num>
  <w:num w:numId="34">
    <w:abstractNumId w:val="51"/>
    <w:lvlOverride w:ilvl="0">
      <w:startOverride w:val="5"/>
    </w:lvlOverride>
  </w:num>
  <w:num w:numId="35">
    <w:abstractNumId w:val="24"/>
  </w:num>
  <w:num w:numId="36">
    <w:abstractNumId w:val="56"/>
  </w:num>
  <w:num w:numId="37">
    <w:abstractNumId w:val="7"/>
  </w:num>
  <w:num w:numId="38">
    <w:abstractNumId w:val="23"/>
  </w:num>
  <w:num w:numId="39">
    <w:abstractNumId w:val="2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0">
    <w:abstractNumId w:val="4"/>
  </w:num>
  <w:num w:numId="41">
    <w:abstractNumId w:val="58"/>
  </w:num>
  <w:num w:numId="42">
    <w:abstractNumId w:val="59"/>
  </w:num>
  <w:num w:numId="43">
    <w:abstractNumId w:val="36"/>
  </w:num>
  <w:num w:numId="44">
    <w:abstractNumId w:val="14"/>
  </w:num>
  <w:num w:numId="45">
    <w:abstractNumId w:val="47"/>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54"/>
  </w:num>
  <w:num w:numId="49">
    <w:abstractNumId w:val="34"/>
  </w:num>
  <w:num w:numId="50">
    <w:abstractNumId w:val="10"/>
  </w:num>
  <w:num w:numId="51">
    <w:abstractNumId w:val="46"/>
  </w:num>
  <w:num w:numId="52">
    <w:abstractNumId w:val="33"/>
  </w:num>
  <w:num w:numId="53">
    <w:abstractNumId w:val="0"/>
  </w:num>
  <w:num w:numId="54">
    <w:abstractNumId w:val="28"/>
  </w:num>
  <w:num w:numId="55">
    <w:abstractNumId w:val="44"/>
  </w:num>
  <w:num w:numId="56">
    <w:abstractNumId w:val="6"/>
  </w:num>
  <w:num w:numId="57">
    <w:abstractNumId w:val="42"/>
  </w:num>
  <w:num w:numId="58">
    <w:abstractNumId w:val="13"/>
    <w:lvlOverride w:ilvl="0">
      <w:lvl w:ilvl="0" w:tplc="548A9F96">
        <w:start w:val="1"/>
        <w:numFmt w:val="bullet"/>
        <w:lvlText w:val="•"/>
        <w:lvlJc w:val="left"/>
        <w:pPr>
          <w:tabs>
            <w:tab w:val="num" w:pos="1004"/>
          </w:tabs>
          <w:ind w:left="1004" w:hanging="28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9">
    <w:abstractNumId w:val="57"/>
  </w:num>
  <w:num w:numId="60">
    <w:abstractNumId w:val="22"/>
  </w:num>
  <w:num w:numId="61">
    <w:abstractNumId w:val="22"/>
    <w:lvlOverride w:ilvl="0">
      <w:startOverride w:val="8"/>
    </w:lvlOverride>
  </w:num>
  <w:num w:numId="62">
    <w:abstractNumId w:val="22"/>
    <w:lvlOverride w:ilvl="0">
      <w:startOverride w:val="8"/>
    </w:lvlOverride>
  </w:num>
  <w:num w:numId="63">
    <w:abstractNumId w:val="38"/>
  </w:num>
  <w:num w:numId="64">
    <w:abstractNumId w:val="22"/>
    <w:lvlOverride w:ilvl="0">
      <w:startOverride w:val="8"/>
    </w:lvlOverride>
  </w:num>
  <w:num w:numId="65">
    <w:abstractNumId w:val="22"/>
  </w:num>
  <w:num w:numId="66">
    <w:abstractNumId w:val="53"/>
  </w:num>
  <w:num w:numId="67">
    <w:abstractNumId w:val="50"/>
  </w:num>
  <w:num w:numId="68">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cumentProtection w:edit="trackedChanges" w:enforcement="0"/>
  <w:defaultTabStop w:val="720"/>
  <w:evenAndOddHeaders/>
  <w:drawingGridHorizontalSpacing w:val="110"/>
  <w:displayHorizontalDrawingGridEvery w:val="2"/>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True"/>
    <w:docVar w:name="SecurityDLMInHeader" w:val="False"/>
  </w:docVars>
  <w:rsids>
    <w:rsidRoot w:val="00F33014"/>
    <w:rsid w:val="00000348"/>
    <w:rsid w:val="00000635"/>
    <w:rsid w:val="000008C1"/>
    <w:rsid w:val="00000BF5"/>
    <w:rsid w:val="00001040"/>
    <w:rsid w:val="0000111F"/>
    <w:rsid w:val="00001246"/>
    <w:rsid w:val="00001304"/>
    <w:rsid w:val="00001441"/>
    <w:rsid w:val="00001729"/>
    <w:rsid w:val="00001932"/>
    <w:rsid w:val="00001D1D"/>
    <w:rsid w:val="00001E4F"/>
    <w:rsid w:val="000022CD"/>
    <w:rsid w:val="0000232D"/>
    <w:rsid w:val="000023D0"/>
    <w:rsid w:val="0000246C"/>
    <w:rsid w:val="00002613"/>
    <w:rsid w:val="000027C3"/>
    <w:rsid w:val="00002D39"/>
    <w:rsid w:val="00002D66"/>
    <w:rsid w:val="00002ECD"/>
    <w:rsid w:val="00002F68"/>
    <w:rsid w:val="00003086"/>
    <w:rsid w:val="0000342B"/>
    <w:rsid w:val="00003817"/>
    <w:rsid w:val="0000389D"/>
    <w:rsid w:val="00003962"/>
    <w:rsid w:val="00003A3E"/>
    <w:rsid w:val="00003ACD"/>
    <w:rsid w:val="00003AF5"/>
    <w:rsid w:val="00004044"/>
    <w:rsid w:val="000041B9"/>
    <w:rsid w:val="000041E6"/>
    <w:rsid w:val="0000472A"/>
    <w:rsid w:val="000048B1"/>
    <w:rsid w:val="00004959"/>
    <w:rsid w:val="0000498A"/>
    <w:rsid w:val="00004AA7"/>
    <w:rsid w:val="00005458"/>
    <w:rsid w:val="000054A5"/>
    <w:rsid w:val="00005867"/>
    <w:rsid w:val="00005E3B"/>
    <w:rsid w:val="000060D2"/>
    <w:rsid w:val="0000613B"/>
    <w:rsid w:val="0000616A"/>
    <w:rsid w:val="00006176"/>
    <w:rsid w:val="00006192"/>
    <w:rsid w:val="00006283"/>
    <w:rsid w:val="00006715"/>
    <w:rsid w:val="00006725"/>
    <w:rsid w:val="00006AF5"/>
    <w:rsid w:val="00006BC0"/>
    <w:rsid w:val="00006EEB"/>
    <w:rsid w:val="000076E6"/>
    <w:rsid w:val="00007998"/>
    <w:rsid w:val="000079F7"/>
    <w:rsid w:val="00007A57"/>
    <w:rsid w:val="00007CDE"/>
    <w:rsid w:val="00007FCE"/>
    <w:rsid w:val="0001019F"/>
    <w:rsid w:val="000101F9"/>
    <w:rsid w:val="000102C1"/>
    <w:rsid w:val="000104A1"/>
    <w:rsid w:val="000104A2"/>
    <w:rsid w:val="0001075E"/>
    <w:rsid w:val="000107AB"/>
    <w:rsid w:val="00010A5B"/>
    <w:rsid w:val="00010B74"/>
    <w:rsid w:val="00010C49"/>
    <w:rsid w:val="00010C77"/>
    <w:rsid w:val="000110C2"/>
    <w:rsid w:val="000111DA"/>
    <w:rsid w:val="000116B3"/>
    <w:rsid w:val="00011793"/>
    <w:rsid w:val="0001180D"/>
    <w:rsid w:val="000119E1"/>
    <w:rsid w:val="000122B1"/>
    <w:rsid w:val="00012574"/>
    <w:rsid w:val="00012718"/>
    <w:rsid w:val="000127C3"/>
    <w:rsid w:val="00012808"/>
    <w:rsid w:val="00012AB7"/>
    <w:rsid w:val="00012D41"/>
    <w:rsid w:val="00012DE0"/>
    <w:rsid w:val="00013584"/>
    <w:rsid w:val="0001361F"/>
    <w:rsid w:val="000137B2"/>
    <w:rsid w:val="00013822"/>
    <w:rsid w:val="00013C65"/>
    <w:rsid w:val="00013CBD"/>
    <w:rsid w:val="0001403C"/>
    <w:rsid w:val="000143B8"/>
    <w:rsid w:val="00014460"/>
    <w:rsid w:val="000144B5"/>
    <w:rsid w:val="00014C42"/>
    <w:rsid w:val="00014D19"/>
    <w:rsid w:val="00014EC0"/>
    <w:rsid w:val="00014F24"/>
    <w:rsid w:val="00014F54"/>
    <w:rsid w:val="00014FCB"/>
    <w:rsid w:val="00015177"/>
    <w:rsid w:val="000151C9"/>
    <w:rsid w:val="00015209"/>
    <w:rsid w:val="00015262"/>
    <w:rsid w:val="00015332"/>
    <w:rsid w:val="0001542A"/>
    <w:rsid w:val="000155D4"/>
    <w:rsid w:val="000156D0"/>
    <w:rsid w:val="00015926"/>
    <w:rsid w:val="00015AEC"/>
    <w:rsid w:val="00015F27"/>
    <w:rsid w:val="000167A9"/>
    <w:rsid w:val="00017400"/>
    <w:rsid w:val="000174E8"/>
    <w:rsid w:val="0001787B"/>
    <w:rsid w:val="00017B04"/>
    <w:rsid w:val="00017C38"/>
    <w:rsid w:val="00017E1A"/>
    <w:rsid w:val="000202B8"/>
    <w:rsid w:val="00020676"/>
    <w:rsid w:val="000206A7"/>
    <w:rsid w:val="00020A24"/>
    <w:rsid w:val="00020C4D"/>
    <w:rsid w:val="00020C91"/>
    <w:rsid w:val="00020F07"/>
    <w:rsid w:val="00021075"/>
    <w:rsid w:val="00021099"/>
    <w:rsid w:val="0002130A"/>
    <w:rsid w:val="0002141A"/>
    <w:rsid w:val="00021477"/>
    <w:rsid w:val="000216B4"/>
    <w:rsid w:val="0002176E"/>
    <w:rsid w:val="00021F0C"/>
    <w:rsid w:val="00021F43"/>
    <w:rsid w:val="00021FFB"/>
    <w:rsid w:val="00022002"/>
    <w:rsid w:val="0002203D"/>
    <w:rsid w:val="00022523"/>
    <w:rsid w:val="00022636"/>
    <w:rsid w:val="0002269E"/>
    <w:rsid w:val="000227DF"/>
    <w:rsid w:val="00022830"/>
    <w:rsid w:val="00022845"/>
    <w:rsid w:val="00022B46"/>
    <w:rsid w:val="00022FE6"/>
    <w:rsid w:val="000231C3"/>
    <w:rsid w:val="000232C2"/>
    <w:rsid w:val="000232E2"/>
    <w:rsid w:val="000233DF"/>
    <w:rsid w:val="000234C9"/>
    <w:rsid w:val="000239DC"/>
    <w:rsid w:val="00023A7E"/>
    <w:rsid w:val="00023CB7"/>
    <w:rsid w:val="00023CB9"/>
    <w:rsid w:val="000242F0"/>
    <w:rsid w:val="000243D0"/>
    <w:rsid w:val="000244D7"/>
    <w:rsid w:val="00025158"/>
    <w:rsid w:val="0002542F"/>
    <w:rsid w:val="0002570E"/>
    <w:rsid w:val="00025776"/>
    <w:rsid w:val="0002595D"/>
    <w:rsid w:val="00025A8A"/>
    <w:rsid w:val="00025C2B"/>
    <w:rsid w:val="00025DB3"/>
    <w:rsid w:val="00025E6E"/>
    <w:rsid w:val="00026095"/>
    <w:rsid w:val="0002612B"/>
    <w:rsid w:val="0002631D"/>
    <w:rsid w:val="0002678C"/>
    <w:rsid w:val="00026895"/>
    <w:rsid w:val="000268C2"/>
    <w:rsid w:val="00026A34"/>
    <w:rsid w:val="00026AEB"/>
    <w:rsid w:val="00026DFE"/>
    <w:rsid w:val="000270D0"/>
    <w:rsid w:val="00027390"/>
    <w:rsid w:val="000276C4"/>
    <w:rsid w:val="000278A7"/>
    <w:rsid w:val="000278AA"/>
    <w:rsid w:val="000278C9"/>
    <w:rsid w:val="00027C69"/>
    <w:rsid w:val="000300C5"/>
    <w:rsid w:val="0003030A"/>
    <w:rsid w:val="00030388"/>
    <w:rsid w:val="0003039C"/>
    <w:rsid w:val="000303BC"/>
    <w:rsid w:val="0003051D"/>
    <w:rsid w:val="00030562"/>
    <w:rsid w:val="000308AE"/>
    <w:rsid w:val="0003092A"/>
    <w:rsid w:val="00030D34"/>
    <w:rsid w:val="00030DEB"/>
    <w:rsid w:val="00030E1A"/>
    <w:rsid w:val="00030F80"/>
    <w:rsid w:val="0003103F"/>
    <w:rsid w:val="000314A7"/>
    <w:rsid w:val="0003158B"/>
    <w:rsid w:val="000317FD"/>
    <w:rsid w:val="000318E5"/>
    <w:rsid w:val="00031B7A"/>
    <w:rsid w:val="00031F38"/>
    <w:rsid w:val="000320B0"/>
    <w:rsid w:val="0003228A"/>
    <w:rsid w:val="00032610"/>
    <w:rsid w:val="000327AB"/>
    <w:rsid w:val="0003298C"/>
    <w:rsid w:val="00032B4C"/>
    <w:rsid w:val="00032D58"/>
    <w:rsid w:val="00032D5C"/>
    <w:rsid w:val="0003308F"/>
    <w:rsid w:val="00033743"/>
    <w:rsid w:val="00033AAF"/>
    <w:rsid w:val="00033B65"/>
    <w:rsid w:val="0003400D"/>
    <w:rsid w:val="000340A2"/>
    <w:rsid w:val="000342FA"/>
    <w:rsid w:val="00034542"/>
    <w:rsid w:val="0003466B"/>
    <w:rsid w:val="00034AB3"/>
    <w:rsid w:val="00034B4B"/>
    <w:rsid w:val="00035509"/>
    <w:rsid w:val="0003569D"/>
    <w:rsid w:val="00035A0E"/>
    <w:rsid w:val="00035AF1"/>
    <w:rsid w:val="00035C80"/>
    <w:rsid w:val="00035E9F"/>
    <w:rsid w:val="00035F38"/>
    <w:rsid w:val="0003628A"/>
    <w:rsid w:val="00036FEA"/>
    <w:rsid w:val="00037014"/>
    <w:rsid w:val="0003730A"/>
    <w:rsid w:val="0003733A"/>
    <w:rsid w:val="00037398"/>
    <w:rsid w:val="00037457"/>
    <w:rsid w:val="0003767B"/>
    <w:rsid w:val="000376B8"/>
    <w:rsid w:val="000376C1"/>
    <w:rsid w:val="00037D93"/>
    <w:rsid w:val="00037EF2"/>
    <w:rsid w:val="00037F8F"/>
    <w:rsid w:val="00040098"/>
    <w:rsid w:val="000400C5"/>
    <w:rsid w:val="000405F4"/>
    <w:rsid w:val="000406AC"/>
    <w:rsid w:val="00040736"/>
    <w:rsid w:val="00040779"/>
    <w:rsid w:val="0004077A"/>
    <w:rsid w:val="00040FC5"/>
    <w:rsid w:val="00041189"/>
    <w:rsid w:val="00041409"/>
    <w:rsid w:val="00041525"/>
    <w:rsid w:val="0004179A"/>
    <w:rsid w:val="00041A46"/>
    <w:rsid w:val="00041B64"/>
    <w:rsid w:val="00041C86"/>
    <w:rsid w:val="00041DD7"/>
    <w:rsid w:val="00041F64"/>
    <w:rsid w:val="0004207D"/>
    <w:rsid w:val="00042508"/>
    <w:rsid w:val="000425EB"/>
    <w:rsid w:val="00042735"/>
    <w:rsid w:val="000427F0"/>
    <w:rsid w:val="000428FD"/>
    <w:rsid w:val="00042AE9"/>
    <w:rsid w:val="00042BFE"/>
    <w:rsid w:val="00042FDC"/>
    <w:rsid w:val="00043177"/>
    <w:rsid w:val="00043182"/>
    <w:rsid w:val="0004320A"/>
    <w:rsid w:val="000433C5"/>
    <w:rsid w:val="00043784"/>
    <w:rsid w:val="0004395B"/>
    <w:rsid w:val="00043A14"/>
    <w:rsid w:val="00043AFA"/>
    <w:rsid w:val="00043C74"/>
    <w:rsid w:val="00043D8C"/>
    <w:rsid w:val="00043E5D"/>
    <w:rsid w:val="000442CA"/>
    <w:rsid w:val="000443CF"/>
    <w:rsid w:val="0004458E"/>
    <w:rsid w:val="000445C1"/>
    <w:rsid w:val="00044626"/>
    <w:rsid w:val="0004485A"/>
    <w:rsid w:val="00044B79"/>
    <w:rsid w:val="00044BCE"/>
    <w:rsid w:val="00044C92"/>
    <w:rsid w:val="00044D04"/>
    <w:rsid w:val="00044EB4"/>
    <w:rsid w:val="0004557F"/>
    <w:rsid w:val="0004561B"/>
    <w:rsid w:val="0004565E"/>
    <w:rsid w:val="00045B4F"/>
    <w:rsid w:val="00045BA7"/>
    <w:rsid w:val="00045C87"/>
    <w:rsid w:val="00045D28"/>
    <w:rsid w:val="00045D39"/>
    <w:rsid w:val="00045F3A"/>
    <w:rsid w:val="00045F89"/>
    <w:rsid w:val="00045FBE"/>
    <w:rsid w:val="00046003"/>
    <w:rsid w:val="000464B6"/>
    <w:rsid w:val="00046A1D"/>
    <w:rsid w:val="00046EA7"/>
    <w:rsid w:val="0004733A"/>
    <w:rsid w:val="0004746B"/>
    <w:rsid w:val="0004749B"/>
    <w:rsid w:val="00047671"/>
    <w:rsid w:val="000476B8"/>
    <w:rsid w:val="000477D8"/>
    <w:rsid w:val="00047959"/>
    <w:rsid w:val="00047B16"/>
    <w:rsid w:val="00047BD8"/>
    <w:rsid w:val="00047C43"/>
    <w:rsid w:val="00047DFF"/>
    <w:rsid w:val="000501A1"/>
    <w:rsid w:val="00050781"/>
    <w:rsid w:val="000508D2"/>
    <w:rsid w:val="00050910"/>
    <w:rsid w:val="00050A9E"/>
    <w:rsid w:val="00050B64"/>
    <w:rsid w:val="000513E8"/>
    <w:rsid w:val="0005148B"/>
    <w:rsid w:val="00051529"/>
    <w:rsid w:val="000516D1"/>
    <w:rsid w:val="0005186D"/>
    <w:rsid w:val="000518D6"/>
    <w:rsid w:val="000519A7"/>
    <w:rsid w:val="00051B0A"/>
    <w:rsid w:val="00051B99"/>
    <w:rsid w:val="00051C46"/>
    <w:rsid w:val="00051C95"/>
    <w:rsid w:val="0005211A"/>
    <w:rsid w:val="00052574"/>
    <w:rsid w:val="000529CC"/>
    <w:rsid w:val="00052B06"/>
    <w:rsid w:val="00052DFC"/>
    <w:rsid w:val="00052F90"/>
    <w:rsid w:val="0005312E"/>
    <w:rsid w:val="000532B6"/>
    <w:rsid w:val="00053301"/>
    <w:rsid w:val="0005361B"/>
    <w:rsid w:val="000536DB"/>
    <w:rsid w:val="00053BAD"/>
    <w:rsid w:val="00053DD6"/>
    <w:rsid w:val="00054590"/>
    <w:rsid w:val="00054657"/>
    <w:rsid w:val="0005467E"/>
    <w:rsid w:val="0005488C"/>
    <w:rsid w:val="00054ABD"/>
    <w:rsid w:val="00054B55"/>
    <w:rsid w:val="00054CC9"/>
    <w:rsid w:val="00054F85"/>
    <w:rsid w:val="000552ED"/>
    <w:rsid w:val="000553E9"/>
    <w:rsid w:val="000555C2"/>
    <w:rsid w:val="000555FA"/>
    <w:rsid w:val="00055681"/>
    <w:rsid w:val="000557BE"/>
    <w:rsid w:val="00055A03"/>
    <w:rsid w:val="00055BB6"/>
    <w:rsid w:val="00055DA9"/>
    <w:rsid w:val="00055DF3"/>
    <w:rsid w:val="00055F5E"/>
    <w:rsid w:val="00055FF6"/>
    <w:rsid w:val="000560C0"/>
    <w:rsid w:val="000564B8"/>
    <w:rsid w:val="000564DE"/>
    <w:rsid w:val="00056623"/>
    <w:rsid w:val="0005672A"/>
    <w:rsid w:val="000567BD"/>
    <w:rsid w:val="00056C4F"/>
    <w:rsid w:val="00056F40"/>
    <w:rsid w:val="00056F95"/>
    <w:rsid w:val="00057047"/>
    <w:rsid w:val="0005741F"/>
    <w:rsid w:val="00057507"/>
    <w:rsid w:val="00057590"/>
    <w:rsid w:val="0005769B"/>
    <w:rsid w:val="000577C3"/>
    <w:rsid w:val="00057845"/>
    <w:rsid w:val="00057903"/>
    <w:rsid w:val="00057C8A"/>
    <w:rsid w:val="00057DDB"/>
    <w:rsid w:val="00057EE0"/>
    <w:rsid w:val="00057FCD"/>
    <w:rsid w:val="0006017D"/>
    <w:rsid w:val="000603E8"/>
    <w:rsid w:val="000603F3"/>
    <w:rsid w:val="000606F8"/>
    <w:rsid w:val="000608BB"/>
    <w:rsid w:val="000608CC"/>
    <w:rsid w:val="00060A0B"/>
    <w:rsid w:val="00060D96"/>
    <w:rsid w:val="00060DDB"/>
    <w:rsid w:val="00060E79"/>
    <w:rsid w:val="000612AC"/>
    <w:rsid w:val="0006161F"/>
    <w:rsid w:val="00061671"/>
    <w:rsid w:val="00061B95"/>
    <w:rsid w:val="00061D85"/>
    <w:rsid w:val="00061EC6"/>
    <w:rsid w:val="00062273"/>
    <w:rsid w:val="000622B2"/>
    <w:rsid w:val="000623DC"/>
    <w:rsid w:val="0006245B"/>
    <w:rsid w:val="000625AA"/>
    <w:rsid w:val="0006269B"/>
    <w:rsid w:val="00062812"/>
    <w:rsid w:val="000629BE"/>
    <w:rsid w:val="0006323E"/>
    <w:rsid w:val="00063375"/>
    <w:rsid w:val="00063764"/>
    <w:rsid w:val="0006384A"/>
    <w:rsid w:val="00063900"/>
    <w:rsid w:val="00064179"/>
    <w:rsid w:val="00064200"/>
    <w:rsid w:val="000642F3"/>
    <w:rsid w:val="000644EB"/>
    <w:rsid w:val="00064537"/>
    <w:rsid w:val="00064826"/>
    <w:rsid w:val="00064B45"/>
    <w:rsid w:val="00064E11"/>
    <w:rsid w:val="000651F4"/>
    <w:rsid w:val="00065239"/>
    <w:rsid w:val="00065387"/>
    <w:rsid w:val="0006538C"/>
    <w:rsid w:val="0006575C"/>
    <w:rsid w:val="000659FB"/>
    <w:rsid w:val="00065A49"/>
    <w:rsid w:val="0006611F"/>
    <w:rsid w:val="0006612B"/>
    <w:rsid w:val="0006628B"/>
    <w:rsid w:val="00066388"/>
    <w:rsid w:val="000665E5"/>
    <w:rsid w:val="0006665A"/>
    <w:rsid w:val="00066B6B"/>
    <w:rsid w:val="00066D8D"/>
    <w:rsid w:val="00066E25"/>
    <w:rsid w:val="00066E4F"/>
    <w:rsid w:val="00066ED4"/>
    <w:rsid w:val="00066FC6"/>
    <w:rsid w:val="00067107"/>
    <w:rsid w:val="000671DC"/>
    <w:rsid w:val="000676E9"/>
    <w:rsid w:val="0006796B"/>
    <w:rsid w:val="000679D0"/>
    <w:rsid w:val="000679EC"/>
    <w:rsid w:val="00067BE9"/>
    <w:rsid w:val="00067DE5"/>
    <w:rsid w:val="00067DFB"/>
    <w:rsid w:val="00067F3E"/>
    <w:rsid w:val="000702F3"/>
    <w:rsid w:val="000708A3"/>
    <w:rsid w:val="00070ABA"/>
    <w:rsid w:val="00070E30"/>
    <w:rsid w:val="000712F2"/>
    <w:rsid w:val="000717F3"/>
    <w:rsid w:val="00071874"/>
    <w:rsid w:val="00071987"/>
    <w:rsid w:val="00071A4C"/>
    <w:rsid w:val="00071C0B"/>
    <w:rsid w:val="00071C99"/>
    <w:rsid w:val="00071F43"/>
    <w:rsid w:val="00071F7E"/>
    <w:rsid w:val="00072117"/>
    <w:rsid w:val="00072164"/>
    <w:rsid w:val="00072194"/>
    <w:rsid w:val="00072DA6"/>
    <w:rsid w:val="0007304C"/>
    <w:rsid w:val="00073275"/>
    <w:rsid w:val="00073445"/>
    <w:rsid w:val="0007353E"/>
    <w:rsid w:val="000739BE"/>
    <w:rsid w:val="00073AD1"/>
    <w:rsid w:val="00073BA7"/>
    <w:rsid w:val="00073E06"/>
    <w:rsid w:val="00073E4F"/>
    <w:rsid w:val="00073F01"/>
    <w:rsid w:val="00074054"/>
    <w:rsid w:val="00074221"/>
    <w:rsid w:val="000743D6"/>
    <w:rsid w:val="00074699"/>
    <w:rsid w:val="00074725"/>
    <w:rsid w:val="00074929"/>
    <w:rsid w:val="00074E77"/>
    <w:rsid w:val="0007500F"/>
    <w:rsid w:val="00075099"/>
    <w:rsid w:val="0007509F"/>
    <w:rsid w:val="000750BA"/>
    <w:rsid w:val="000753D3"/>
    <w:rsid w:val="000755D9"/>
    <w:rsid w:val="00075810"/>
    <w:rsid w:val="00075830"/>
    <w:rsid w:val="00075D69"/>
    <w:rsid w:val="000761A2"/>
    <w:rsid w:val="00076438"/>
    <w:rsid w:val="00076455"/>
    <w:rsid w:val="00076875"/>
    <w:rsid w:val="00076A97"/>
    <w:rsid w:val="00076C63"/>
    <w:rsid w:val="00076D91"/>
    <w:rsid w:val="00077388"/>
    <w:rsid w:val="000774CA"/>
    <w:rsid w:val="000775A5"/>
    <w:rsid w:val="000775A6"/>
    <w:rsid w:val="000777B9"/>
    <w:rsid w:val="0007781D"/>
    <w:rsid w:val="0007783F"/>
    <w:rsid w:val="00077884"/>
    <w:rsid w:val="00077C54"/>
    <w:rsid w:val="00077D42"/>
    <w:rsid w:val="00077D52"/>
    <w:rsid w:val="00077E1D"/>
    <w:rsid w:val="00080392"/>
    <w:rsid w:val="00080510"/>
    <w:rsid w:val="0008058E"/>
    <w:rsid w:val="0008069D"/>
    <w:rsid w:val="0008091E"/>
    <w:rsid w:val="00080D85"/>
    <w:rsid w:val="00080E68"/>
    <w:rsid w:val="00080F94"/>
    <w:rsid w:val="000810D9"/>
    <w:rsid w:val="00081193"/>
    <w:rsid w:val="000811B4"/>
    <w:rsid w:val="000813D5"/>
    <w:rsid w:val="000814F3"/>
    <w:rsid w:val="000814FA"/>
    <w:rsid w:val="00081544"/>
    <w:rsid w:val="00081645"/>
    <w:rsid w:val="000818E0"/>
    <w:rsid w:val="00081A94"/>
    <w:rsid w:val="00081B19"/>
    <w:rsid w:val="00081D8D"/>
    <w:rsid w:val="00081EFD"/>
    <w:rsid w:val="000822ED"/>
    <w:rsid w:val="00082668"/>
    <w:rsid w:val="00082A44"/>
    <w:rsid w:val="00082AA9"/>
    <w:rsid w:val="00082BDA"/>
    <w:rsid w:val="00082EA4"/>
    <w:rsid w:val="00083003"/>
    <w:rsid w:val="0008315E"/>
    <w:rsid w:val="00083284"/>
    <w:rsid w:val="00083361"/>
    <w:rsid w:val="0008379C"/>
    <w:rsid w:val="00083996"/>
    <w:rsid w:val="000839E8"/>
    <w:rsid w:val="00083C05"/>
    <w:rsid w:val="0008407D"/>
    <w:rsid w:val="000842D1"/>
    <w:rsid w:val="00084423"/>
    <w:rsid w:val="00084746"/>
    <w:rsid w:val="000849BB"/>
    <w:rsid w:val="00084A4E"/>
    <w:rsid w:val="0008503E"/>
    <w:rsid w:val="000854A5"/>
    <w:rsid w:val="000855D4"/>
    <w:rsid w:val="00085662"/>
    <w:rsid w:val="00085792"/>
    <w:rsid w:val="000857ED"/>
    <w:rsid w:val="000858FD"/>
    <w:rsid w:val="00085BF6"/>
    <w:rsid w:val="00085E3A"/>
    <w:rsid w:val="00085EA2"/>
    <w:rsid w:val="00085FBA"/>
    <w:rsid w:val="00085FF5"/>
    <w:rsid w:val="00086015"/>
    <w:rsid w:val="00086304"/>
    <w:rsid w:val="00086313"/>
    <w:rsid w:val="00086480"/>
    <w:rsid w:val="000864BC"/>
    <w:rsid w:val="00086B98"/>
    <w:rsid w:val="00086E1F"/>
    <w:rsid w:val="00086E50"/>
    <w:rsid w:val="00086F1B"/>
    <w:rsid w:val="0008704C"/>
    <w:rsid w:val="0008709D"/>
    <w:rsid w:val="000870FF"/>
    <w:rsid w:val="0008740C"/>
    <w:rsid w:val="0008743F"/>
    <w:rsid w:val="00087917"/>
    <w:rsid w:val="00087B9A"/>
    <w:rsid w:val="00087D5D"/>
    <w:rsid w:val="00090093"/>
    <w:rsid w:val="000900E6"/>
    <w:rsid w:val="00090164"/>
    <w:rsid w:val="00090551"/>
    <w:rsid w:val="000908F0"/>
    <w:rsid w:val="000909CF"/>
    <w:rsid w:val="00090A82"/>
    <w:rsid w:val="00090AAB"/>
    <w:rsid w:val="00090FA5"/>
    <w:rsid w:val="00091030"/>
    <w:rsid w:val="00091054"/>
    <w:rsid w:val="00091156"/>
    <w:rsid w:val="00091208"/>
    <w:rsid w:val="00091441"/>
    <w:rsid w:val="00091645"/>
    <w:rsid w:val="000917C9"/>
    <w:rsid w:val="00091A6F"/>
    <w:rsid w:val="00091BE7"/>
    <w:rsid w:val="00091C20"/>
    <w:rsid w:val="00091CF1"/>
    <w:rsid w:val="00091E1A"/>
    <w:rsid w:val="00091E4A"/>
    <w:rsid w:val="00091EB7"/>
    <w:rsid w:val="0009219C"/>
    <w:rsid w:val="000921AD"/>
    <w:rsid w:val="0009223E"/>
    <w:rsid w:val="0009224D"/>
    <w:rsid w:val="00092378"/>
    <w:rsid w:val="00092417"/>
    <w:rsid w:val="0009249C"/>
    <w:rsid w:val="000924E0"/>
    <w:rsid w:val="0009254C"/>
    <w:rsid w:val="000925B0"/>
    <w:rsid w:val="000926AD"/>
    <w:rsid w:val="00093A45"/>
    <w:rsid w:val="00093C18"/>
    <w:rsid w:val="00093F66"/>
    <w:rsid w:val="00094554"/>
    <w:rsid w:val="000946F8"/>
    <w:rsid w:val="00094ACB"/>
    <w:rsid w:val="00094BA4"/>
    <w:rsid w:val="00094F90"/>
    <w:rsid w:val="00095465"/>
    <w:rsid w:val="00095537"/>
    <w:rsid w:val="0009589D"/>
    <w:rsid w:val="0009593A"/>
    <w:rsid w:val="00095948"/>
    <w:rsid w:val="00095C3F"/>
    <w:rsid w:val="00096798"/>
    <w:rsid w:val="000968E9"/>
    <w:rsid w:val="00096AF9"/>
    <w:rsid w:val="00096C07"/>
    <w:rsid w:val="00096C34"/>
    <w:rsid w:val="00096D49"/>
    <w:rsid w:val="00096F3C"/>
    <w:rsid w:val="00096FF6"/>
    <w:rsid w:val="000970D6"/>
    <w:rsid w:val="00097262"/>
    <w:rsid w:val="0009731D"/>
    <w:rsid w:val="00097332"/>
    <w:rsid w:val="000973E5"/>
    <w:rsid w:val="00097496"/>
    <w:rsid w:val="000976D0"/>
    <w:rsid w:val="00097735"/>
    <w:rsid w:val="00097B8B"/>
    <w:rsid w:val="00097C75"/>
    <w:rsid w:val="00097D85"/>
    <w:rsid w:val="00097DAB"/>
    <w:rsid w:val="00097ECC"/>
    <w:rsid w:val="00097FBC"/>
    <w:rsid w:val="000A0111"/>
    <w:rsid w:val="000A0198"/>
    <w:rsid w:val="000A0972"/>
    <w:rsid w:val="000A0C2A"/>
    <w:rsid w:val="000A0C97"/>
    <w:rsid w:val="000A0CB8"/>
    <w:rsid w:val="000A12A6"/>
    <w:rsid w:val="000A12BC"/>
    <w:rsid w:val="000A136E"/>
    <w:rsid w:val="000A158F"/>
    <w:rsid w:val="000A168E"/>
    <w:rsid w:val="000A17C2"/>
    <w:rsid w:val="000A197A"/>
    <w:rsid w:val="000A1A0A"/>
    <w:rsid w:val="000A1A94"/>
    <w:rsid w:val="000A1B15"/>
    <w:rsid w:val="000A1B2A"/>
    <w:rsid w:val="000A1D95"/>
    <w:rsid w:val="000A1EFA"/>
    <w:rsid w:val="000A1F8B"/>
    <w:rsid w:val="000A2031"/>
    <w:rsid w:val="000A2084"/>
    <w:rsid w:val="000A2364"/>
    <w:rsid w:val="000A23D5"/>
    <w:rsid w:val="000A27CB"/>
    <w:rsid w:val="000A29C6"/>
    <w:rsid w:val="000A2B26"/>
    <w:rsid w:val="000A2BDC"/>
    <w:rsid w:val="000A2C2C"/>
    <w:rsid w:val="000A2E2B"/>
    <w:rsid w:val="000A3231"/>
    <w:rsid w:val="000A3916"/>
    <w:rsid w:val="000A3A84"/>
    <w:rsid w:val="000A3BD7"/>
    <w:rsid w:val="000A3C72"/>
    <w:rsid w:val="000A3E21"/>
    <w:rsid w:val="000A3F8C"/>
    <w:rsid w:val="000A40A2"/>
    <w:rsid w:val="000A40DD"/>
    <w:rsid w:val="000A43A7"/>
    <w:rsid w:val="000A43A9"/>
    <w:rsid w:val="000A442F"/>
    <w:rsid w:val="000A49F7"/>
    <w:rsid w:val="000A532F"/>
    <w:rsid w:val="000A54F3"/>
    <w:rsid w:val="000A5699"/>
    <w:rsid w:val="000A5A0D"/>
    <w:rsid w:val="000A5A5D"/>
    <w:rsid w:val="000A5D91"/>
    <w:rsid w:val="000A5DE8"/>
    <w:rsid w:val="000A5E24"/>
    <w:rsid w:val="000A5E3B"/>
    <w:rsid w:val="000A5E60"/>
    <w:rsid w:val="000A5E84"/>
    <w:rsid w:val="000A5EA2"/>
    <w:rsid w:val="000A5FA9"/>
    <w:rsid w:val="000A5FC3"/>
    <w:rsid w:val="000A656A"/>
    <w:rsid w:val="000A6610"/>
    <w:rsid w:val="000A6728"/>
    <w:rsid w:val="000A6868"/>
    <w:rsid w:val="000A69CB"/>
    <w:rsid w:val="000A6BF9"/>
    <w:rsid w:val="000A6C0A"/>
    <w:rsid w:val="000A6C3A"/>
    <w:rsid w:val="000A7149"/>
    <w:rsid w:val="000A7295"/>
    <w:rsid w:val="000A763F"/>
    <w:rsid w:val="000A7DA4"/>
    <w:rsid w:val="000A7E22"/>
    <w:rsid w:val="000A7E91"/>
    <w:rsid w:val="000A7F25"/>
    <w:rsid w:val="000B00EF"/>
    <w:rsid w:val="000B01A7"/>
    <w:rsid w:val="000B031F"/>
    <w:rsid w:val="000B0353"/>
    <w:rsid w:val="000B0530"/>
    <w:rsid w:val="000B06BE"/>
    <w:rsid w:val="000B0757"/>
    <w:rsid w:val="000B0A2C"/>
    <w:rsid w:val="000B0B0D"/>
    <w:rsid w:val="000B0BD8"/>
    <w:rsid w:val="000B1078"/>
    <w:rsid w:val="000B11BC"/>
    <w:rsid w:val="000B1308"/>
    <w:rsid w:val="000B133A"/>
    <w:rsid w:val="000B152D"/>
    <w:rsid w:val="000B1699"/>
    <w:rsid w:val="000B16FC"/>
    <w:rsid w:val="000B17BD"/>
    <w:rsid w:val="000B18B3"/>
    <w:rsid w:val="000B1DFF"/>
    <w:rsid w:val="000B205E"/>
    <w:rsid w:val="000B2189"/>
    <w:rsid w:val="000B2309"/>
    <w:rsid w:val="000B26CB"/>
    <w:rsid w:val="000B28CC"/>
    <w:rsid w:val="000B29E9"/>
    <w:rsid w:val="000B318F"/>
    <w:rsid w:val="000B358D"/>
    <w:rsid w:val="000B376C"/>
    <w:rsid w:val="000B37FB"/>
    <w:rsid w:val="000B3992"/>
    <w:rsid w:val="000B3BB7"/>
    <w:rsid w:val="000B3EC3"/>
    <w:rsid w:val="000B420A"/>
    <w:rsid w:val="000B4669"/>
    <w:rsid w:val="000B47A2"/>
    <w:rsid w:val="000B48B5"/>
    <w:rsid w:val="000B4B10"/>
    <w:rsid w:val="000B4B26"/>
    <w:rsid w:val="000B4BCD"/>
    <w:rsid w:val="000B5259"/>
    <w:rsid w:val="000B538A"/>
    <w:rsid w:val="000B58A0"/>
    <w:rsid w:val="000B5AF4"/>
    <w:rsid w:val="000B5B53"/>
    <w:rsid w:val="000B5F90"/>
    <w:rsid w:val="000B637A"/>
    <w:rsid w:val="000B6505"/>
    <w:rsid w:val="000B65E0"/>
    <w:rsid w:val="000B67AE"/>
    <w:rsid w:val="000B6B19"/>
    <w:rsid w:val="000B6B54"/>
    <w:rsid w:val="000B6C0C"/>
    <w:rsid w:val="000B6C47"/>
    <w:rsid w:val="000B6D99"/>
    <w:rsid w:val="000B6DD3"/>
    <w:rsid w:val="000B6E10"/>
    <w:rsid w:val="000B6E1B"/>
    <w:rsid w:val="000B6E59"/>
    <w:rsid w:val="000B6F6E"/>
    <w:rsid w:val="000B6FCB"/>
    <w:rsid w:val="000B72B6"/>
    <w:rsid w:val="000B758A"/>
    <w:rsid w:val="000B7C1B"/>
    <w:rsid w:val="000B7D77"/>
    <w:rsid w:val="000B7DD7"/>
    <w:rsid w:val="000B7DE2"/>
    <w:rsid w:val="000C017B"/>
    <w:rsid w:val="000C04FE"/>
    <w:rsid w:val="000C0554"/>
    <w:rsid w:val="000C05BB"/>
    <w:rsid w:val="000C097B"/>
    <w:rsid w:val="000C09A1"/>
    <w:rsid w:val="000C0B2E"/>
    <w:rsid w:val="000C0B40"/>
    <w:rsid w:val="000C0BFE"/>
    <w:rsid w:val="000C0E88"/>
    <w:rsid w:val="000C1236"/>
    <w:rsid w:val="000C13E9"/>
    <w:rsid w:val="000C1A12"/>
    <w:rsid w:val="000C1D27"/>
    <w:rsid w:val="000C1EE4"/>
    <w:rsid w:val="000C2014"/>
    <w:rsid w:val="000C2176"/>
    <w:rsid w:val="000C220C"/>
    <w:rsid w:val="000C26BD"/>
    <w:rsid w:val="000C279A"/>
    <w:rsid w:val="000C2AD8"/>
    <w:rsid w:val="000C306F"/>
    <w:rsid w:val="000C390B"/>
    <w:rsid w:val="000C3CC3"/>
    <w:rsid w:val="000C4608"/>
    <w:rsid w:val="000C464B"/>
    <w:rsid w:val="000C4829"/>
    <w:rsid w:val="000C4DA6"/>
    <w:rsid w:val="000C5121"/>
    <w:rsid w:val="000C544A"/>
    <w:rsid w:val="000C54D1"/>
    <w:rsid w:val="000C55C4"/>
    <w:rsid w:val="000C5D2B"/>
    <w:rsid w:val="000C5D68"/>
    <w:rsid w:val="000C5D9D"/>
    <w:rsid w:val="000C6141"/>
    <w:rsid w:val="000C620F"/>
    <w:rsid w:val="000C62A6"/>
    <w:rsid w:val="000C6501"/>
    <w:rsid w:val="000C6630"/>
    <w:rsid w:val="000C67B1"/>
    <w:rsid w:val="000C6BC8"/>
    <w:rsid w:val="000C6CE2"/>
    <w:rsid w:val="000C70F3"/>
    <w:rsid w:val="000C7320"/>
    <w:rsid w:val="000C759D"/>
    <w:rsid w:val="000C797B"/>
    <w:rsid w:val="000C79BE"/>
    <w:rsid w:val="000C7B59"/>
    <w:rsid w:val="000C7C69"/>
    <w:rsid w:val="000D0092"/>
    <w:rsid w:val="000D00EB"/>
    <w:rsid w:val="000D010E"/>
    <w:rsid w:val="000D0169"/>
    <w:rsid w:val="000D017B"/>
    <w:rsid w:val="000D055C"/>
    <w:rsid w:val="000D0807"/>
    <w:rsid w:val="000D08AF"/>
    <w:rsid w:val="000D0980"/>
    <w:rsid w:val="000D0EE9"/>
    <w:rsid w:val="000D1087"/>
    <w:rsid w:val="000D1394"/>
    <w:rsid w:val="000D1422"/>
    <w:rsid w:val="000D1728"/>
    <w:rsid w:val="000D178A"/>
    <w:rsid w:val="000D1835"/>
    <w:rsid w:val="000D1D71"/>
    <w:rsid w:val="000D1FEF"/>
    <w:rsid w:val="000D20A7"/>
    <w:rsid w:val="000D21DA"/>
    <w:rsid w:val="000D25A2"/>
    <w:rsid w:val="000D29C8"/>
    <w:rsid w:val="000D2B6B"/>
    <w:rsid w:val="000D2C30"/>
    <w:rsid w:val="000D2D51"/>
    <w:rsid w:val="000D311C"/>
    <w:rsid w:val="000D323E"/>
    <w:rsid w:val="000D340D"/>
    <w:rsid w:val="000D3428"/>
    <w:rsid w:val="000D35A0"/>
    <w:rsid w:val="000D362F"/>
    <w:rsid w:val="000D36C0"/>
    <w:rsid w:val="000D380B"/>
    <w:rsid w:val="000D3B2F"/>
    <w:rsid w:val="000D3C7A"/>
    <w:rsid w:val="000D3E28"/>
    <w:rsid w:val="000D4072"/>
    <w:rsid w:val="000D4581"/>
    <w:rsid w:val="000D467A"/>
    <w:rsid w:val="000D46F8"/>
    <w:rsid w:val="000D4D2C"/>
    <w:rsid w:val="000D4F7D"/>
    <w:rsid w:val="000D50BA"/>
    <w:rsid w:val="000D515C"/>
    <w:rsid w:val="000D5185"/>
    <w:rsid w:val="000D5332"/>
    <w:rsid w:val="000D54CB"/>
    <w:rsid w:val="000D557C"/>
    <w:rsid w:val="000D5589"/>
    <w:rsid w:val="000D5731"/>
    <w:rsid w:val="000D57BE"/>
    <w:rsid w:val="000D5878"/>
    <w:rsid w:val="000D5896"/>
    <w:rsid w:val="000D58AA"/>
    <w:rsid w:val="000D5955"/>
    <w:rsid w:val="000D5A7A"/>
    <w:rsid w:val="000D5C1A"/>
    <w:rsid w:val="000D5D0D"/>
    <w:rsid w:val="000D5D30"/>
    <w:rsid w:val="000D5ECC"/>
    <w:rsid w:val="000D5F18"/>
    <w:rsid w:val="000D6227"/>
    <w:rsid w:val="000D6348"/>
    <w:rsid w:val="000D6569"/>
    <w:rsid w:val="000D65B4"/>
    <w:rsid w:val="000D6C57"/>
    <w:rsid w:val="000D6FFA"/>
    <w:rsid w:val="000D71E1"/>
    <w:rsid w:val="000D7438"/>
    <w:rsid w:val="000D77BB"/>
    <w:rsid w:val="000D7980"/>
    <w:rsid w:val="000D7ABC"/>
    <w:rsid w:val="000D7B00"/>
    <w:rsid w:val="000D7BA8"/>
    <w:rsid w:val="000D7EB7"/>
    <w:rsid w:val="000D7F7D"/>
    <w:rsid w:val="000E01BD"/>
    <w:rsid w:val="000E01D1"/>
    <w:rsid w:val="000E0473"/>
    <w:rsid w:val="000E061A"/>
    <w:rsid w:val="000E0744"/>
    <w:rsid w:val="000E07EA"/>
    <w:rsid w:val="000E082F"/>
    <w:rsid w:val="000E09EC"/>
    <w:rsid w:val="000E0A0E"/>
    <w:rsid w:val="000E0B2D"/>
    <w:rsid w:val="000E0E2D"/>
    <w:rsid w:val="000E119F"/>
    <w:rsid w:val="000E1856"/>
    <w:rsid w:val="000E19B8"/>
    <w:rsid w:val="000E1AF4"/>
    <w:rsid w:val="000E1B56"/>
    <w:rsid w:val="000E1BBC"/>
    <w:rsid w:val="000E1C4E"/>
    <w:rsid w:val="000E1DE9"/>
    <w:rsid w:val="000E1E62"/>
    <w:rsid w:val="000E208F"/>
    <w:rsid w:val="000E2550"/>
    <w:rsid w:val="000E27B3"/>
    <w:rsid w:val="000E27D0"/>
    <w:rsid w:val="000E27D3"/>
    <w:rsid w:val="000E297F"/>
    <w:rsid w:val="000E2993"/>
    <w:rsid w:val="000E2EA6"/>
    <w:rsid w:val="000E30A8"/>
    <w:rsid w:val="000E31DB"/>
    <w:rsid w:val="000E3271"/>
    <w:rsid w:val="000E3514"/>
    <w:rsid w:val="000E3A64"/>
    <w:rsid w:val="000E3CD4"/>
    <w:rsid w:val="000E3CE6"/>
    <w:rsid w:val="000E3DD9"/>
    <w:rsid w:val="000E3EE4"/>
    <w:rsid w:val="000E3FEF"/>
    <w:rsid w:val="000E40C2"/>
    <w:rsid w:val="000E4584"/>
    <w:rsid w:val="000E490B"/>
    <w:rsid w:val="000E4C16"/>
    <w:rsid w:val="000E5334"/>
    <w:rsid w:val="000E5368"/>
    <w:rsid w:val="000E53D1"/>
    <w:rsid w:val="000E5589"/>
    <w:rsid w:val="000E55AA"/>
    <w:rsid w:val="000E57BD"/>
    <w:rsid w:val="000E57F8"/>
    <w:rsid w:val="000E5C52"/>
    <w:rsid w:val="000E6019"/>
    <w:rsid w:val="000E602B"/>
    <w:rsid w:val="000E60CD"/>
    <w:rsid w:val="000E631A"/>
    <w:rsid w:val="000E65AE"/>
    <w:rsid w:val="000E6AC1"/>
    <w:rsid w:val="000E6E04"/>
    <w:rsid w:val="000E6EFD"/>
    <w:rsid w:val="000E6F38"/>
    <w:rsid w:val="000E70DC"/>
    <w:rsid w:val="000E76CF"/>
    <w:rsid w:val="000E7941"/>
    <w:rsid w:val="000E79A2"/>
    <w:rsid w:val="000E7A4B"/>
    <w:rsid w:val="000E7E30"/>
    <w:rsid w:val="000E7FF0"/>
    <w:rsid w:val="000F0318"/>
    <w:rsid w:val="000F04DF"/>
    <w:rsid w:val="000F050D"/>
    <w:rsid w:val="000F0B96"/>
    <w:rsid w:val="000F0BD2"/>
    <w:rsid w:val="000F0D68"/>
    <w:rsid w:val="000F0F75"/>
    <w:rsid w:val="000F0FF1"/>
    <w:rsid w:val="000F14F5"/>
    <w:rsid w:val="000F1572"/>
    <w:rsid w:val="000F15E2"/>
    <w:rsid w:val="000F189C"/>
    <w:rsid w:val="000F1905"/>
    <w:rsid w:val="000F1A70"/>
    <w:rsid w:val="000F1B8E"/>
    <w:rsid w:val="000F1EEB"/>
    <w:rsid w:val="000F23FD"/>
    <w:rsid w:val="000F2427"/>
    <w:rsid w:val="000F2661"/>
    <w:rsid w:val="000F2812"/>
    <w:rsid w:val="000F29CB"/>
    <w:rsid w:val="000F29F0"/>
    <w:rsid w:val="000F2D17"/>
    <w:rsid w:val="000F2D1E"/>
    <w:rsid w:val="000F2DA1"/>
    <w:rsid w:val="000F2F5E"/>
    <w:rsid w:val="000F3150"/>
    <w:rsid w:val="000F327B"/>
    <w:rsid w:val="000F3315"/>
    <w:rsid w:val="000F3317"/>
    <w:rsid w:val="000F3604"/>
    <w:rsid w:val="000F3DD4"/>
    <w:rsid w:val="000F3E4F"/>
    <w:rsid w:val="000F3FDF"/>
    <w:rsid w:val="000F3FF7"/>
    <w:rsid w:val="000F4033"/>
    <w:rsid w:val="000F404D"/>
    <w:rsid w:val="000F40FB"/>
    <w:rsid w:val="000F43E3"/>
    <w:rsid w:val="000F446F"/>
    <w:rsid w:val="000F44FE"/>
    <w:rsid w:val="000F45B5"/>
    <w:rsid w:val="000F4BF5"/>
    <w:rsid w:val="000F4CB6"/>
    <w:rsid w:val="000F4DB0"/>
    <w:rsid w:val="000F4FAD"/>
    <w:rsid w:val="000F52A7"/>
    <w:rsid w:val="000F54DB"/>
    <w:rsid w:val="000F55BD"/>
    <w:rsid w:val="000F55D9"/>
    <w:rsid w:val="000F576B"/>
    <w:rsid w:val="000F576C"/>
    <w:rsid w:val="000F58AB"/>
    <w:rsid w:val="000F58EF"/>
    <w:rsid w:val="000F5A9C"/>
    <w:rsid w:val="000F5ACF"/>
    <w:rsid w:val="000F5C55"/>
    <w:rsid w:val="000F5FBD"/>
    <w:rsid w:val="000F5FF2"/>
    <w:rsid w:val="000F61B9"/>
    <w:rsid w:val="000F6202"/>
    <w:rsid w:val="000F6387"/>
    <w:rsid w:val="000F6475"/>
    <w:rsid w:val="000F664F"/>
    <w:rsid w:val="000F6682"/>
    <w:rsid w:val="000F6734"/>
    <w:rsid w:val="000F68A2"/>
    <w:rsid w:val="000F6B64"/>
    <w:rsid w:val="000F6D82"/>
    <w:rsid w:val="000F6E3F"/>
    <w:rsid w:val="000F715C"/>
    <w:rsid w:val="000F7325"/>
    <w:rsid w:val="000F75DE"/>
    <w:rsid w:val="000F7788"/>
    <w:rsid w:val="000F77CF"/>
    <w:rsid w:val="000F7947"/>
    <w:rsid w:val="000F7E62"/>
    <w:rsid w:val="0010021B"/>
    <w:rsid w:val="001005E6"/>
    <w:rsid w:val="00100805"/>
    <w:rsid w:val="0010080E"/>
    <w:rsid w:val="00100854"/>
    <w:rsid w:val="00100C13"/>
    <w:rsid w:val="00100C54"/>
    <w:rsid w:val="001011C9"/>
    <w:rsid w:val="00101372"/>
    <w:rsid w:val="001014E6"/>
    <w:rsid w:val="0010151A"/>
    <w:rsid w:val="0010168E"/>
    <w:rsid w:val="00101A1A"/>
    <w:rsid w:val="00101C45"/>
    <w:rsid w:val="0010202F"/>
    <w:rsid w:val="0010215D"/>
    <w:rsid w:val="00102875"/>
    <w:rsid w:val="00102B10"/>
    <w:rsid w:val="00102B39"/>
    <w:rsid w:val="00102BC6"/>
    <w:rsid w:val="00102C57"/>
    <w:rsid w:val="001030AD"/>
    <w:rsid w:val="001034A1"/>
    <w:rsid w:val="00103508"/>
    <w:rsid w:val="00103530"/>
    <w:rsid w:val="001035E6"/>
    <w:rsid w:val="001037FA"/>
    <w:rsid w:val="00103961"/>
    <w:rsid w:val="00103974"/>
    <w:rsid w:val="00103986"/>
    <w:rsid w:val="00103B9D"/>
    <w:rsid w:val="00103BEE"/>
    <w:rsid w:val="00103C4A"/>
    <w:rsid w:val="00103C6D"/>
    <w:rsid w:val="00103CA3"/>
    <w:rsid w:val="00104156"/>
    <w:rsid w:val="0010450A"/>
    <w:rsid w:val="001045BC"/>
    <w:rsid w:val="00104636"/>
    <w:rsid w:val="00104706"/>
    <w:rsid w:val="001047B3"/>
    <w:rsid w:val="00104A79"/>
    <w:rsid w:val="00104AE0"/>
    <w:rsid w:val="00104D19"/>
    <w:rsid w:val="001052E6"/>
    <w:rsid w:val="001053BD"/>
    <w:rsid w:val="001055F6"/>
    <w:rsid w:val="00105758"/>
    <w:rsid w:val="0010575E"/>
    <w:rsid w:val="00105AA9"/>
    <w:rsid w:val="00105D75"/>
    <w:rsid w:val="00105DBF"/>
    <w:rsid w:val="00106008"/>
    <w:rsid w:val="001060EB"/>
    <w:rsid w:val="00106136"/>
    <w:rsid w:val="0010616E"/>
    <w:rsid w:val="001067F7"/>
    <w:rsid w:val="00106D9B"/>
    <w:rsid w:val="00106E95"/>
    <w:rsid w:val="001071D3"/>
    <w:rsid w:val="0010720D"/>
    <w:rsid w:val="00107397"/>
    <w:rsid w:val="00107524"/>
    <w:rsid w:val="00107948"/>
    <w:rsid w:val="00107989"/>
    <w:rsid w:val="001079B8"/>
    <w:rsid w:val="00107D84"/>
    <w:rsid w:val="00107E2F"/>
    <w:rsid w:val="001102BE"/>
    <w:rsid w:val="0011033B"/>
    <w:rsid w:val="001104DB"/>
    <w:rsid w:val="0011082A"/>
    <w:rsid w:val="0011087A"/>
    <w:rsid w:val="00110A91"/>
    <w:rsid w:val="00110BBF"/>
    <w:rsid w:val="00110CDE"/>
    <w:rsid w:val="00110EAC"/>
    <w:rsid w:val="00110F96"/>
    <w:rsid w:val="001110B6"/>
    <w:rsid w:val="00111153"/>
    <w:rsid w:val="001113AC"/>
    <w:rsid w:val="001113FE"/>
    <w:rsid w:val="00111557"/>
    <w:rsid w:val="0011175C"/>
    <w:rsid w:val="00111D56"/>
    <w:rsid w:val="00111D63"/>
    <w:rsid w:val="00111DB9"/>
    <w:rsid w:val="00111DE2"/>
    <w:rsid w:val="00112018"/>
    <w:rsid w:val="00112068"/>
    <w:rsid w:val="00112171"/>
    <w:rsid w:val="00112343"/>
    <w:rsid w:val="00112382"/>
    <w:rsid w:val="001129C6"/>
    <w:rsid w:val="0011312E"/>
    <w:rsid w:val="001132D5"/>
    <w:rsid w:val="00113434"/>
    <w:rsid w:val="0011344B"/>
    <w:rsid w:val="00113519"/>
    <w:rsid w:val="00113906"/>
    <w:rsid w:val="00113A10"/>
    <w:rsid w:val="00113B52"/>
    <w:rsid w:val="00113BC5"/>
    <w:rsid w:val="00113D27"/>
    <w:rsid w:val="00113DC7"/>
    <w:rsid w:val="00113F92"/>
    <w:rsid w:val="00113FA8"/>
    <w:rsid w:val="00114182"/>
    <w:rsid w:val="001141E4"/>
    <w:rsid w:val="00114843"/>
    <w:rsid w:val="00114B0D"/>
    <w:rsid w:val="00114B4F"/>
    <w:rsid w:val="00114F88"/>
    <w:rsid w:val="0011524E"/>
    <w:rsid w:val="00115293"/>
    <w:rsid w:val="0011540B"/>
    <w:rsid w:val="00115732"/>
    <w:rsid w:val="001157FB"/>
    <w:rsid w:val="00115982"/>
    <w:rsid w:val="00115ECC"/>
    <w:rsid w:val="001162C5"/>
    <w:rsid w:val="001164B6"/>
    <w:rsid w:val="0011656B"/>
    <w:rsid w:val="0011656C"/>
    <w:rsid w:val="0011686F"/>
    <w:rsid w:val="0011691B"/>
    <w:rsid w:val="00116A73"/>
    <w:rsid w:val="00116BD0"/>
    <w:rsid w:val="00116D95"/>
    <w:rsid w:val="00116E32"/>
    <w:rsid w:val="00116E4E"/>
    <w:rsid w:val="00116F91"/>
    <w:rsid w:val="00117119"/>
    <w:rsid w:val="00117456"/>
    <w:rsid w:val="0011751C"/>
    <w:rsid w:val="001177AC"/>
    <w:rsid w:val="00117A4B"/>
    <w:rsid w:val="00117F01"/>
    <w:rsid w:val="00117F0F"/>
    <w:rsid w:val="001201A6"/>
    <w:rsid w:val="001203FC"/>
    <w:rsid w:val="00120AA9"/>
    <w:rsid w:val="00120DE3"/>
    <w:rsid w:val="00120E92"/>
    <w:rsid w:val="00120F55"/>
    <w:rsid w:val="00121007"/>
    <w:rsid w:val="0012111E"/>
    <w:rsid w:val="001213C0"/>
    <w:rsid w:val="00121689"/>
    <w:rsid w:val="001216E8"/>
    <w:rsid w:val="0012186F"/>
    <w:rsid w:val="001219D2"/>
    <w:rsid w:val="00121A87"/>
    <w:rsid w:val="00121B6B"/>
    <w:rsid w:val="00121E0D"/>
    <w:rsid w:val="0012229F"/>
    <w:rsid w:val="001225C7"/>
    <w:rsid w:val="001226AE"/>
    <w:rsid w:val="00122726"/>
    <w:rsid w:val="0012278F"/>
    <w:rsid w:val="00122874"/>
    <w:rsid w:val="001229A4"/>
    <w:rsid w:val="001229A7"/>
    <w:rsid w:val="001229DC"/>
    <w:rsid w:val="001229DF"/>
    <w:rsid w:val="00122D3E"/>
    <w:rsid w:val="00122D54"/>
    <w:rsid w:val="0012303E"/>
    <w:rsid w:val="0012312E"/>
    <w:rsid w:val="00123467"/>
    <w:rsid w:val="001235A7"/>
    <w:rsid w:val="00123915"/>
    <w:rsid w:val="00123934"/>
    <w:rsid w:val="00123C28"/>
    <w:rsid w:val="00123CC2"/>
    <w:rsid w:val="001242DB"/>
    <w:rsid w:val="0012440A"/>
    <w:rsid w:val="00124486"/>
    <w:rsid w:val="00124AC3"/>
    <w:rsid w:val="00124F44"/>
    <w:rsid w:val="00124F53"/>
    <w:rsid w:val="00125050"/>
    <w:rsid w:val="001250D0"/>
    <w:rsid w:val="001252C7"/>
    <w:rsid w:val="0012599D"/>
    <w:rsid w:val="00125A32"/>
    <w:rsid w:val="00125AE6"/>
    <w:rsid w:val="00125B3A"/>
    <w:rsid w:val="00125BD1"/>
    <w:rsid w:val="00125E30"/>
    <w:rsid w:val="001264AE"/>
    <w:rsid w:val="00126599"/>
    <w:rsid w:val="00126782"/>
    <w:rsid w:val="00126CAF"/>
    <w:rsid w:val="00126D2F"/>
    <w:rsid w:val="00127119"/>
    <w:rsid w:val="001273A6"/>
    <w:rsid w:val="001273B0"/>
    <w:rsid w:val="00127576"/>
    <w:rsid w:val="0012789C"/>
    <w:rsid w:val="0012790D"/>
    <w:rsid w:val="00127C2D"/>
    <w:rsid w:val="00130746"/>
    <w:rsid w:val="001308AE"/>
    <w:rsid w:val="001309BB"/>
    <w:rsid w:val="00130D03"/>
    <w:rsid w:val="00130DF5"/>
    <w:rsid w:val="00130EF0"/>
    <w:rsid w:val="00130FD2"/>
    <w:rsid w:val="00131002"/>
    <w:rsid w:val="0013134F"/>
    <w:rsid w:val="00131573"/>
    <w:rsid w:val="001316CA"/>
    <w:rsid w:val="00131897"/>
    <w:rsid w:val="001318A3"/>
    <w:rsid w:val="00131993"/>
    <w:rsid w:val="00131C90"/>
    <w:rsid w:val="00131D76"/>
    <w:rsid w:val="00131D83"/>
    <w:rsid w:val="00131EF9"/>
    <w:rsid w:val="0013247E"/>
    <w:rsid w:val="00132935"/>
    <w:rsid w:val="0013293C"/>
    <w:rsid w:val="001329A8"/>
    <w:rsid w:val="001329F6"/>
    <w:rsid w:val="00132AAD"/>
    <w:rsid w:val="00132D7D"/>
    <w:rsid w:val="00132F25"/>
    <w:rsid w:val="00132F62"/>
    <w:rsid w:val="001330E3"/>
    <w:rsid w:val="00133446"/>
    <w:rsid w:val="00133643"/>
    <w:rsid w:val="0013365D"/>
    <w:rsid w:val="001337E8"/>
    <w:rsid w:val="00133954"/>
    <w:rsid w:val="001339BC"/>
    <w:rsid w:val="00133C8B"/>
    <w:rsid w:val="00133D5B"/>
    <w:rsid w:val="00133ECF"/>
    <w:rsid w:val="00133F38"/>
    <w:rsid w:val="00133F40"/>
    <w:rsid w:val="00133F97"/>
    <w:rsid w:val="00134381"/>
    <w:rsid w:val="00134791"/>
    <w:rsid w:val="0013489E"/>
    <w:rsid w:val="00134A7D"/>
    <w:rsid w:val="00134AC5"/>
    <w:rsid w:val="00134BFF"/>
    <w:rsid w:val="0013519D"/>
    <w:rsid w:val="00135330"/>
    <w:rsid w:val="001353CF"/>
    <w:rsid w:val="001353DB"/>
    <w:rsid w:val="0013561E"/>
    <w:rsid w:val="00135674"/>
    <w:rsid w:val="00135918"/>
    <w:rsid w:val="001359CB"/>
    <w:rsid w:val="00135BB8"/>
    <w:rsid w:val="0013617D"/>
    <w:rsid w:val="001365BF"/>
    <w:rsid w:val="0013675C"/>
    <w:rsid w:val="00136789"/>
    <w:rsid w:val="0013693B"/>
    <w:rsid w:val="001369BD"/>
    <w:rsid w:val="001369CE"/>
    <w:rsid w:val="00136ADE"/>
    <w:rsid w:val="00136B31"/>
    <w:rsid w:val="00136B48"/>
    <w:rsid w:val="00136E6C"/>
    <w:rsid w:val="00136FBE"/>
    <w:rsid w:val="0013708C"/>
    <w:rsid w:val="00137434"/>
    <w:rsid w:val="0013765C"/>
    <w:rsid w:val="001376D8"/>
    <w:rsid w:val="00137713"/>
    <w:rsid w:val="00137745"/>
    <w:rsid w:val="00137802"/>
    <w:rsid w:val="00137A84"/>
    <w:rsid w:val="00137B1E"/>
    <w:rsid w:val="00137C0B"/>
    <w:rsid w:val="00137CD1"/>
    <w:rsid w:val="00137D44"/>
    <w:rsid w:val="00137FF8"/>
    <w:rsid w:val="00140100"/>
    <w:rsid w:val="0014016D"/>
    <w:rsid w:val="00140453"/>
    <w:rsid w:val="001405AD"/>
    <w:rsid w:val="00140628"/>
    <w:rsid w:val="0014072F"/>
    <w:rsid w:val="00140B44"/>
    <w:rsid w:val="00140C36"/>
    <w:rsid w:val="00140F55"/>
    <w:rsid w:val="00140F79"/>
    <w:rsid w:val="00141119"/>
    <w:rsid w:val="00141135"/>
    <w:rsid w:val="00141222"/>
    <w:rsid w:val="00141D19"/>
    <w:rsid w:val="00141D9A"/>
    <w:rsid w:val="00141E5B"/>
    <w:rsid w:val="00141EED"/>
    <w:rsid w:val="001420F7"/>
    <w:rsid w:val="0014218C"/>
    <w:rsid w:val="00142281"/>
    <w:rsid w:val="00142348"/>
    <w:rsid w:val="00142441"/>
    <w:rsid w:val="00142660"/>
    <w:rsid w:val="001429FE"/>
    <w:rsid w:val="00142E85"/>
    <w:rsid w:val="00142EF3"/>
    <w:rsid w:val="00142F1E"/>
    <w:rsid w:val="001431D8"/>
    <w:rsid w:val="001435CC"/>
    <w:rsid w:val="00143AB7"/>
    <w:rsid w:val="00143CD7"/>
    <w:rsid w:val="00143E96"/>
    <w:rsid w:val="00143F05"/>
    <w:rsid w:val="00144098"/>
    <w:rsid w:val="001444C4"/>
    <w:rsid w:val="00144683"/>
    <w:rsid w:val="0014489C"/>
    <w:rsid w:val="001448FF"/>
    <w:rsid w:val="00144B63"/>
    <w:rsid w:val="00144F1E"/>
    <w:rsid w:val="00144F77"/>
    <w:rsid w:val="001453FB"/>
    <w:rsid w:val="00145789"/>
    <w:rsid w:val="00145DBF"/>
    <w:rsid w:val="00145FF9"/>
    <w:rsid w:val="001461AB"/>
    <w:rsid w:val="00146257"/>
    <w:rsid w:val="0014635C"/>
    <w:rsid w:val="00146368"/>
    <w:rsid w:val="00146388"/>
    <w:rsid w:val="00146A1F"/>
    <w:rsid w:val="00146ACF"/>
    <w:rsid w:val="00146E66"/>
    <w:rsid w:val="00146FB4"/>
    <w:rsid w:val="00147046"/>
    <w:rsid w:val="001470F1"/>
    <w:rsid w:val="001471D8"/>
    <w:rsid w:val="001472CD"/>
    <w:rsid w:val="0014731A"/>
    <w:rsid w:val="00147625"/>
    <w:rsid w:val="00147645"/>
    <w:rsid w:val="00147A3C"/>
    <w:rsid w:val="00147AF4"/>
    <w:rsid w:val="00147B97"/>
    <w:rsid w:val="00147CBD"/>
    <w:rsid w:val="00147DC8"/>
    <w:rsid w:val="00147EB9"/>
    <w:rsid w:val="00150002"/>
    <w:rsid w:val="0015019E"/>
    <w:rsid w:val="0015060B"/>
    <w:rsid w:val="00150621"/>
    <w:rsid w:val="0015077E"/>
    <w:rsid w:val="001507F2"/>
    <w:rsid w:val="00150865"/>
    <w:rsid w:val="001509E8"/>
    <w:rsid w:val="00150BA6"/>
    <w:rsid w:val="00150D03"/>
    <w:rsid w:val="00150DEC"/>
    <w:rsid w:val="00150F29"/>
    <w:rsid w:val="001511FD"/>
    <w:rsid w:val="001512F8"/>
    <w:rsid w:val="001513EF"/>
    <w:rsid w:val="001514D0"/>
    <w:rsid w:val="001518F1"/>
    <w:rsid w:val="001519AD"/>
    <w:rsid w:val="00151F43"/>
    <w:rsid w:val="00151F98"/>
    <w:rsid w:val="00152096"/>
    <w:rsid w:val="00152529"/>
    <w:rsid w:val="00152638"/>
    <w:rsid w:val="00152720"/>
    <w:rsid w:val="00152CB2"/>
    <w:rsid w:val="00152DDA"/>
    <w:rsid w:val="00152F31"/>
    <w:rsid w:val="00153009"/>
    <w:rsid w:val="001532FC"/>
    <w:rsid w:val="00153503"/>
    <w:rsid w:val="001535AE"/>
    <w:rsid w:val="00153998"/>
    <w:rsid w:val="00153AAF"/>
    <w:rsid w:val="00153F2F"/>
    <w:rsid w:val="00154003"/>
    <w:rsid w:val="00154251"/>
    <w:rsid w:val="001543B9"/>
    <w:rsid w:val="00154EBC"/>
    <w:rsid w:val="00154EF8"/>
    <w:rsid w:val="00154F35"/>
    <w:rsid w:val="0015518D"/>
    <w:rsid w:val="00155225"/>
    <w:rsid w:val="00155516"/>
    <w:rsid w:val="00155628"/>
    <w:rsid w:val="001556A7"/>
    <w:rsid w:val="00155913"/>
    <w:rsid w:val="00155994"/>
    <w:rsid w:val="00155A92"/>
    <w:rsid w:val="00155CDA"/>
    <w:rsid w:val="001561A8"/>
    <w:rsid w:val="001561BF"/>
    <w:rsid w:val="00156486"/>
    <w:rsid w:val="001572B9"/>
    <w:rsid w:val="001573C2"/>
    <w:rsid w:val="00157539"/>
    <w:rsid w:val="001575F9"/>
    <w:rsid w:val="001577D6"/>
    <w:rsid w:val="00157B18"/>
    <w:rsid w:val="00157B57"/>
    <w:rsid w:val="00157D5F"/>
    <w:rsid w:val="00160145"/>
    <w:rsid w:val="00160171"/>
    <w:rsid w:val="00160180"/>
    <w:rsid w:val="001603D1"/>
    <w:rsid w:val="00160434"/>
    <w:rsid w:val="001605DB"/>
    <w:rsid w:val="001609C2"/>
    <w:rsid w:val="00160D5C"/>
    <w:rsid w:val="00160DFA"/>
    <w:rsid w:val="00160F59"/>
    <w:rsid w:val="001610B6"/>
    <w:rsid w:val="00161612"/>
    <w:rsid w:val="00161B0D"/>
    <w:rsid w:val="00161BAB"/>
    <w:rsid w:val="00161BF3"/>
    <w:rsid w:val="00161CEF"/>
    <w:rsid w:val="0016211F"/>
    <w:rsid w:val="001622DF"/>
    <w:rsid w:val="00162A0F"/>
    <w:rsid w:val="00162B0B"/>
    <w:rsid w:val="00162B42"/>
    <w:rsid w:val="00162B9F"/>
    <w:rsid w:val="00162CE2"/>
    <w:rsid w:val="00162EB4"/>
    <w:rsid w:val="0016305A"/>
    <w:rsid w:val="00163B40"/>
    <w:rsid w:val="00163B52"/>
    <w:rsid w:val="00163D0B"/>
    <w:rsid w:val="0016401F"/>
    <w:rsid w:val="0016406E"/>
    <w:rsid w:val="001640BF"/>
    <w:rsid w:val="0016420F"/>
    <w:rsid w:val="00164215"/>
    <w:rsid w:val="001644EF"/>
    <w:rsid w:val="00164763"/>
    <w:rsid w:val="00164989"/>
    <w:rsid w:val="001650BC"/>
    <w:rsid w:val="00165218"/>
    <w:rsid w:val="001655DC"/>
    <w:rsid w:val="00165AC5"/>
    <w:rsid w:val="00165DB0"/>
    <w:rsid w:val="00165FCF"/>
    <w:rsid w:val="00166272"/>
    <w:rsid w:val="001666A2"/>
    <w:rsid w:val="00166946"/>
    <w:rsid w:val="00166C99"/>
    <w:rsid w:val="00166D51"/>
    <w:rsid w:val="00166DD8"/>
    <w:rsid w:val="00166F4C"/>
    <w:rsid w:val="001670C1"/>
    <w:rsid w:val="0016726F"/>
    <w:rsid w:val="00167408"/>
    <w:rsid w:val="001674FE"/>
    <w:rsid w:val="00167854"/>
    <w:rsid w:val="001678B1"/>
    <w:rsid w:val="001678F9"/>
    <w:rsid w:val="00167A01"/>
    <w:rsid w:val="00167A7F"/>
    <w:rsid w:val="00167ABA"/>
    <w:rsid w:val="00167AE5"/>
    <w:rsid w:val="00167C04"/>
    <w:rsid w:val="00167E95"/>
    <w:rsid w:val="00170198"/>
    <w:rsid w:val="00170226"/>
    <w:rsid w:val="0017053A"/>
    <w:rsid w:val="001705A1"/>
    <w:rsid w:val="0017064B"/>
    <w:rsid w:val="001709E2"/>
    <w:rsid w:val="00170A03"/>
    <w:rsid w:val="00170B67"/>
    <w:rsid w:val="001711D3"/>
    <w:rsid w:val="00171228"/>
    <w:rsid w:val="001717ED"/>
    <w:rsid w:val="00171C06"/>
    <w:rsid w:val="00171CF3"/>
    <w:rsid w:val="00171D4C"/>
    <w:rsid w:val="00171E90"/>
    <w:rsid w:val="00171F0C"/>
    <w:rsid w:val="00171FB3"/>
    <w:rsid w:val="0017225D"/>
    <w:rsid w:val="00172469"/>
    <w:rsid w:val="00172506"/>
    <w:rsid w:val="0017263B"/>
    <w:rsid w:val="001726E7"/>
    <w:rsid w:val="0017294C"/>
    <w:rsid w:val="00172971"/>
    <w:rsid w:val="001729B8"/>
    <w:rsid w:val="00172CEB"/>
    <w:rsid w:val="0017377A"/>
    <w:rsid w:val="00173992"/>
    <w:rsid w:val="001741F6"/>
    <w:rsid w:val="00174356"/>
    <w:rsid w:val="001748C7"/>
    <w:rsid w:val="001749D3"/>
    <w:rsid w:val="00174D99"/>
    <w:rsid w:val="00174E3C"/>
    <w:rsid w:val="00174ED3"/>
    <w:rsid w:val="001754EC"/>
    <w:rsid w:val="001756C0"/>
    <w:rsid w:val="00175822"/>
    <w:rsid w:val="001759E9"/>
    <w:rsid w:val="00175B3A"/>
    <w:rsid w:val="00175E17"/>
    <w:rsid w:val="00176051"/>
    <w:rsid w:val="0017606B"/>
    <w:rsid w:val="00176077"/>
    <w:rsid w:val="0017607B"/>
    <w:rsid w:val="00176223"/>
    <w:rsid w:val="001768E4"/>
    <w:rsid w:val="001769F8"/>
    <w:rsid w:val="00176C9C"/>
    <w:rsid w:val="00176D71"/>
    <w:rsid w:val="00176F09"/>
    <w:rsid w:val="00176FC2"/>
    <w:rsid w:val="00177297"/>
    <w:rsid w:val="001772EB"/>
    <w:rsid w:val="0017744B"/>
    <w:rsid w:val="00177546"/>
    <w:rsid w:val="00177ACB"/>
    <w:rsid w:val="001801DC"/>
    <w:rsid w:val="00180279"/>
    <w:rsid w:val="001802B9"/>
    <w:rsid w:val="00180327"/>
    <w:rsid w:val="001803BF"/>
    <w:rsid w:val="0018051C"/>
    <w:rsid w:val="0018074E"/>
    <w:rsid w:val="001807AD"/>
    <w:rsid w:val="00180A6C"/>
    <w:rsid w:val="00180CE6"/>
    <w:rsid w:val="00180F53"/>
    <w:rsid w:val="00180F8F"/>
    <w:rsid w:val="00181046"/>
    <w:rsid w:val="00181108"/>
    <w:rsid w:val="001814C4"/>
    <w:rsid w:val="001815BD"/>
    <w:rsid w:val="00181773"/>
    <w:rsid w:val="00181965"/>
    <w:rsid w:val="00181CF8"/>
    <w:rsid w:val="001821C6"/>
    <w:rsid w:val="001821FF"/>
    <w:rsid w:val="001822D4"/>
    <w:rsid w:val="00182517"/>
    <w:rsid w:val="00182719"/>
    <w:rsid w:val="0018277C"/>
    <w:rsid w:val="001828D8"/>
    <w:rsid w:val="00182C70"/>
    <w:rsid w:val="00182D38"/>
    <w:rsid w:val="00182F1C"/>
    <w:rsid w:val="00183183"/>
    <w:rsid w:val="00183295"/>
    <w:rsid w:val="0018388C"/>
    <w:rsid w:val="00183A62"/>
    <w:rsid w:val="00183B0C"/>
    <w:rsid w:val="00183F1A"/>
    <w:rsid w:val="001842F0"/>
    <w:rsid w:val="00184326"/>
    <w:rsid w:val="00184675"/>
    <w:rsid w:val="00184730"/>
    <w:rsid w:val="001849F1"/>
    <w:rsid w:val="00184A1B"/>
    <w:rsid w:val="00184B27"/>
    <w:rsid w:val="00184C21"/>
    <w:rsid w:val="00184CA9"/>
    <w:rsid w:val="00184E22"/>
    <w:rsid w:val="00185285"/>
    <w:rsid w:val="0018532A"/>
    <w:rsid w:val="00185507"/>
    <w:rsid w:val="0018577B"/>
    <w:rsid w:val="0018598D"/>
    <w:rsid w:val="00186001"/>
    <w:rsid w:val="001860AA"/>
    <w:rsid w:val="0018646C"/>
    <w:rsid w:val="00186573"/>
    <w:rsid w:val="00186628"/>
    <w:rsid w:val="00186BC6"/>
    <w:rsid w:val="00187300"/>
    <w:rsid w:val="0018762A"/>
    <w:rsid w:val="001876EA"/>
    <w:rsid w:val="00187768"/>
    <w:rsid w:val="001877F2"/>
    <w:rsid w:val="00187887"/>
    <w:rsid w:val="00187A0C"/>
    <w:rsid w:val="00187BA6"/>
    <w:rsid w:val="00187CBA"/>
    <w:rsid w:val="00187DB6"/>
    <w:rsid w:val="00187E14"/>
    <w:rsid w:val="0019005C"/>
    <w:rsid w:val="00190391"/>
    <w:rsid w:val="00190668"/>
    <w:rsid w:val="001906A3"/>
    <w:rsid w:val="00190895"/>
    <w:rsid w:val="00191351"/>
    <w:rsid w:val="001913CF"/>
    <w:rsid w:val="001916CA"/>
    <w:rsid w:val="00191947"/>
    <w:rsid w:val="00191C63"/>
    <w:rsid w:val="00191EC4"/>
    <w:rsid w:val="00192086"/>
    <w:rsid w:val="00192217"/>
    <w:rsid w:val="00192241"/>
    <w:rsid w:val="001922F7"/>
    <w:rsid w:val="0019232C"/>
    <w:rsid w:val="0019253E"/>
    <w:rsid w:val="001927B7"/>
    <w:rsid w:val="0019291A"/>
    <w:rsid w:val="00192ACB"/>
    <w:rsid w:val="00192B0A"/>
    <w:rsid w:val="00192C28"/>
    <w:rsid w:val="00192F14"/>
    <w:rsid w:val="00192F5A"/>
    <w:rsid w:val="0019317F"/>
    <w:rsid w:val="0019342B"/>
    <w:rsid w:val="00193909"/>
    <w:rsid w:val="001939E2"/>
    <w:rsid w:val="00193BE5"/>
    <w:rsid w:val="00193E51"/>
    <w:rsid w:val="00193EFE"/>
    <w:rsid w:val="0019407A"/>
    <w:rsid w:val="0019417D"/>
    <w:rsid w:val="001945AA"/>
    <w:rsid w:val="001948E3"/>
    <w:rsid w:val="00194B5D"/>
    <w:rsid w:val="00194C14"/>
    <w:rsid w:val="00195138"/>
    <w:rsid w:val="00195224"/>
    <w:rsid w:val="00195657"/>
    <w:rsid w:val="00195E23"/>
    <w:rsid w:val="00195E87"/>
    <w:rsid w:val="00195EC0"/>
    <w:rsid w:val="00195F05"/>
    <w:rsid w:val="001962B1"/>
    <w:rsid w:val="001962CF"/>
    <w:rsid w:val="00196369"/>
    <w:rsid w:val="001967A7"/>
    <w:rsid w:val="00196A09"/>
    <w:rsid w:val="00196CFD"/>
    <w:rsid w:val="00196E40"/>
    <w:rsid w:val="001975A1"/>
    <w:rsid w:val="00197748"/>
    <w:rsid w:val="00197C16"/>
    <w:rsid w:val="00197CF9"/>
    <w:rsid w:val="00197F9F"/>
    <w:rsid w:val="001A0022"/>
    <w:rsid w:val="001A07B8"/>
    <w:rsid w:val="001A0946"/>
    <w:rsid w:val="001A09D5"/>
    <w:rsid w:val="001A0A97"/>
    <w:rsid w:val="001A0A9F"/>
    <w:rsid w:val="001A0B38"/>
    <w:rsid w:val="001A0BCE"/>
    <w:rsid w:val="001A0DDF"/>
    <w:rsid w:val="001A0F95"/>
    <w:rsid w:val="001A1529"/>
    <w:rsid w:val="001A1561"/>
    <w:rsid w:val="001A196B"/>
    <w:rsid w:val="001A1AAB"/>
    <w:rsid w:val="001A1AC5"/>
    <w:rsid w:val="001A1AFF"/>
    <w:rsid w:val="001A1CB1"/>
    <w:rsid w:val="001A1DD3"/>
    <w:rsid w:val="001A1F1E"/>
    <w:rsid w:val="001A1F41"/>
    <w:rsid w:val="001A2132"/>
    <w:rsid w:val="001A229B"/>
    <w:rsid w:val="001A24A1"/>
    <w:rsid w:val="001A25F0"/>
    <w:rsid w:val="001A2627"/>
    <w:rsid w:val="001A2C9B"/>
    <w:rsid w:val="001A31BF"/>
    <w:rsid w:val="001A31E7"/>
    <w:rsid w:val="001A367A"/>
    <w:rsid w:val="001A38E1"/>
    <w:rsid w:val="001A3E6B"/>
    <w:rsid w:val="001A3E80"/>
    <w:rsid w:val="001A4183"/>
    <w:rsid w:val="001A420D"/>
    <w:rsid w:val="001A43A9"/>
    <w:rsid w:val="001A4814"/>
    <w:rsid w:val="001A4857"/>
    <w:rsid w:val="001A490D"/>
    <w:rsid w:val="001A4F78"/>
    <w:rsid w:val="001A5169"/>
    <w:rsid w:val="001A52FE"/>
    <w:rsid w:val="001A56C7"/>
    <w:rsid w:val="001A56FA"/>
    <w:rsid w:val="001A5A0F"/>
    <w:rsid w:val="001A5C84"/>
    <w:rsid w:val="001A5CDC"/>
    <w:rsid w:val="001A5CE4"/>
    <w:rsid w:val="001A5EAF"/>
    <w:rsid w:val="001A6014"/>
    <w:rsid w:val="001A62B8"/>
    <w:rsid w:val="001A6306"/>
    <w:rsid w:val="001A6423"/>
    <w:rsid w:val="001A6543"/>
    <w:rsid w:val="001A6699"/>
    <w:rsid w:val="001A6B5D"/>
    <w:rsid w:val="001A6C8A"/>
    <w:rsid w:val="001A6D0E"/>
    <w:rsid w:val="001A6FF0"/>
    <w:rsid w:val="001A744A"/>
    <w:rsid w:val="001A797B"/>
    <w:rsid w:val="001A7ADF"/>
    <w:rsid w:val="001A7BAE"/>
    <w:rsid w:val="001A7D55"/>
    <w:rsid w:val="001A7DAF"/>
    <w:rsid w:val="001A7DCE"/>
    <w:rsid w:val="001B0112"/>
    <w:rsid w:val="001B04C6"/>
    <w:rsid w:val="001B0535"/>
    <w:rsid w:val="001B05AC"/>
    <w:rsid w:val="001B0836"/>
    <w:rsid w:val="001B0D02"/>
    <w:rsid w:val="001B0D0C"/>
    <w:rsid w:val="001B1096"/>
    <w:rsid w:val="001B11FB"/>
    <w:rsid w:val="001B1459"/>
    <w:rsid w:val="001B155B"/>
    <w:rsid w:val="001B1597"/>
    <w:rsid w:val="001B172F"/>
    <w:rsid w:val="001B1774"/>
    <w:rsid w:val="001B1B88"/>
    <w:rsid w:val="001B1C3C"/>
    <w:rsid w:val="001B1D3B"/>
    <w:rsid w:val="001B1F0A"/>
    <w:rsid w:val="001B2040"/>
    <w:rsid w:val="001B2585"/>
    <w:rsid w:val="001B26E3"/>
    <w:rsid w:val="001B28BA"/>
    <w:rsid w:val="001B29C5"/>
    <w:rsid w:val="001B2BD3"/>
    <w:rsid w:val="001B2CAA"/>
    <w:rsid w:val="001B2D4D"/>
    <w:rsid w:val="001B2FCC"/>
    <w:rsid w:val="001B3031"/>
    <w:rsid w:val="001B308D"/>
    <w:rsid w:val="001B3105"/>
    <w:rsid w:val="001B318A"/>
    <w:rsid w:val="001B32B4"/>
    <w:rsid w:val="001B32E1"/>
    <w:rsid w:val="001B3320"/>
    <w:rsid w:val="001B3326"/>
    <w:rsid w:val="001B33B7"/>
    <w:rsid w:val="001B3504"/>
    <w:rsid w:val="001B3CCD"/>
    <w:rsid w:val="001B3CEB"/>
    <w:rsid w:val="001B3D1F"/>
    <w:rsid w:val="001B3D5F"/>
    <w:rsid w:val="001B3DC5"/>
    <w:rsid w:val="001B410D"/>
    <w:rsid w:val="001B43AF"/>
    <w:rsid w:val="001B450F"/>
    <w:rsid w:val="001B47D9"/>
    <w:rsid w:val="001B4818"/>
    <w:rsid w:val="001B487F"/>
    <w:rsid w:val="001B4D56"/>
    <w:rsid w:val="001B4D73"/>
    <w:rsid w:val="001B5387"/>
    <w:rsid w:val="001B5724"/>
    <w:rsid w:val="001B57E7"/>
    <w:rsid w:val="001B585D"/>
    <w:rsid w:val="001B5980"/>
    <w:rsid w:val="001B6101"/>
    <w:rsid w:val="001B6453"/>
    <w:rsid w:val="001B669C"/>
    <w:rsid w:val="001B67AF"/>
    <w:rsid w:val="001B680F"/>
    <w:rsid w:val="001B6829"/>
    <w:rsid w:val="001B6ABE"/>
    <w:rsid w:val="001B6ADF"/>
    <w:rsid w:val="001B6E35"/>
    <w:rsid w:val="001B6F20"/>
    <w:rsid w:val="001B6FC8"/>
    <w:rsid w:val="001B7480"/>
    <w:rsid w:val="001B758F"/>
    <w:rsid w:val="001B7D37"/>
    <w:rsid w:val="001B7D63"/>
    <w:rsid w:val="001B7E99"/>
    <w:rsid w:val="001B7FFD"/>
    <w:rsid w:val="001C007E"/>
    <w:rsid w:val="001C00E1"/>
    <w:rsid w:val="001C045F"/>
    <w:rsid w:val="001C05FB"/>
    <w:rsid w:val="001C082E"/>
    <w:rsid w:val="001C0AB6"/>
    <w:rsid w:val="001C0B79"/>
    <w:rsid w:val="001C0D5A"/>
    <w:rsid w:val="001C0D72"/>
    <w:rsid w:val="001C0E50"/>
    <w:rsid w:val="001C0FA0"/>
    <w:rsid w:val="001C156A"/>
    <w:rsid w:val="001C1646"/>
    <w:rsid w:val="001C1E5A"/>
    <w:rsid w:val="001C1F5B"/>
    <w:rsid w:val="001C1F67"/>
    <w:rsid w:val="001C2254"/>
    <w:rsid w:val="001C2259"/>
    <w:rsid w:val="001C2269"/>
    <w:rsid w:val="001C2338"/>
    <w:rsid w:val="001C24A2"/>
    <w:rsid w:val="001C2A08"/>
    <w:rsid w:val="001C2A75"/>
    <w:rsid w:val="001C2EC0"/>
    <w:rsid w:val="001C3529"/>
    <w:rsid w:val="001C3899"/>
    <w:rsid w:val="001C3AFB"/>
    <w:rsid w:val="001C3CD8"/>
    <w:rsid w:val="001C3DD9"/>
    <w:rsid w:val="001C3F5F"/>
    <w:rsid w:val="001C3FCA"/>
    <w:rsid w:val="001C3FCD"/>
    <w:rsid w:val="001C45C8"/>
    <w:rsid w:val="001C46E7"/>
    <w:rsid w:val="001C477D"/>
    <w:rsid w:val="001C4AE8"/>
    <w:rsid w:val="001C4B6E"/>
    <w:rsid w:val="001C4D8E"/>
    <w:rsid w:val="001C5204"/>
    <w:rsid w:val="001C56E8"/>
    <w:rsid w:val="001C5959"/>
    <w:rsid w:val="001C5BB6"/>
    <w:rsid w:val="001C5FC6"/>
    <w:rsid w:val="001C6819"/>
    <w:rsid w:val="001C69C6"/>
    <w:rsid w:val="001C6B1D"/>
    <w:rsid w:val="001C6B77"/>
    <w:rsid w:val="001C6CDA"/>
    <w:rsid w:val="001C6F33"/>
    <w:rsid w:val="001C722F"/>
    <w:rsid w:val="001C72A9"/>
    <w:rsid w:val="001C7518"/>
    <w:rsid w:val="001C7586"/>
    <w:rsid w:val="001C78E6"/>
    <w:rsid w:val="001C7B2C"/>
    <w:rsid w:val="001C7B85"/>
    <w:rsid w:val="001D02E6"/>
    <w:rsid w:val="001D04FF"/>
    <w:rsid w:val="001D0797"/>
    <w:rsid w:val="001D0B0B"/>
    <w:rsid w:val="001D0C25"/>
    <w:rsid w:val="001D0F20"/>
    <w:rsid w:val="001D11AF"/>
    <w:rsid w:val="001D11C5"/>
    <w:rsid w:val="001D139B"/>
    <w:rsid w:val="001D18BF"/>
    <w:rsid w:val="001D1B2E"/>
    <w:rsid w:val="001D1CA4"/>
    <w:rsid w:val="001D1F86"/>
    <w:rsid w:val="001D29F0"/>
    <w:rsid w:val="001D2CA5"/>
    <w:rsid w:val="001D2CC0"/>
    <w:rsid w:val="001D3084"/>
    <w:rsid w:val="001D34C1"/>
    <w:rsid w:val="001D3583"/>
    <w:rsid w:val="001D3908"/>
    <w:rsid w:val="001D3988"/>
    <w:rsid w:val="001D3A36"/>
    <w:rsid w:val="001D3B0E"/>
    <w:rsid w:val="001D3B48"/>
    <w:rsid w:val="001D3CAF"/>
    <w:rsid w:val="001D3ED8"/>
    <w:rsid w:val="001D4219"/>
    <w:rsid w:val="001D426C"/>
    <w:rsid w:val="001D4699"/>
    <w:rsid w:val="001D4894"/>
    <w:rsid w:val="001D490D"/>
    <w:rsid w:val="001D4943"/>
    <w:rsid w:val="001D4F7C"/>
    <w:rsid w:val="001D5241"/>
    <w:rsid w:val="001D5361"/>
    <w:rsid w:val="001D5814"/>
    <w:rsid w:val="001D59FB"/>
    <w:rsid w:val="001D5ACD"/>
    <w:rsid w:val="001D5B3A"/>
    <w:rsid w:val="001D5D1A"/>
    <w:rsid w:val="001D6173"/>
    <w:rsid w:val="001D651B"/>
    <w:rsid w:val="001D652A"/>
    <w:rsid w:val="001D664A"/>
    <w:rsid w:val="001D67B3"/>
    <w:rsid w:val="001D6841"/>
    <w:rsid w:val="001D6865"/>
    <w:rsid w:val="001D6BF3"/>
    <w:rsid w:val="001D6C52"/>
    <w:rsid w:val="001D74D6"/>
    <w:rsid w:val="001D7615"/>
    <w:rsid w:val="001D77DC"/>
    <w:rsid w:val="001D7824"/>
    <w:rsid w:val="001D7988"/>
    <w:rsid w:val="001D798D"/>
    <w:rsid w:val="001D79A7"/>
    <w:rsid w:val="001D7ADC"/>
    <w:rsid w:val="001D7DDF"/>
    <w:rsid w:val="001D7F11"/>
    <w:rsid w:val="001D7F7C"/>
    <w:rsid w:val="001E0017"/>
    <w:rsid w:val="001E019F"/>
    <w:rsid w:val="001E03F3"/>
    <w:rsid w:val="001E08D3"/>
    <w:rsid w:val="001E0C99"/>
    <w:rsid w:val="001E0DA2"/>
    <w:rsid w:val="001E1125"/>
    <w:rsid w:val="001E1156"/>
    <w:rsid w:val="001E1162"/>
    <w:rsid w:val="001E131C"/>
    <w:rsid w:val="001E151A"/>
    <w:rsid w:val="001E1821"/>
    <w:rsid w:val="001E18FF"/>
    <w:rsid w:val="001E1B88"/>
    <w:rsid w:val="001E1D66"/>
    <w:rsid w:val="001E1EBE"/>
    <w:rsid w:val="001E1F5E"/>
    <w:rsid w:val="001E207D"/>
    <w:rsid w:val="001E20AF"/>
    <w:rsid w:val="001E2231"/>
    <w:rsid w:val="001E24A2"/>
    <w:rsid w:val="001E252C"/>
    <w:rsid w:val="001E25A6"/>
    <w:rsid w:val="001E2604"/>
    <w:rsid w:val="001E2C1E"/>
    <w:rsid w:val="001E310F"/>
    <w:rsid w:val="001E32F2"/>
    <w:rsid w:val="001E33DB"/>
    <w:rsid w:val="001E3561"/>
    <w:rsid w:val="001E364B"/>
    <w:rsid w:val="001E3736"/>
    <w:rsid w:val="001E3822"/>
    <w:rsid w:val="001E3896"/>
    <w:rsid w:val="001E39E2"/>
    <w:rsid w:val="001E3A13"/>
    <w:rsid w:val="001E3BA8"/>
    <w:rsid w:val="001E3E31"/>
    <w:rsid w:val="001E40A1"/>
    <w:rsid w:val="001E40F1"/>
    <w:rsid w:val="001E4190"/>
    <w:rsid w:val="001E4367"/>
    <w:rsid w:val="001E45A1"/>
    <w:rsid w:val="001E48A1"/>
    <w:rsid w:val="001E4B51"/>
    <w:rsid w:val="001E4CA4"/>
    <w:rsid w:val="001E4DF6"/>
    <w:rsid w:val="001E4EB8"/>
    <w:rsid w:val="001E4F51"/>
    <w:rsid w:val="001E501D"/>
    <w:rsid w:val="001E526B"/>
    <w:rsid w:val="001E5708"/>
    <w:rsid w:val="001E57B2"/>
    <w:rsid w:val="001E5A0A"/>
    <w:rsid w:val="001E5B53"/>
    <w:rsid w:val="001E5BCB"/>
    <w:rsid w:val="001E5CE3"/>
    <w:rsid w:val="001E5F00"/>
    <w:rsid w:val="001E60AF"/>
    <w:rsid w:val="001E664D"/>
    <w:rsid w:val="001E66A0"/>
    <w:rsid w:val="001E69A8"/>
    <w:rsid w:val="001E6E40"/>
    <w:rsid w:val="001E70AD"/>
    <w:rsid w:val="001E7349"/>
    <w:rsid w:val="001E75AB"/>
    <w:rsid w:val="001E75DC"/>
    <w:rsid w:val="001E77AB"/>
    <w:rsid w:val="001E7896"/>
    <w:rsid w:val="001E7C4E"/>
    <w:rsid w:val="001E7EB8"/>
    <w:rsid w:val="001F037D"/>
    <w:rsid w:val="001F044D"/>
    <w:rsid w:val="001F073D"/>
    <w:rsid w:val="001F07F3"/>
    <w:rsid w:val="001F0BFF"/>
    <w:rsid w:val="001F0D21"/>
    <w:rsid w:val="001F0E81"/>
    <w:rsid w:val="001F11BC"/>
    <w:rsid w:val="001F1720"/>
    <w:rsid w:val="001F184D"/>
    <w:rsid w:val="001F1895"/>
    <w:rsid w:val="001F1B2D"/>
    <w:rsid w:val="001F1CE6"/>
    <w:rsid w:val="001F1DE3"/>
    <w:rsid w:val="001F1F54"/>
    <w:rsid w:val="001F2486"/>
    <w:rsid w:val="001F2513"/>
    <w:rsid w:val="001F2938"/>
    <w:rsid w:val="001F29A1"/>
    <w:rsid w:val="001F29E2"/>
    <w:rsid w:val="001F2CAD"/>
    <w:rsid w:val="001F2CBE"/>
    <w:rsid w:val="001F3077"/>
    <w:rsid w:val="001F31EA"/>
    <w:rsid w:val="001F3277"/>
    <w:rsid w:val="001F3290"/>
    <w:rsid w:val="001F37C7"/>
    <w:rsid w:val="001F3853"/>
    <w:rsid w:val="001F38D3"/>
    <w:rsid w:val="001F39F8"/>
    <w:rsid w:val="001F3A59"/>
    <w:rsid w:val="001F3FF9"/>
    <w:rsid w:val="001F40CE"/>
    <w:rsid w:val="001F411C"/>
    <w:rsid w:val="001F416E"/>
    <w:rsid w:val="001F4418"/>
    <w:rsid w:val="001F44CD"/>
    <w:rsid w:val="001F450E"/>
    <w:rsid w:val="001F46F4"/>
    <w:rsid w:val="001F46FA"/>
    <w:rsid w:val="001F47DC"/>
    <w:rsid w:val="001F47F7"/>
    <w:rsid w:val="001F485C"/>
    <w:rsid w:val="001F4901"/>
    <w:rsid w:val="001F4918"/>
    <w:rsid w:val="001F4A11"/>
    <w:rsid w:val="001F4BB4"/>
    <w:rsid w:val="001F4C98"/>
    <w:rsid w:val="001F4DAE"/>
    <w:rsid w:val="001F4E32"/>
    <w:rsid w:val="001F50AF"/>
    <w:rsid w:val="001F5902"/>
    <w:rsid w:val="001F5B7A"/>
    <w:rsid w:val="001F5DA0"/>
    <w:rsid w:val="001F5E93"/>
    <w:rsid w:val="001F61A1"/>
    <w:rsid w:val="001F6320"/>
    <w:rsid w:val="001F637C"/>
    <w:rsid w:val="001F65A4"/>
    <w:rsid w:val="001F66DD"/>
    <w:rsid w:val="001F6746"/>
    <w:rsid w:val="001F6AA8"/>
    <w:rsid w:val="001F6E97"/>
    <w:rsid w:val="001F716B"/>
    <w:rsid w:val="001F71FE"/>
    <w:rsid w:val="001F7323"/>
    <w:rsid w:val="001F74BE"/>
    <w:rsid w:val="001F765D"/>
    <w:rsid w:val="001F7D44"/>
    <w:rsid w:val="001F7EAA"/>
    <w:rsid w:val="001F7F47"/>
    <w:rsid w:val="00200114"/>
    <w:rsid w:val="00200131"/>
    <w:rsid w:val="00200266"/>
    <w:rsid w:val="002003BF"/>
    <w:rsid w:val="0020072B"/>
    <w:rsid w:val="00200777"/>
    <w:rsid w:val="002007D0"/>
    <w:rsid w:val="0020087B"/>
    <w:rsid w:val="00200903"/>
    <w:rsid w:val="00200A62"/>
    <w:rsid w:val="00200ABF"/>
    <w:rsid w:val="00200B43"/>
    <w:rsid w:val="00200B69"/>
    <w:rsid w:val="00200E68"/>
    <w:rsid w:val="00200F22"/>
    <w:rsid w:val="0020103A"/>
    <w:rsid w:val="00201365"/>
    <w:rsid w:val="002015AB"/>
    <w:rsid w:val="002015F4"/>
    <w:rsid w:val="00201883"/>
    <w:rsid w:val="00201D6F"/>
    <w:rsid w:val="00201DBD"/>
    <w:rsid w:val="00201E4A"/>
    <w:rsid w:val="002020BB"/>
    <w:rsid w:val="0020278A"/>
    <w:rsid w:val="00202824"/>
    <w:rsid w:val="0020287B"/>
    <w:rsid w:val="002028EE"/>
    <w:rsid w:val="00202941"/>
    <w:rsid w:val="00202A38"/>
    <w:rsid w:val="00202F31"/>
    <w:rsid w:val="00203237"/>
    <w:rsid w:val="00203339"/>
    <w:rsid w:val="002034BE"/>
    <w:rsid w:val="0020366D"/>
    <w:rsid w:val="0020430C"/>
    <w:rsid w:val="00204352"/>
    <w:rsid w:val="0020437D"/>
    <w:rsid w:val="00204434"/>
    <w:rsid w:val="002044CE"/>
    <w:rsid w:val="0020468D"/>
    <w:rsid w:val="002049DC"/>
    <w:rsid w:val="00204BB3"/>
    <w:rsid w:val="00204BFB"/>
    <w:rsid w:val="00204CE9"/>
    <w:rsid w:val="00205123"/>
    <w:rsid w:val="00205375"/>
    <w:rsid w:val="002054E5"/>
    <w:rsid w:val="002056FC"/>
    <w:rsid w:val="00205A2B"/>
    <w:rsid w:val="00205BCC"/>
    <w:rsid w:val="00205EFB"/>
    <w:rsid w:val="00206295"/>
    <w:rsid w:val="00206651"/>
    <w:rsid w:val="002066D3"/>
    <w:rsid w:val="0020674B"/>
    <w:rsid w:val="00206A33"/>
    <w:rsid w:val="00206C07"/>
    <w:rsid w:val="00206CB4"/>
    <w:rsid w:val="00206FD0"/>
    <w:rsid w:val="00207173"/>
    <w:rsid w:val="00207393"/>
    <w:rsid w:val="0020751A"/>
    <w:rsid w:val="00207616"/>
    <w:rsid w:val="00207642"/>
    <w:rsid w:val="00207A34"/>
    <w:rsid w:val="00207C52"/>
    <w:rsid w:val="00207C8F"/>
    <w:rsid w:val="0021041B"/>
    <w:rsid w:val="00210516"/>
    <w:rsid w:val="00210543"/>
    <w:rsid w:val="002109A1"/>
    <w:rsid w:val="00210DB8"/>
    <w:rsid w:val="00210E80"/>
    <w:rsid w:val="00210EC7"/>
    <w:rsid w:val="0021103F"/>
    <w:rsid w:val="002110BE"/>
    <w:rsid w:val="002111B7"/>
    <w:rsid w:val="00211335"/>
    <w:rsid w:val="00211545"/>
    <w:rsid w:val="00211929"/>
    <w:rsid w:val="00211AE2"/>
    <w:rsid w:val="002120EB"/>
    <w:rsid w:val="002122E1"/>
    <w:rsid w:val="002123A8"/>
    <w:rsid w:val="002124AD"/>
    <w:rsid w:val="002124C2"/>
    <w:rsid w:val="002125AB"/>
    <w:rsid w:val="00212760"/>
    <w:rsid w:val="002127DE"/>
    <w:rsid w:val="00212873"/>
    <w:rsid w:val="00212929"/>
    <w:rsid w:val="00212BA3"/>
    <w:rsid w:val="00212C7B"/>
    <w:rsid w:val="00212F7A"/>
    <w:rsid w:val="00212F8E"/>
    <w:rsid w:val="00212FDF"/>
    <w:rsid w:val="002132E7"/>
    <w:rsid w:val="0021332B"/>
    <w:rsid w:val="0021363D"/>
    <w:rsid w:val="00213712"/>
    <w:rsid w:val="00213755"/>
    <w:rsid w:val="0021376F"/>
    <w:rsid w:val="0021380E"/>
    <w:rsid w:val="00213B0B"/>
    <w:rsid w:val="00213FB0"/>
    <w:rsid w:val="0021430C"/>
    <w:rsid w:val="0021494A"/>
    <w:rsid w:val="00214AA4"/>
    <w:rsid w:val="00214AD5"/>
    <w:rsid w:val="00214B5D"/>
    <w:rsid w:val="00214C0B"/>
    <w:rsid w:val="00214D50"/>
    <w:rsid w:val="00214F0C"/>
    <w:rsid w:val="00215213"/>
    <w:rsid w:val="00215229"/>
    <w:rsid w:val="00215629"/>
    <w:rsid w:val="00215ABE"/>
    <w:rsid w:val="00215BE4"/>
    <w:rsid w:val="00215C88"/>
    <w:rsid w:val="002160EB"/>
    <w:rsid w:val="0021617A"/>
    <w:rsid w:val="0021623D"/>
    <w:rsid w:val="002162E0"/>
    <w:rsid w:val="00216700"/>
    <w:rsid w:val="002168DB"/>
    <w:rsid w:val="00216B67"/>
    <w:rsid w:val="00216BA4"/>
    <w:rsid w:val="00216CF6"/>
    <w:rsid w:val="00216F13"/>
    <w:rsid w:val="00217037"/>
    <w:rsid w:val="0021737C"/>
    <w:rsid w:val="0021758C"/>
    <w:rsid w:val="002175B0"/>
    <w:rsid w:val="00217B23"/>
    <w:rsid w:val="00217E3B"/>
    <w:rsid w:val="00217F52"/>
    <w:rsid w:val="002200C4"/>
    <w:rsid w:val="002200E2"/>
    <w:rsid w:val="002202A2"/>
    <w:rsid w:val="002203F8"/>
    <w:rsid w:val="0022070A"/>
    <w:rsid w:val="002207B1"/>
    <w:rsid w:val="002207E7"/>
    <w:rsid w:val="0022090D"/>
    <w:rsid w:val="00220C61"/>
    <w:rsid w:val="00221273"/>
    <w:rsid w:val="00221702"/>
    <w:rsid w:val="00221860"/>
    <w:rsid w:val="00221B65"/>
    <w:rsid w:val="00221EE3"/>
    <w:rsid w:val="0022205B"/>
    <w:rsid w:val="0022256F"/>
    <w:rsid w:val="00222815"/>
    <w:rsid w:val="00222CAF"/>
    <w:rsid w:val="00222CE3"/>
    <w:rsid w:val="00222DA4"/>
    <w:rsid w:val="00222E92"/>
    <w:rsid w:val="00222FF4"/>
    <w:rsid w:val="00223197"/>
    <w:rsid w:val="00223859"/>
    <w:rsid w:val="00223AAA"/>
    <w:rsid w:val="00223D28"/>
    <w:rsid w:val="002242A4"/>
    <w:rsid w:val="002243F4"/>
    <w:rsid w:val="002247BF"/>
    <w:rsid w:val="002249D2"/>
    <w:rsid w:val="00224A30"/>
    <w:rsid w:val="00224A73"/>
    <w:rsid w:val="00224E9F"/>
    <w:rsid w:val="00224F38"/>
    <w:rsid w:val="00224F76"/>
    <w:rsid w:val="00224FF3"/>
    <w:rsid w:val="00225128"/>
    <w:rsid w:val="002258CF"/>
    <w:rsid w:val="00225E56"/>
    <w:rsid w:val="00225E5A"/>
    <w:rsid w:val="00225F36"/>
    <w:rsid w:val="00225FF3"/>
    <w:rsid w:val="002269A9"/>
    <w:rsid w:val="00226BE1"/>
    <w:rsid w:val="00226EF3"/>
    <w:rsid w:val="00226F19"/>
    <w:rsid w:val="00227126"/>
    <w:rsid w:val="002271BB"/>
    <w:rsid w:val="00227324"/>
    <w:rsid w:val="002273C0"/>
    <w:rsid w:val="00227525"/>
    <w:rsid w:val="002275D1"/>
    <w:rsid w:val="00227ACD"/>
    <w:rsid w:val="00227E1C"/>
    <w:rsid w:val="00227FF0"/>
    <w:rsid w:val="00227FFB"/>
    <w:rsid w:val="002300A5"/>
    <w:rsid w:val="00230230"/>
    <w:rsid w:val="00230302"/>
    <w:rsid w:val="002303BD"/>
    <w:rsid w:val="002303CD"/>
    <w:rsid w:val="002304C7"/>
    <w:rsid w:val="002306FF"/>
    <w:rsid w:val="002308A1"/>
    <w:rsid w:val="00230963"/>
    <w:rsid w:val="00230A03"/>
    <w:rsid w:val="00230D6C"/>
    <w:rsid w:val="00230E39"/>
    <w:rsid w:val="00230F01"/>
    <w:rsid w:val="00230F34"/>
    <w:rsid w:val="00231835"/>
    <w:rsid w:val="002319F6"/>
    <w:rsid w:val="00231DDD"/>
    <w:rsid w:val="002320BF"/>
    <w:rsid w:val="00232197"/>
    <w:rsid w:val="0023226C"/>
    <w:rsid w:val="00232384"/>
    <w:rsid w:val="00232481"/>
    <w:rsid w:val="00232979"/>
    <w:rsid w:val="00232AC2"/>
    <w:rsid w:val="00232B8F"/>
    <w:rsid w:val="00232EF2"/>
    <w:rsid w:val="00232F1D"/>
    <w:rsid w:val="00233074"/>
    <w:rsid w:val="002330AC"/>
    <w:rsid w:val="002331D5"/>
    <w:rsid w:val="002336B6"/>
    <w:rsid w:val="002337BE"/>
    <w:rsid w:val="00233844"/>
    <w:rsid w:val="002338E1"/>
    <w:rsid w:val="002339C2"/>
    <w:rsid w:val="00233AA2"/>
    <w:rsid w:val="00233AE1"/>
    <w:rsid w:val="00233E33"/>
    <w:rsid w:val="00233FEB"/>
    <w:rsid w:val="002340D6"/>
    <w:rsid w:val="002342C1"/>
    <w:rsid w:val="00234500"/>
    <w:rsid w:val="002346D6"/>
    <w:rsid w:val="0023486F"/>
    <w:rsid w:val="002349DC"/>
    <w:rsid w:val="00234C6C"/>
    <w:rsid w:val="00234C92"/>
    <w:rsid w:val="00234E0B"/>
    <w:rsid w:val="00234F44"/>
    <w:rsid w:val="002353CC"/>
    <w:rsid w:val="00235595"/>
    <w:rsid w:val="00235B31"/>
    <w:rsid w:val="00235C36"/>
    <w:rsid w:val="00235DB1"/>
    <w:rsid w:val="00235F5D"/>
    <w:rsid w:val="0023618D"/>
    <w:rsid w:val="002361D2"/>
    <w:rsid w:val="002361D6"/>
    <w:rsid w:val="0023640D"/>
    <w:rsid w:val="00236495"/>
    <w:rsid w:val="002366FC"/>
    <w:rsid w:val="002368B7"/>
    <w:rsid w:val="00237325"/>
    <w:rsid w:val="002374A6"/>
    <w:rsid w:val="002374AF"/>
    <w:rsid w:val="00237572"/>
    <w:rsid w:val="00237638"/>
    <w:rsid w:val="002376A1"/>
    <w:rsid w:val="002379F3"/>
    <w:rsid w:val="00237B6D"/>
    <w:rsid w:val="00237DA8"/>
    <w:rsid w:val="00237F60"/>
    <w:rsid w:val="00237FD7"/>
    <w:rsid w:val="0024037A"/>
    <w:rsid w:val="00240491"/>
    <w:rsid w:val="002404B2"/>
    <w:rsid w:val="00240A46"/>
    <w:rsid w:val="00240AAC"/>
    <w:rsid w:val="00240AD4"/>
    <w:rsid w:val="00240B4E"/>
    <w:rsid w:val="00240DA6"/>
    <w:rsid w:val="00240DC7"/>
    <w:rsid w:val="00240FD4"/>
    <w:rsid w:val="0024101C"/>
    <w:rsid w:val="002418A7"/>
    <w:rsid w:val="00241971"/>
    <w:rsid w:val="002419B3"/>
    <w:rsid w:val="00241BA1"/>
    <w:rsid w:val="00241C7F"/>
    <w:rsid w:val="00242464"/>
    <w:rsid w:val="00242479"/>
    <w:rsid w:val="002424E9"/>
    <w:rsid w:val="002425AA"/>
    <w:rsid w:val="002427AF"/>
    <w:rsid w:val="00242829"/>
    <w:rsid w:val="00242875"/>
    <w:rsid w:val="00242930"/>
    <w:rsid w:val="00242A43"/>
    <w:rsid w:val="00242B52"/>
    <w:rsid w:val="00242E04"/>
    <w:rsid w:val="00242E97"/>
    <w:rsid w:val="0024321C"/>
    <w:rsid w:val="00243670"/>
    <w:rsid w:val="002436AA"/>
    <w:rsid w:val="002439E5"/>
    <w:rsid w:val="00243F8C"/>
    <w:rsid w:val="002442D5"/>
    <w:rsid w:val="002445C5"/>
    <w:rsid w:val="002446F7"/>
    <w:rsid w:val="00244EC8"/>
    <w:rsid w:val="00244F6E"/>
    <w:rsid w:val="002451F7"/>
    <w:rsid w:val="0024526C"/>
    <w:rsid w:val="002454A8"/>
    <w:rsid w:val="00245563"/>
    <w:rsid w:val="00245A73"/>
    <w:rsid w:val="00245C1B"/>
    <w:rsid w:val="00245D51"/>
    <w:rsid w:val="00245DFF"/>
    <w:rsid w:val="00245E4B"/>
    <w:rsid w:val="00245F2A"/>
    <w:rsid w:val="00246150"/>
    <w:rsid w:val="00246270"/>
    <w:rsid w:val="002464D7"/>
    <w:rsid w:val="00246734"/>
    <w:rsid w:val="0024677B"/>
    <w:rsid w:val="00246848"/>
    <w:rsid w:val="002469C2"/>
    <w:rsid w:val="00246CD0"/>
    <w:rsid w:val="00246D6A"/>
    <w:rsid w:val="00246F21"/>
    <w:rsid w:val="00247142"/>
    <w:rsid w:val="0024715F"/>
    <w:rsid w:val="00247796"/>
    <w:rsid w:val="00247983"/>
    <w:rsid w:val="00247A38"/>
    <w:rsid w:val="00247D90"/>
    <w:rsid w:val="00247E08"/>
    <w:rsid w:val="00247ECF"/>
    <w:rsid w:val="00250171"/>
    <w:rsid w:val="00250175"/>
    <w:rsid w:val="002501E2"/>
    <w:rsid w:val="002501F9"/>
    <w:rsid w:val="0025045D"/>
    <w:rsid w:val="00250642"/>
    <w:rsid w:val="00250663"/>
    <w:rsid w:val="00250B40"/>
    <w:rsid w:val="00250DB9"/>
    <w:rsid w:val="00250E0B"/>
    <w:rsid w:val="00250EA6"/>
    <w:rsid w:val="00251035"/>
    <w:rsid w:val="00251133"/>
    <w:rsid w:val="002511CF"/>
    <w:rsid w:val="002513BB"/>
    <w:rsid w:val="0025158D"/>
    <w:rsid w:val="0025167C"/>
    <w:rsid w:val="002517DB"/>
    <w:rsid w:val="00251857"/>
    <w:rsid w:val="00251A30"/>
    <w:rsid w:val="00251C2C"/>
    <w:rsid w:val="00251C87"/>
    <w:rsid w:val="00251FC0"/>
    <w:rsid w:val="00252333"/>
    <w:rsid w:val="00252591"/>
    <w:rsid w:val="002525DA"/>
    <w:rsid w:val="002526A7"/>
    <w:rsid w:val="00252786"/>
    <w:rsid w:val="00252792"/>
    <w:rsid w:val="00252AA4"/>
    <w:rsid w:val="00252BC0"/>
    <w:rsid w:val="00252D32"/>
    <w:rsid w:val="00252EE5"/>
    <w:rsid w:val="00253236"/>
    <w:rsid w:val="00253440"/>
    <w:rsid w:val="002534AF"/>
    <w:rsid w:val="002534EE"/>
    <w:rsid w:val="002534FA"/>
    <w:rsid w:val="00253506"/>
    <w:rsid w:val="002536C3"/>
    <w:rsid w:val="002536DC"/>
    <w:rsid w:val="00253A4A"/>
    <w:rsid w:val="00253AB0"/>
    <w:rsid w:val="00253C5B"/>
    <w:rsid w:val="00253CEE"/>
    <w:rsid w:val="0025434F"/>
    <w:rsid w:val="002544F6"/>
    <w:rsid w:val="0025470A"/>
    <w:rsid w:val="00254737"/>
    <w:rsid w:val="00254BB9"/>
    <w:rsid w:val="0025512E"/>
    <w:rsid w:val="0025515D"/>
    <w:rsid w:val="002557A0"/>
    <w:rsid w:val="00255B16"/>
    <w:rsid w:val="00255C71"/>
    <w:rsid w:val="00255C7C"/>
    <w:rsid w:val="00255EDD"/>
    <w:rsid w:val="00255F75"/>
    <w:rsid w:val="00256066"/>
    <w:rsid w:val="002562AA"/>
    <w:rsid w:val="00256354"/>
    <w:rsid w:val="00256839"/>
    <w:rsid w:val="002569AB"/>
    <w:rsid w:val="00256B80"/>
    <w:rsid w:val="00256CB0"/>
    <w:rsid w:val="00256E0F"/>
    <w:rsid w:val="00256FD0"/>
    <w:rsid w:val="00256FFA"/>
    <w:rsid w:val="0025710D"/>
    <w:rsid w:val="0025720A"/>
    <w:rsid w:val="00257723"/>
    <w:rsid w:val="00257A2D"/>
    <w:rsid w:val="00257A78"/>
    <w:rsid w:val="00257CAE"/>
    <w:rsid w:val="00257EE1"/>
    <w:rsid w:val="00260021"/>
    <w:rsid w:val="002600B8"/>
    <w:rsid w:val="00260469"/>
    <w:rsid w:val="0026059F"/>
    <w:rsid w:val="0026084A"/>
    <w:rsid w:val="002608B7"/>
    <w:rsid w:val="00260C8E"/>
    <w:rsid w:val="00260F4B"/>
    <w:rsid w:val="0026127E"/>
    <w:rsid w:val="002616A2"/>
    <w:rsid w:val="002617C5"/>
    <w:rsid w:val="0026189E"/>
    <w:rsid w:val="00261AE0"/>
    <w:rsid w:val="00262620"/>
    <w:rsid w:val="002626A8"/>
    <w:rsid w:val="00262BF4"/>
    <w:rsid w:val="00262D3E"/>
    <w:rsid w:val="00262F42"/>
    <w:rsid w:val="002630F7"/>
    <w:rsid w:val="002632C0"/>
    <w:rsid w:val="00263535"/>
    <w:rsid w:val="00263555"/>
    <w:rsid w:val="00263730"/>
    <w:rsid w:val="00263865"/>
    <w:rsid w:val="002640C7"/>
    <w:rsid w:val="00264341"/>
    <w:rsid w:val="002643DF"/>
    <w:rsid w:val="002646E9"/>
    <w:rsid w:val="002646F3"/>
    <w:rsid w:val="002647AD"/>
    <w:rsid w:val="00264985"/>
    <w:rsid w:val="00264EA2"/>
    <w:rsid w:val="00265059"/>
    <w:rsid w:val="00265104"/>
    <w:rsid w:val="002655B9"/>
    <w:rsid w:val="0026570A"/>
    <w:rsid w:val="002658E5"/>
    <w:rsid w:val="00265972"/>
    <w:rsid w:val="002659BD"/>
    <w:rsid w:val="00265CAF"/>
    <w:rsid w:val="0026600F"/>
    <w:rsid w:val="00266012"/>
    <w:rsid w:val="002662F8"/>
    <w:rsid w:val="00266EED"/>
    <w:rsid w:val="00266F02"/>
    <w:rsid w:val="00266FC0"/>
    <w:rsid w:val="002672CE"/>
    <w:rsid w:val="00267348"/>
    <w:rsid w:val="002673F0"/>
    <w:rsid w:val="00267B43"/>
    <w:rsid w:val="00267BDC"/>
    <w:rsid w:val="00267C59"/>
    <w:rsid w:val="00267D29"/>
    <w:rsid w:val="00267EAC"/>
    <w:rsid w:val="002704DD"/>
    <w:rsid w:val="0027059F"/>
    <w:rsid w:val="00270A9E"/>
    <w:rsid w:val="00270DC7"/>
    <w:rsid w:val="00270DD9"/>
    <w:rsid w:val="00270E9F"/>
    <w:rsid w:val="00270FD9"/>
    <w:rsid w:val="002713AB"/>
    <w:rsid w:val="002713BF"/>
    <w:rsid w:val="0027154C"/>
    <w:rsid w:val="0027154E"/>
    <w:rsid w:val="0027170B"/>
    <w:rsid w:val="00271998"/>
    <w:rsid w:val="00271A8E"/>
    <w:rsid w:val="00271C2F"/>
    <w:rsid w:val="00271CDF"/>
    <w:rsid w:val="00271D32"/>
    <w:rsid w:val="0027206B"/>
    <w:rsid w:val="002724A0"/>
    <w:rsid w:val="0027287D"/>
    <w:rsid w:val="0027290B"/>
    <w:rsid w:val="00272950"/>
    <w:rsid w:val="00272BD9"/>
    <w:rsid w:val="00272D92"/>
    <w:rsid w:val="002733FC"/>
    <w:rsid w:val="00273677"/>
    <w:rsid w:val="0027378D"/>
    <w:rsid w:val="0027424E"/>
    <w:rsid w:val="00274A02"/>
    <w:rsid w:val="00274C86"/>
    <w:rsid w:val="00274C8B"/>
    <w:rsid w:val="002752B6"/>
    <w:rsid w:val="00275450"/>
    <w:rsid w:val="00275598"/>
    <w:rsid w:val="0027564B"/>
    <w:rsid w:val="00275726"/>
    <w:rsid w:val="002757BB"/>
    <w:rsid w:val="00275864"/>
    <w:rsid w:val="002759FC"/>
    <w:rsid w:val="00275DF2"/>
    <w:rsid w:val="0027600D"/>
    <w:rsid w:val="00276220"/>
    <w:rsid w:val="0027626E"/>
    <w:rsid w:val="0027636C"/>
    <w:rsid w:val="0027665B"/>
    <w:rsid w:val="002768B3"/>
    <w:rsid w:val="00276983"/>
    <w:rsid w:val="002769F5"/>
    <w:rsid w:val="00276B41"/>
    <w:rsid w:val="002770EE"/>
    <w:rsid w:val="0027715C"/>
    <w:rsid w:val="0027739B"/>
    <w:rsid w:val="002774B0"/>
    <w:rsid w:val="002774BD"/>
    <w:rsid w:val="00277AEA"/>
    <w:rsid w:val="00277C48"/>
    <w:rsid w:val="00277DD5"/>
    <w:rsid w:val="00277E29"/>
    <w:rsid w:val="00280020"/>
    <w:rsid w:val="00280053"/>
    <w:rsid w:val="002803B4"/>
    <w:rsid w:val="002806AF"/>
    <w:rsid w:val="00280C2A"/>
    <w:rsid w:val="00280D28"/>
    <w:rsid w:val="00280DF1"/>
    <w:rsid w:val="0028151A"/>
    <w:rsid w:val="00281ACA"/>
    <w:rsid w:val="00281C7A"/>
    <w:rsid w:val="00281D6F"/>
    <w:rsid w:val="002822D5"/>
    <w:rsid w:val="00282399"/>
    <w:rsid w:val="002823FD"/>
    <w:rsid w:val="00282497"/>
    <w:rsid w:val="002827B5"/>
    <w:rsid w:val="002827C4"/>
    <w:rsid w:val="00282865"/>
    <w:rsid w:val="00282956"/>
    <w:rsid w:val="00282B4C"/>
    <w:rsid w:val="00282C46"/>
    <w:rsid w:val="00282D63"/>
    <w:rsid w:val="00282D9C"/>
    <w:rsid w:val="00282E94"/>
    <w:rsid w:val="0028319F"/>
    <w:rsid w:val="00283578"/>
    <w:rsid w:val="00283723"/>
    <w:rsid w:val="002837C4"/>
    <w:rsid w:val="002837DA"/>
    <w:rsid w:val="0028387F"/>
    <w:rsid w:val="00283B02"/>
    <w:rsid w:val="00283C42"/>
    <w:rsid w:val="00283C86"/>
    <w:rsid w:val="00283CE2"/>
    <w:rsid w:val="00283D7B"/>
    <w:rsid w:val="00283E5C"/>
    <w:rsid w:val="00283EA6"/>
    <w:rsid w:val="00283EEC"/>
    <w:rsid w:val="0028410B"/>
    <w:rsid w:val="00284230"/>
    <w:rsid w:val="0028423B"/>
    <w:rsid w:val="0028449D"/>
    <w:rsid w:val="00284534"/>
    <w:rsid w:val="00284596"/>
    <w:rsid w:val="00284F0F"/>
    <w:rsid w:val="0028526B"/>
    <w:rsid w:val="002852C6"/>
    <w:rsid w:val="002854C5"/>
    <w:rsid w:val="002854F2"/>
    <w:rsid w:val="002855C6"/>
    <w:rsid w:val="00285844"/>
    <w:rsid w:val="002858ED"/>
    <w:rsid w:val="00285B25"/>
    <w:rsid w:val="00285BB1"/>
    <w:rsid w:val="00285D21"/>
    <w:rsid w:val="00285D61"/>
    <w:rsid w:val="00285E09"/>
    <w:rsid w:val="00286248"/>
    <w:rsid w:val="00286567"/>
    <w:rsid w:val="00286864"/>
    <w:rsid w:val="00286E8D"/>
    <w:rsid w:val="00287603"/>
    <w:rsid w:val="00287A64"/>
    <w:rsid w:val="00287A91"/>
    <w:rsid w:val="00287C53"/>
    <w:rsid w:val="00287CD3"/>
    <w:rsid w:val="002900DB"/>
    <w:rsid w:val="0029016E"/>
    <w:rsid w:val="0029035B"/>
    <w:rsid w:val="00290369"/>
    <w:rsid w:val="0029074E"/>
    <w:rsid w:val="0029077C"/>
    <w:rsid w:val="00290E51"/>
    <w:rsid w:val="00291182"/>
    <w:rsid w:val="002911EA"/>
    <w:rsid w:val="002912F2"/>
    <w:rsid w:val="002913B8"/>
    <w:rsid w:val="002913ED"/>
    <w:rsid w:val="002914CD"/>
    <w:rsid w:val="002917DB"/>
    <w:rsid w:val="00291937"/>
    <w:rsid w:val="00292177"/>
    <w:rsid w:val="002921A1"/>
    <w:rsid w:val="002927A7"/>
    <w:rsid w:val="00292BFA"/>
    <w:rsid w:val="00292E63"/>
    <w:rsid w:val="0029305A"/>
    <w:rsid w:val="0029323B"/>
    <w:rsid w:val="00293333"/>
    <w:rsid w:val="0029376A"/>
    <w:rsid w:val="00293A9A"/>
    <w:rsid w:val="00293C02"/>
    <w:rsid w:val="00293D0E"/>
    <w:rsid w:val="00293E50"/>
    <w:rsid w:val="00293E71"/>
    <w:rsid w:val="00293F2B"/>
    <w:rsid w:val="00293F97"/>
    <w:rsid w:val="00293FC2"/>
    <w:rsid w:val="002942A6"/>
    <w:rsid w:val="00294645"/>
    <w:rsid w:val="00294BEC"/>
    <w:rsid w:val="00294C25"/>
    <w:rsid w:val="00294CC0"/>
    <w:rsid w:val="00294D71"/>
    <w:rsid w:val="00294DD0"/>
    <w:rsid w:val="00294E2E"/>
    <w:rsid w:val="00294EF9"/>
    <w:rsid w:val="00294F05"/>
    <w:rsid w:val="00295302"/>
    <w:rsid w:val="0029557D"/>
    <w:rsid w:val="002956CC"/>
    <w:rsid w:val="00295BF3"/>
    <w:rsid w:val="00295CDF"/>
    <w:rsid w:val="00295DB7"/>
    <w:rsid w:val="00295DBA"/>
    <w:rsid w:val="00295E43"/>
    <w:rsid w:val="00296421"/>
    <w:rsid w:val="002967E7"/>
    <w:rsid w:val="00296931"/>
    <w:rsid w:val="00296E4F"/>
    <w:rsid w:val="00297680"/>
    <w:rsid w:val="002976BD"/>
    <w:rsid w:val="002979F6"/>
    <w:rsid w:val="00297A75"/>
    <w:rsid w:val="00297B3C"/>
    <w:rsid w:val="00297BF9"/>
    <w:rsid w:val="00297C46"/>
    <w:rsid w:val="00297C90"/>
    <w:rsid w:val="002A015B"/>
    <w:rsid w:val="002A0870"/>
    <w:rsid w:val="002A0942"/>
    <w:rsid w:val="002A0AFD"/>
    <w:rsid w:val="002A0B1D"/>
    <w:rsid w:val="002A0B2C"/>
    <w:rsid w:val="002A0BFC"/>
    <w:rsid w:val="002A12E8"/>
    <w:rsid w:val="002A173C"/>
    <w:rsid w:val="002A179D"/>
    <w:rsid w:val="002A1825"/>
    <w:rsid w:val="002A1E6A"/>
    <w:rsid w:val="002A228C"/>
    <w:rsid w:val="002A2437"/>
    <w:rsid w:val="002A2636"/>
    <w:rsid w:val="002A27B8"/>
    <w:rsid w:val="002A2AD3"/>
    <w:rsid w:val="002A2B6F"/>
    <w:rsid w:val="002A2CEB"/>
    <w:rsid w:val="002A2D27"/>
    <w:rsid w:val="002A31DC"/>
    <w:rsid w:val="002A3331"/>
    <w:rsid w:val="002A3369"/>
    <w:rsid w:val="002A3530"/>
    <w:rsid w:val="002A35D1"/>
    <w:rsid w:val="002A390F"/>
    <w:rsid w:val="002A3A4E"/>
    <w:rsid w:val="002A3D52"/>
    <w:rsid w:val="002A3E26"/>
    <w:rsid w:val="002A404C"/>
    <w:rsid w:val="002A40BE"/>
    <w:rsid w:val="002A40E8"/>
    <w:rsid w:val="002A4395"/>
    <w:rsid w:val="002A4578"/>
    <w:rsid w:val="002A4904"/>
    <w:rsid w:val="002A4A45"/>
    <w:rsid w:val="002A4D7E"/>
    <w:rsid w:val="002A4E1A"/>
    <w:rsid w:val="002A4F7D"/>
    <w:rsid w:val="002A518D"/>
    <w:rsid w:val="002A5772"/>
    <w:rsid w:val="002A5A02"/>
    <w:rsid w:val="002A5AC4"/>
    <w:rsid w:val="002A5CD1"/>
    <w:rsid w:val="002A5D63"/>
    <w:rsid w:val="002A61CB"/>
    <w:rsid w:val="002A6533"/>
    <w:rsid w:val="002A67D2"/>
    <w:rsid w:val="002A68D1"/>
    <w:rsid w:val="002A6A65"/>
    <w:rsid w:val="002A6A7A"/>
    <w:rsid w:val="002A6A92"/>
    <w:rsid w:val="002A6E43"/>
    <w:rsid w:val="002A6EA3"/>
    <w:rsid w:val="002A71E8"/>
    <w:rsid w:val="002A7225"/>
    <w:rsid w:val="002A732A"/>
    <w:rsid w:val="002A7657"/>
    <w:rsid w:val="002A7972"/>
    <w:rsid w:val="002A7A47"/>
    <w:rsid w:val="002A7A94"/>
    <w:rsid w:val="002A7B96"/>
    <w:rsid w:val="002A7B97"/>
    <w:rsid w:val="002A7F97"/>
    <w:rsid w:val="002B00ED"/>
    <w:rsid w:val="002B016A"/>
    <w:rsid w:val="002B0224"/>
    <w:rsid w:val="002B0371"/>
    <w:rsid w:val="002B06B9"/>
    <w:rsid w:val="002B072D"/>
    <w:rsid w:val="002B080F"/>
    <w:rsid w:val="002B0829"/>
    <w:rsid w:val="002B090F"/>
    <w:rsid w:val="002B0B79"/>
    <w:rsid w:val="002B0BB7"/>
    <w:rsid w:val="002B0C4B"/>
    <w:rsid w:val="002B0D7E"/>
    <w:rsid w:val="002B0F52"/>
    <w:rsid w:val="002B0FAB"/>
    <w:rsid w:val="002B10EB"/>
    <w:rsid w:val="002B12BB"/>
    <w:rsid w:val="002B150A"/>
    <w:rsid w:val="002B158A"/>
    <w:rsid w:val="002B1AEA"/>
    <w:rsid w:val="002B1DB0"/>
    <w:rsid w:val="002B1E4A"/>
    <w:rsid w:val="002B205E"/>
    <w:rsid w:val="002B20D7"/>
    <w:rsid w:val="002B20EC"/>
    <w:rsid w:val="002B212E"/>
    <w:rsid w:val="002B21F3"/>
    <w:rsid w:val="002B251A"/>
    <w:rsid w:val="002B257B"/>
    <w:rsid w:val="002B2D83"/>
    <w:rsid w:val="002B2EC2"/>
    <w:rsid w:val="002B3177"/>
    <w:rsid w:val="002B35A3"/>
    <w:rsid w:val="002B3801"/>
    <w:rsid w:val="002B38FB"/>
    <w:rsid w:val="002B3AB6"/>
    <w:rsid w:val="002B3C0D"/>
    <w:rsid w:val="002B3D2B"/>
    <w:rsid w:val="002B3DE5"/>
    <w:rsid w:val="002B3FCD"/>
    <w:rsid w:val="002B41EC"/>
    <w:rsid w:val="002B44DB"/>
    <w:rsid w:val="002B46D6"/>
    <w:rsid w:val="002B47AA"/>
    <w:rsid w:val="002B4D77"/>
    <w:rsid w:val="002B5013"/>
    <w:rsid w:val="002B5147"/>
    <w:rsid w:val="002B53E2"/>
    <w:rsid w:val="002B53E6"/>
    <w:rsid w:val="002B5585"/>
    <w:rsid w:val="002B5819"/>
    <w:rsid w:val="002B5935"/>
    <w:rsid w:val="002B593C"/>
    <w:rsid w:val="002B5AC7"/>
    <w:rsid w:val="002B5D50"/>
    <w:rsid w:val="002B6012"/>
    <w:rsid w:val="002B6041"/>
    <w:rsid w:val="002B61FF"/>
    <w:rsid w:val="002B6286"/>
    <w:rsid w:val="002B630E"/>
    <w:rsid w:val="002B63B3"/>
    <w:rsid w:val="002B64C5"/>
    <w:rsid w:val="002B64E3"/>
    <w:rsid w:val="002B6699"/>
    <w:rsid w:val="002B6756"/>
    <w:rsid w:val="002B68F6"/>
    <w:rsid w:val="002B695D"/>
    <w:rsid w:val="002B6AF1"/>
    <w:rsid w:val="002B6BEF"/>
    <w:rsid w:val="002B6C43"/>
    <w:rsid w:val="002B6E37"/>
    <w:rsid w:val="002B6E84"/>
    <w:rsid w:val="002B71AE"/>
    <w:rsid w:val="002B7255"/>
    <w:rsid w:val="002B7256"/>
    <w:rsid w:val="002B740D"/>
    <w:rsid w:val="002B7515"/>
    <w:rsid w:val="002B7547"/>
    <w:rsid w:val="002B778D"/>
    <w:rsid w:val="002B7CB6"/>
    <w:rsid w:val="002B7DDF"/>
    <w:rsid w:val="002B7EE7"/>
    <w:rsid w:val="002B7EED"/>
    <w:rsid w:val="002C0028"/>
    <w:rsid w:val="002C085D"/>
    <w:rsid w:val="002C099C"/>
    <w:rsid w:val="002C0A14"/>
    <w:rsid w:val="002C0D5E"/>
    <w:rsid w:val="002C0E22"/>
    <w:rsid w:val="002C1154"/>
    <w:rsid w:val="002C11D5"/>
    <w:rsid w:val="002C11EF"/>
    <w:rsid w:val="002C1696"/>
    <w:rsid w:val="002C180A"/>
    <w:rsid w:val="002C1856"/>
    <w:rsid w:val="002C1C1B"/>
    <w:rsid w:val="002C1C7A"/>
    <w:rsid w:val="002C1D9B"/>
    <w:rsid w:val="002C27BC"/>
    <w:rsid w:val="002C28FC"/>
    <w:rsid w:val="002C29DF"/>
    <w:rsid w:val="002C2A03"/>
    <w:rsid w:val="002C2A79"/>
    <w:rsid w:val="002C2D9B"/>
    <w:rsid w:val="002C3075"/>
    <w:rsid w:val="002C3379"/>
    <w:rsid w:val="002C3979"/>
    <w:rsid w:val="002C3A77"/>
    <w:rsid w:val="002C40AA"/>
    <w:rsid w:val="002C411C"/>
    <w:rsid w:val="002C416E"/>
    <w:rsid w:val="002C435D"/>
    <w:rsid w:val="002C4492"/>
    <w:rsid w:val="002C452A"/>
    <w:rsid w:val="002C452C"/>
    <w:rsid w:val="002C4578"/>
    <w:rsid w:val="002C46C8"/>
    <w:rsid w:val="002C4CCF"/>
    <w:rsid w:val="002C5372"/>
    <w:rsid w:val="002C5398"/>
    <w:rsid w:val="002C5478"/>
    <w:rsid w:val="002C5718"/>
    <w:rsid w:val="002C5721"/>
    <w:rsid w:val="002C5785"/>
    <w:rsid w:val="002C5959"/>
    <w:rsid w:val="002C5962"/>
    <w:rsid w:val="002C5E0F"/>
    <w:rsid w:val="002C62A1"/>
    <w:rsid w:val="002C6366"/>
    <w:rsid w:val="002C6537"/>
    <w:rsid w:val="002C6598"/>
    <w:rsid w:val="002C661C"/>
    <w:rsid w:val="002C6965"/>
    <w:rsid w:val="002C6AE0"/>
    <w:rsid w:val="002C6C9B"/>
    <w:rsid w:val="002C6F7A"/>
    <w:rsid w:val="002C6FFD"/>
    <w:rsid w:val="002C7081"/>
    <w:rsid w:val="002C72B7"/>
    <w:rsid w:val="002C73BA"/>
    <w:rsid w:val="002C740A"/>
    <w:rsid w:val="002C7529"/>
    <w:rsid w:val="002C7684"/>
    <w:rsid w:val="002C7808"/>
    <w:rsid w:val="002C7AF6"/>
    <w:rsid w:val="002C7DA2"/>
    <w:rsid w:val="002D002C"/>
    <w:rsid w:val="002D01C9"/>
    <w:rsid w:val="002D01DA"/>
    <w:rsid w:val="002D0291"/>
    <w:rsid w:val="002D04D4"/>
    <w:rsid w:val="002D0B88"/>
    <w:rsid w:val="002D0C2F"/>
    <w:rsid w:val="002D0CE3"/>
    <w:rsid w:val="002D118A"/>
    <w:rsid w:val="002D12AF"/>
    <w:rsid w:val="002D12DC"/>
    <w:rsid w:val="002D139C"/>
    <w:rsid w:val="002D1625"/>
    <w:rsid w:val="002D16C8"/>
    <w:rsid w:val="002D1A45"/>
    <w:rsid w:val="002D1AD0"/>
    <w:rsid w:val="002D1BE2"/>
    <w:rsid w:val="002D1F1E"/>
    <w:rsid w:val="002D2057"/>
    <w:rsid w:val="002D21BC"/>
    <w:rsid w:val="002D2511"/>
    <w:rsid w:val="002D251D"/>
    <w:rsid w:val="002D25B8"/>
    <w:rsid w:val="002D2634"/>
    <w:rsid w:val="002D2BAC"/>
    <w:rsid w:val="002D2D7E"/>
    <w:rsid w:val="002D3103"/>
    <w:rsid w:val="002D316D"/>
    <w:rsid w:val="002D31E6"/>
    <w:rsid w:val="002D342B"/>
    <w:rsid w:val="002D35A8"/>
    <w:rsid w:val="002D386D"/>
    <w:rsid w:val="002D3B50"/>
    <w:rsid w:val="002D3D67"/>
    <w:rsid w:val="002D3EC0"/>
    <w:rsid w:val="002D3F8E"/>
    <w:rsid w:val="002D40C6"/>
    <w:rsid w:val="002D42A1"/>
    <w:rsid w:val="002D44D0"/>
    <w:rsid w:val="002D47FE"/>
    <w:rsid w:val="002D4ACA"/>
    <w:rsid w:val="002D4B5D"/>
    <w:rsid w:val="002D4B75"/>
    <w:rsid w:val="002D4C5D"/>
    <w:rsid w:val="002D4DD3"/>
    <w:rsid w:val="002D4DDD"/>
    <w:rsid w:val="002D4EB4"/>
    <w:rsid w:val="002D4ECE"/>
    <w:rsid w:val="002D4F45"/>
    <w:rsid w:val="002D50D4"/>
    <w:rsid w:val="002D576B"/>
    <w:rsid w:val="002D5A48"/>
    <w:rsid w:val="002D6059"/>
    <w:rsid w:val="002D60BD"/>
    <w:rsid w:val="002D658E"/>
    <w:rsid w:val="002D66BC"/>
    <w:rsid w:val="002D676B"/>
    <w:rsid w:val="002D6D49"/>
    <w:rsid w:val="002D70B8"/>
    <w:rsid w:val="002D7442"/>
    <w:rsid w:val="002D75DF"/>
    <w:rsid w:val="002D78D7"/>
    <w:rsid w:val="002D7ACF"/>
    <w:rsid w:val="002D7F71"/>
    <w:rsid w:val="002E0321"/>
    <w:rsid w:val="002E0353"/>
    <w:rsid w:val="002E064C"/>
    <w:rsid w:val="002E0716"/>
    <w:rsid w:val="002E078D"/>
    <w:rsid w:val="002E07D8"/>
    <w:rsid w:val="002E0BEC"/>
    <w:rsid w:val="002E11EA"/>
    <w:rsid w:val="002E17C4"/>
    <w:rsid w:val="002E18E8"/>
    <w:rsid w:val="002E2157"/>
    <w:rsid w:val="002E23AB"/>
    <w:rsid w:val="002E2539"/>
    <w:rsid w:val="002E25A4"/>
    <w:rsid w:val="002E26F1"/>
    <w:rsid w:val="002E28FB"/>
    <w:rsid w:val="002E295D"/>
    <w:rsid w:val="002E29A2"/>
    <w:rsid w:val="002E29CD"/>
    <w:rsid w:val="002E2AF5"/>
    <w:rsid w:val="002E2B8F"/>
    <w:rsid w:val="002E2BCC"/>
    <w:rsid w:val="002E2DC7"/>
    <w:rsid w:val="002E3001"/>
    <w:rsid w:val="002E329A"/>
    <w:rsid w:val="002E34C5"/>
    <w:rsid w:val="002E359A"/>
    <w:rsid w:val="002E376F"/>
    <w:rsid w:val="002E39C4"/>
    <w:rsid w:val="002E3F8B"/>
    <w:rsid w:val="002E417F"/>
    <w:rsid w:val="002E4324"/>
    <w:rsid w:val="002E448D"/>
    <w:rsid w:val="002E4749"/>
    <w:rsid w:val="002E4D9B"/>
    <w:rsid w:val="002E51A6"/>
    <w:rsid w:val="002E53D9"/>
    <w:rsid w:val="002E5795"/>
    <w:rsid w:val="002E5950"/>
    <w:rsid w:val="002E59FF"/>
    <w:rsid w:val="002E5BE2"/>
    <w:rsid w:val="002E5C26"/>
    <w:rsid w:val="002E5F1A"/>
    <w:rsid w:val="002E5F5C"/>
    <w:rsid w:val="002E6207"/>
    <w:rsid w:val="002E627A"/>
    <w:rsid w:val="002E643C"/>
    <w:rsid w:val="002E657E"/>
    <w:rsid w:val="002E6653"/>
    <w:rsid w:val="002E668B"/>
    <w:rsid w:val="002E682C"/>
    <w:rsid w:val="002E6E91"/>
    <w:rsid w:val="002E7023"/>
    <w:rsid w:val="002E70DA"/>
    <w:rsid w:val="002E71E1"/>
    <w:rsid w:val="002E7527"/>
    <w:rsid w:val="002E76C3"/>
    <w:rsid w:val="002E7934"/>
    <w:rsid w:val="002E795D"/>
    <w:rsid w:val="002E7ABD"/>
    <w:rsid w:val="002E7B72"/>
    <w:rsid w:val="002E7BDD"/>
    <w:rsid w:val="002E7C1C"/>
    <w:rsid w:val="002F0190"/>
    <w:rsid w:val="002F037A"/>
    <w:rsid w:val="002F063D"/>
    <w:rsid w:val="002F0B76"/>
    <w:rsid w:val="002F0B99"/>
    <w:rsid w:val="002F13AD"/>
    <w:rsid w:val="002F19E2"/>
    <w:rsid w:val="002F1E94"/>
    <w:rsid w:val="002F1FDB"/>
    <w:rsid w:val="002F2129"/>
    <w:rsid w:val="002F2151"/>
    <w:rsid w:val="002F2158"/>
    <w:rsid w:val="002F2264"/>
    <w:rsid w:val="002F2551"/>
    <w:rsid w:val="002F28C6"/>
    <w:rsid w:val="002F2BD1"/>
    <w:rsid w:val="002F2C15"/>
    <w:rsid w:val="002F2D52"/>
    <w:rsid w:val="002F30E8"/>
    <w:rsid w:val="002F3169"/>
    <w:rsid w:val="002F32D7"/>
    <w:rsid w:val="002F32F2"/>
    <w:rsid w:val="002F33B4"/>
    <w:rsid w:val="002F3621"/>
    <w:rsid w:val="002F38EE"/>
    <w:rsid w:val="002F397F"/>
    <w:rsid w:val="002F3AA9"/>
    <w:rsid w:val="002F3C45"/>
    <w:rsid w:val="002F3DFC"/>
    <w:rsid w:val="002F4083"/>
    <w:rsid w:val="002F41EA"/>
    <w:rsid w:val="002F424E"/>
    <w:rsid w:val="002F442E"/>
    <w:rsid w:val="002F4A2C"/>
    <w:rsid w:val="002F509A"/>
    <w:rsid w:val="002F51AC"/>
    <w:rsid w:val="002F51E5"/>
    <w:rsid w:val="002F5352"/>
    <w:rsid w:val="002F55A0"/>
    <w:rsid w:val="002F5727"/>
    <w:rsid w:val="002F5AB3"/>
    <w:rsid w:val="002F5B5F"/>
    <w:rsid w:val="002F5C7D"/>
    <w:rsid w:val="002F5D09"/>
    <w:rsid w:val="002F5F46"/>
    <w:rsid w:val="002F60D8"/>
    <w:rsid w:val="002F6290"/>
    <w:rsid w:val="002F65EB"/>
    <w:rsid w:val="002F66D5"/>
    <w:rsid w:val="002F6808"/>
    <w:rsid w:val="002F6990"/>
    <w:rsid w:val="002F6B5A"/>
    <w:rsid w:val="002F6B72"/>
    <w:rsid w:val="002F6BE2"/>
    <w:rsid w:val="002F6BF1"/>
    <w:rsid w:val="002F6C63"/>
    <w:rsid w:val="002F6EEB"/>
    <w:rsid w:val="002F6F84"/>
    <w:rsid w:val="002F6FB5"/>
    <w:rsid w:val="002F708C"/>
    <w:rsid w:val="002F721B"/>
    <w:rsid w:val="002F73A8"/>
    <w:rsid w:val="002F73DF"/>
    <w:rsid w:val="002F7513"/>
    <w:rsid w:val="002F76F2"/>
    <w:rsid w:val="002F7A3C"/>
    <w:rsid w:val="002F7A81"/>
    <w:rsid w:val="002F7B36"/>
    <w:rsid w:val="002F7CD4"/>
    <w:rsid w:val="002F7EB2"/>
    <w:rsid w:val="00300002"/>
    <w:rsid w:val="00300069"/>
    <w:rsid w:val="003002A4"/>
    <w:rsid w:val="003005EE"/>
    <w:rsid w:val="003006A1"/>
    <w:rsid w:val="0030076A"/>
    <w:rsid w:val="003009CD"/>
    <w:rsid w:val="00300A33"/>
    <w:rsid w:val="00300E85"/>
    <w:rsid w:val="003010B7"/>
    <w:rsid w:val="003011CE"/>
    <w:rsid w:val="0030143B"/>
    <w:rsid w:val="003016BB"/>
    <w:rsid w:val="00301814"/>
    <w:rsid w:val="00301848"/>
    <w:rsid w:val="00301870"/>
    <w:rsid w:val="00301980"/>
    <w:rsid w:val="00301A18"/>
    <w:rsid w:val="00301A52"/>
    <w:rsid w:val="00301F59"/>
    <w:rsid w:val="00301FE4"/>
    <w:rsid w:val="003022B4"/>
    <w:rsid w:val="00302311"/>
    <w:rsid w:val="00302479"/>
    <w:rsid w:val="00302784"/>
    <w:rsid w:val="003027E1"/>
    <w:rsid w:val="003027FB"/>
    <w:rsid w:val="00302B1F"/>
    <w:rsid w:val="00302C60"/>
    <w:rsid w:val="00302CE0"/>
    <w:rsid w:val="003032C0"/>
    <w:rsid w:val="003034AB"/>
    <w:rsid w:val="00303685"/>
    <w:rsid w:val="00303712"/>
    <w:rsid w:val="0030372A"/>
    <w:rsid w:val="0030375A"/>
    <w:rsid w:val="00303879"/>
    <w:rsid w:val="003038F1"/>
    <w:rsid w:val="003038F7"/>
    <w:rsid w:val="00303B06"/>
    <w:rsid w:val="00303DAA"/>
    <w:rsid w:val="00303E5F"/>
    <w:rsid w:val="00304021"/>
    <w:rsid w:val="00304035"/>
    <w:rsid w:val="00304199"/>
    <w:rsid w:val="003045FE"/>
    <w:rsid w:val="00304613"/>
    <w:rsid w:val="00304648"/>
    <w:rsid w:val="00304910"/>
    <w:rsid w:val="00304B63"/>
    <w:rsid w:val="003050C6"/>
    <w:rsid w:val="003050F3"/>
    <w:rsid w:val="0030523F"/>
    <w:rsid w:val="0030532B"/>
    <w:rsid w:val="0030555C"/>
    <w:rsid w:val="00305654"/>
    <w:rsid w:val="003058E5"/>
    <w:rsid w:val="00305F12"/>
    <w:rsid w:val="00306022"/>
    <w:rsid w:val="00306070"/>
    <w:rsid w:val="00306089"/>
    <w:rsid w:val="0030644F"/>
    <w:rsid w:val="0030648D"/>
    <w:rsid w:val="00306776"/>
    <w:rsid w:val="003069C4"/>
    <w:rsid w:val="00306AD6"/>
    <w:rsid w:val="00306AEB"/>
    <w:rsid w:val="00306B35"/>
    <w:rsid w:val="00306DF7"/>
    <w:rsid w:val="003071ED"/>
    <w:rsid w:val="003075CB"/>
    <w:rsid w:val="00307606"/>
    <w:rsid w:val="0030775B"/>
    <w:rsid w:val="003102D9"/>
    <w:rsid w:val="00310379"/>
    <w:rsid w:val="003103DF"/>
    <w:rsid w:val="00310A43"/>
    <w:rsid w:val="00310BC5"/>
    <w:rsid w:val="00310D30"/>
    <w:rsid w:val="00310D77"/>
    <w:rsid w:val="00310DF9"/>
    <w:rsid w:val="00310F09"/>
    <w:rsid w:val="0031108B"/>
    <w:rsid w:val="003110DE"/>
    <w:rsid w:val="00311173"/>
    <w:rsid w:val="00311425"/>
    <w:rsid w:val="00311A29"/>
    <w:rsid w:val="00311B1F"/>
    <w:rsid w:val="00311C9A"/>
    <w:rsid w:val="00311D97"/>
    <w:rsid w:val="00311F31"/>
    <w:rsid w:val="00312371"/>
    <w:rsid w:val="003128C6"/>
    <w:rsid w:val="00312DBA"/>
    <w:rsid w:val="00312E76"/>
    <w:rsid w:val="00312EAB"/>
    <w:rsid w:val="0031302C"/>
    <w:rsid w:val="003130EF"/>
    <w:rsid w:val="00313123"/>
    <w:rsid w:val="00313242"/>
    <w:rsid w:val="00313264"/>
    <w:rsid w:val="003132B6"/>
    <w:rsid w:val="0031345A"/>
    <w:rsid w:val="0031359B"/>
    <w:rsid w:val="00313638"/>
    <w:rsid w:val="00313E37"/>
    <w:rsid w:val="003140E0"/>
    <w:rsid w:val="0031439E"/>
    <w:rsid w:val="003144C7"/>
    <w:rsid w:val="003145B8"/>
    <w:rsid w:val="00314678"/>
    <w:rsid w:val="00314786"/>
    <w:rsid w:val="003148F0"/>
    <w:rsid w:val="00314B4A"/>
    <w:rsid w:val="00314CF9"/>
    <w:rsid w:val="00314ED9"/>
    <w:rsid w:val="00315003"/>
    <w:rsid w:val="003150DC"/>
    <w:rsid w:val="00315143"/>
    <w:rsid w:val="00315164"/>
    <w:rsid w:val="00315324"/>
    <w:rsid w:val="00315393"/>
    <w:rsid w:val="003153A9"/>
    <w:rsid w:val="003155AE"/>
    <w:rsid w:val="0031580C"/>
    <w:rsid w:val="00315D5A"/>
    <w:rsid w:val="00316244"/>
    <w:rsid w:val="00316381"/>
    <w:rsid w:val="0031651B"/>
    <w:rsid w:val="0031652B"/>
    <w:rsid w:val="00316745"/>
    <w:rsid w:val="0031675D"/>
    <w:rsid w:val="003167AD"/>
    <w:rsid w:val="00316A2C"/>
    <w:rsid w:val="00316C9B"/>
    <w:rsid w:val="00316FA1"/>
    <w:rsid w:val="003172B1"/>
    <w:rsid w:val="003175D4"/>
    <w:rsid w:val="00317927"/>
    <w:rsid w:val="003179A6"/>
    <w:rsid w:val="00317A50"/>
    <w:rsid w:val="00317D48"/>
    <w:rsid w:val="00317DD9"/>
    <w:rsid w:val="00317E0D"/>
    <w:rsid w:val="00317F07"/>
    <w:rsid w:val="003200E9"/>
    <w:rsid w:val="003206C2"/>
    <w:rsid w:val="00320BC5"/>
    <w:rsid w:val="00320CAD"/>
    <w:rsid w:val="00320D2C"/>
    <w:rsid w:val="00320F86"/>
    <w:rsid w:val="00320FDC"/>
    <w:rsid w:val="00321152"/>
    <w:rsid w:val="003212F4"/>
    <w:rsid w:val="0032133E"/>
    <w:rsid w:val="0032137E"/>
    <w:rsid w:val="003216C4"/>
    <w:rsid w:val="003216D1"/>
    <w:rsid w:val="003218EC"/>
    <w:rsid w:val="00321933"/>
    <w:rsid w:val="003219AF"/>
    <w:rsid w:val="00321B2F"/>
    <w:rsid w:val="00321B92"/>
    <w:rsid w:val="00321D4E"/>
    <w:rsid w:val="00322193"/>
    <w:rsid w:val="003222BA"/>
    <w:rsid w:val="00322B0E"/>
    <w:rsid w:val="00322B44"/>
    <w:rsid w:val="00322B86"/>
    <w:rsid w:val="003233D3"/>
    <w:rsid w:val="003237FA"/>
    <w:rsid w:val="0032386D"/>
    <w:rsid w:val="00323918"/>
    <w:rsid w:val="00323CE3"/>
    <w:rsid w:val="00323E3A"/>
    <w:rsid w:val="003241A2"/>
    <w:rsid w:val="00324247"/>
    <w:rsid w:val="0032428E"/>
    <w:rsid w:val="0032445B"/>
    <w:rsid w:val="00324469"/>
    <w:rsid w:val="0032446E"/>
    <w:rsid w:val="003244D1"/>
    <w:rsid w:val="003246D8"/>
    <w:rsid w:val="0032475E"/>
    <w:rsid w:val="00324768"/>
    <w:rsid w:val="003247D6"/>
    <w:rsid w:val="00324824"/>
    <w:rsid w:val="003248EF"/>
    <w:rsid w:val="00324BD5"/>
    <w:rsid w:val="00324C53"/>
    <w:rsid w:val="00324D8D"/>
    <w:rsid w:val="00324E8A"/>
    <w:rsid w:val="00324F68"/>
    <w:rsid w:val="00325524"/>
    <w:rsid w:val="00325567"/>
    <w:rsid w:val="003256CD"/>
    <w:rsid w:val="00325720"/>
    <w:rsid w:val="003258F2"/>
    <w:rsid w:val="00325C91"/>
    <w:rsid w:val="00325CA1"/>
    <w:rsid w:val="00325D23"/>
    <w:rsid w:val="00325D98"/>
    <w:rsid w:val="00325E64"/>
    <w:rsid w:val="00326154"/>
    <w:rsid w:val="003262F3"/>
    <w:rsid w:val="00326372"/>
    <w:rsid w:val="003264C3"/>
    <w:rsid w:val="00326596"/>
    <w:rsid w:val="0032668F"/>
    <w:rsid w:val="00326816"/>
    <w:rsid w:val="00326917"/>
    <w:rsid w:val="00326953"/>
    <w:rsid w:val="00326967"/>
    <w:rsid w:val="00326CCE"/>
    <w:rsid w:val="00326CD9"/>
    <w:rsid w:val="00326CF0"/>
    <w:rsid w:val="00326DDE"/>
    <w:rsid w:val="00326E74"/>
    <w:rsid w:val="003271E5"/>
    <w:rsid w:val="00327744"/>
    <w:rsid w:val="0032790E"/>
    <w:rsid w:val="00327936"/>
    <w:rsid w:val="00327DB3"/>
    <w:rsid w:val="00327F42"/>
    <w:rsid w:val="0033006A"/>
    <w:rsid w:val="003300AA"/>
    <w:rsid w:val="003300C5"/>
    <w:rsid w:val="0033015D"/>
    <w:rsid w:val="00330360"/>
    <w:rsid w:val="00330712"/>
    <w:rsid w:val="00330764"/>
    <w:rsid w:val="003307EB"/>
    <w:rsid w:val="00330A49"/>
    <w:rsid w:val="00330ADA"/>
    <w:rsid w:val="00330C26"/>
    <w:rsid w:val="003312AC"/>
    <w:rsid w:val="00331422"/>
    <w:rsid w:val="003315D8"/>
    <w:rsid w:val="003316FF"/>
    <w:rsid w:val="003318D2"/>
    <w:rsid w:val="00331AFD"/>
    <w:rsid w:val="00331DCC"/>
    <w:rsid w:val="00331E95"/>
    <w:rsid w:val="00331EA1"/>
    <w:rsid w:val="00332005"/>
    <w:rsid w:val="00332421"/>
    <w:rsid w:val="003326C6"/>
    <w:rsid w:val="003326FA"/>
    <w:rsid w:val="003327D0"/>
    <w:rsid w:val="0033280A"/>
    <w:rsid w:val="00332826"/>
    <w:rsid w:val="003329C5"/>
    <w:rsid w:val="00332B3E"/>
    <w:rsid w:val="00332BAE"/>
    <w:rsid w:val="00332D2D"/>
    <w:rsid w:val="00333346"/>
    <w:rsid w:val="0033364C"/>
    <w:rsid w:val="003336A0"/>
    <w:rsid w:val="00333789"/>
    <w:rsid w:val="00333A56"/>
    <w:rsid w:val="00333CBB"/>
    <w:rsid w:val="00333CBE"/>
    <w:rsid w:val="00333EDA"/>
    <w:rsid w:val="00333FA8"/>
    <w:rsid w:val="0033421B"/>
    <w:rsid w:val="00334335"/>
    <w:rsid w:val="0033436D"/>
    <w:rsid w:val="0033441C"/>
    <w:rsid w:val="00334442"/>
    <w:rsid w:val="0033446D"/>
    <w:rsid w:val="0033447B"/>
    <w:rsid w:val="00334970"/>
    <w:rsid w:val="00334F96"/>
    <w:rsid w:val="003350FE"/>
    <w:rsid w:val="0033517B"/>
    <w:rsid w:val="0033526A"/>
    <w:rsid w:val="00335485"/>
    <w:rsid w:val="003354F1"/>
    <w:rsid w:val="0033556F"/>
    <w:rsid w:val="00335C25"/>
    <w:rsid w:val="00335F4D"/>
    <w:rsid w:val="0033614A"/>
    <w:rsid w:val="00336449"/>
    <w:rsid w:val="003364BE"/>
    <w:rsid w:val="0033690D"/>
    <w:rsid w:val="00336D49"/>
    <w:rsid w:val="00336E3E"/>
    <w:rsid w:val="00336EA3"/>
    <w:rsid w:val="00336F01"/>
    <w:rsid w:val="00336F57"/>
    <w:rsid w:val="00336FA1"/>
    <w:rsid w:val="00337142"/>
    <w:rsid w:val="0033723C"/>
    <w:rsid w:val="003372CF"/>
    <w:rsid w:val="0033774B"/>
    <w:rsid w:val="00337902"/>
    <w:rsid w:val="0033793F"/>
    <w:rsid w:val="003379BA"/>
    <w:rsid w:val="00337B4F"/>
    <w:rsid w:val="00337D16"/>
    <w:rsid w:val="0034013F"/>
    <w:rsid w:val="0034035E"/>
    <w:rsid w:val="00340432"/>
    <w:rsid w:val="0034046B"/>
    <w:rsid w:val="003406DF"/>
    <w:rsid w:val="00340C24"/>
    <w:rsid w:val="00340DFA"/>
    <w:rsid w:val="00340E60"/>
    <w:rsid w:val="00341361"/>
    <w:rsid w:val="0034156A"/>
    <w:rsid w:val="003419AD"/>
    <w:rsid w:val="00341AA1"/>
    <w:rsid w:val="00341ADE"/>
    <w:rsid w:val="00341DB3"/>
    <w:rsid w:val="00341DEC"/>
    <w:rsid w:val="003421F9"/>
    <w:rsid w:val="00342228"/>
    <w:rsid w:val="00342318"/>
    <w:rsid w:val="00342600"/>
    <w:rsid w:val="0034263A"/>
    <w:rsid w:val="003428F4"/>
    <w:rsid w:val="00342A4E"/>
    <w:rsid w:val="00342E0F"/>
    <w:rsid w:val="00342F72"/>
    <w:rsid w:val="00343101"/>
    <w:rsid w:val="00343133"/>
    <w:rsid w:val="003431D3"/>
    <w:rsid w:val="003431E5"/>
    <w:rsid w:val="003432EE"/>
    <w:rsid w:val="0034367C"/>
    <w:rsid w:val="00343868"/>
    <w:rsid w:val="00343A6B"/>
    <w:rsid w:val="00343B9A"/>
    <w:rsid w:val="00343C58"/>
    <w:rsid w:val="00343F57"/>
    <w:rsid w:val="00343FA3"/>
    <w:rsid w:val="003441B1"/>
    <w:rsid w:val="0034445E"/>
    <w:rsid w:val="00344617"/>
    <w:rsid w:val="003447F3"/>
    <w:rsid w:val="00344867"/>
    <w:rsid w:val="00344B10"/>
    <w:rsid w:val="00344E45"/>
    <w:rsid w:val="00344F42"/>
    <w:rsid w:val="00344F6F"/>
    <w:rsid w:val="00344F81"/>
    <w:rsid w:val="00345537"/>
    <w:rsid w:val="003458A9"/>
    <w:rsid w:val="003458FA"/>
    <w:rsid w:val="0034590C"/>
    <w:rsid w:val="00346136"/>
    <w:rsid w:val="00346312"/>
    <w:rsid w:val="0034691A"/>
    <w:rsid w:val="00346C41"/>
    <w:rsid w:val="00346C63"/>
    <w:rsid w:val="00346CC6"/>
    <w:rsid w:val="00346D75"/>
    <w:rsid w:val="00346DDF"/>
    <w:rsid w:val="00346F3C"/>
    <w:rsid w:val="0034700C"/>
    <w:rsid w:val="003470D9"/>
    <w:rsid w:val="00347478"/>
    <w:rsid w:val="0034757E"/>
    <w:rsid w:val="00347826"/>
    <w:rsid w:val="003478C1"/>
    <w:rsid w:val="00347959"/>
    <w:rsid w:val="0034799B"/>
    <w:rsid w:val="003479E1"/>
    <w:rsid w:val="00347A41"/>
    <w:rsid w:val="00347C72"/>
    <w:rsid w:val="00347DCA"/>
    <w:rsid w:val="00347E89"/>
    <w:rsid w:val="00347FB6"/>
    <w:rsid w:val="003502CE"/>
    <w:rsid w:val="0035035E"/>
    <w:rsid w:val="003506EA"/>
    <w:rsid w:val="003508E3"/>
    <w:rsid w:val="00350D69"/>
    <w:rsid w:val="00351476"/>
    <w:rsid w:val="00351526"/>
    <w:rsid w:val="00351A3B"/>
    <w:rsid w:val="00351C61"/>
    <w:rsid w:val="00351FF1"/>
    <w:rsid w:val="003520E7"/>
    <w:rsid w:val="003522EA"/>
    <w:rsid w:val="0035235F"/>
    <w:rsid w:val="003523B1"/>
    <w:rsid w:val="00352669"/>
    <w:rsid w:val="00352B5B"/>
    <w:rsid w:val="00352DA0"/>
    <w:rsid w:val="00352FA1"/>
    <w:rsid w:val="00352FAE"/>
    <w:rsid w:val="003530AD"/>
    <w:rsid w:val="003530FC"/>
    <w:rsid w:val="00353172"/>
    <w:rsid w:val="0035376B"/>
    <w:rsid w:val="00353883"/>
    <w:rsid w:val="00353C35"/>
    <w:rsid w:val="00354054"/>
    <w:rsid w:val="003541FC"/>
    <w:rsid w:val="00354761"/>
    <w:rsid w:val="00354B5D"/>
    <w:rsid w:val="00354BAA"/>
    <w:rsid w:val="00354F03"/>
    <w:rsid w:val="00354FC5"/>
    <w:rsid w:val="0035509B"/>
    <w:rsid w:val="003550C7"/>
    <w:rsid w:val="003550E2"/>
    <w:rsid w:val="00355152"/>
    <w:rsid w:val="00355224"/>
    <w:rsid w:val="00355474"/>
    <w:rsid w:val="00355769"/>
    <w:rsid w:val="003559F1"/>
    <w:rsid w:val="003561B0"/>
    <w:rsid w:val="0035650B"/>
    <w:rsid w:val="00356512"/>
    <w:rsid w:val="00356AE3"/>
    <w:rsid w:val="00356B3F"/>
    <w:rsid w:val="00356C09"/>
    <w:rsid w:val="00356C94"/>
    <w:rsid w:val="00356F75"/>
    <w:rsid w:val="00357009"/>
    <w:rsid w:val="003570DD"/>
    <w:rsid w:val="00357278"/>
    <w:rsid w:val="00357452"/>
    <w:rsid w:val="00357471"/>
    <w:rsid w:val="00357BAD"/>
    <w:rsid w:val="00357E83"/>
    <w:rsid w:val="00360113"/>
    <w:rsid w:val="00360570"/>
    <w:rsid w:val="003606A0"/>
    <w:rsid w:val="003607B2"/>
    <w:rsid w:val="00360B10"/>
    <w:rsid w:val="00360E9A"/>
    <w:rsid w:val="00360F2C"/>
    <w:rsid w:val="00360FDA"/>
    <w:rsid w:val="00361273"/>
    <w:rsid w:val="00361296"/>
    <w:rsid w:val="003612F2"/>
    <w:rsid w:val="00361333"/>
    <w:rsid w:val="00361389"/>
    <w:rsid w:val="00361B9A"/>
    <w:rsid w:val="00361BC9"/>
    <w:rsid w:val="00361E34"/>
    <w:rsid w:val="00361E38"/>
    <w:rsid w:val="00361EEE"/>
    <w:rsid w:val="003624AE"/>
    <w:rsid w:val="003624F1"/>
    <w:rsid w:val="00362760"/>
    <w:rsid w:val="00362762"/>
    <w:rsid w:val="003627BB"/>
    <w:rsid w:val="003628F5"/>
    <w:rsid w:val="003629E8"/>
    <w:rsid w:val="00362A64"/>
    <w:rsid w:val="00362A6F"/>
    <w:rsid w:val="00362E53"/>
    <w:rsid w:val="00362ED0"/>
    <w:rsid w:val="003630D3"/>
    <w:rsid w:val="0036331A"/>
    <w:rsid w:val="0036336C"/>
    <w:rsid w:val="00363447"/>
    <w:rsid w:val="003638E8"/>
    <w:rsid w:val="00363914"/>
    <w:rsid w:val="00363925"/>
    <w:rsid w:val="003641BA"/>
    <w:rsid w:val="0036420C"/>
    <w:rsid w:val="003645F0"/>
    <w:rsid w:val="00364B63"/>
    <w:rsid w:val="00364CC6"/>
    <w:rsid w:val="00364D42"/>
    <w:rsid w:val="00364E0E"/>
    <w:rsid w:val="00365139"/>
    <w:rsid w:val="00365321"/>
    <w:rsid w:val="0036534C"/>
    <w:rsid w:val="003653FE"/>
    <w:rsid w:val="00365651"/>
    <w:rsid w:val="00365C6D"/>
    <w:rsid w:val="00365CAE"/>
    <w:rsid w:val="00366087"/>
    <w:rsid w:val="003664A8"/>
    <w:rsid w:val="00366599"/>
    <w:rsid w:val="00366997"/>
    <w:rsid w:val="00366F51"/>
    <w:rsid w:val="00367178"/>
    <w:rsid w:val="00367455"/>
    <w:rsid w:val="00367AAE"/>
    <w:rsid w:val="00367ACC"/>
    <w:rsid w:val="0037004D"/>
    <w:rsid w:val="0037014B"/>
    <w:rsid w:val="00370349"/>
    <w:rsid w:val="00370593"/>
    <w:rsid w:val="00370635"/>
    <w:rsid w:val="003706F4"/>
    <w:rsid w:val="003709E5"/>
    <w:rsid w:val="00370BFE"/>
    <w:rsid w:val="00370CE4"/>
    <w:rsid w:val="00370F2D"/>
    <w:rsid w:val="00370F5A"/>
    <w:rsid w:val="0037120C"/>
    <w:rsid w:val="00371410"/>
    <w:rsid w:val="00371626"/>
    <w:rsid w:val="00371661"/>
    <w:rsid w:val="003716C1"/>
    <w:rsid w:val="00372053"/>
    <w:rsid w:val="003720AA"/>
    <w:rsid w:val="003721AB"/>
    <w:rsid w:val="003721C5"/>
    <w:rsid w:val="00372216"/>
    <w:rsid w:val="0037229D"/>
    <w:rsid w:val="0037244F"/>
    <w:rsid w:val="003724BC"/>
    <w:rsid w:val="003729D1"/>
    <w:rsid w:val="00372FB2"/>
    <w:rsid w:val="00372FE8"/>
    <w:rsid w:val="003731C3"/>
    <w:rsid w:val="003733B3"/>
    <w:rsid w:val="003738B8"/>
    <w:rsid w:val="00373954"/>
    <w:rsid w:val="00373A27"/>
    <w:rsid w:val="00374230"/>
    <w:rsid w:val="00374668"/>
    <w:rsid w:val="0037511C"/>
    <w:rsid w:val="00375AA0"/>
    <w:rsid w:val="00375CC6"/>
    <w:rsid w:val="00375E4C"/>
    <w:rsid w:val="003761BD"/>
    <w:rsid w:val="003763B8"/>
    <w:rsid w:val="00376559"/>
    <w:rsid w:val="0037657E"/>
    <w:rsid w:val="00376720"/>
    <w:rsid w:val="00376906"/>
    <w:rsid w:val="00376AAB"/>
    <w:rsid w:val="00376B5A"/>
    <w:rsid w:val="00376C53"/>
    <w:rsid w:val="00376C78"/>
    <w:rsid w:val="00376F17"/>
    <w:rsid w:val="00377490"/>
    <w:rsid w:val="00377730"/>
    <w:rsid w:val="00377863"/>
    <w:rsid w:val="00377B4E"/>
    <w:rsid w:val="00377B50"/>
    <w:rsid w:val="00377CA0"/>
    <w:rsid w:val="00377D45"/>
    <w:rsid w:val="00377EF4"/>
    <w:rsid w:val="00377FAC"/>
    <w:rsid w:val="00377FDC"/>
    <w:rsid w:val="0038019C"/>
    <w:rsid w:val="00380280"/>
    <w:rsid w:val="0038060E"/>
    <w:rsid w:val="00380780"/>
    <w:rsid w:val="003808E4"/>
    <w:rsid w:val="003809EA"/>
    <w:rsid w:val="003809FF"/>
    <w:rsid w:val="00380E58"/>
    <w:rsid w:val="00380F1D"/>
    <w:rsid w:val="00380F97"/>
    <w:rsid w:val="00380FC1"/>
    <w:rsid w:val="003816AD"/>
    <w:rsid w:val="003817BF"/>
    <w:rsid w:val="00381FAF"/>
    <w:rsid w:val="00382004"/>
    <w:rsid w:val="0038262B"/>
    <w:rsid w:val="00382675"/>
    <w:rsid w:val="00382812"/>
    <w:rsid w:val="00382856"/>
    <w:rsid w:val="00382E59"/>
    <w:rsid w:val="0038307D"/>
    <w:rsid w:val="003831A5"/>
    <w:rsid w:val="00383224"/>
    <w:rsid w:val="00383814"/>
    <w:rsid w:val="00383EBC"/>
    <w:rsid w:val="00384488"/>
    <w:rsid w:val="00384555"/>
    <w:rsid w:val="00384643"/>
    <w:rsid w:val="003847E1"/>
    <w:rsid w:val="00384990"/>
    <w:rsid w:val="003851AA"/>
    <w:rsid w:val="0038520A"/>
    <w:rsid w:val="0038523F"/>
    <w:rsid w:val="00385699"/>
    <w:rsid w:val="00385CDF"/>
    <w:rsid w:val="00385D4F"/>
    <w:rsid w:val="00385D85"/>
    <w:rsid w:val="00385F57"/>
    <w:rsid w:val="00386005"/>
    <w:rsid w:val="003862B7"/>
    <w:rsid w:val="003862F4"/>
    <w:rsid w:val="003863A4"/>
    <w:rsid w:val="003866C0"/>
    <w:rsid w:val="0038673B"/>
    <w:rsid w:val="003868C0"/>
    <w:rsid w:val="003868D5"/>
    <w:rsid w:val="0038691E"/>
    <w:rsid w:val="0038699A"/>
    <w:rsid w:val="00386AFA"/>
    <w:rsid w:val="00386C5B"/>
    <w:rsid w:val="00386E52"/>
    <w:rsid w:val="00386F25"/>
    <w:rsid w:val="003870E9"/>
    <w:rsid w:val="00387106"/>
    <w:rsid w:val="00387142"/>
    <w:rsid w:val="0038734A"/>
    <w:rsid w:val="003874BF"/>
    <w:rsid w:val="0038751C"/>
    <w:rsid w:val="003875A5"/>
    <w:rsid w:val="003875E3"/>
    <w:rsid w:val="003878E5"/>
    <w:rsid w:val="00387983"/>
    <w:rsid w:val="00387DA5"/>
    <w:rsid w:val="00387F77"/>
    <w:rsid w:val="00390022"/>
    <w:rsid w:val="003900D8"/>
    <w:rsid w:val="0039027E"/>
    <w:rsid w:val="00390505"/>
    <w:rsid w:val="00390529"/>
    <w:rsid w:val="0039095A"/>
    <w:rsid w:val="00390D71"/>
    <w:rsid w:val="00390EE6"/>
    <w:rsid w:val="00390F84"/>
    <w:rsid w:val="003911D3"/>
    <w:rsid w:val="00391248"/>
    <w:rsid w:val="003916DC"/>
    <w:rsid w:val="00391876"/>
    <w:rsid w:val="00391A24"/>
    <w:rsid w:val="00391D01"/>
    <w:rsid w:val="00391F5E"/>
    <w:rsid w:val="0039235D"/>
    <w:rsid w:val="00392431"/>
    <w:rsid w:val="0039246B"/>
    <w:rsid w:val="00392706"/>
    <w:rsid w:val="003928D5"/>
    <w:rsid w:val="00392908"/>
    <w:rsid w:val="003929F0"/>
    <w:rsid w:val="00392B3B"/>
    <w:rsid w:val="00392CDE"/>
    <w:rsid w:val="00392E7C"/>
    <w:rsid w:val="00392F10"/>
    <w:rsid w:val="00393000"/>
    <w:rsid w:val="003937E6"/>
    <w:rsid w:val="00393A12"/>
    <w:rsid w:val="00393C31"/>
    <w:rsid w:val="00393DB5"/>
    <w:rsid w:val="00393DF6"/>
    <w:rsid w:val="00393E69"/>
    <w:rsid w:val="003940EE"/>
    <w:rsid w:val="00394244"/>
    <w:rsid w:val="003943DF"/>
    <w:rsid w:val="00394789"/>
    <w:rsid w:val="00394E61"/>
    <w:rsid w:val="00395046"/>
    <w:rsid w:val="003952BB"/>
    <w:rsid w:val="00395686"/>
    <w:rsid w:val="00395E64"/>
    <w:rsid w:val="003960AD"/>
    <w:rsid w:val="00396906"/>
    <w:rsid w:val="00396BF9"/>
    <w:rsid w:val="00396E52"/>
    <w:rsid w:val="00396EA8"/>
    <w:rsid w:val="00396F6C"/>
    <w:rsid w:val="003977A7"/>
    <w:rsid w:val="00397889"/>
    <w:rsid w:val="00397B87"/>
    <w:rsid w:val="003A0173"/>
    <w:rsid w:val="003A0345"/>
    <w:rsid w:val="003A03AC"/>
    <w:rsid w:val="003A0BA1"/>
    <w:rsid w:val="003A0C3C"/>
    <w:rsid w:val="003A0E67"/>
    <w:rsid w:val="003A0EEE"/>
    <w:rsid w:val="003A0FF4"/>
    <w:rsid w:val="003A13A2"/>
    <w:rsid w:val="003A1805"/>
    <w:rsid w:val="003A1A88"/>
    <w:rsid w:val="003A1B28"/>
    <w:rsid w:val="003A1E9B"/>
    <w:rsid w:val="003A20A6"/>
    <w:rsid w:val="003A2586"/>
    <w:rsid w:val="003A2623"/>
    <w:rsid w:val="003A315F"/>
    <w:rsid w:val="003A3267"/>
    <w:rsid w:val="003A3496"/>
    <w:rsid w:val="003A34CD"/>
    <w:rsid w:val="003A3660"/>
    <w:rsid w:val="003A3B2A"/>
    <w:rsid w:val="003A3D6A"/>
    <w:rsid w:val="003A3F2D"/>
    <w:rsid w:val="003A4004"/>
    <w:rsid w:val="003A4066"/>
    <w:rsid w:val="003A45E9"/>
    <w:rsid w:val="003A47E3"/>
    <w:rsid w:val="003A49C8"/>
    <w:rsid w:val="003A4A79"/>
    <w:rsid w:val="003A5000"/>
    <w:rsid w:val="003A50A0"/>
    <w:rsid w:val="003A535E"/>
    <w:rsid w:val="003A558F"/>
    <w:rsid w:val="003A5721"/>
    <w:rsid w:val="003A572B"/>
    <w:rsid w:val="003A5827"/>
    <w:rsid w:val="003A58E4"/>
    <w:rsid w:val="003A59EF"/>
    <w:rsid w:val="003A5A81"/>
    <w:rsid w:val="003A5B50"/>
    <w:rsid w:val="003A5CAE"/>
    <w:rsid w:val="003A5E09"/>
    <w:rsid w:val="003A5EAC"/>
    <w:rsid w:val="003A5EB6"/>
    <w:rsid w:val="003A5FA1"/>
    <w:rsid w:val="003A5FC2"/>
    <w:rsid w:val="003A615B"/>
    <w:rsid w:val="003A6A4F"/>
    <w:rsid w:val="003A6C5D"/>
    <w:rsid w:val="003A6DD4"/>
    <w:rsid w:val="003A6F35"/>
    <w:rsid w:val="003A700B"/>
    <w:rsid w:val="003A746B"/>
    <w:rsid w:val="003A7A00"/>
    <w:rsid w:val="003A7AAD"/>
    <w:rsid w:val="003A7B50"/>
    <w:rsid w:val="003A7DA9"/>
    <w:rsid w:val="003A7DD2"/>
    <w:rsid w:val="003B02CC"/>
    <w:rsid w:val="003B03C8"/>
    <w:rsid w:val="003B045F"/>
    <w:rsid w:val="003B0501"/>
    <w:rsid w:val="003B0611"/>
    <w:rsid w:val="003B0637"/>
    <w:rsid w:val="003B0A25"/>
    <w:rsid w:val="003B0CAA"/>
    <w:rsid w:val="003B0CEE"/>
    <w:rsid w:val="003B0DE3"/>
    <w:rsid w:val="003B1221"/>
    <w:rsid w:val="003B127F"/>
    <w:rsid w:val="003B1365"/>
    <w:rsid w:val="003B1A28"/>
    <w:rsid w:val="003B1BD6"/>
    <w:rsid w:val="003B1C28"/>
    <w:rsid w:val="003B1D9B"/>
    <w:rsid w:val="003B1F30"/>
    <w:rsid w:val="003B24F2"/>
    <w:rsid w:val="003B25D1"/>
    <w:rsid w:val="003B261B"/>
    <w:rsid w:val="003B284A"/>
    <w:rsid w:val="003B2C3C"/>
    <w:rsid w:val="003B2D02"/>
    <w:rsid w:val="003B2E65"/>
    <w:rsid w:val="003B3030"/>
    <w:rsid w:val="003B31D7"/>
    <w:rsid w:val="003B3214"/>
    <w:rsid w:val="003B3357"/>
    <w:rsid w:val="003B3859"/>
    <w:rsid w:val="003B3AB3"/>
    <w:rsid w:val="003B3B01"/>
    <w:rsid w:val="003B3BF9"/>
    <w:rsid w:val="003B3C38"/>
    <w:rsid w:val="003B3DBD"/>
    <w:rsid w:val="003B4137"/>
    <w:rsid w:val="003B43F4"/>
    <w:rsid w:val="003B444F"/>
    <w:rsid w:val="003B4509"/>
    <w:rsid w:val="003B4790"/>
    <w:rsid w:val="003B556E"/>
    <w:rsid w:val="003B57A4"/>
    <w:rsid w:val="003B57A6"/>
    <w:rsid w:val="003B599F"/>
    <w:rsid w:val="003B5D51"/>
    <w:rsid w:val="003B5DB3"/>
    <w:rsid w:val="003B63E7"/>
    <w:rsid w:val="003B63F5"/>
    <w:rsid w:val="003B69D0"/>
    <w:rsid w:val="003B6A1A"/>
    <w:rsid w:val="003B6BC2"/>
    <w:rsid w:val="003B6E24"/>
    <w:rsid w:val="003B6F32"/>
    <w:rsid w:val="003B6F9A"/>
    <w:rsid w:val="003B6FD5"/>
    <w:rsid w:val="003B713A"/>
    <w:rsid w:val="003B74B1"/>
    <w:rsid w:val="003B788C"/>
    <w:rsid w:val="003B78FB"/>
    <w:rsid w:val="003B7A76"/>
    <w:rsid w:val="003B7AEB"/>
    <w:rsid w:val="003B7CCF"/>
    <w:rsid w:val="003B7DF7"/>
    <w:rsid w:val="003C0806"/>
    <w:rsid w:val="003C0B27"/>
    <w:rsid w:val="003C0D30"/>
    <w:rsid w:val="003C0E22"/>
    <w:rsid w:val="003C0E3E"/>
    <w:rsid w:val="003C0ED5"/>
    <w:rsid w:val="003C0ED8"/>
    <w:rsid w:val="003C0F3F"/>
    <w:rsid w:val="003C0FAB"/>
    <w:rsid w:val="003C10F5"/>
    <w:rsid w:val="003C13CF"/>
    <w:rsid w:val="003C145A"/>
    <w:rsid w:val="003C14EC"/>
    <w:rsid w:val="003C160F"/>
    <w:rsid w:val="003C180A"/>
    <w:rsid w:val="003C1867"/>
    <w:rsid w:val="003C1A3B"/>
    <w:rsid w:val="003C1B05"/>
    <w:rsid w:val="003C2164"/>
    <w:rsid w:val="003C2268"/>
    <w:rsid w:val="003C22E1"/>
    <w:rsid w:val="003C23E9"/>
    <w:rsid w:val="003C2875"/>
    <w:rsid w:val="003C2B06"/>
    <w:rsid w:val="003C2C8B"/>
    <w:rsid w:val="003C328A"/>
    <w:rsid w:val="003C32EE"/>
    <w:rsid w:val="003C3360"/>
    <w:rsid w:val="003C346F"/>
    <w:rsid w:val="003C36A2"/>
    <w:rsid w:val="003C374C"/>
    <w:rsid w:val="003C3813"/>
    <w:rsid w:val="003C39F5"/>
    <w:rsid w:val="003C3DA0"/>
    <w:rsid w:val="003C3E32"/>
    <w:rsid w:val="003C46BA"/>
    <w:rsid w:val="003C4BA8"/>
    <w:rsid w:val="003C4C4A"/>
    <w:rsid w:val="003C4CAC"/>
    <w:rsid w:val="003C4D77"/>
    <w:rsid w:val="003C5009"/>
    <w:rsid w:val="003C5265"/>
    <w:rsid w:val="003C5553"/>
    <w:rsid w:val="003C57D5"/>
    <w:rsid w:val="003C580D"/>
    <w:rsid w:val="003C585F"/>
    <w:rsid w:val="003C59EA"/>
    <w:rsid w:val="003C5AAB"/>
    <w:rsid w:val="003C6127"/>
    <w:rsid w:val="003C6247"/>
    <w:rsid w:val="003C64BC"/>
    <w:rsid w:val="003C65CE"/>
    <w:rsid w:val="003C67EF"/>
    <w:rsid w:val="003C68CB"/>
    <w:rsid w:val="003C68F6"/>
    <w:rsid w:val="003C694C"/>
    <w:rsid w:val="003C720F"/>
    <w:rsid w:val="003C7429"/>
    <w:rsid w:val="003C7674"/>
    <w:rsid w:val="003C7A59"/>
    <w:rsid w:val="003C7CC1"/>
    <w:rsid w:val="003C7CE8"/>
    <w:rsid w:val="003C7D93"/>
    <w:rsid w:val="003C7E84"/>
    <w:rsid w:val="003C7EB8"/>
    <w:rsid w:val="003C7F7B"/>
    <w:rsid w:val="003C7FD0"/>
    <w:rsid w:val="003D0068"/>
    <w:rsid w:val="003D0D57"/>
    <w:rsid w:val="003D0E0C"/>
    <w:rsid w:val="003D0E1A"/>
    <w:rsid w:val="003D0F7F"/>
    <w:rsid w:val="003D10B6"/>
    <w:rsid w:val="003D1364"/>
    <w:rsid w:val="003D1752"/>
    <w:rsid w:val="003D1ACC"/>
    <w:rsid w:val="003D1C0E"/>
    <w:rsid w:val="003D1D20"/>
    <w:rsid w:val="003D253F"/>
    <w:rsid w:val="003D25A4"/>
    <w:rsid w:val="003D27B3"/>
    <w:rsid w:val="003D286D"/>
    <w:rsid w:val="003D296C"/>
    <w:rsid w:val="003D2B77"/>
    <w:rsid w:val="003D317B"/>
    <w:rsid w:val="003D3338"/>
    <w:rsid w:val="003D335C"/>
    <w:rsid w:val="003D36D6"/>
    <w:rsid w:val="003D37FA"/>
    <w:rsid w:val="003D3AD7"/>
    <w:rsid w:val="003D3DC9"/>
    <w:rsid w:val="003D3EED"/>
    <w:rsid w:val="003D407A"/>
    <w:rsid w:val="003D4139"/>
    <w:rsid w:val="003D42C8"/>
    <w:rsid w:val="003D4301"/>
    <w:rsid w:val="003D4813"/>
    <w:rsid w:val="003D4874"/>
    <w:rsid w:val="003D4981"/>
    <w:rsid w:val="003D4AF9"/>
    <w:rsid w:val="003D4C04"/>
    <w:rsid w:val="003D4C83"/>
    <w:rsid w:val="003D4CAA"/>
    <w:rsid w:val="003D4D51"/>
    <w:rsid w:val="003D4EB9"/>
    <w:rsid w:val="003D50CE"/>
    <w:rsid w:val="003D521D"/>
    <w:rsid w:val="003D5233"/>
    <w:rsid w:val="003D52D6"/>
    <w:rsid w:val="003D54FA"/>
    <w:rsid w:val="003D5826"/>
    <w:rsid w:val="003D5AC5"/>
    <w:rsid w:val="003D5B03"/>
    <w:rsid w:val="003D5B15"/>
    <w:rsid w:val="003D5BB7"/>
    <w:rsid w:val="003D5C0F"/>
    <w:rsid w:val="003D5F7F"/>
    <w:rsid w:val="003D6242"/>
    <w:rsid w:val="003D650F"/>
    <w:rsid w:val="003D66B7"/>
    <w:rsid w:val="003D6BF0"/>
    <w:rsid w:val="003D6C97"/>
    <w:rsid w:val="003D6E7C"/>
    <w:rsid w:val="003D7021"/>
    <w:rsid w:val="003D718F"/>
    <w:rsid w:val="003D7319"/>
    <w:rsid w:val="003D75F1"/>
    <w:rsid w:val="003D7BDB"/>
    <w:rsid w:val="003D7CB3"/>
    <w:rsid w:val="003D7EEB"/>
    <w:rsid w:val="003E0037"/>
    <w:rsid w:val="003E079C"/>
    <w:rsid w:val="003E0B3A"/>
    <w:rsid w:val="003E0E7B"/>
    <w:rsid w:val="003E0F5A"/>
    <w:rsid w:val="003E0F9C"/>
    <w:rsid w:val="003E10B5"/>
    <w:rsid w:val="003E12B0"/>
    <w:rsid w:val="003E1393"/>
    <w:rsid w:val="003E1AAE"/>
    <w:rsid w:val="003E1CB6"/>
    <w:rsid w:val="003E1F44"/>
    <w:rsid w:val="003E20B3"/>
    <w:rsid w:val="003E2800"/>
    <w:rsid w:val="003E2A96"/>
    <w:rsid w:val="003E2B38"/>
    <w:rsid w:val="003E2C35"/>
    <w:rsid w:val="003E2CBE"/>
    <w:rsid w:val="003E3041"/>
    <w:rsid w:val="003E32CA"/>
    <w:rsid w:val="003E3374"/>
    <w:rsid w:val="003E3623"/>
    <w:rsid w:val="003E36E1"/>
    <w:rsid w:val="003E3716"/>
    <w:rsid w:val="003E3983"/>
    <w:rsid w:val="003E3A72"/>
    <w:rsid w:val="003E3B1A"/>
    <w:rsid w:val="003E3B40"/>
    <w:rsid w:val="003E3C10"/>
    <w:rsid w:val="003E3DE6"/>
    <w:rsid w:val="003E3FF2"/>
    <w:rsid w:val="003E4001"/>
    <w:rsid w:val="003E43A4"/>
    <w:rsid w:val="003E4586"/>
    <w:rsid w:val="003E45D3"/>
    <w:rsid w:val="003E46C6"/>
    <w:rsid w:val="003E4784"/>
    <w:rsid w:val="003E4A39"/>
    <w:rsid w:val="003E4ADC"/>
    <w:rsid w:val="003E4B64"/>
    <w:rsid w:val="003E4D1E"/>
    <w:rsid w:val="003E5138"/>
    <w:rsid w:val="003E5195"/>
    <w:rsid w:val="003E51C2"/>
    <w:rsid w:val="003E523F"/>
    <w:rsid w:val="003E5637"/>
    <w:rsid w:val="003E56AF"/>
    <w:rsid w:val="003E5905"/>
    <w:rsid w:val="003E5CE0"/>
    <w:rsid w:val="003E67A9"/>
    <w:rsid w:val="003E6837"/>
    <w:rsid w:val="003E6B90"/>
    <w:rsid w:val="003E6C4B"/>
    <w:rsid w:val="003E6D0A"/>
    <w:rsid w:val="003E6E0E"/>
    <w:rsid w:val="003E6F0D"/>
    <w:rsid w:val="003E6F2F"/>
    <w:rsid w:val="003E71C2"/>
    <w:rsid w:val="003E71D1"/>
    <w:rsid w:val="003E73BB"/>
    <w:rsid w:val="003E756E"/>
    <w:rsid w:val="003E7BB9"/>
    <w:rsid w:val="003E7BD1"/>
    <w:rsid w:val="003E7BD8"/>
    <w:rsid w:val="003E7C55"/>
    <w:rsid w:val="003E7E96"/>
    <w:rsid w:val="003F00EC"/>
    <w:rsid w:val="003F0221"/>
    <w:rsid w:val="003F0340"/>
    <w:rsid w:val="003F0634"/>
    <w:rsid w:val="003F0DFF"/>
    <w:rsid w:val="003F1184"/>
    <w:rsid w:val="003F1540"/>
    <w:rsid w:val="003F1779"/>
    <w:rsid w:val="003F1B68"/>
    <w:rsid w:val="003F2344"/>
    <w:rsid w:val="003F2593"/>
    <w:rsid w:val="003F2B44"/>
    <w:rsid w:val="003F2C72"/>
    <w:rsid w:val="003F2D4C"/>
    <w:rsid w:val="003F2EE1"/>
    <w:rsid w:val="003F345E"/>
    <w:rsid w:val="003F34A1"/>
    <w:rsid w:val="003F34E6"/>
    <w:rsid w:val="003F36C0"/>
    <w:rsid w:val="003F3781"/>
    <w:rsid w:val="003F383E"/>
    <w:rsid w:val="003F3869"/>
    <w:rsid w:val="003F3AB0"/>
    <w:rsid w:val="003F3FF1"/>
    <w:rsid w:val="003F41B5"/>
    <w:rsid w:val="003F41D4"/>
    <w:rsid w:val="003F4268"/>
    <w:rsid w:val="003F4316"/>
    <w:rsid w:val="003F447C"/>
    <w:rsid w:val="003F4769"/>
    <w:rsid w:val="003F4950"/>
    <w:rsid w:val="003F51D7"/>
    <w:rsid w:val="003F5214"/>
    <w:rsid w:val="003F5268"/>
    <w:rsid w:val="003F53A9"/>
    <w:rsid w:val="003F54B4"/>
    <w:rsid w:val="003F57D7"/>
    <w:rsid w:val="003F5971"/>
    <w:rsid w:val="003F614C"/>
    <w:rsid w:val="003F6329"/>
    <w:rsid w:val="003F6333"/>
    <w:rsid w:val="003F645E"/>
    <w:rsid w:val="003F674B"/>
    <w:rsid w:val="003F676F"/>
    <w:rsid w:val="003F682D"/>
    <w:rsid w:val="003F6F43"/>
    <w:rsid w:val="003F707C"/>
    <w:rsid w:val="003F749E"/>
    <w:rsid w:val="003F78C1"/>
    <w:rsid w:val="003F79C8"/>
    <w:rsid w:val="003F7A49"/>
    <w:rsid w:val="003F7B57"/>
    <w:rsid w:val="003F7F4B"/>
    <w:rsid w:val="003F7F63"/>
    <w:rsid w:val="004000B0"/>
    <w:rsid w:val="00400250"/>
    <w:rsid w:val="004005E4"/>
    <w:rsid w:val="00400629"/>
    <w:rsid w:val="00400663"/>
    <w:rsid w:val="004006D9"/>
    <w:rsid w:val="00400838"/>
    <w:rsid w:val="00401109"/>
    <w:rsid w:val="00401305"/>
    <w:rsid w:val="00401314"/>
    <w:rsid w:val="0040163D"/>
    <w:rsid w:val="00401657"/>
    <w:rsid w:val="004017A4"/>
    <w:rsid w:val="00401929"/>
    <w:rsid w:val="00401951"/>
    <w:rsid w:val="00401F05"/>
    <w:rsid w:val="00401F92"/>
    <w:rsid w:val="00402330"/>
    <w:rsid w:val="004024C7"/>
    <w:rsid w:val="0040262A"/>
    <w:rsid w:val="00402842"/>
    <w:rsid w:val="00402D6D"/>
    <w:rsid w:val="00402D77"/>
    <w:rsid w:val="00402E53"/>
    <w:rsid w:val="004030DA"/>
    <w:rsid w:val="004033FF"/>
    <w:rsid w:val="0040367B"/>
    <w:rsid w:val="00403684"/>
    <w:rsid w:val="00403E61"/>
    <w:rsid w:val="00403EC0"/>
    <w:rsid w:val="00404226"/>
    <w:rsid w:val="0040445A"/>
    <w:rsid w:val="00404871"/>
    <w:rsid w:val="0040489E"/>
    <w:rsid w:val="0040498C"/>
    <w:rsid w:val="004052E4"/>
    <w:rsid w:val="00405674"/>
    <w:rsid w:val="004056B8"/>
    <w:rsid w:val="00405984"/>
    <w:rsid w:val="00405DE9"/>
    <w:rsid w:val="00406016"/>
    <w:rsid w:val="0040622B"/>
    <w:rsid w:val="00406233"/>
    <w:rsid w:val="00406348"/>
    <w:rsid w:val="00406F09"/>
    <w:rsid w:val="00407007"/>
    <w:rsid w:val="0040700E"/>
    <w:rsid w:val="00407208"/>
    <w:rsid w:val="00407358"/>
    <w:rsid w:val="0040755F"/>
    <w:rsid w:val="00407857"/>
    <w:rsid w:val="004079B7"/>
    <w:rsid w:val="00407CDE"/>
    <w:rsid w:val="00407EB6"/>
    <w:rsid w:val="00407EC6"/>
    <w:rsid w:val="00407F14"/>
    <w:rsid w:val="00407F4C"/>
    <w:rsid w:val="0041012E"/>
    <w:rsid w:val="00410227"/>
    <w:rsid w:val="004102EF"/>
    <w:rsid w:val="0041046A"/>
    <w:rsid w:val="00410ABF"/>
    <w:rsid w:val="00410AEE"/>
    <w:rsid w:val="00410F49"/>
    <w:rsid w:val="004110FC"/>
    <w:rsid w:val="004112A5"/>
    <w:rsid w:val="004112B8"/>
    <w:rsid w:val="0041137E"/>
    <w:rsid w:val="004113B4"/>
    <w:rsid w:val="004114D8"/>
    <w:rsid w:val="00411530"/>
    <w:rsid w:val="00411675"/>
    <w:rsid w:val="00411ACD"/>
    <w:rsid w:val="00411D04"/>
    <w:rsid w:val="0041202A"/>
    <w:rsid w:val="0041265F"/>
    <w:rsid w:val="004127E9"/>
    <w:rsid w:val="00412859"/>
    <w:rsid w:val="0041299A"/>
    <w:rsid w:val="004133D6"/>
    <w:rsid w:val="00413467"/>
    <w:rsid w:val="00413490"/>
    <w:rsid w:val="0041367F"/>
    <w:rsid w:val="004138ED"/>
    <w:rsid w:val="0041437D"/>
    <w:rsid w:val="00414BD2"/>
    <w:rsid w:val="00414FC8"/>
    <w:rsid w:val="00415105"/>
    <w:rsid w:val="0041510E"/>
    <w:rsid w:val="004151FE"/>
    <w:rsid w:val="00415504"/>
    <w:rsid w:val="00415879"/>
    <w:rsid w:val="00415985"/>
    <w:rsid w:val="00415B31"/>
    <w:rsid w:val="00416044"/>
    <w:rsid w:val="00416284"/>
    <w:rsid w:val="0041684E"/>
    <w:rsid w:val="0041686A"/>
    <w:rsid w:val="00416A9E"/>
    <w:rsid w:val="00416C20"/>
    <w:rsid w:val="00416D30"/>
    <w:rsid w:val="00416E7C"/>
    <w:rsid w:val="004170E9"/>
    <w:rsid w:val="0041780B"/>
    <w:rsid w:val="00417867"/>
    <w:rsid w:val="00417AA0"/>
    <w:rsid w:val="00417B0A"/>
    <w:rsid w:val="00417B78"/>
    <w:rsid w:val="00417C5C"/>
    <w:rsid w:val="00417DB4"/>
    <w:rsid w:val="00417E71"/>
    <w:rsid w:val="00417F6D"/>
    <w:rsid w:val="004200E9"/>
    <w:rsid w:val="004204A4"/>
    <w:rsid w:val="004204D2"/>
    <w:rsid w:val="00420768"/>
    <w:rsid w:val="004207E7"/>
    <w:rsid w:val="00420A8B"/>
    <w:rsid w:val="00420D7C"/>
    <w:rsid w:val="00420F5B"/>
    <w:rsid w:val="0042103A"/>
    <w:rsid w:val="004212D0"/>
    <w:rsid w:val="004215BB"/>
    <w:rsid w:val="00421628"/>
    <w:rsid w:val="004216CB"/>
    <w:rsid w:val="00421A6B"/>
    <w:rsid w:val="00421AC4"/>
    <w:rsid w:val="00421E1E"/>
    <w:rsid w:val="00421EF4"/>
    <w:rsid w:val="00422027"/>
    <w:rsid w:val="00422119"/>
    <w:rsid w:val="00422164"/>
    <w:rsid w:val="004226E0"/>
    <w:rsid w:val="00422954"/>
    <w:rsid w:val="00422FA1"/>
    <w:rsid w:val="00423038"/>
    <w:rsid w:val="0042310C"/>
    <w:rsid w:val="004232FD"/>
    <w:rsid w:val="00423312"/>
    <w:rsid w:val="00423454"/>
    <w:rsid w:val="004237C8"/>
    <w:rsid w:val="00423B01"/>
    <w:rsid w:val="00423C80"/>
    <w:rsid w:val="004240FC"/>
    <w:rsid w:val="0042418D"/>
    <w:rsid w:val="004243D6"/>
    <w:rsid w:val="00424733"/>
    <w:rsid w:val="0042483A"/>
    <w:rsid w:val="00424940"/>
    <w:rsid w:val="00424BAC"/>
    <w:rsid w:val="00424CAA"/>
    <w:rsid w:val="00424D3F"/>
    <w:rsid w:val="00424F62"/>
    <w:rsid w:val="00425087"/>
    <w:rsid w:val="004250C5"/>
    <w:rsid w:val="004251D5"/>
    <w:rsid w:val="004253E8"/>
    <w:rsid w:val="0042544D"/>
    <w:rsid w:val="00425826"/>
    <w:rsid w:val="00425AE3"/>
    <w:rsid w:val="00425C63"/>
    <w:rsid w:val="00425CF7"/>
    <w:rsid w:val="00425EB4"/>
    <w:rsid w:val="00425EC0"/>
    <w:rsid w:val="00426022"/>
    <w:rsid w:val="004260D2"/>
    <w:rsid w:val="004267FC"/>
    <w:rsid w:val="00426925"/>
    <w:rsid w:val="00426A52"/>
    <w:rsid w:val="00426CC1"/>
    <w:rsid w:val="00426D4B"/>
    <w:rsid w:val="00426F0C"/>
    <w:rsid w:val="00427176"/>
    <w:rsid w:val="0042740D"/>
    <w:rsid w:val="0042797A"/>
    <w:rsid w:val="004279BE"/>
    <w:rsid w:val="00427B7C"/>
    <w:rsid w:val="00427F95"/>
    <w:rsid w:val="00427FBE"/>
    <w:rsid w:val="00430092"/>
    <w:rsid w:val="0043012E"/>
    <w:rsid w:val="00430242"/>
    <w:rsid w:val="00430856"/>
    <w:rsid w:val="00430AA8"/>
    <w:rsid w:val="00430AFA"/>
    <w:rsid w:val="00430C48"/>
    <w:rsid w:val="00430FB4"/>
    <w:rsid w:val="00431582"/>
    <w:rsid w:val="00431607"/>
    <w:rsid w:val="004318A3"/>
    <w:rsid w:val="00431CB6"/>
    <w:rsid w:val="00432126"/>
    <w:rsid w:val="004323C3"/>
    <w:rsid w:val="0043250A"/>
    <w:rsid w:val="00432539"/>
    <w:rsid w:val="0043256A"/>
    <w:rsid w:val="004325F3"/>
    <w:rsid w:val="004329A6"/>
    <w:rsid w:val="00432A0C"/>
    <w:rsid w:val="00432C81"/>
    <w:rsid w:val="00432D32"/>
    <w:rsid w:val="00433409"/>
    <w:rsid w:val="00433444"/>
    <w:rsid w:val="00433664"/>
    <w:rsid w:val="004336AB"/>
    <w:rsid w:val="004336E7"/>
    <w:rsid w:val="0043393A"/>
    <w:rsid w:val="00433C24"/>
    <w:rsid w:val="00433CD1"/>
    <w:rsid w:val="00434072"/>
    <w:rsid w:val="004341B5"/>
    <w:rsid w:val="00434500"/>
    <w:rsid w:val="00434569"/>
    <w:rsid w:val="004345DB"/>
    <w:rsid w:val="004345E5"/>
    <w:rsid w:val="00434960"/>
    <w:rsid w:val="00434B92"/>
    <w:rsid w:val="00434C84"/>
    <w:rsid w:val="00434DB9"/>
    <w:rsid w:val="004351E5"/>
    <w:rsid w:val="0043523E"/>
    <w:rsid w:val="004352C3"/>
    <w:rsid w:val="0043536B"/>
    <w:rsid w:val="0043540D"/>
    <w:rsid w:val="00435533"/>
    <w:rsid w:val="0043571F"/>
    <w:rsid w:val="0043596D"/>
    <w:rsid w:val="00435DDB"/>
    <w:rsid w:val="004363FF"/>
    <w:rsid w:val="00436585"/>
    <w:rsid w:val="0043666E"/>
    <w:rsid w:val="00436C08"/>
    <w:rsid w:val="00436F59"/>
    <w:rsid w:val="00436FE1"/>
    <w:rsid w:val="004370F4"/>
    <w:rsid w:val="00437204"/>
    <w:rsid w:val="004373F4"/>
    <w:rsid w:val="00437490"/>
    <w:rsid w:val="0043756A"/>
    <w:rsid w:val="00437814"/>
    <w:rsid w:val="00437931"/>
    <w:rsid w:val="004379EC"/>
    <w:rsid w:val="00437A80"/>
    <w:rsid w:val="00437B19"/>
    <w:rsid w:val="00437ECE"/>
    <w:rsid w:val="0044028B"/>
    <w:rsid w:val="00440407"/>
    <w:rsid w:val="004405EB"/>
    <w:rsid w:val="0044063C"/>
    <w:rsid w:val="004407CA"/>
    <w:rsid w:val="00441321"/>
    <w:rsid w:val="00441888"/>
    <w:rsid w:val="0044198C"/>
    <w:rsid w:val="00441BCF"/>
    <w:rsid w:val="0044210E"/>
    <w:rsid w:val="0044293F"/>
    <w:rsid w:val="00442A0C"/>
    <w:rsid w:val="00442A36"/>
    <w:rsid w:val="00442C38"/>
    <w:rsid w:val="0044310A"/>
    <w:rsid w:val="00443127"/>
    <w:rsid w:val="00443190"/>
    <w:rsid w:val="0044340F"/>
    <w:rsid w:val="00443449"/>
    <w:rsid w:val="00443522"/>
    <w:rsid w:val="00443A8D"/>
    <w:rsid w:val="00443C84"/>
    <w:rsid w:val="00443C94"/>
    <w:rsid w:val="00443DF5"/>
    <w:rsid w:val="00443F78"/>
    <w:rsid w:val="00444122"/>
    <w:rsid w:val="0044415B"/>
    <w:rsid w:val="0044452A"/>
    <w:rsid w:val="0044454E"/>
    <w:rsid w:val="004446C1"/>
    <w:rsid w:val="004447E0"/>
    <w:rsid w:val="00444AE7"/>
    <w:rsid w:val="00444BA4"/>
    <w:rsid w:val="00444DD2"/>
    <w:rsid w:val="00444DD3"/>
    <w:rsid w:val="00444F5F"/>
    <w:rsid w:val="004452CF"/>
    <w:rsid w:val="004453AA"/>
    <w:rsid w:val="0044555C"/>
    <w:rsid w:val="004455A5"/>
    <w:rsid w:val="004455B3"/>
    <w:rsid w:val="00445604"/>
    <w:rsid w:val="00445682"/>
    <w:rsid w:val="004456C3"/>
    <w:rsid w:val="00445739"/>
    <w:rsid w:val="0044593C"/>
    <w:rsid w:val="00445B04"/>
    <w:rsid w:val="00445E6D"/>
    <w:rsid w:val="004466A5"/>
    <w:rsid w:val="004467F5"/>
    <w:rsid w:val="00446AF5"/>
    <w:rsid w:val="00446BC5"/>
    <w:rsid w:val="00446FBE"/>
    <w:rsid w:val="0044769E"/>
    <w:rsid w:val="0044771D"/>
    <w:rsid w:val="00447BDB"/>
    <w:rsid w:val="00447C24"/>
    <w:rsid w:val="00450106"/>
    <w:rsid w:val="00450158"/>
    <w:rsid w:val="00450197"/>
    <w:rsid w:val="0045034C"/>
    <w:rsid w:val="00450498"/>
    <w:rsid w:val="004504A4"/>
    <w:rsid w:val="0045056A"/>
    <w:rsid w:val="004505D4"/>
    <w:rsid w:val="004506BE"/>
    <w:rsid w:val="004508BC"/>
    <w:rsid w:val="00450957"/>
    <w:rsid w:val="00450AE1"/>
    <w:rsid w:val="00450E3C"/>
    <w:rsid w:val="00450E41"/>
    <w:rsid w:val="00451091"/>
    <w:rsid w:val="004510B7"/>
    <w:rsid w:val="00451167"/>
    <w:rsid w:val="004511A5"/>
    <w:rsid w:val="00451646"/>
    <w:rsid w:val="004516E5"/>
    <w:rsid w:val="0045185C"/>
    <w:rsid w:val="00451BA0"/>
    <w:rsid w:val="004521AC"/>
    <w:rsid w:val="004527C2"/>
    <w:rsid w:val="00452A42"/>
    <w:rsid w:val="00452B92"/>
    <w:rsid w:val="00452EAC"/>
    <w:rsid w:val="00452F48"/>
    <w:rsid w:val="0045365F"/>
    <w:rsid w:val="00453938"/>
    <w:rsid w:val="00453BB6"/>
    <w:rsid w:val="00453EBB"/>
    <w:rsid w:val="00454165"/>
    <w:rsid w:val="0045446B"/>
    <w:rsid w:val="00454A6F"/>
    <w:rsid w:val="00454A95"/>
    <w:rsid w:val="0045504D"/>
    <w:rsid w:val="00455487"/>
    <w:rsid w:val="00455673"/>
    <w:rsid w:val="0045578D"/>
    <w:rsid w:val="004558B1"/>
    <w:rsid w:val="00455A5D"/>
    <w:rsid w:val="00455AEE"/>
    <w:rsid w:val="004561B8"/>
    <w:rsid w:val="00456325"/>
    <w:rsid w:val="0045646D"/>
    <w:rsid w:val="00456737"/>
    <w:rsid w:val="0045698C"/>
    <w:rsid w:val="00456A1B"/>
    <w:rsid w:val="00456B91"/>
    <w:rsid w:val="00456BDB"/>
    <w:rsid w:val="00456E5F"/>
    <w:rsid w:val="00456F6F"/>
    <w:rsid w:val="0045730E"/>
    <w:rsid w:val="004578E0"/>
    <w:rsid w:val="00457A45"/>
    <w:rsid w:val="00457AC1"/>
    <w:rsid w:val="00457B5B"/>
    <w:rsid w:val="00457B92"/>
    <w:rsid w:val="00457CC9"/>
    <w:rsid w:val="00457CDF"/>
    <w:rsid w:val="00457D53"/>
    <w:rsid w:val="00457DE8"/>
    <w:rsid w:val="00460338"/>
    <w:rsid w:val="00460443"/>
    <w:rsid w:val="0046049C"/>
    <w:rsid w:val="00460598"/>
    <w:rsid w:val="00460727"/>
    <w:rsid w:val="00460893"/>
    <w:rsid w:val="00460A29"/>
    <w:rsid w:val="00460BA9"/>
    <w:rsid w:val="00460BCA"/>
    <w:rsid w:val="00460C65"/>
    <w:rsid w:val="00460E7D"/>
    <w:rsid w:val="00460F1B"/>
    <w:rsid w:val="00461379"/>
    <w:rsid w:val="0046182D"/>
    <w:rsid w:val="00461843"/>
    <w:rsid w:val="00461E9F"/>
    <w:rsid w:val="00461F02"/>
    <w:rsid w:val="00461FD9"/>
    <w:rsid w:val="00461FF7"/>
    <w:rsid w:val="00462210"/>
    <w:rsid w:val="00462598"/>
    <w:rsid w:val="004628E8"/>
    <w:rsid w:val="00462EE1"/>
    <w:rsid w:val="00463218"/>
    <w:rsid w:val="0046321E"/>
    <w:rsid w:val="0046345B"/>
    <w:rsid w:val="004639C0"/>
    <w:rsid w:val="00463B65"/>
    <w:rsid w:val="00464031"/>
    <w:rsid w:val="004641A9"/>
    <w:rsid w:val="004644F0"/>
    <w:rsid w:val="004648C1"/>
    <w:rsid w:val="00464A3D"/>
    <w:rsid w:val="00464AA2"/>
    <w:rsid w:val="00464BFB"/>
    <w:rsid w:val="00465105"/>
    <w:rsid w:val="00465727"/>
    <w:rsid w:val="00465AF3"/>
    <w:rsid w:val="00465D7C"/>
    <w:rsid w:val="00466067"/>
    <w:rsid w:val="00466414"/>
    <w:rsid w:val="004664E3"/>
    <w:rsid w:val="00466734"/>
    <w:rsid w:val="0046694A"/>
    <w:rsid w:val="00466D91"/>
    <w:rsid w:val="004670EC"/>
    <w:rsid w:val="004672C4"/>
    <w:rsid w:val="00467360"/>
    <w:rsid w:val="004673F8"/>
    <w:rsid w:val="004674FA"/>
    <w:rsid w:val="0046777B"/>
    <w:rsid w:val="00467805"/>
    <w:rsid w:val="004679B4"/>
    <w:rsid w:val="00467BC0"/>
    <w:rsid w:val="0047034C"/>
    <w:rsid w:val="00470505"/>
    <w:rsid w:val="00470854"/>
    <w:rsid w:val="004709BE"/>
    <w:rsid w:val="00470B54"/>
    <w:rsid w:val="00470EFD"/>
    <w:rsid w:val="00470F90"/>
    <w:rsid w:val="00471280"/>
    <w:rsid w:val="004715F4"/>
    <w:rsid w:val="00471793"/>
    <w:rsid w:val="00471AC2"/>
    <w:rsid w:val="00471C7A"/>
    <w:rsid w:val="0047204E"/>
    <w:rsid w:val="004724B8"/>
    <w:rsid w:val="00472A2C"/>
    <w:rsid w:val="00472AA7"/>
    <w:rsid w:val="00472C07"/>
    <w:rsid w:val="00472D11"/>
    <w:rsid w:val="004733CE"/>
    <w:rsid w:val="004733F0"/>
    <w:rsid w:val="004737D8"/>
    <w:rsid w:val="004738C3"/>
    <w:rsid w:val="00473941"/>
    <w:rsid w:val="004739E9"/>
    <w:rsid w:val="00473E72"/>
    <w:rsid w:val="004747B1"/>
    <w:rsid w:val="004750E9"/>
    <w:rsid w:val="00475693"/>
    <w:rsid w:val="00475C29"/>
    <w:rsid w:val="00475CA0"/>
    <w:rsid w:val="00475CC4"/>
    <w:rsid w:val="00475D6F"/>
    <w:rsid w:val="00475E2A"/>
    <w:rsid w:val="0047648F"/>
    <w:rsid w:val="00476CD8"/>
    <w:rsid w:val="00476EC4"/>
    <w:rsid w:val="004770AB"/>
    <w:rsid w:val="00477388"/>
    <w:rsid w:val="00477398"/>
    <w:rsid w:val="00477A80"/>
    <w:rsid w:val="00477ACE"/>
    <w:rsid w:val="00477DB5"/>
    <w:rsid w:val="00480232"/>
    <w:rsid w:val="004805D1"/>
    <w:rsid w:val="0048069D"/>
    <w:rsid w:val="0048083D"/>
    <w:rsid w:val="00480918"/>
    <w:rsid w:val="004809B6"/>
    <w:rsid w:val="00480B28"/>
    <w:rsid w:val="00480BF5"/>
    <w:rsid w:val="00480C79"/>
    <w:rsid w:val="00480C95"/>
    <w:rsid w:val="00480DA9"/>
    <w:rsid w:val="00480F5B"/>
    <w:rsid w:val="00480FFA"/>
    <w:rsid w:val="00481289"/>
    <w:rsid w:val="004812B4"/>
    <w:rsid w:val="00481360"/>
    <w:rsid w:val="004814BD"/>
    <w:rsid w:val="0048183A"/>
    <w:rsid w:val="0048188F"/>
    <w:rsid w:val="00481B66"/>
    <w:rsid w:val="00481B90"/>
    <w:rsid w:val="00481C68"/>
    <w:rsid w:val="004824F3"/>
    <w:rsid w:val="004828B9"/>
    <w:rsid w:val="00482AC3"/>
    <w:rsid w:val="00482D70"/>
    <w:rsid w:val="00482E23"/>
    <w:rsid w:val="00482E39"/>
    <w:rsid w:val="00482FEE"/>
    <w:rsid w:val="004830A2"/>
    <w:rsid w:val="0048314F"/>
    <w:rsid w:val="00483516"/>
    <w:rsid w:val="0048378A"/>
    <w:rsid w:val="00483801"/>
    <w:rsid w:val="00483F96"/>
    <w:rsid w:val="00484118"/>
    <w:rsid w:val="00484431"/>
    <w:rsid w:val="00484638"/>
    <w:rsid w:val="004847A0"/>
    <w:rsid w:val="0048490C"/>
    <w:rsid w:val="00484E97"/>
    <w:rsid w:val="00484F42"/>
    <w:rsid w:val="0048519F"/>
    <w:rsid w:val="0048521B"/>
    <w:rsid w:val="004853CC"/>
    <w:rsid w:val="0048551B"/>
    <w:rsid w:val="00485586"/>
    <w:rsid w:val="004855B7"/>
    <w:rsid w:val="00485640"/>
    <w:rsid w:val="004857F9"/>
    <w:rsid w:val="00485801"/>
    <w:rsid w:val="00485A39"/>
    <w:rsid w:val="00485B6C"/>
    <w:rsid w:val="00485B6F"/>
    <w:rsid w:val="00485C18"/>
    <w:rsid w:val="004860A6"/>
    <w:rsid w:val="0048615B"/>
    <w:rsid w:val="00486250"/>
    <w:rsid w:val="004862AB"/>
    <w:rsid w:val="004865A1"/>
    <w:rsid w:val="0048661D"/>
    <w:rsid w:val="00486835"/>
    <w:rsid w:val="004869EE"/>
    <w:rsid w:val="00486D33"/>
    <w:rsid w:val="00487199"/>
    <w:rsid w:val="004871AF"/>
    <w:rsid w:val="004872E8"/>
    <w:rsid w:val="00487429"/>
    <w:rsid w:val="0048765A"/>
    <w:rsid w:val="00487783"/>
    <w:rsid w:val="00487DA8"/>
    <w:rsid w:val="00487DD6"/>
    <w:rsid w:val="00487FFC"/>
    <w:rsid w:val="0049001C"/>
    <w:rsid w:val="00490028"/>
    <w:rsid w:val="004901E1"/>
    <w:rsid w:val="00490205"/>
    <w:rsid w:val="00490466"/>
    <w:rsid w:val="0049055A"/>
    <w:rsid w:val="00490AFA"/>
    <w:rsid w:val="00490B84"/>
    <w:rsid w:val="00490EAB"/>
    <w:rsid w:val="00490EB7"/>
    <w:rsid w:val="00491A58"/>
    <w:rsid w:val="00491AE4"/>
    <w:rsid w:val="00491B28"/>
    <w:rsid w:val="00491E5F"/>
    <w:rsid w:val="0049208F"/>
    <w:rsid w:val="0049212E"/>
    <w:rsid w:val="004922F1"/>
    <w:rsid w:val="00492656"/>
    <w:rsid w:val="00492959"/>
    <w:rsid w:val="00492981"/>
    <w:rsid w:val="00492B71"/>
    <w:rsid w:val="00492C94"/>
    <w:rsid w:val="00492D35"/>
    <w:rsid w:val="00492DC4"/>
    <w:rsid w:val="00492EBF"/>
    <w:rsid w:val="00492FEE"/>
    <w:rsid w:val="0049343C"/>
    <w:rsid w:val="00493463"/>
    <w:rsid w:val="004934CD"/>
    <w:rsid w:val="00493645"/>
    <w:rsid w:val="00493688"/>
    <w:rsid w:val="0049368C"/>
    <w:rsid w:val="004937DC"/>
    <w:rsid w:val="00493838"/>
    <w:rsid w:val="00493A8A"/>
    <w:rsid w:val="00493C27"/>
    <w:rsid w:val="00493C96"/>
    <w:rsid w:val="00493F28"/>
    <w:rsid w:val="00493F68"/>
    <w:rsid w:val="00493FCA"/>
    <w:rsid w:val="00494035"/>
    <w:rsid w:val="004942A1"/>
    <w:rsid w:val="004947E3"/>
    <w:rsid w:val="004947E8"/>
    <w:rsid w:val="004949AE"/>
    <w:rsid w:val="00494A4F"/>
    <w:rsid w:val="00494BC1"/>
    <w:rsid w:val="00494C2F"/>
    <w:rsid w:val="00494C59"/>
    <w:rsid w:val="00494DE6"/>
    <w:rsid w:val="00495213"/>
    <w:rsid w:val="0049527A"/>
    <w:rsid w:val="0049541D"/>
    <w:rsid w:val="004954B4"/>
    <w:rsid w:val="004959AE"/>
    <w:rsid w:val="00495B9E"/>
    <w:rsid w:val="00495F77"/>
    <w:rsid w:val="0049634B"/>
    <w:rsid w:val="00496913"/>
    <w:rsid w:val="00496995"/>
    <w:rsid w:val="00496A4C"/>
    <w:rsid w:val="00496AD8"/>
    <w:rsid w:val="00496C6B"/>
    <w:rsid w:val="00496DF3"/>
    <w:rsid w:val="00496E22"/>
    <w:rsid w:val="0049710C"/>
    <w:rsid w:val="00497193"/>
    <w:rsid w:val="0049740C"/>
    <w:rsid w:val="00497499"/>
    <w:rsid w:val="004975CC"/>
    <w:rsid w:val="004975ED"/>
    <w:rsid w:val="00497744"/>
    <w:rsid w:val="00497A39"/>
    <w:rsid w:val="00497B5E"/>
    <w:rsid w:val="00497B9A"/>
    <w:rsid w:val="00497BB4"/>
    <w:rsid w:val="00497CF4"/>
    <w:rsid w:val="004A02D6"/>
    <w:rsid w:val="004A0553"/>
    <w:rsid w:val="004A0A12"/>
    <w:rsid w:val="004A0D5D"/>
    <w:rsid w:val="004A0EEE"/>
    <w:rsid w:val="004A0F92"/>
    <w:rsid w:val="004A109F"/>
    <w:rsid w:val="004A11F7"/>
    <w:rsid w:val="004A134D"/>
    <w:rsid w:val="004A1369"/>
    <w:rsid w:val="004A14F1"/>
    <w:rsid w:val="004A177E"/>
    <w:rsid w:val="004A1E43"/>
    <w:rsid w:val="004A205D"/>
    <w:rsid w:val="004A22E2"/>
    <w:rsid w:val="004A28C6"/>
    <w:rsid w:val="004A290E"/>
    <w:rsid w:val="004A2D0E"/>
    <w:rsid w:val="004A2D32"/>
    <w:rsid w:val="004A2EC2"/>
    <w:rsid w:val="004A38C0"/>
    <w:rsid w:val="004A3C44"/>
    <w:rsid w:val="004A4A3F"/>
    <w:rsid w:val="004A4ADF"/>
    <w:rsid w:val="004A51FE"/>
    <w:rsid w:val="004A54DE"/>
    <w:rsid w:val="004A557A"/>
    <w:rsid w:val="004A55C7"/>
    <w:rsid w:val="004A5602"/>
    <w:rsid w:val="004A56E6"/>
    <w:rsid w:val="004A5868"/>
    <w:rsid w:val="004A5AE6"/>
    <w:rsid w:val="004A5CE3"/>
    <w:rsid w:val="004A5D08"/>
    <w:rsid w:val="004A5DD2"/>
    <w:rsid w:val="004A6162"/>
    <w:rsid w:val="004A6503"/>
    <w:rsid w:val="004A65CC"/>
    <w:rsid w:val="004A6BD8"/>
    <w:rsid w:val="004A709A"/>
    <w:rsid w:val="004A7166"/>
    <w:rsid w:val="004A7181"/>
    <w:rsid w:val="004A7979"/>
    <w:rsid w:val="004A7BFC"/>
    <w:rsid w:val="004A7FBF"/>
    <w:rsid w:val="004B0026"/>
    <w:rsid w:val="004B00E0"/>
    <w:rsid w:val="004B010F"/>
    <w:rsid w:val="004B0593"/>
    <w:rsid w:val="004B05F2"/>
    <w:rsid w:val="004B07A5"/>
    <w:rsid w:val="004B08B4"/>
    <w:rsid w:val="004B095D"/>
    <w:rsid w:val="004B0978"/>
    <w:rsid w:val="004B0A0A"/>
    <w:rsid w:val="004B0A1D"/>
    <w:rsid w:val="004B0BAC"/>
    <w:rsid w:val="004B0CD8"/>
    <w:rsid w:val="004B155D"/>
    <w:rsid w:val="004B15A4"/>
    <w:rsid w:val="004B1966"/>
    <w:rsid w:val="004B1A65"/>
    <w:rsid w:val="004B1C80"/>
    <w:rsid w:val="004B1D0C"/>
    <w:rsid w:val="004B1E37"/>
    <w:rsid w:val="004B208E"/>
    <w:rsid w:val="004B21FE"/>
    <w:rsid w:val="004B25FE"/>
    <w:rsid w:val="004B26CB"/>
    <w:rsid w:val="004B26F4"/>
    <w:rsid w:val="004B27C6"/>
    <w:rsid w:val="004B2842"/>
    <w:rsid w:val="004B29EB"/>
    <w:rsid w:val="004B2D8F"/>
    <w:rsid w:val="004B30FD"/>
    <w:rsid w:val="004B32CF"/>
    <w:rsid w:val="004B3314"/>
    <w:rsid w:val="004B33E2"/>
    <w:rsid w:val="004B3452"/>
    <w:rsid w:val="004B35C4"/>
    <w:rsid w:val="004B36C2"/>
    <w:rsid w:val="004B3D41"/>
    <w:rsid w:val="004B3FF6"/>
    <w:rsid w:val="004B40D9"/>
    <w:rsid w:val="004B4109"/>
    <w:rsid w:val="004B446B"/>
    <w:rsid w:val="004B4A44"/>
    <w:rsid w:val="004B4EFD"/>
    <w:rsid w:val="004B5252"/>
    <w:rsid w:val="004B5292"/>
    <w:rsid w:val="004B55F8"/>
    <w:rsid w:val="004B5925"/>
    <w:rsid w:val="004B5AC3"/>
    <w:rsid w:val="004B619A"/>
    <w:rsid w:val="004B638D"/>
    <w:rsid w:val="004B63AE"/>
    <w:rsid w:val="004B643A"/>
    <w:rsid w:val="004B651B"/>
    <w:rsid w:val="004B6569"/>
    <w:rsid w:val="004B6A24"/>
    <w:rsid w:val="004B6EBE"/>
    <w:rsid w:val="004B7155"/>
    <w:rsid w:val="004B7363"/>
    <w:rsid w:val="004B745E"/>
    <w:rsid w:val="004B7828"/>
    <w:rsid w:val="004B783B"/>
    <w:rsid w:val="004B7A13"/>
    <w:rsid w:val="004B7A16"/>
    <w:rsid w:val="004B7F59"/>
    <w:rsid w:val="004C0631"/>
    <w:rsid w:val="004C06B0"/>
    <w:rsid w:val="004C06EB"/>
    <w:rsid w:val="004C0D61"/>
    <w:rsid w:val="004C0ECF"/>
    <w:rsid w:val="004C0FCE"/>
    <w:rsid w:val="004C151D"/>
    <w:rsid w:val="004C167F"/>
    <w:rsid w:val="004C16E4"/>
    <w:rsid w:val="004C18A9"/>
    <w:rsid w:val="004C1A01"/>
    <w:rsid w:val="004C1A1C"/>
    <w:rsid w:val="004C1D42"/>
    <w:rsid w:val="004C23F8"/>
    <w:rsid w:val="004C24C6"/>
    <w:rsid w:val="004C286D"/>
    <w:rsid w:val="004C2883"/>
    <w:rsid w:val="004C2DFB"/>
    <w:rsid w:val="004C3562"/>
    <w:rsid w:val="004C36DD"/>
    <w:rsid w:val="004C37C7"/>
    <w:rsid w:val="004C3B8E"/>
    <w:rsid w:val="004C3BA3"/>
    <w:rsid w:val="004C3C2C"/>
    <w:rsid w:val="004C3D6B"/>
    <w:rsid w:val="004C3F58"/>
    <w:rsid w:val="004C3FF0"/>
    <w:rsid w:val="004C406D"/>
    <w:rsid w:val="004C42F2"/>
    <w:rsid w:val="004C43A0"/>
    <w:rsid w:val="004C4478"/>
    <w:rsid w:val="004C44BC"/>
    <w:rsid w:val="004C4976"/>
    <w:rsid w:val="004C4F8B"/>
    <w:rsid w:val="004C4FBB"/>
    <w:rsid w:val="004C50CE"/>
    <w:rsid w:val="004C5153"/>
    <w:rsid w:val="004C52C8"/>
    <w:rsid w:val="004C57EC"/>
    <w:rsid w:val="004C5874"/>
    <w:rsid w:val="004C58CF"/>
    <w:rsid w:val="004C59A5"/>
    <w:rsid w:val="004C5A56"/>
    <w:rsid w:val="004C5DDB"/>
    <w:rsid w:val="004C5E8D"/>
    <w:rsid w:val="004C5F7D"/>
    <w:rsid w:val="004C60A6"/>
    <w:rsid w:val="004C6276"/>
    <w:rsid w:val="004C6314"/>
    <w:rsid w:val="004C682A"/>
    <w:rsid w:val="004C6921"/>
    <w:rsid w:val="004C73F0"/>
    <w:rsid w:val="004C746A"/>
    <w:rsid w:val="004C77C7"/>
    <w:rsid w:val="004C784F"/>
    <w:rsid w:val="004D0155"/>
    <w:rsid w:val="004D019C"/>
    <w:rsid w:val="004D0469"/>
    <w:rsid w:val="004D069F"/>
    <w:rsid w:val="004D08B1"/>
    <w:rsid w:val="004D08CE"/>
    <w:rsid w:val="004D08DB"/>
    <w:rsid w:val="004D09D2"/>
    <w:rsid w:val="004D0AF8"/>
    <w:rsid w:val="004D0AFE"/>
    <w:rsid w:val="004D0CF8"/>
    <w:rsid w:val="004D0E49"/>
    <w:rsid w:val="004D0EB4"/>
    <w:rsid w:val="004D0FDF"/>
    <w:rsid w:val="004D11CD"/>
    <w:rsid w:val="004D1233"/>
    <w:rsid w:val="004D1258"/>
    <w:rsid w:val="004D1585"/>
    <w:rsid w:val="004D17A5"/>
    <w:rsid w:val="004D1E15"/>
    <w:rsid w:val="004D1ED0"/>
    <w:rsid w:val="004D20E5"/>
    <w:rsid w:val="004D274C"/>
    <w:rsid w:val="004D2880"/>
    <w:rsid w:val="004D2959"/>
    <w:rsid w:val="004D2A12"/>
    <w:rsid w:val="004D2B5E"/>
    <w:rsid w:val="004D2C6A"/>
    <w:rsid w:val="004D33FE"/>
    <w:rsid w:val="004D3461"/>
    <w:rsid w:val="004D3804"/>
    <w:rsid w:val="004D397E"/>
    <w:rsid w:val="004D3B25"/>
    <w:rsid w:val="004D3BA5"/>
    <w:rsid w:val="004D3BF6"/>
    <w:rsid w:val="004D3D3D"/>
    <w:rsid w:val="004D3E0A"/>
    <w:rsid w:val="004D3E1A"/>
    <w:rsid w:val="004D3F5A"/>
    <w:rsid w:val="004D40AD"/>
    <w:rsid w:val="004D4134"/>
    <w:rsid w:val="004D435A"/>
    <w:rsid w:val="004D44E6"/>
    <w:rsid w:val="004D44F4"/>
    <w:rsid w:val="004D46A9"/>
    <w:rsid w:val="004D4756"/>
    <w:rsid w:val="004D4778"/>
    <w:rsid w:val="004D487D"/>
    <w:rsid w:val="004D490E"/>
    <w:rsid w:val="004D49A1"/>
    <w:rsid w:val="004D49BB"/>
    <w:rsid w:val="004D4B5A"/>
    <w:rsid w:val="004D4BF7"/>
    <w:rsid w:val="004D52F7"/>
    <w:rsid w:val="004D553B"/>
    <w:rsid w:val="004D5570"/>
    <w:rsid w:val="004D58FA"/>
    <w:rsid w:val="004D5AA5"/>
    <w:rsid w:val="004D5AD4"/>
    <w:rsid w:val="004D5B4F"/>
    <w:rsid w:val="004D613C"/>
    <w:rsid w:val="004D6166"/>
    <w:rsid w:val="004D63F3"/>
    <w:rsid w:val="004D653B"/>
    <w:rsid w:val="004D666C"/>
    <w:rsid w:val="004D668C"/>
    <w:rsid w:val="004D66BF"/>
    <w:rsid w:val="004D6905"/>
    <w:rsid w:val="004D6A13"/>
    <w:rsid w:val="004D6A32"/>
    <w:rsid w:val="004D6B06"/>
    <w:rsid w:val="004D6B4C"/>
    <w:rsid w:val="004D6BBB"/>
    <w:rsid w:val="004D6EBE"/>
    <w:rsid w:val="004D739E"/>
    <w:rsid w:val="004D747B"/>
    <w:rsid w:val="004D74F6"/>
    <w:rsid w:val="004D753A"/>
    <w:rsid w:val="004D7547"/>
    <w:rsid w:val="004D7788"/>
    <w:rsid w:val="004D781A"/>
    <w:rsid w:val="004D78F8"/>
    <w:rsid w:val="004D7B3F"/>
    <w:rsid w:val="004D7EAF"/>
    <w:rsid w:val="004E04A2"/>
    <w:rsid w:val="004E0665"/>
    <w:rsid w:val="004E0ABC"/>
    <w:rsid w:val="004E0E10"/>
    <w:rsid w:val="004E10C1"/>
    <w:rsid w:val="004E1151"/>
    <w:rsid w:val="004E12B4"/>
    <w:rsid w:val="004E15C1"/>
    <w:rsid w:val="004E18BF"/>
    <w:rsid w:val="004E1965"/>
    <w:rsid w:val="004E1A47"/>
    <w:rsid w:val="004E1BE7"/>
    <w:rsid w:val="004E1F07"/>
    <w:rsid w:val="004E22CB"/>
    <w:rsid w:val="004E23C6"/>
    <w:rsid w:val="004E2472"/>
    <w:rsid w:val="004E2556"/>
    <w:rsid w:val="004E25C1"/>
    <w:rsid w:val="004E2737"/>
    <w:rsid w:val="004E276B"/>
    <w:rsid w:val="004E27B6"/>
    <w:rsid w:val="004E2B80"/>
    <w:rsid w:val="004E2D13"/>
    <w:rsid w:val="004E2E3C"/>
    <w:rsid w:val="004E2E91"/>
    <w:rsid w:val="004E3151"/>
    <w:rsid w:val="004E33E1"/>
    <w:rsid w:val="004E3AA5"/>
    <w:rsid w:val="004E3DD2"/>
    <w:rsid w:val="004E41CF"/>
    <w:rsid w:val="004E4349"/>
    <w:rsid w:val="004E4398"/>
    <w:rsid w:val="004E44EA"/>
    <w:rsid w:val="004E4564"/>
    <w:rsid w:val="004E45DE"/>
    <w:rsid w:val="004E46CB"/>
    <w:rsid w:val="004E4A03"/>
    <w:rsid w:val="004E4A7D"/>
    <w:rsid w:val="004E4B39"/>
    <w:rsid w:val="004E4C4D"/>
    <w:rsid w:val="004E4FBA"/>
    <w:rsid w:val="004E5009"/>
    <w:rsid w:val="004E517E"/>
    <w:rsid w:val="004E5419"/>
    <w:rsid w:val="004E55B9"/>
    <w:rsid w:val="004E5670"/>
    <w:rsid w:val="004E5714"/>
    <w:rsid w:val="004E58D6"/>
    <w:rsid w:val="004E5BFB"/>
    <w:rsid w:val="004E5C0C"/>
    <w:rsid w:val="004E60CC"/>
    <w:rsid w:val="004E651C"/>
    <w:rsid w:val="004E68FE"/>
    <w:rsid w:val="004E6A0C"/>
    <w:rsid w:val="004E6ACC"/>
    <w:rsid w:val="004E6B0B"/>
    <w:rsid w:val="004E6B96"/>
    <w:rsid w:val="004E6C0F"/>
    <w:rsid w:val="004E7348"/>
    <w:rsid w:val="004E7435"/>
    <w:rsid w:val="004E7577"/>
    <w:rsid w:val="004E76CD"/>
    <w:rsid w:val="004E7A44"/>
    <w:rsid w:val="004E7DB3"/>
    <w:rsid w:val="004E7ECB"/>
    <w:rsid w:val="004E7F6C"/>
    <w:rsid w:val="004F0181"/>
    <w:rsid w:val="004F02F0"/>
    <w:rsid w:val="004F045F"/>
    <w:rsid w:val="004F0495"/>
    <w:rsid w:val="004F0595"/>
    <w:rsid w:val="004F0BB5"/>
    <w:rsid w:val="004F0C6A"/>
    <w:rsid w:val="004F0DCA"/>
    <w:rsid w:val="004F114E"/>
    <w:rsid w:val="004F11AB"/>
    <w:rsid w:val="004F1480"/>
    <w:rsid w:val="004F1880"/>
    <w:rsid w:val="004F1A22"/>
    <w:rsid w:val="004F1D17"/>
    <w:rsid w:val="004F20B5"/>
    <w:rsid w:val="004F247D"/>
    <w:rsid w:val="004F27A3"/>
    <w:rsid w:val="004F28C0"/>
    <w:rsid w:val="004F2B41"/>
    <w:rsid w:val="004F2B5D"/>
    <w:rsid w:val="004F2E6C"/>
    <w:rsid w:val="004F32FC"/>
    <w:rsid w:val="004F3571"/>
    <w:rsid w:val="004F35A9"/>
    <w:rsid w:val="004F39DD"/>
    <w:rsid w:val="004F39F0"/>
    <w:rsid w:val="004F3A29"/>
    <w:rsid w:val="004F3A61"/>
    <w:rsid w:val="004F3A76"/>
    <w:rsid w:val="004F3AD6"/>
    <w:rsid w:val="004F3BBF"/>
    <w:rsid w:val="004F3C01"/>
    <w:rsid w:val="004F40CE"/>
    <w:rsid w:val="004F4457"/>
    <w:rsid w:val="004F4876"/>
    <w:rsid w:val="004F4D6A"/>
    <w:rsid w:val="004F4E36"/>
    <w:rsid w:val="004F4E3E"/>
    <w:rsid w:val="004F4EE7"/>
    <w:rsid w:val="004F524C"/>
    <w:rsid w:val="004F5386"/>
    <w:rsid w:val="004F5573"/>
    <w:rsid w:val="004F5C5E"/>
    <w:rsid w:val="004F5D12"/>
    <w:rsid w:val="004F5DDB"/>
    <w:rsid w:val="004F63B3"/>
    <w:rsid w:val="004F63E8"/>
    <w:rsid w:val="004F6525"/>
    <w:rsid w:val="004F6922"/>
    <w:rsid w:val="004F6D77"/>
    <w:rsid w:val="004F6EF9"/>
    <w:rsid w:val="004F7125"/>
    <w:rsid w:val="004F7334"/>
    <w:rsid w:val="004F740F"/>
    <w:rsid w:val="004F74E2"/>
    <w:rsid w:val="004F75BC"/>
    <w:rsid w:val="004F7838"/>
    <w:rsid w:val="004F7BD6"/>
    <w:rsid w:val="004F7D5E"/>
    <w:rsid w:val="00500148"/>
    <w:rsid w:val="005001CD"/>
    <w:rsid w:val="0050061E"/>
    <w:rsid w:val="005006A2"/>
    <w:rsid w:val="00500704"/>
    <w:rsid w:val="00500915"/>
    <w:rsid w:val="00500991"/>
    <w:rsid w:val="005009F8"/>
    <w:rsid w:val="00500E32"/>
    <w:rsid w:val="00500EE3"/>
    <w:rsid w:val="00500F18"/>
    <w:rsid w:val="00500F8C"/>
    <w:rsid w:val="00500FE6"/>
    <w:rsid w:val="005010F2"/>
    <w:rsid w:val="0050128C"/>
    <w:rsid w:val="005018B0"/>
    <w:rsid w:val="005018E5"/>
    <w:rsid w:val="005019AD"/>
    <w:rsid w:val="0050212B"/>
    <w:rsid w:val="005024A0"/>
    <w:rsid w:val="00502643"/>
    <w:rsid w:val="00502738"/>
    <w:rsid w:val="00502801"/>
    <w:rsid w:val="0050299C"/>
    <w:rsid w:val="005029CF"/>
    <w:rsid w:val="005029F1"/>
    <w:rsid w:val="00502C03"/>
    <w:rsid w:val="005030E9"/>
    <w:rsid w:val="0050333C"/>
    <w:rsid w:val="00503541"/>
    <w:rsid w:val="00503736"/>
    <w:rsid w:val="00503B1B"/>
    <w:rsid w:val="00503E2C"/>
    <w:rsid w:val="00503F86"/>
    <w:rsid w:val="00504022"/>
    <w:rsid w:val="0050480B"/>
    <w:rsid w:val="00504B50"/>
    <w:rsid w:val="00504C59"/>
    <w:rsid w:val="00504FA1"/>
    <w:rsid w:val="005052BF"/>
    <w:rsid w:val="005053BD"/>
    <w:rsid w:val="005053E5"/>
    <w:rsid w:val="005055EB"/>
    <w:rsid w:val="00505611"/>
    <w:rsid w:val="00505A90"/>
    <w:rsid w:val="00505A93"/>
    <w:rsid w:val="00505B63"/>
    <w:rsid w:val="00505C16"/>
    <w:rsid w:val="00505C1E"/>
    <w:rsid w:val="00505F02"/>
    <w:rsid w:val="00506102"/>
    <w:rsid w:val="0050612C"/>
    <w:rsid w:val="0050632F"/>
    <w:rsid w:val="005066A2"/>
    <w:rsid w:val="005066A7"/>
    <w:rsid w:val="0050689E"/>
    <w:rsid w:val="00506B01"/>
    <w:rsid w:val="00506F2F"/>
    <w:rsid w:val="00507041"/>
    <w:rsid w:val="005074C9"/>
    <w:rsid w:val="005076BC"/>
    <w:rsid w:val="00507716"/>
    <w:rsid w:val="005078AB"/>
    <w:rsid w:val="005079B8"/>
    <w:rsid w:val="00510015"/>
    <w:rsid w:val="0051056F"/>
    <w:rsid w:val="00510811"/>
    <w:rsid w:val="00510891"/>
    <w:rsid w:val="00510A68"/>
    <w:rsid w:val="00510AC7"/>
    <w:rsid w:val="00510ACE"/>
    <w:rsid w:val="00510CF0"/>
    <w:rsid w:val="0051102E"/>
    <w:rsid w:val="0051110D"/>
    <w:rsid w:val="0051156D"/>
    <w:rsid w:val="005118E5"/>
    <w:rsid w:val="00511945"/>
    <w:rsid w:val="00511DA3"/>
    <w:rsid w:val="00511F12"/>
    <w:rsid w:val="00511F40"/>
    <w:rsid w:val="00512306"/>
    <w:rsid w:val="0051251F"/>
    <w:rsid w:val="005125FA"/>
    <w:rsid w:val="005127C7"/>
    <w:rsid w:val="005127F4"/>
    <w:rsid w:val="00512B9A"/>
    <w:rsid w:val="00512BDE"/>
    <w:rsid w:val="00512C2D"/>
    <w:rsid w:val="00512E8B"/>
    <w:rsid w:val="005130F0"/>
    <w:rsid w:val="0051314B"/>
    <w:rsid w:val="00513474"/>
    <w:rsid w:val="0051386E"/>
    <w:rsid w:val="00513A53"/>
    <w:rsid w:val="00513D69"/>
    <w:rsid w:val="00514051"/>
    <w:rsid w:val="0051426A"/>
    <w:rsid w:val="005143FE"/>
    <w:rsid w:val="0051478D"/>
    <w:rsid w:val="0051485B"/>
    <w:rsid w:val="00514A59"/>
    <w:rsid w:val="005152C9"/>
    <w:rsid w:val="0051549F"/>
    <w:rsid w:val="0051552E"/>
    <w:rsid w:val="00515587"/>
    <w:rsid w:val="00515AF6"/>
    <w:rsid w:val="00515D70"/>
    <w:rsid w:val="00515F8D"/>
    <w:rsid w:val="00516607"/>
    <w:rsid w:val="00516739"/>
    <w:rsid w:val="005169B1"/>
    <w:rsid w:val="00516A07"/>
    <w:rsid w:val="00516D9D"/>
    <w:rsid w:val="00516DD1"/>
    <w:rsid w:val="005170B0"/>
    <w:rsid w:val="005170F5"/>
    <w:rsid w:val="005172EA"/>
    <w:rsid w:val="0051734B"/>
    <w:rsid w:val="00517663"/>
    <w:rsid w:val="00517669"/>
    <w:rsid w:val="005176CE"/>
    <w:rsid w:val="00517708"/>
    <w:rsid w:val="00517B5F"/>
    <w:rsid w:val="00517EFC"/>
    <w:rsid w:val="00520639"/>
    <w:rsid w:val="005207F7"/>
    <w:rsid w:val="00520861"/>
    <w:rsid w:val="00520BCD"/>
    <w:rsid w:val="00520D0A"/>
    <w:rsid w:val="00520D91"/>
    <w:rsid w:val="005211E3"/>
    <w:rsid w:val="0052137E"/>
    <w:rsid w:val="00521634"/>
    <w:rsid w:val="0052190F"/>
    <w:rsid w:val="00521B91"/>
    <w:rsid w:val="00522152"/>
    <w:rsid w:val="00522348"/>
    <w:rsid w:val="0052276C"/>
    <w:rsid w:val="0052298B"/>
    <w:rsid w:val="00522A3A"/>
    <w:rsid w:val="00522AB2"/>
    <w:rsid w:val="00522B5B"/>
    <w:rsid w:val="00522DD8"/>
    <w:rsid w:val="00522F08"/>
    <w:rsid w:val="00523030"/>
    <w:rsid w:val="0052307D"/>
    <w:rsid w:val="00523141"/>
    <w:rsid w:val="0052315E"/>
    <w:rsid w:val="00523179"/>
    <w:rsid w:val="00523317"/>
    <w:rsid w:val="00523417"/>
    <w:rsid w:val="005234F3"/>
    <w:rsid w:val="00523548"/>
    <w:rsid w:val="005235A3"/>
    <w:rsid w:val="00523730"/>
    <w:rsid w:val="00523787"/>
    <w:rsid w:val="005237A5"/>
    <w:rsid w:val="00523847"/>
    <w:rsid w:val="00523A97"/>
    <w:rsid w:val="00523B62"/>
    <w:rsid w:val="00523CD4"/>
    <w:rsid w:val="00523D86"/>
    <w:rsid w:val="00523E08"/>
    <w:rsid w:val="00523F90"/>
    <w:rsid w:val="00524102"/>
    <w:rsid w:val="00524106"/>
    <w:rsid w:val="00524858"/>
    <w:rsid w:val="00524A3D"/>
    <w:rsid w:val="00524D79"/>
    <w:rsid w:val="005250BE"/>
    <w:rsid w:val="005251EA"/>
    <w:rsid w:val="00525947"/>
    <w:rsid w:val="005259D7"/>
    <w:rsid w:val="00525AFC"/>
    <w:rsid w:val="00525F93"/>
    <w:rsid w:val="00526366"/>
    <w:rsid w:val="005263CE"/>
    <w:rsid w:val="00526A30"/>
    <w:rsid w:val="00526A61"/>
    <w:rsid w:val="00526B09"/>
    <w:rsid w:val="00526B41"/>
    <w:rsid w:val="00526B70"/>
    <w:rsid w:val="00526D4F"/>
    <w:rsid w:val="00526F04"/>
    <w:rsid w:val="00526FB3"/>
    <w:rsid w:val="00526FB4"/>
    <w:rsid w:val="00527094"/>
    <w:rsid w:val="0052732C"/>
    <w:rsid w:val="005274AD"/>
    <w:rsid w:val="0052756D"/>
    <w:rsid w:val="005276A4"/>
    <w:rsid w:val="00527715"/>
    <w:rsid w:val="00527835"/>
    <w:rsid w:val="0052783E"/>
    <w:rsid w:val="005279E1"/>
    <w:rsid w:val="00527B1F"/>
    <w:rsid w:val="00527DC2"/>
    <w:rsid w:val="0053015C"/>
    <w:rsid w:val="00530697"/>
    <w:rsid w:val="005307BE"/>
    <w:rsid w:val="00530920"/>
    <w:rsid w:val="005309AC"/>
    <w:rsid w:val="00530B7B"/>
    <w:rsid w:val="00530BA1"/>
    <w:rsid w:val="00530BAE"/>
    <w:rsid w:val="00530ED7"/>
    <w:rsid w:val="00531564"/>
    <w:rsid w:val="005315D0"/>
    <w:rsid w:val="0053170B"/>
    <w:rsid w:val="0053170C"/>
    <w:rsid w:val="005317EE"/>
    <w:rsid w:val="00531AAA"/>
    <w:rsid w:val="00531B5A"/>
    <w:rsid w:val="00531B7E"/>
    <w:rsid w:val="005320CC"/>
    <w:rsid w:val="0053219A"/>
    <w:rsid w:val="005322BD"/>
    <w:rsid w:val="00532732"/>
    <w:rsid w:val="00532795"/>
    <w:rsid w:val="00532924"/>
    <w:rsid w:val="00532A38"/>
    <w:rsid w:val="00532AE0"/>
    <w:rsid w:val="00532C64"/>
    <w:rsid w:val="00532DC7"/>
    <w:rsid w:val="00532E28"/>
    <w:rsid w:val="00532E9E"/>
    <w:rsid w:val="00532EDD"/>
    <w:rsid w:val="0053314D"/>
    <w:rsid w:val="005331A5"/>
    <w:rsid w:val="00533B03"/>
    <w:rsid w:val="00533D25"/>
    <w:rsid w:val="005340C0"/>
    <w:rsid w:val="005340F9"/>
    <w:rsid w:val="0053419E"/>
    <w:rsid w:val="005344B9"/>
    <w:rsid w:val="005345B7"/>
    <w:rsid w:val="00534842"/>
    <w:rsid w:val="00534ACB"/>
    <w:rsid w:val="00534CBD"/>
    <w:rsid w:val="00534EE8"/>
    <w:rsid w:val="00535341"/>
    <w:rsid w:val="00535772"/>
    <w:rsid w:val="00535906"/>
    <w:rsid w:val="005359D1"/>
    <w:rsid w:val="00535DDF"/>
    <w:rsid w:val="00535EEE"/>
    <w:rsid w:val="0053612B"/>
    <w:rsid w:val="00536263"/>
    <w:rsid w:val="005363C9"/>
    <w:rsid w:val="005366C5"/>
    <w:rsid w:val="00536CF8"/>
    <w:rsid w:val="0053708F"/>
    <w:rsid w:val="0053720F"/>
    <w:rsid w:val="0053734F"/>
    <w:rsid w:val="00537789"/>
    <w:rsid w:val="00537910"/>
    <w:rsid w:val="0053797B"/>
    <w:rsid w:val="005379DE"/>
    <w:rsid w:val="00537A52"/>
    <w:rsid w:val="00537AD5"/>
    <w:rsid w:val="00537CB1"/>
    <w:rsid w:val="005400B7"/>
    <w:rsid w:val="005401B2"/>
    <w:rsid w:val="00540511"/>
    <w:rsid w:val="00540A61"/>
    <w:rsid w:val="00540A69"/>
    <w:rsid w:val="00540CDB"/>
    <w:rsid w:val="005411A3"/>
    <w:rsid w:val="0054152F"/>
    <w:rsid w:val="00541576"/>
    <w:rsid w:val="005415DB"/>
    <w:rsid w:val="00541659"/>
    <w:rsid w:val="005416F9"/>
    <w:rsid w:val="00541705"/>
    <w:rsid w:val="00541C9D"/>
    <w:rsid w:val="00541E0B"/>
    <w:rsid w:val="00541F08"/>
    <w:rsid w:val="00542062"/>
    <w:rsid w:val="0054212C"/>
    <w:rsid w:val="00542305"/>
    <w:rsid w:val="005425A6"/>
    <w:rsid w:val="00542CE4"/>
    <w:rsid w:val="00542FEB"/>
    <w:rsid w:val="005430D6"/>
    <w:rsid w:val="005431DE"/>
    <w:rsid w:val="005432D6"/>
    <w:rsid w:val="0054335B"/>
    <w:rsid w:val="00543884"/>
    <w:rsid w:val="0054393E"/>
    <w:rsid w:val="00543AF9"/>
    <w:rsid w:val="00543B65"/>
    <w:rsid w:val="00543CB9"/>
    <w:rsid w:val="00543D0E"/>
    <w:rsid w:val="00543F90"/>
    <w:rsid w:val="00544322"/>
    <w:rsid w:val="005443C3"/>
    <w:rsid w:val="005444B5"/>
    <w:rsid w:val="0054495B"/>
    <w:rsid w:val="00544C30"/>
    <w:rsid w:val="00544DB9"/>
    <w:rsid w:val="00544F5B"/>
    <w:rsid w:val="00545171"/>
    <w:rsid w:val="005451FA"/>
    <w:rsid w:val="00545254"/>
    <w:rsid w:val="00545288"/>
    <w:rsid w:val="00545310"/>
    <w:rsid w:val="005453C9"/>
    <w:rsid w:val="0054561C"/>
    <w:rsid w:val="00545651"/>
    <w:rsid w:val="0054577B"/>
    <w:rsid w:val="005457CC"/>
    <w:rsid w:val="00545C4F"/>
    <w:rsid w:val="00545C7F"/>
    <w:rsid w:val="00545D31"/>
    <w:rsid w:val="00545EC4"/>
    <w:rsid w:val="0054604F"/>
    <w:rsid w:val="005461EA"/>
    <w:rsid w:val="0054624F"/>
    <w:rsid w:val="005462F4"/>
    <w:rsid w:val="00546546"/>
    <w:rsid w:val="005465F5"/>
    <w:rsid w:val="005469BB"/>
    <w:rsid w:val="00546A2E"/>
    <w:rsid w:val="005473D9"/>
    <w:rsid w:val="00547414"/>
    <w:rsid w:val="00547637"/>
    <w:rsid w:val="0054770B"/>
    <w:rsid w:val="005478EE"/>
    <w:rsid w:val="00547D7E"/>
    <w:rsid w:val="00547D85"/>
    <w:rsid w:val="00550298"/>
    <w:rsid w:val="0055036A"/>
    <w:rsid w:val="005506D6"/>
    <w:rsid w:val="00550937"/>
    <w:rsid w:val="00550B5C"/>
    <w:rsid w:val="00550BC9"/>
    <w:rsid w:val="00550CB2"/>
    <w:rsid w:val="00550E8F"/>
    <w:rsid w:val="00550EA6"/>
    <w:rsid w:val="00550FC2"/>
    <w:rsid w:val="00551457"/>
    <w:rsid w:val="0055151E"/>
    <w:rsid w:val="0055174E"/>
    <w:rsid w:val="0055193D"/>
    <w:rsid w:val="00551B23"/>
    <w:rsid w:val="00551C92"/>
    <w:rsid w:val="00551CFD"/>
    <w:rsid w:val="00551D13"/>
    <w:rsid w:val="00551D68"/>
    <w:rsid w:val="00551DE5"/>
    <w:rsid w:val="00551E0D"/>
    <w:rsid w:val="00552027"/>
    <w:rsid w:val="00552079"/>
    <w:rsid w:val="005520D4"/>
    <w:rsid w:val="00552145"/>
    <w:rsid w:val="0055214C"/>
    <w:rsid w:val="00552234"/>
    <w:rsid w:val="005523D6"/>
    <w:rsid w:val="005524F3"/>
    <w:rsid w:val="005526DE"/>
    <w:rsid w:val="00552785"/>
    <w:rsid w:val="00552F72"/>
    <w:rsid w:val="00553120"/>
    <w:rsid w:val="005534A5"/>
    <w:rsid w:val="0055358B"/>
    <w:rsid w:val="00553703"/>
    <w:rsid w:val="0055379A"/>
    <w:rsid w:val="0055392C"/>
    <w:rsid w:val="00553AFC"/>
    <w:rsid w:val="005541C9"/>
    <w:rsid w:val="0055456C"/>
    <w:rsid w:val="00554B84"/>
    <w:rsid w:val="00554FB0"/>
    <w:rsid w:val="0055519C"/>
    <w:rsid w:val="005552E2"/>
    <w:rsid w:val="005553D5"/>
    <w:rsid w:val="005555EE"/>
    <w:rsid w:val="005556D8"/>
    <w:rsid w:val="005556E2"/>
    <w:rsid w:val="00555B0A"/>
    <w:rsid w:val="00555B76"/>
    <w:rsid w:val="00555BAA"/>
    <w:rsid w:val="00555CFB"/>
    <w:rsid w:val="00555EF6"/>
    <w:rsid w:val="005560A2"/>
    <w:rsid w:val="00556102"/>
    <w:rsid w:val="00556487"/>
    <w:rsid w:val="00556612"/>
    <w:rsid w:val="005566B0"/>
    <w:rsid w:val="0055702C"/>
    <w:rsid w:val="005570EE"/>
    <w:rsid w:val="00557336"/>
    <w:rsid w:val="005573E4"/>
    <w:rsid w:val="00557458"/>
    <w:rsid w:val="0055748E"/>
    <w:rsid w:val="0055754A"/>
    <w:rsid w:val="0055774F"/>
    <w:rsid w:val="0055779A"/>
    <w:rsid w:val="005578FA"/>
    <w:rsid w:val="00557980"/>
    <w:rsid w:val="005579CE"/>
    <w:rsid w:val="00557A33"/>
    <w:rsid w:val="00557F31"/>
    <w:rsid w:val="0056027B"/>
    <w:rsid w:val="00560403"/>
    <w:rsid w:val="005604A4"/>
    <w:rsid w:val="00560660"/>
    <w:rsid w:val="0056071E"/>
    <w:rsid w:val="00560C18"/>
    <w:rsid w:val="00560D1B"/>
    <w:rsid w:val="00560E8F"/>
    <w:rsid w:val="00560E9A"/>
    <w:rsid w:val="00561088"/>
    <w:rsid w:val="00561533"/>
    <w:rsid w:val="00561676"/>
    <w:rsid w:val="005618D2"/>
    <w:rsid w:val="00561AE1"/>
    <w:rsid w:val="00561B87"/>
    <w:rsid w:val="00561C4C"/>
    <w:rsid w:val="00561E57"/>
    <w:rsid w:val="00562239"/>
    <w:rsid w:val="0056297C"/>
    <w:rsid w:val="00562CFA"/>
    <w:rsid w:val="00562EFB"/>
    <w:rsid w:val="0056315B"/>
    <w:rsid w:val="00563249"/>
    <w:rsid w:val="00563499"/>
    <w:rsid w:val="005635D2"/>
    <w:rsid w:val="005635F6"/>
    <w:rsid w:val="0056364A"/>
    <w:rsid w:val="0056380F"/>
    <w:rsid w:val="00563A3E"/>
    <w:rsid w:val="00563A9C"/>
    <w:rsid w:val="00563CE7"/>
    <w:rsid w:val="00563D2A"/>
    <w:rsid w:val="00563E4A"/>
    <w:rsid w:val="00563E8B"/>
    <w:rsid w:val="00564070"/>
    <w:rsid w:val="005644AC"/>
    <w:rsid w:val="00564682"/>
    <w:rsid w:val="00564757"/>
    <w:rsid w:val="00564854"/>
    <w:rsid w:val="005649DA"/>
    <w:rsid w:val="00564A92"/>
    <w:rsid w:val="00564B4F"/>
    <w:rsid w:val="00565218"/>
    <w:rsid w:val="005654FB"/>
    <w:rsid w:val="005655EF"/>
    <w:rsid w:val="00565847"/>
    <w:rsid w:val="00565AFE"/>
    <w:rsid w:val="005660E8"/>
    <w:rsid w:val="0056638E"/>
    <w:rsid w:val="005664A8"/>
    <w:rsid w:val="0056684D"/>
    <w:rsid w:val="00566BA2"/>
    <w:rsid w:val="00566BE7"/>
    <w:rsid w:val="00566C42"/>
    <w:rsid w:val="00566CB5"/>
    <w:rsid w:val="00566D67"/>
    <w:rsid w:val="00567054"/>
    <w:rsid w:val="00567083"/>
    <w:rsid w:val="0056776E"/>
    <w:rsid w:val="00567981"/>
    <w:rsid w:val="00567D07"/>
    <w:rsid w:val="00567E64"/>
    <w:rsid w:val="00570241"/>
    <w:rsid w:val="0057072C"/>
    <w:rsid w:val="0057074A"/>
    <w:rsid w:val="00570C61"/>
    <w:rsid w:val="00570E30"/>
    <w:rsid w:val="0057129B"/>
    <w:rsid w:val="0057131D"/>
    <w:rsid w:val="00571720"/>
    <w:rsid w:val="005717E3"/>
    <w:rsid w:val="00571B18"/>
    <w:rsid w:val="00571F85"/>
    <w:rsid w:val="0057204B"/>
    <w:rsid w:val="0057206E"/>
    <w:rsid w:val="0057244E"/>
    <w:rsid w:val="005724FC"/>
    <w:rsid w:val="0057259A"/>
    <w:rsid w:val="0057288B"/>
    <w:rsid w:val="005728AB"/>
    <w:rsid w:val="00572A6B"/>
    <w:rsid w:val="00572B4D"/>
    <w:rsid w:val="00572E54"/>
    <w:rsid w:val="00572EA3"/>
    <w:rsid w:val="00573007"/>
    <w:rsid w:val="00573367"/>
    <w:rsid w:val="005733CE"/>
    <w:rsid w:val="0057346C"/>
    <w:rsid w:val="0057350B"/>
    <w:rsid w:val="00573DE5"/>
    <w:rsid w:val="00573E0E"/>
    <w:rsid w:val="00573E93"/>
    <w:rsid w:val="005741A6"/>
    <w:rsid w:val="00574310"/>
    <w:rsid w:val="00574412"/>
    <w:rsid w:val="0057443D"/>
    <w:rsid w:val="005744EC"/>
    <w:rsid w:val="005747CD"/>
    <w:rsid w:val="00574C45"/>
    <w:rsid w:val="00574E6D"/>
    <w:rsid w:val="00574F20"/>
    <w:rsid w:val="00574FCA"/>
    <w:rsid w:val="00575052"/>
    <w:rsid w:val="00575704"/>
    <w:rsid w:val="005758CE"/>
    <w:rsid w:val="00575900"/>
    <w:rsid w:val="00575B70"/>
    <w:rsid w:val="00575DF9"/>
    <w:rsid w:val="00575F39"/>
    <w:rsid w:val="005762C5"/>
    <w:rsid w:val="00576300"/>
    <w:rsid w:val="0057699A"/>
    <w:rsid w:val="00576ADF"/>
    <w:rsid w:val="00576B99"/>
    <w:rsid w:val="00576E18"/>
    <w:rsid w:val="005771E6"/>
    <w:rsid w:val="00577484"/>
    <w:rsid w:val="00577755"/>
    <w:rsid w:val="00577C27"/>
    <w:rsid w:val="00577C9B"/>
    <w:rsid w:val="00577E2C"/>
    <w:rsid w:val="005803EE"/>
    <w:rsid w:val="0058063A"/>
    <w:rsid w:val="005806CE"/>
    <w:rsid w:val="00580736"/>
    <w:rsid w:val="0058074C"/>
    <w:rsid w:val="005807E2"/>
    <w:rsid w:val="00580864"/>
    <w:rsid w:val="00580A0B"/>
    <w:rsid w:val="00580C7F"/>
    <w:rsid w:val="00580C8A"/>
    <w:rsid w:val="00580D59"/>
    <w:rsid w:val="00580EB7"/>
    <w:rsid w:val="00580FAE"/>
    <w:rsid w:val="00581334"/>
    <w:rsid w:val="005814D6"/>
    <w:rsid w:val="00581613"/>
    <w:rsid w:val="00581715"/>
    <w:rsid w:val="00581988"/>
    <w:rsid w:val="00581CFE"/>
    <w:rsid w:val="00581E85"/>
    <w:rsid w:val="00581EA0"/>
    <w:rsid w:val="00581EBE"/>
    <w:rsid w:val="00582188"/>
    <w:rsid w:val="00582AE7"/>
    <w:rsid w:val="00582B1E"/>
    <w:rsid w:val="00582D4B"/>
    <w:rsid w:val="00582E71"/>
    <w:rsid w:val="00583127"/>
    <w:rsid w:val="005832DE"/>
    <w:rsid w:val="00583629"/>
    <w:rsid w:val="00583C77"/>
    <w:rsid w:val="00583CC9"/>
    <w:rsid w:val="00583DB5"/>
    <w:rsid w:val="00583E32"/>
    <w:rsid w:val="00583F3B"/>
    <w:rsid w:val="00583FE1"/>
    <w:rsid w:val="00583FE9"/>
    <w:rsid w:val="00584071"/>
    <w:rsid w:val="005843E0"/>
    <w:rsid w:val="005844D7"/>
    <w:rsid w:val="00584AE4"/>
    <w:rsid w:val="00584BC6"/>
    <w:rsid w:val="00584D56"/>
    <w:rsid w:val="00584E9B"/>
    <w:rsid w:val="00584F25"/>
    <w:rsid w:val="00584F55"/>
    <w:rsid w:val="005850C9"/>
    <w:rsid w:val="0058534A"/>
    <w:rsid w:val="00585357"/>
    <w:rsid w:val="0058547B"/>
    <w:rsid w:val="00585586"/>
    <w:rsid w:val="00585704"/>
    <w:rsid w:val="005858DE"/>
    <w:rsid w:val="00585926"/>
    <w:rsid w:val="00585AEA"/>
    <w:rsid w:val="00586302"/>
    <w:rsid w:val="00586579"/>
    <w:rsid w:val="00586AD5"/>
    <w:rsid w:val="00586EC4"/>
    <w:rsid w:val="00586EF6"/>
    <w:rsid w:val="00587184"/>
    <w:rsid w:val="0058728A"/>
    <w:rsid w:val="00587677"/>
    <w:rsid w:val="0058787B"/>
    <w:rsid w:val="005878C0"/>
    <w:rsid w:val="005878EC"/>
    <w:rsid w:val="00590008"/>
    <w:rsid w:val="005904B6"/>
    <w:rsid w:val="005904CD"/>
    <w:rsid w:val="005905FC"/>
    <w:rsid w:val="00590681"/>
    <w:rsid w:val="005906FF"/>
    <w:rsid w:val="00590D48"/>
    <w:rsid w:val="00590E15"/>
    <w:rsid w:val="00590FD2"/>
    <w:rsid w:val="00590FF1"/>
    <w:rsid w:val="005912CB"/>
    <w:rsid w:val="00591446"/>
    <w:rsid w:val="005916EF"/>
    <w:rsid w:val="0059180A"/>
    <w:rsid w:val="0059182F"/>
    <w:rsid w:val="005918EE"/>
    <w:rsid w:val="0059196E"/>
    <w:rsid w:val="005919AC"/>
    <w:rsid w:val="00591BB8"/>
    <w:rsid w:val="00591BBC"/>
    <w:rsid w:val="00591BEC"/>
    <w:rsid w:val="00591C5B"/>
    <w:rsid w:val="00591EE1"/>
    <w:rsid w:val="005920B0"/>
    <w:rsid w:val="005920D3"/>
    <w:rsid w:val="00592235"/>
    <w:rsid w:val="005923C7"/>
    <w:rsid w:val="005923CB"/>
    <w:rsid w:val="0059244B"/>
    <w:rsid w:val="005925C5"/>
    <w:rsid w:val="00592976"/>
    <w:rsid w:val="00592991"/>
    <w:rsid w:val="00592A32"/>
    <w:rsid w:val="00592CEA"/>
    <w:rsid w:val="00592D72"/>
    <w:rsid w:val="00592F8A"/>
    <w:rsid w:val="00592F8F"/>
    <w:rsid w:val="005930B9"/>
    <w:rsid w:val="0059344B"/>
    <w:rsid w:val="00593580"/>
    <w:rsid w:val="0059365E"/>
    <w:rsid w:val="00593B2A"/>
    <w:rsid w:val="0059403E"/>
    <w:rsid w:val="005943D2"/>
    <w:rsid w:val="0059461A"/>
    <w:rsid w:val="00594656"/>
    <w:rsid w:val="005946CE"/>
    <w:rsid w:val="00594945"/>
    <w:rsid w:val="00594A00"/>
    <w:rsid w:val="00594C5A"/>
    <w:rsid w:val="00594CBF"/>
    <w:rsid w:val="00594DE8"/>
    <w:rsid w:val="00595227"/>
    <w:rsid w:val="00595390"/>
    <w:rsid w:val="00595514"/>
    <w:rsid w:val="005956EF"/>
    <w:rsid w:val="005956F9"/>
    <w:rsid w:val="00595793"/>
    <w:rsid w:val="00595B1F"/>
    <w:rsid w:val="00595D2F"/>
    <w:rsid w:val="00595EDE"/>
    <w:rsid w:val="005962DE"/>
    <w:rsid w:val="005962ED"/>
    <w:rsid w:val="0059637D"/>
    <w:rsid w:val="00596509"/>
    <w:rsid w:val="00596599"/>
    <w:rsid w:val="00596686"/>
    <w:rsid w:val="005969A9"/>
    <w:rsid w:val="00596A26"/>
    <w:rsid w:val="00596A73"/>
    <w:rsid w:val="00597811"/>
    <w:rsid w:val="00597E7A"/>
    <w:rsid w:val="00597FB1"/>
    <w:rsid w:val="00597FD3"/>
    <w:rsid w:val="005A00BE"/>
    <w:rsid w:val="005A04A8"/>
    <w:rsid w:val="005A058B"/>
    <w:rsid w:val="005A0798"/>
    <w:rsid w:val="005A083F"/>
    <w:rsid w:val="005A1212"/>
    <w:rsid w:val="005A1362"/>
    <w:rsid w:val="005A148D"/>
    <w:rsid w:val="005A17BF"/>
    <w:rsid w:val="005A19AE"/>
    <w:rsid w:val="005A1A0E"/>
    <w:rsid w:val="005A1B39"/>
    <w:rsid w:val="005A1D1B"/>
    <w:rsid w:val="005A205E"/>
    <w:rsid w:val="005A21F8"/>
    <w:rsid w:val="005A2228"/>
    <w:rsid w:val="005A26C9"/>
    <w:rsid w:val="005A28BA"/>
    <w:rsid w:val="005A2B6B"/>
    <w:rsid w:val="005A2DA6"/>
    <w:rsid w:val="005A2E52"/>
    <w:rsid w:val="005A2E60"/>
    <w:rsid w:val="005A3006"/>
    <w:rsid w:val="005A3065"/>
    <w:rsid w:val="005A30FB"/>
    <w:rsid w:val="005A3215"/>
    <w:rsid w:val="005A32DA"/>
    <w:rsid w:val="005A331A"/>
    <w:rsid w:val="005A340E"/>
    <w:rsid w:val="005A3428"/>
    <w:rsid w:val="005A3472"/>
    <w:rsid w:val="005A398D"/>
    <w:rsid w:val="005A3B79"/>
    <w:rsid w:val="005A3DF7"/>
    <w:rsid w:val="005A3F6E"/>
    <w:rsid w:val="005A3F92"/>
    <w:rsid w:val="005A3FF1"/>
    <w:rsid w:val="005A405E"/>
    <w:rsid w:val="005A419B"/>
    <w:rsid w:val="005A41C4"/>
    <w:rsid w:val="005A4336"/>
    <w:rsid w:val="005A4413"/>
    <w:rsid w:val="005A45D6"/>
    <w:rsid w:val="005A4899"/>
    <w:rsid w:val="005A48A3"/>
    <w:rsid w:val="005A4B2D"/>
    <w:rsid w:val="005A4F4A"/>
    <w:rsid w:val="005A5483"/>
    <w:rsid w:val="005A54FD"/>
    <w:rsid w:val="005A55B0"/>
    <w:rsid w:val="005A5698"/>
    <w:rsid w:val="005A5B78"/>
    <w:rsid w:val="005A5BF8"/>
    <w:rsid w:val="005A5D59"/>
    <w:rsid w:val="005A6078"/>
    <w:rsid w:val="005A6244"/>
    <w:rsid w:val="005A62C2"/>
    <w:rsid w:val="005A648F"/>
    <w:rsid w:val="005A680A"/>
    <w:rsid w:val="005A69E5"/>
    <w:rsid w:val="005A6AED"/>
    <w:rsid w:val="005A6C72"/>
    <w:rsid w:val="005A6D3B"/>
    <w:rsid w:val="005A7012"/>
    <w:rsid w:val="005A711D"/>
    <w:rsid w:val="005A725A"/>
    <w:rsid w:val="005A7330"/>
    <w:rsid w:val="005A73BE"/>
    <w:rsid w:val="005A74A7"/>
    <w:rsid w:val="005A7661"/>
    <w:rsid w:val="005A7937"/>
    <w:rsid w:val="005A7C9F"/>
    <w:rsid w:val="005A7FCA"/>
    <w:rsid w:val="005B0383"/>
    <w:rsid w:val="005B05C3"/>
    <w:rsid w:val="005B070F"/>
    <w:rsid w:val="005B073C"/>
    <w:rsid w:val="005B0954"/>
    <w:rsid w:val="005B0CBB"/>
    <w:rsid w:val="005B1691"/>
    <w:rsid w:val="005B194F"/>
    <w:rsid w:val="005B199B"/>
    <w:rsid w:val="005B1B14"/>
    <w:rsid w:val="005B1B3C"/>
    <w:rsid w:val="005B1C32"/>
    <w:rsid w:val="005B1D6A"/>
    <w:rsid w:val="005B1DA1"/>
    <w:rsid w:val="005B25B7"/>
    <w:rsid w:val="005B25F7"/>
    <w:rsid w:val="005B2DAF"/>
    <w:rsid w:val="005B34D8"/>
    <w:rsid w:val="005B3529"/>
    <w:rsid w:val="005B3589"/>
    <w:rsid w:val="005B3955"/>
    <w:rsid w:val="005B3C3E"/>
    <w:rsid w:val="005B3DEE"/>
    <w:rsid w:val="005B3E60"/>
    <w:rsid w:val="005B3EF5"/>
    <w:rsid w:val="005B4037"/>
    <w:rsid w:val="005B432A"/>
    <w:rsid w:val="005B4440"/>
    <w:rsid w:val="005B493C"/>
    <w:rsid w:val="005B4AB5"/>
    <w:rsid w:val="005B52C6"/>
    <w:rsid w:val="005B5698"/>
    <w:rsid w:val="005B583D"/>
    <w:rsid w:val="005B5B5B"/>
    <w:rsid w:val="005B5D56"/>
    <w:rsid w:val="005B5D77"/>
    <w:rsid w:val="005B60BC"/>
    <w:rsid w:val="005B6207"/>
    <w:rsid w:val="005B6322"/>
    <w:rsid w:val="005B6449"/>
    <w:rsid w:val="005B662A"/>
    <w:rsid w:val="005B6680"/>
    <w:rsid w:val="005B6B6C"/>
    <w:rsid w:val="005B6B99"/>
    <w:rsid w:val="005B6D72"/>
    <w:rsid w:val="005B71EF"/>
    <w:rsid w:val="005B7251"/>
    <w:rsid w:val="005B7814"/>
    <w:rsid w:val="005B7B21"/>
    <w:rsid w:val="005B7C9C"/>
    <w:rsid w:val="005B7CB1"/>
    <w:rsid w:val="005C025C"/>
    <w:rsid w:val="005C063C"/>
    <w:rsid w:val="005C065F"/>
    <w:rsid w:val="005C067B"/>
    <w:rsid w:val="005C087A"/>
    <w:rsid w:val="005C0AA8"/>
    <w:rsid w:val="005C0BC3"/>
    <w:rsid w:val="005C0C7B"/>
    <w:rsid w:val="005C0D5D"/>
    <w:rsid w:val="005C0E50"/>
    <w:rsid w:val="005C0EFF"/>
    <w:rsid w:val="005C11CC"/>
    <w:rsid w:val="005C123E"/>
    <w:rsid w:val="005C1747"/>
    <w:rsid w:val="005C19A6"/>
    <w:rsid w:val="005C1A7C"/>
    <w:rsid w:val="005C1AFF"/>
    <w:rsid w:val="005C20C9"/>
    <w:rsid w:val="005C20EF"/>
    <w:rsid w:val="005C2695"/>
    <w:rsid w:val="005C28B2"/>
    <w:rsid w:val="005C29A6"/>
    <w:rsid w:val="005C2A50"/>
    <w:rsid w:val="005C2BA7"/>
    <w:rsid w:val="005C2F7A"/>
    <w:rsid w:val="005C2FC9"/>
    <w:rsid w:val="005C3256"/>
    <w:rsid w:val="005C3701"/>
    <w:rsid w:val="005C3B1C"/>
    <w:rsid w:val="005C3BCF"/>
    <w:rsid w:val="005C3BDF"/>
    <w:rsid w:val="005C3C2B"/>
    <w:rsid w:val="005C3F08"/>
    <w:rsid w:val="005C42D5"/>
    <w:rsid w:val="005C494C"/>
    <w:rsid w:val="005C4C40"/>
    <w:rsid w:val="005C4CA5"/>
    <w:rsid w:val="005C4D0D"/>
    <w:rsid w:val="005C4D0F"/>
    <w:rsid w:val="005C4D80"/>
    <w:rsid w:val="005C4FA7"/>
    <w:rsid w:val="005C507C"/>
    <w:rsid w:val="005C532E"/>
    <w:rsid w:val="005C5542"/>
    <w:rsid w:val="005C56A9"/>
    <w:rsid w:val="005C5A67"/>
    <w:rsid w:val="005C5C44"/>
    <w:rsid w:val="005C5C56"/>
    <w:rsid w:val="005C5D20"/>
    <w:rsid w:val="005C5DC3"/>
    <w:rsid w:val="005C602A"/>
    <w:rsid w:val="005C6735"/>
    <w:rsid w:val="005C6737"/>
    <w:rsid w:val="005C709F"/>
    <w:rsid w:val="005C70E0"/>
    <w:rsid w:val="005C741A"/>
    <w:rsid w:val="005C7438"/>
    <w:rsid w:val="005C776C"/>
    <w:rsid w:val="005C7AED"/>
    <w:rsid w:val="005C7CED"/>
    <w:rsid w:val="005C7E80"/>
    <w:rsid w:val="005D01CB"/>
    <w:rsid w:val="005D046C"/>
    <w:rsid w:val="005D0608"/>
    <w:rsid w:val="005D0694"/>
    <w:rsid w:val="005D08DC"/>
    <w:rsid w:val="005D0CC0"/>
    <w:rsid w:val="005D121F"/>
    <w:rsid w:val="005D1302"/>
    <w:rsid w:val="005D198D"/>
    <w:rsid w:val="005D1A71"/>
    <w:rsid w:val="005D1FB1"/>
    <w:rsid w:val="005D20CD"/>
    <w:rsid w:val="005D22F3"/>
    <w:rsid w:val="005D2335"/>
    <w:rsid w:val="005D236C"/>
    <w:rsid w:val="005D25F7"/>
    <w:rsid w:val="005D27AE"/>
    <w:rsid w:val="005D2E81"/>
    <w:rsid w:val="005D2F11"/>
    <w:rsid w:val="005D316D"/>
    <w:rsid w:val="005D3187"/>
    <w:rsid w:val="005D3935"/>
    <w:rsid w:val="005D3B06"/>
    <w:rsid w:val="005D3DCD"/>
    <w:rsid w:val="005D4036"/>
    <w:rsid w:val="005D409A"/>
    <w:rsid w:val="005D412E"/>
    <w:rsid w:val="005D45E6"/>
    <w:rsid w:val="005D4695"/>
    <w:rsid w:val="005D484A"/>
    <w:rsid w:val="005D4A7B"/>
    <w:rsid w:val="005D4E2D"/>
    <w:rsid w:val="005D4EE4"/>
    <w:rsid w:val="005D5459"/>
    <w:rsid w:val="005D5984"/>
    <w:rsid w:val="005D5D9E"/>
    <w:rsid w:val="005D5F12"/>
    <w:rsid w:val="005D6596"/>
    <w:rsid w:val="005D68AD"/>
    <w:rsid w:val="005D6A23"/>
    <w:rsid w:val="005D6A95"/>
    <w:rsid w:val="005D6D6A"/>
    <w:rsid w:val="005D7028"/>
    <w:rsid w:val="005D7232"/>
    <w:rsid w:val="005D7366"/>
    <w:rsid w:val="005D7576"/>
    <w:rsid w:val="005D77C8"/>
    <w:rsid w:val="005D79A0"/>
    <w:rsid w:val="005E0096"/>
    <w:rsid w:val="005E011D"/>
    <w:rsid w:val="005E0301"/>
    <w:rsid w:val="005E0319"/>
    <w:rsid w:val="005E032D"/>
    <w:rsid w:val="005E0553"/>
    <w:rsid w:val="005E08FF"/>
    <w:rsid w:val="005E0AB8"/>
    <w:rsid w:val="005E0D48"/>
    <w:rsid w:val="005E130A"/>
    <w:rsid w:val="005E1457"/>
    <w:rsid w:val="005E150A"/>
    <w:rsid w:val="005E152B"/>
    <w:rsid w:val="005E15A7"/>
    <w:rsid w:val="005E1635"/>
    <w:rsid w:val="005E1894"/>
    <w:rsid w:val="005E1BD5"/>
    <w:rsid w:val="005E1BE0"/>
    <w:rsid w:val="005E1D23"/>
    <w:rsid w:val="005E235A"/>
    <w:rsid w:val="005E28CC"/>
    <w:rsid w:val="005E290F"/>
    <w:rsid w:val="005E2C5D"/>
    <w:rsid w:val="005E30CF"/>
    <w:rsid w:val="005E335D"/>
    <w:rsid w:val="005E3423"/>
    <w:rsid w:val="005E3474"/>
    <w:rsid w:val="005E359D"/>
    <w:rsid w:val="005E35A5"/>
    <w:rsid w:val="005E3A5C"/>
    <w:rsid w:val="005E3C2D"/>
    <w:rsid w:val="005E3EFE"/>
    <w:rsid w:val="005E3F14"/>
    <w:rsid w:val="005E3FB9"/>
    <w:rsid w:val="005E3FF4"/>
    <w:rsid w:val="005E4070"/>
    <w:rsid w:val="005E430A"/>
    <w:rsid w:val="005E4369"/>
    <w:rsid w:val="005E49BD"/>
    <w:rsid w:val="005E4AED"/>
    <w:rsid w:val="005E4AF9"/>
    <w:rsid w:val="005E4D8E"/>
    <w:rsid w:val="005E4EA9"/>
    <w:rsid w:val="005E5303"/>
    <w:rsid w:val="005E55B7"/>
    <w:rsid w:val="005E55F9"/>
    <w:rsid w:val="005E5668"/>
    <w:rsid w:val="005E57DB"/>
    <w:rsid w:val="005E59CA"/>
    <w:rsid w:val="005E5D55"/>
    <w:rsid w:val="005E5E17"/>
    <w:rsid w:val="005E5EFE"/>
    <w:rsid w:val="005E5FD6"/>
    <w:rsid w:val="005E602E"/>
    <w:rsid w:val="005E662E"/>
    <w:rsid w:val="005E66DA"/>
    <w:rsid w:val="005E6C3D"/>
    <w:rsid w:val="005E6C46"/>
    <w:rsid w:val="005E6EED"/>
    <w:rsid w:val="005E73D8"/>
    <w:rsid w:val="005E7410"/>
    <w:rsid w:val="005E74E9"/>
    <w:rsid w:val="005E7CA2"/>
    <w:rsid w:val="005E7D8C"/>
    <w:rsid w:val="005E7EA7"/>
    <w:rsid w:val="005E7F4E"/>
    <w:rsid w:val="005F0128"/>
    <w:rsid w:val="005F03CA"/>
    <w:rsid w:val="005F0414"/>
    <w:rsid w:val="005F063B"/>
    <w:rsid w:val="005F06A5"/>
    <w:rsid w:val="005F0743"/>
    <w:rsid w:val="005F0769"/>
    <w:rsid w:val="005F08D6"/>
    <w:rsid w:val="005F0ABF"/>
    <w:rsid w:val="005F0DCD"/>
    <w:rsid w:val="005F0FF1"/>
    <w:rsid w:val="005F100C"/>
    <w:rsid w:val="005F1066"/>
    <w:rsid w:val="005F1346"/>
    <w:rsid w:val="005F13A7"/>
    <w:rsid w:val="005F1437"/>
    <w:rsid w:val="005F14EC"/>
    <w:rsid w:val="005F169F"/>
    <w:rsid w:val="005F17D2"/>
    <w:rsid w:val="005F198B"/>
    <w:rsid w:val="005F1CB2"/>
    <w:rsid w:val="005F1E90"/>
    <w:rsid w:val="005F1EA2"/>
    <w:rsid w:val="005F1F3F"/>
    <w:rsid w:val="005F215B"/>
    <w:rsid w:val="005F22BE"/>
    <w:rsid w:val="005F2524"/>
    <w:rsid w:val="005F252E"/>
    <w:rsid w:val="005F2561"/>
    <w:rsid w:val="005F26EE"/>
    <w:rsid w:val="005F2819"/>
    <w:rsid w:val="005F283B"/>
    <w:rsid w:val="005F2A7A"/>
    <w:rsid w:val="005F3390"/>
    <w:rsid w:val="005F3DFA"/>
    <w:rsid w:val="005F3F43"/>
    <w:rsid w:val="005F3FF7"/>
    <w:rsid w:val="005F411B"/>
    <w:rsid w:val="005F4172"/>
    <w:rsid w:val="005F4250"/>
    <w:rsid w:val="005F429A"/>
    <w:rsid w:val="005F42BF"/>
    <w:rsid w:val="005F430D"/>
    <w:rsid w:val="005F444A"/>
    <w:rsid w:val="005F44DD"/>
    <w:rsid w:val="005F4A2F"/>
    <w:rsid w:val="005F4A36"/>
    <w:rsid w:val="005F4B1A"/>
    <w:rsid w:val="005F4B57"/>
    <w:rsid w:val="005F4B9F"/>
    <w:rsid w:val="005F4CEA"/>
    <w:rsid w:val="005F4F0D"/>
    <w:rsid w:val="005F4F99"/>
    <w:rsid w:val="005F5482"/>
    <w:rsid w:val="005F5653"/>
    <w:rsid w:val="005F5887"/>
    <w:rsid w:val="005F5930"/>
    <w:rsid w:val="005F59E7"/>
    <w:rsid w:val="005F62D4"/>
    <w:rsid w:val="005F657B"/>
    <w:rsid w:val="005F66B2"/>
    <w:rsid w:val="005F66BB"/>
    <w:rsid w:val="005F66EC"/>
    <w:rsid w:val="005F6749"/>
    <w:rsid w:val="005F67E3"/>
    <w:rsid w:val="005F68F6"/>
    <w:rsid w:val="005F6AC4"/>
    <w:rsid w:val="005F6B3F"/>
    <w:rsid w:val="005F6EA2"/>
    <w:rsid w:val="005F7707"/>
    <w:rsid w:val="005F7BD0"/>
    <w:rsid w:val="005F7DC8"/>
    <w:rsid w:val="005F7FBA"/>
    <w:rsid w:val="005F7FF7"/>
    <w:rsid w:val="00600019"/>
    <w:rsid w:val="0060034F"/>
    <w:rsid w:val="00600399"/>
    <w:rsid w:val="0060046A"/>
    <w:rsid w:val="006009E3"/>
    <w:rsid w:val="00600DD9"/>
    <w:rsid w:val="00601199"/>
    <w:rsid w:val="006011DB"/>
    <w:rsid w:val="006012AF"/>
    <w:rsid w:val="006012B0"/>
    <w:rsid w:val="0060152A"/>
    <w:rsid w:val="00601AF5"/>
    <w:rsid w:val="00601DE1"/>
    <w:rsid w:val="00601E6E"/>
    <w:rsid w:val="0060218A"/>
    <w:rsid w:val="00602643"/>
    <w:rsid w:val="00602749"/>
    <w:rsid w:val="00602B4B"/>
    <w:rsid w:val="00602CE2"/>
    <w:rsid w:val="00602E18"/>
    <w:rsid w:val="00602FD0"/>
    <w:rsid w:val="00602FD5"/>
    <w:rsid w:val="0060327D"/>
    <w:rsid w:val="00603CE6"/>
    <w:rsid w:val="00603D91"/>
    <w:rsid w:val="00603E25"/>
    <w:rsid w:val="00603ECC"/>
    <w:rsid w:val="00604077"/>
    <w:rsid w:val="00604124"/>
    <w:rsid w:val="00604666"/>
    <w:rsid w:val="006049DC"/>
    <w:rsid w:val="00604A4D"/>
    <w:rsid w:val="0060505B"/>
    <w:rsid w:val="00605226"/>
    <w:rsid w:val="006054E2"/>
    <w:rsid w:val="006054E7"/>
    <w:rsid w:val="006055AC"/>
    <w:rsid w:val="006055DB"/>
    <w:rsid w:val="0060564B"/>
    <w:rsid w:val="00605721"/>
    <w:rsid w:val="00605924"/>
    <w:rsid w:val="00605AE4"/>
    <w:rsid w:val="00605C1E"/>
    <w:rsid w:val="00605DC1"/>
    <w:rsid w:val="00605F1C"/>
    <w:rsid w:val="00606126"/>
    <w:rsid w:val="00606548"/>
    <w:rsid w:val="006067FD"/>
    <w:rsid w:val="00606C52"/>
    <w:rsid w:val="00606CA4"/>
    <w:rsid w:val="00606FB7"/>
    <w:rsid w:val="0060714C"/>
    <w:rsid w:val="00607223"/>
    <w:rsid w:val="006072F1"/>
    <w:rsid w:val="006078D7"/>
    <w:rsid w:val="00607911"/>
    <w:rsid w:val="00607963"/>
    <w:rsid w:val="00607A43"/>
    <w:rsid w:val="00607B7F"/>
    <w:rsid w:val="00607D87"/>
    <w:rsid w:val="00610151"/>
    <w:rsid w:val="006102D5"/>
    <w:rsid w:val="0061046F"/>
    <w:rsid w:val="0061062B"/>
    <w:rsid w:val="00610873"/>
    <w:rsid w:val="00610B8B"/>
    <w:rsid w:val="00610C05"/>
    <w:rsid w:val="00611347"/>
    <w:rsid w:val="006113AC"/>
    <w:rsid w:val="006114EB"/>
    <w:rsid w:val="00611625"/>
    <w:rsid w:val="00611635"/>
    <w:rsid w:val="006119FD"/>
    <w:rsid w:val="00611C4D"/>
    <w:rsid w:val="00611C54"/>
    <w:rsid w:val="00611EC5"/>
    <w:rsid w:val="006120AB"/>
    <w:rsid w:val="00612389"/>
    <w:rsid w:val="00612483"/>
    <w:rsid w:val="0061277E"/>
    <w:rsid w:val="0061299B"/>
    <w:rsid w:val="00612C09"/>
    <w:rsid w:val="00612C1A"/>
    <w:rsid w:val="00612C30"/>
    <w:rsid w:val="00612CD9"/>
    <w:rsid w:val="00612E04"/>
    <w:rsid w:val="00612E85"/>
    <w:rsid w:val="00612E94"/>
    <w:rsid w:val="00612EC4"/>
    <w:rsid w:val="0061313D"/>
    <w:rsid w:val="00613795"/>
    <w:rsid w:val="00613A29"/>
    <w:rsid w:val="00613C90"/>
    <w:rsid w:val="00613EF3"/>
    <w:rsid w:val="00613FC9"/>
    <w:rsid w:val="006141C7"/>
    <w:rsid w:val="006142A9"/>
    <w:rsid w:val="006143E3"/>
    <w:rsid w:val="006145C0"/>
    <w:rsid w:val="00614778"/>
    <w:rsid w:val="006149AF"/>
    <w:rsid w:val="00614BAC"/>
    <w:rsid w:val="00615088"/>
    <w:rsid w:val="00615A0E"/>
    <w:rsid w:val="00615AC4"/>
    <w:rsid w:val="00615CA0"/>
    <w:rsid w:val="00615F65"/>
    <w:rsid w:val="006162B7"/>
    <w:rsid w:val="00616331"/>
    <w:rsid w:val="00616332"/>
    <w:rsid w:val="00616456"/>
    <w:rsid w:val="006166E3"/>
    <w:rsid w:val="006166EC"/>
    <w:rsid w:val="00616D74"/>
    <w:rsid w:val="00616F15"/>
    <w:rsid w:val="006170D0"/>
    <w:rsid w:val="00617309"/>
    <w:rsid w:val="00617615"/>
    <w:rsid w:val="00617696"/>
    <w:rsid w:val="0061772B"/>
    <w:rsid w:val="006177F0"/>
    <w:rsid w:val="00617961"/>
    <w:rsid w:val="00617DD0"/>
    <w:rsid w:val="00617DFA"/>
    <w:rsid w:val="006202AD"/>
    <w:rsid w:val="00620432"/>
    <w:rsid w:val="00620444"/>
    <w:rsid w:val="0062054C"/>
    <w:rsid w:val="00620592"/>
    <w:rsid w:val="006209A4"/>
    <w:rsid w:val="00620A9A"/>
    <w:rsid w:val="00620F96"/>
    <w:rsid w:val="0062112A"/>
    <w:rsid w:val="006213C7"/>
    <w:rsid w:val="00621455"/>
    <w:rsid w:val="006216E4"/>
    <w:rsid w:val="0062182C"/>
    <w:rsid w:val="006219D1"/>
    <w:rsid w:val="006219D3"/>
    <w:rsid w:val="00621B09"/>
    <w:rsid w:val="00621C5F"/>
    <w:rsid w:val="00621E44"/>
    <w:rsid w:val="00622091"/>
    <w:rsid w:val="006221C9"/>
    <w:rsid w:val="00622378"/>
    <w:rsid w:val="006225C6"/>
    <w:rsid w:val="00622C18"/>
    <w:rsid w:val="00622F18"/>
    <w:rsid w:val="0062313F"/>
    <w:rsid w:val="0062323F"/>
    <w:rsid w:val="006232C8"/>
    <w:rsid w:val="0062340A"/>
    <w:rsid w:val="00623527"/>
    <w:rsid w:val="00623623"/>
    <w:rsid w:val="006236DE"/>
    <w:rsid w:val="006239CB"/>
    <w:rsid w:val="00623AD9"/>
    <w:rsid w:val="00623AEB"/>
    <w:rsid w:val="006240C4"/>
    <w:rsid w:val="006240D9"/>
    <w:rsid w:val="00624186"/>
    <w:rsid w:val="00624243"/>
    <w:rsid w:val="006242AD"/>
    <w:rsid w:val="006242F1"/>
    <w:rsid w:val="006244C8"/>
    <w:rsid w:val="006248CD"/>
    <w:rsid w:val="006248E5"/>
    <w:rsid w:val="00624CFD"/>
    <w:rsid w:val="00624DE3"/>
    <w:rsid w:val="00625131"/>
    <w:rsid w:val="0062525B"/>
    <w:rsid w:val="00625425"/>
    <w:rsid w:val="00625520"/>
    <w:rsid w:val="00625AB9"/>
    <w:rsid w:val="00625B15"/>
    <w:rsid w:val="00625C8F"/>
    <w:rsid w:val="00626140"/>
    <w:rsid w:val="00626290"/>
    <w:rsid w:val="00626660"/>
    <w:rsid w:val="0062668D"/>
    <w:rsid w:val="0062674B"/>
    <w:rsid w:val="006267F1"/>
    <w:rsid w:val="00626919"/>
    <w:rsid w:val="00626B97"/>
    <w:rsid w:val="00626E9C"/>
    <w:rsid w:val="00626F95"/>
    <w:rsid w:val="00626FD1"/>
    <w:rsid w:val="00627032"/>
    <w:rsid w:val="00627350"/>
    <w:rsid w:val="00627763"/>
    <w:rsid w:val="006277B4"/>
    <w:rsid w:val="0062786B"/>
    <w:rsid w:val="00627873"/>
    <w:rsid w:val="00627A37"/>
    <w:rsid w:val="00630082"/>
    <w:rsid w:val="00630151"/>
    <w:rsid w:val="006301DF"/>
    <w:rsid w:val="0063047B"/>
    <w:rsid w:val="006305AA"/>
    <w:rsid w:val="006305DB"/>
    <w:rsid w:val="006308FC"/>
    <w:rsid w:val="00630C1E"/>
    <w:rsid w:val="00630C62"/>
    <w:rsid w:val="00630CF7"/>
    <w:rsid w:val="00630D53"/>
    <w:rsid w:val="00630D92"/>
    <w:rsid w:val="006310A1"/>
    <w:rsid w:val="00631161"/>
    <w:rsid w:val="00631234"/>
    <w:rsid w:val="006314EF"/>
    <w:rsid w:val="00631551"/>
    <w:rsid w:val="0063171C"/>
    <w:rsid w:val="006317D1"/>
    <w:rsid w:val="00631883"/>
    <w:rsid w:val="00631AAF"/>
    <w:rsid w:val="00631AC3"/>
    <w:rsid w:val="00631B1D"/>
    <w:rsid w:val="00631B34"/>
    <w:rsid w:val="00631D05"/>
    <w:rsid w:val="0063248F"/>
    <w:rsid w:val="0063290D"/>
    <w:rsid w:val="00632A3A"/>
    <w:rsid w:val="00632D18"/>
    <w:rsid w:val="00632E14"/>
    <w:rsid w:val="00632EEE"/>
    <w:rsid w:val="006330DC"/>
    <w:rsid w:val="006332D9"/>
    <w:rsid w:val="006334E0"/>
    <w:rsid w:val="006335B1"/>
    <w:rsid w:val="006335EE"/>
    <w:rsid w:val="006335F1"/>
    <w:rsid w:val="0063371B"/>
    <w:rsid w:val="006337E9"/>
    <w:rsid w:val="00633935"/>
    <w:rsid w:val="006339F6"/>
    <w:rsid w:val="00633D95"/>
    <w:rsid w:val="00633DA0"/>
    <w:rsid w:val="00633E95"/>
    <w:rsid w:val="00633F31"/>
    <w:rsid w:val="00634332"/>
    <w:rsid w:val="00634572"/>
    <w:rsid w:val="006349CF"/>
    <w:rsid w:val="006349E5"/>
    <w:rsid w:val="00634D07"/>
    <w:rsid w:val="0063527F"/>
    <w:rsid w:val="0063533F"/>
    <w:rsid w:val="0063584E"/>
    <w:rsid w:val="006358A6"/>
    <w:rsid w:val="00635E7F"/>
    <w:rsid w:val="00636072"/>
    <w:rsid w:val="006360AC"/>
    <w:rsid w:val="00636205"/>
    <w:rsid w:val="00636206"/>
    <w:rsid w:val="00636227"/>
    <w:rsid w:val="00636291"/>
    <w:rsid w:val="006363E7"/>
    <w:rsid w:val="006364BF"/>
    <w:rsid w:val="00636580"/>
    <w:rsid w:val="00636880"/>
    <w:rsid w:val="00636DE3"/>
    <w:rsid w:val="00637031"/>
    <w:rsid w:val="006377CE"/>
    <w:rsid w:val="006378F0"/>
    <w:rsid w:val="006379F8"/>
    <w:rsid w:val="00637D62"/>
    <w:rsid w:val="00637EB7"/>
    <w:rsid w:val="006400C5"/>
    <w:rsid w:val="006401BE"/>
    <w:rsid w:val="00640209"/>
    <w:rsid w:val="00640390"/>
    <w:rsid w:val="006403E8"/>
    <w:rsid w:val="00640453"/>
    <w:rsid w:val="00640504"/>
    <w:rsid w:val="00640533"/>
    <w:rsid w:val="006405F7"/>
    <w:rsid w:val="0064071F"/>
    <w:rsid w:val="00640740"/>
    <w:rsid w:val="006410AE"/>
    <w:rsid w:val="00641103"/>
    <w:rsid w:val="006411C6"/>
    <w:rsid w:val="006413FC"/>
    <w:rsid w:val="006414B2"/>
    <w:rsid w:val="006415DC"/>
    <w:rsid w:val="006415FF"/>
    <w:rsid w:val="006417F8"/>
    <w:rsid w:val="00641879"/>
    <w:rsid w:val="006419F1"/>
    <w:rsid w:val="00641A8A"/>
    <w:rsid w:val="00641B0B"/>
    <w:rsid w:val="00641D10"/>
    <w:rsid w:val="00641F6A"/>
    <w:rsid w:val="006426AE"/>
    <w:rsid w:val="006429D2"/>
    <w:rsid w:val="00642A4C"/>
    <w:rsid w:val="00642B5A"/>
    <w:rsid w:val="00642B7C"/>
    <w:rsid w:val="00642CF4"/>
    <w:rsid w:val="006430F7"/>
    <w:rsid w:val="00643191"/>
    <w:rsid w:val="00643295"/>
    <w:rsid w:val="00643538"/>
    <w:rsid w:val="006435AA"/>
    <w:rsid w:val="00643766"/>
    <w:rsid w:val="006439B0"/>
    <w:rsid w:val="006439D0"/>
    <w:rsid w:val="00643B55"/>
    <w:rsid w:val="00643BCE"/>
    <w:rsid w:val="00643D7A"/>
    <w:rsid w:val="00643D7F"/>
    <w:rsid w:val="00643D81"/>
    <w:rsid w:val="006441D3"/>
    <w:rsid w:val="006442B4"/>
    <w:rsid w:val="00644399"/>
    <w:rsid w:val="006443CF"/>
    <w:rsid w:val="0064440E"/>
    <w:rsid w:val="006444E1"/>
    <w:rsid w:val="00644567"/>
    <w:rsid w:val="006449AB"/>
    <w:rsid w:val="00644B31"/>
    <w:rsid w:val="00644BAD"/>
    <w:rsid w:val="00644C5A"/>
    <w:rsid w:val="00644C93"/>
    <w:rsid w:val="006450EA"/>
    <w:rsid w:val="0064512C"/>
    <w:rsid w:val="006451F6"/>
    <w:rsid w:val="00645266"/>
    <w:rsid w:val="006452CD"/>
    <w:rsid w:val="00645364"/>
    <w:rsid w:val="0064546E"/>
    <w:rsid w:val="00645503"/>
    <w:rsid w:val="006457CC"/>
    <w:rsid w:val="006458DB"/>
    <w:rsid w:val="00645A03"/>
    <w:rsid w:val="00645A70"/>
    <w:rsid w:val="00645A98"/>
    <w:rsid w:val="00645CB7"/>
    <w:rsid w:val="0064615A"/>
    <w:rsid w:val="00646190"/>
    <w:rsid w:val="006461A7"/>
    <w:rsid w:val="00646408"/>
    <w:rsid w:val="006464C4"/>
    <w:rsid w:val="00646797"/>
    <w:rsid w:val="00646E36"/>
    <w:rsid w:val="006477DF"/>
    <w:rsid w:val="00647C2B"/>
    <w:rsid w:val="00650049"/>
    <w:rsid w:val="006500B6"/>
    <w:rsid w:val="00650191"/>
    <w:rsid w:val="006501B7"/>
    <w:rsid w:val="006504D9"/>
    <w:rsid w:val="00650676"/>
    <w:rsid w:val="006509BD"/>
    <w:rsid w:val="00650A5A"/>
    <w:rsid w:val="00650B11"/>
    <w:rsid w:val="00650BD5"/>
    <w:rsid w:val="00650C1C"/>
    <w:rsid w:val="00650D6E"/>
    <w:rsid w:val="00650F26"/>
    <w:rsid w:val="00650F87"/>
    <w:rsid w:val="006511FE"/>
    <w:rsid w:val="006513D2"/>
    <w:rsid w:val="00651466"/>
    <w:rsid w:val="00651494"/>
    <w:rsid w:val="00651598"/>
    <w:rsid w:val="00651756"/>
    <w:rsid w:val="006518C3"/>
    <w:rsid w:val="0065198F"/>
    <w:rsid w:val="00651A3D"/>
    <w:rsid w:val="00651B24"/>
    <w:rsid w:val="00651B45"/>
    <w:rsid w:val="00651B4D"/>
    <w:rsid w:val="00652066"/>
    <w:rsid w:val="00652079"/>
    <w:rsid w:val="006520C7"/>
    <w:rsid w:val="006522AB"/>
    <w:rsid w:val="0065237A"/>
    <w:rsid w:val="006524AB"/>
    <w:rsid w:val="00652583"/>
    <w:rsid w:val="006525F1"/>
    <w:rsid w:val="00652616"/>
    <w:rsid w:val="00652D2B"/>
    <w:rsid w:val="00652ED8"/>
    <w:rsid w:val="00652F9C"/>
    <w:rsid w:val="0065310C"/>
    <w:rsid w:val="006534DD"/>
    <w:rsid w:val="00653660"/>
    <w:rsid w:val="006536AF"/>
    <w:rsid w:val="006538E3"/>
    <w:rsid w:val="00653921"/>
    <w:rsid w:val="00653A31"/>
    <w:rsid w:val="00653C29"/>
    <w:rsid w:val="00653D42"/>
    <w:rsid w:val="00653D52"/>
    <w:rsid w:val="00654017"/>
    <w:rsid w:val="00654083"/>
    <w:rsid w:val="00654157"/>
    <w:rsid w:val="006547BC"/>
    <w:rsid w:val="00654805"/>
    <w:rsid w:val="00654B39"/>
    <w:rsid w:val="00654B93"/>
    <w:rsid w:val="00654BA2"/>
    <w:rsid w:val="00654EF3"/>
    <w:rsid w:val="006552CD"/>
    <w:rsid w:val="006552EA"/>
    <w:rsid w:val="00655334"/>
    <w:rsid w:val="006554F8"/>
    <w:rsid w:val="0065582C"/>
    <w:rsid w:val="00655A24"/>
    <w:rsid w:val="00655AD7"/>
    <w:rsid w:val="00655C01"/>
    <w:rsid w:val="00655DA5"/>
    <w:rsid w:val="00655F58"/>
    <w:rsid w:val="00655FD9"/>
    <w:rsid w:val="00655FFB"/>
    <w:rsid w:val="00656A5C"/>
    <w:rsid w:val="00656B73"/>
    <w:rsid w:val="0065712B"/>
    <w:rsid w:val="006571D2"/>
    <w:rsid w:val="00657296"/>
    <w:rsid w:val="006578AA"/>
    <w:rsid w:val="006579F9"/>
    <w:rsid w:val="00657B0B"/>
    <w:rsid w:val="00657F25"/>
    <w:rsid w:val="006600F1"/>
    <w:rsid w:val="00660681"/>
    <w:rsid w:val="006606AA"/>
    <w:rsid w:val="006606B6"/>
    <w:rsid w:val="006608EE"/>
    <w:rsid w:val="00660956"/>
    <w:rsid w:val="00660A1E"/>
    <w:rsid w:val="00660B02"/>
    <w:rsid w:val="00660BDA"/>
    <w:rsid w:val="00660C48"/>
    <w:rsid w:val="00660CBC"/>
    <w:rsid w:val="00660F48"/>
    <w:rsid w:val="0066130C"/>
    <w:rsid w:val="00661B31"/>
    <w:rsid w:val="00661D3B"/>
    <w:rsid w:val="00661E82"/>
    <w:rsid w:val="00661F52"/>
    <w:rsid w:val="00661FC1"/>
    <w:rsid w:val="006624A8"/>
    <w:rsid w:val="00662B4B"/>
    <w:rsid w:val="00662B60"/>
    <w:rsid w:val="00662BB0"/>
    <w:rsid w:val="00662BC2"/>
    <w:rsid w:val="00662F3E"/>
    <w:rsid w:val="00662F67"/>
    <w:rsid w:val="006630A5"/>
    <w:rsid w:val="006630DD"/>
    <w:rsid w:val="0066326B"/>
    <w:rsid w:val="006632C7"/>
    <w:rsid w:val="00663383"/>
    <w:rsid w:val="006633A3"/>
    <w:rsid w:val="006635DA"/>
    <w:rsid w:val="006635E6"/>
    <w:rsid w:val="00663A2A"/>
    <w:rsid w:val="0066437E"/>
    <w:rsid w:val="00664DB5"/>
    <w:rsid w:val="00664EA0"/>
    <w:rsid w:val="00665118"/>
    <w:rsid w:val="006652BC"/>
    <w:rsid w:val="00665441"/>
    <w:rsid w:val="006655C2"/>
    <w:rsid w:val="00665639"/>
    <w:rsid w:val="006656A4"/>
    <w:rsid w:val="00665E75"/>
    <w:rsid w:val="00666380"/>
    <w:rsid w:val="00666454"/>
    <w:rsid w:val="00666602"/>
    <w:rsid w:val="006666B3"/>
    <w:rsid w:val="006666C6"/>
    <w:rsid w:val="006667C0"/>
    <w:rsid w:val="0066715E"/>
    <w:rsid w:val="00667291"/>
    <w:rsid w:val="00667427"/>
    <w:rsid w:val="0066760D"/>
    <w:rsid w:val="006678D1"/>
    <w:rsid w:val="006679CC"/>
    <w:rsid w:val="00667C87"/>
    <w:rsid w:val="00667FAE"/>
    <w:rsid w:val="00670162"/>
    <w:rsid w:val="006704D0"/>
    <w:rsid w:val="006705EF"/>
    <w:rsid w:val="006709B9"/>
    <w:rsid w:val="00670CB4"/>
    <w:rsid w:val="00670F6A"/>
    <w:rsid w:val="006711B4"/>
    <w:rsid w:val="0067141E"/>
    <w:rsid w:val="006715BA"/>
    <w:rsid w:val="0067163D"/>
    <w:rsid w:val="0067169E"/>
    <w:rsid w:val="006717E8"/>
    <w:rsid w:val="00671A09"/>
    <w:rsid w:val="00671EE9"/>
    <w:rsid w:val="00672057"/>
    <w:rsid w:val="00672271"/>
    <w:rsid w:val="00672387"/>
    <w:rsid w:val="006723AA"/>
    <w:rsid w:val="006723D9"/>
    <w:rsid w:val="00672436"/>
    <w:rsid w:val="006725FD"/>
    <w:rsid w:val="00672665"/>
    <w:rsid w:val="006727B3"/>
    <w:rsid w:val="006728BE"/>
    <w:rsid w:val="00672A64"/>
    <w:rsid w:val="00672AFF"/>
    <w:rsid w:val="00672DD0"/>
    <w:rsid w:val="00672ED7"/>
    <w:rsid w:val="00672FB2"/>
    <w:rsid w:val="006731E9"/>
    <w:rsid w:val="006737F3"/>
    <w:rsid w:val="006740D8"/>
    <w:rsid w:val="00674349"/>
    <w:rsid w:val="006745A4"/>
    <w:rsid w:val="006748FA"/>
    <w:rsid w:val="00674EBA"/>
    <w:rsid w:val="00675196"/>
    <w:rsid w:val="00675198"/>
    <w:rsid w:val="006752C7"/>
    <w:rsid w:val="006752E9"/>
    <w:rsid w:val="0067532F"/>
    <w:rsid w:val="006753BF"/>
    <w:rsid w:val="00675566"/>
    <w:rsid w:val="006756E0"/>
    <w:rsid w:val="0067578F"/>
    <w:rsid w:val="006758B8"/>
    <w:rsid w:val="00675AC0"/>
    <w:rsid w:val="00675AF8"/>
    <w:rsid w:val="00675CAB"/>
    <w:rsid w:val="00676075"/>
    <w:rsid w:val="0067623F"/>
    <w:rsid w:val="0067640A"/>
    <w:rsid w:val="0067647B"/>
    <w:rsid w:val="0067671E"/>
    <w:rsid w:val="00676857"/>
    <w:rsid w:val="00676B7F"/>
    <w:rsid w:val="00676E99"/>
    <w:rsid w:val="00676EA1"/>
    <w:rsid w:val="006771AA"/>
    <w:rsid w:val="00677482"/>
    <w:rsid w:val="006775E8"/>
    <w:rsid w:val="00677A20"/>
    <w:rsid w:val="00677B39"/>
    <w:rsid w:val="00677BED"/>
    <w:rsid w:val="00677D32"/>
    <w:rsid w:val="00677DC4"/>
    <w:rsid w:val="006801F0"/>
    <w:rsid w:val="00680372"/>
    <w:rsid w:val="00680639"/>
    <w:rsid w:val="006807E1"/>
    <w:rsid w:val="0068088B"/>
    <w:rsid w:val="0068099F"/>
    <w:rsid w:val="00680F4C"/>
    <w:rsid w:val="006812E9"/>
    <w:rsid w:val="006815EA"/>
    <w:rsid w:val="0068187C"/>
    <w:rsid w:val="00681B89"/>
    <w:rsid w:val="00681C05"/>
    <w:rsid w:val="00681C81"/>
    <w:rsid w:val="006821B9"/>
    <w:rsid w:val="00682513"/>
    <w:rsid w:val="00682A39"/>
    <w:rsid w:val="00682A50"/>
    <w:rsid w:val="00682B66"/>
    <w:rsid w:val="00682BA1"/>
    <w:rsid w:val="00682C40"/>
    <w:rsid w:val="00683179"/>
    <w:rsid w:val="006832F2"/>
    <w:rsid w:val="00683581"/>
    <w:rsid w:val="00683C95"/>
    <w:rsid w:val="00683D7A"/>
    <w:rsid w:val="006843DA"/>
    <w:rsid w:val="00684653"/>
    <w:rsid w:val="0068468B"/>
    <w:rsid w:val="00684960"/>
    <w:rsid w:val="006849C6"/>
    <w:rsid w:val="00684A82"/>
    <w:rsid w:val="00684AF5"/>
    <w:rsid w:val="00684B9C"/>
    <w:rsid w:val="00684D39"/>
    <w:rsid w:val="006853C3"/>
    <w:rsid w:val="006855B5"/>
    <w:rsid w:val="00685625"/>
    <w:rsid w:val="0068565C"/>
    <w:rsid w:val="006856D7"/>
    <w:rsid w:val="00685C6C"/>
    <w:rsid w:val="00685E00"/>
    <w:rsid w:val="00685E70"/>
    <w:rsid w:val="006862B6"/>
    <w:rsid w:val="006866AB"/>
    <w:rsid w:val="00686743"/>
    <w:rsid w:val="006868BD"/>
    <w:rsid w:val="006868F3"/>
    <w:rsid w:val="00686B13"/>
    <w:rsid w:val="00686C34"/>
    <w:rsid w:val="00686D8B"/>
    <w:rsid w:val="00686EC0"/>
    <w:rsid w:val="00687267"/>
    <w:rsid w:val="0068755B"/>
    <w:rsid w:val="00687778"/>
    <w:rsid w:val="00687819"/>
    <w:rsid w:val="006878CF"/>
    <w:rsid w:val="00687A79"/>
    <w:rsid w:val="00687D09"/>
    <w:rsid w:val="00687FA5"/>
    <w:rsid w:val="006904F0"/>
    <w:rsid w:val="006904FE"/>
    <w:rsid w:val="00690732"/>
    <w:rsid w:val="00690A1B"/>
    <w:rsid w:val="00690BE3"/>
    <w:rsid w:val="00690F45"/>
    <w:rsid w:val="00690FCF"/>
    <w:rsid w:val="00691159"/>
    <w:rsid w:val="006911B4"/>
    <w:rsid w:val="006911F4"/>
    <w:rsid w:val="006915EC"/>
    <w:rsid w:val="00691961"/>
    <w:rsid w:val="00692208"/>
    <w:rsid w:val="006923D4"/>
    <w:rsid w:val="006924DC"/>
    <w:rsid w:val="006925BF"/>
    <w:rsid w:val="006925F2"/>
    <w:rsid w:val="00692A30"/>
    <w:rsid w:val="00692AC2"/>
    <w:rsid w:val="00692C38"/>
    <w:rsid w:val="00693320"/>
    <w:rsid w:val="00693419"/>
    <w:rsid w:val="0069344D"/>
    <w:rsid w:val="006935A0"/>
    <w:rsid w:val="00693626"/>
    <w:rsid w:val="006938A2"/>
    <w:rsid w:val="00693A74"/>
    <w:rsid w:val="00693DC0"/>
    <w:rsid w:val="00693E33"/>
    <w:rsid w:val="00693EAA"/>
    <w:rsid w:val="00693F0B"/>
    <w:rsid w:val="00693F1B"/>
    <w:rsid w:val="00694468"/>
    <w:rsid w:val="006949B5"/>
    <w:rsid w:val="00694C69"/>
    <w:rsid w:val="006950B6"/>
    <w:rsid w:val="00695332"/>
    <w:rsid w:val="006953E9"/>
    <w:rsid w:val="0069575A"/>
    <w:rsid w:val="006960B7"/>
    <w:rsid w:val="00696848"/>
    <w:rsid w:val="00696884"/>
    <w:rsid w:val="00696CE6"/>
    <w:rsid w:val="00696DF1"/>
    <w:rsid w:val="00697245"/>
    <w:rsid w:val="00697272"/>
    <w:rsid w:val="0069742B"/>
    <w:rsid w:val="006975FC"/>
    <w:rsid w:val="00697689"/>
    <w:rsid w:val="00697A08"/>
    <w:rsid w:val="006A00C9"/>
    <w:rsid w:val="006A0185"/>
    <w:rsid w:val="006A0610"/>
    <w:rsid w:val="006A0669"/>
    <w:rsid w:val="006A0726"/>
    <w:rsid w:val="006A0774"/>
    <w:rsid w:val="006A09D7"/>
    <w:rsid w:val="006A1295"/>
    <w:rsid w:val="006A1418"/>
    <w:rsid w:val="006A18EA"/>
    <w:rsid w:val="006A1B0E"/>
    <w:rsid w:val="006A1B20"/>
    <w:rsid w:val="006A1B77"/>
    <w:rsid w:val="006A1BEA"/>
    <w:rsid w:val="006A1EE6"/>
    <w:rsid w:val="006A23F3"/>
    <w:rsid w:val="006A2C1B"/>
    <w:rsid w:val="006A2EEF"/>
    <w:rsid w:val="006A30A5"/>
    <w:rsid w:val="006A324F"/>
    <w:rsid w:val="006A3314"/>
    <w:rsid w:val="006A33F2"/>
    <w:rsid w:val="006A34F6"/>
    <w:rsid w:val="006A37CB"/>
    <w:rsid w:val="006A3885"/>
    <w:rsid w:val="006A3B17"/>
    <w:rsid w:val="006A3BEF"/>
    <w:rsid w:val="006A3D0C"/>
    <w:rsid w:val="006A4546"/>
    <w:rsid w:val="006A48D3"/>
    <w:rsid w:val="006A4E05"/>
    <w:rsid w:val="006A4F27"/>
    <w:rsid w:val="006A5392"/>
    <w:rsid w:val="006A551A"/>
    <w:rsid w:val="006A5531"/>
    <w:rsid w:val="006A58EA"/>
    <w:rsid w:val="006A59E6"/>
    <w:rsid w:val="006A5ADA"/>
    <w:rsid w:val="006A5C29"/>
    <w:rsid w:val="006A5D1E"/>
    <w:rsid w:val="006A602B"/>
    <w:rsid w:val="006A6075"/>
    <w:rsid w:val="006A655D"/>
    <w:rsid w:val="006A6929"/>
    <w:rsid w:val="006A6A26"/>
    <w:rsid w:val="006A6B52"/>
    <w:rsid w:val="006A6D9F"/>
    <w:rsid w:val="006A725E"/>
    <w:rsid w:val="006A72ED"/>
    <w:rsid w:val="006A7C30"/>
    <w:rsid w:val="006A7CD8"/>
    <w:rsid w:val="006A7D88"/>
    <w:rsid w:val="006A7E4F"/>
    <w:rsid w:val="006A7EFB"/>
    <w:rsid w:val="006B00D5"/>
    <w:rsid w:val="006B0387"/>
    <w:rsid w:val="006B043D"/>
    <w:rsid w:val="006B0500"/>
    <w:rsid w:val="006B079C"/>
    <w:rsid w:val="006B080F"/>
    <w:rsid w:val="006B0818"/>
    <w:rsid w:val="006B0A1F"/>
    <w:rsid w:val="006B0BF7"/>
    <w:rsid w:val="006B0CFD"/>
    <w:rsid w:val="006B0D10"/>
    <w:rsid w:val="006B0E6F"/>
    <w:rsid w:val="006B1009"/>
    <w:rsid w:val="006B17FE"/>
    <w:rsid w:val="006B1844"/>
    <w:rsid w:val="006B188F"/>
    <w:rsid w:val="006B191D"/>
    <w:rsid w:val="006B1997"/>
    <w:rsid w:val="006B1A56"/>
    <w:rsid w:val="006B218B"/>
    <w:rsid w:val="006B2579"/>
    <w:rsid w:val="006B25E7"/>
    <w:rsid w:val="006B2940"/>
    <w:rsid w:val="006B2B7B"/>
    <w:rsid w:val="006B2C25"/>
    <w:rsid w:val="006B2E1C"/>
    <w:rsid w:val="006B2FC3"/>
    <w:rsid w:val="006B318C"/>
    <w:rsid w:val="006B32CB"/>
    <w:rsid w:val="006B340B"/>
    <w:rsid w:val="006B3432"/>
    <w:rsid w:val="006B352E"/>
    <w:rsid w:val="006B36B9"/>
    <w:rsid w:val="006B3A7A"/>
    <w:rsid w:val="006B3DBF"/>
    <w:rsid w:val="006B4069"/>
    <w:rsid w:val="006B40C2"/>
    <w:rsid w:val="006B4832"/>
    <w:rsid w:val="006B4964"/>
    <w:rsid w:val="006B4A54"/>
    <w:rsid w:val="006B4CFB"/>
    <w:rsid w:val="006B4D74"/>
    <w:rsid w:val="006B4DCC"/>
    <w:rsid w:val="006B508C"/>
    <w:rsid w:val="006B533F"/>
    <w:rsid w:val="006B56E3"/>
    <w:rsid w:val="006B59A3"/>
    <w:rsid w:val="006B5CD8"/>
    <w:rsid w:val="006B5D0A"/>
    <w:rsid w:val="006B5F00"/>
    <w:rsid w:val="006B6103"/>
    <w:rsid w:val="006B6123"/>
    <w:rsid w:val="006B612D"/>
    <w:rsid w:val="006B6505"/>
    <w:rsid w:val="006B65B2"/>
    <w:rsid w:val="006B676C"/>
    <w:rsid w:val="006B688D"/>
    <w:rsid w:val="006B6ABB"/>
    <w:rsid w:val="006B6ACD"/>
    <w:rsid w:val="006B6B7D"/>
    <w:rsid w:val="006B6D63"/>
    <w:rsid w:val="006B6E2D"/>
    <w:rsid w:val="006B6E31"/>
    <w:rsid w:val="006B6E75"/>
    <w:rsid w:val="006B7160"/>
    <w:rsid w:val="006B723B"/>
    <w:rsid w:val="006B7363"/>
    <w:rsid w:val="006B752D"/>
    <w:rsid w:val="006B7C01"/>
    <w:rsid w:val="006B7E67"/>
    <w:rsid w:val="006B7F4E"/>
    <w:rsid w:val="006C040B"/>
    <w:rsid w:val="006C04C5"/>
    <w:rsid w:val="006C04F1"/>
    <w:rsid w:val="006C0513"/>
    <w:rsid w:val="006C066C"/>
    <w:rsid w:val="006C0946"/>
    <w:rsid w:val="006C0BD5"/>
    <w:rsid w:val="006C0D44"/>
    <w:rsid w:val="006C0D6D"/>
    <w:rsid w:val="006C0F36"/>
    <w:rsid w:val="006C103B"/>
    <w:rsid w:val="006C1171"/>
    <w:rsid w:val="006C121B"/>
    <w:rsid w:val="006C129B"/>
    <w:rsid w:val="006C131F"/>
    <w:rsid w:val="006C13B6"/>
    <w:rsid w:val="006C1605"/>
    <w:rsid w:val="006C16BE"/>
    <w:rsid w:val="006C1A26"/>
    <w:rsid w:val="006C2870"/>
    <w:rsid w:val="006C28C1"/>
    <w:rsid w:val="006C2950"/>
    <w:rsid w:val="006C2A14"/>
    <w:rsid w:val="006C2AF4"/>
    <w:rsid w:val="006C2EE2"/>
    <w:rsid w:val="006C353E"/>
    <w:rsid w:val="006C354D"/>
    <w:rsid w:val="006C3B56"/>
    <w:rsid w:val="006C40F0"/>
    <w:rsid w:val="006C44D3"/>
    <w:rsid w:val="006C463A"/>
    <w:rsid w:val="006C4774"/>
    <w:rsid w:val="006C47C3"/>
    <w:rsid w:val="006C48EA"/>
    <w:rsid w:val="006C4AE8"/>
    <w:rsid w:val="006C4D7A"/>
    <w:rsid w:val="006C502D"/>
    <w:rsid w:val="006C5135"/>
    <w:rsid w:val="006C5170"/>
    <w:rsid w:val="006C53B1"/>
    <w:rsid w:val="006C540D"/>
    <w:rsid w:val="006C560A"/>
    <w:rsid w:val="006C5848"/>
    <w:rsid w:val="006C596D"/>
    <w:rsid w:val="006C5BDC"/>
    <w:rsid w:val="006C5ECB"/>
    <w:rsid w:val="006C5FD1"/>
    <w:rsid w:val="006C6246"/>
    <w:rsid w:val="006C640F"/>
    <w:rsid w:val="006C65A4"/>
    <w:rsid w:val="006C65AA"/>
    <w:rsid w:val="006C65D7"/>
    <w:rsid w:val="006C66DB"/>
    <w:rsid w:val="006C6996"/>
    <w:rsid w:val="006C6A21"/>
    <w:rsid w:val="006C6DB1"/>
    <w:rsid w:val="006C70FB"/>
    <w:rsid w:val="006C719A"/>
    <w:rsid w:val="006C74BC"/>
    <w:rsid w:val="006C7934"/>
    <w:rsid w:val="006C7C41"/>
    <w:rsid w:val="006D0430"/>
    <w:rsid w:val="006D0607"/>
    <w:rsid w:val="006D07A4"/>
    <w:rsid w:val="006D0B97"/>
    <w:rsid w:val="006D0CB3"/>
    <w:rsid w:val="006D0D65"/>
    <w:rsid w:val="006D0E8E"/>
    <w:rsid w:val="006D10E9"/>
    <w:rsid w:val="006D10F6"/>
    <w:rsid w:val="006D115B"/>
    <w:rsid w:val="006D1399"/>
    <w:rsid w:val="006D16E3"/>
    <w:rsid w:val="006D18F0"/>
    <w:rsid w:val="006D1FD4"/>
    <w:rsid w:val="006D230D"/>
    <w:rsid w:val="006D24E2"/>
    <w:rsid w:val="006D252D"/>
    <w:rsid w:val="006D2620"/>
    <w:rsid w:val="006D285A"/>
    <w:rsid w:val="006D29E7"/>
    <w:rsid w:val="006D2C97"/>
    <w:rsid w:val="006D2FB2"/>
    <w:rsid w:val="006D3079"/>
    <w:rsid w:val="006D309E"/>
    <w:rsid w:val="006D3225"/>
    <w:rsid w:val="006D35F9"/>
    <w:rsid w:val="006D366C"/>
    <w:rsid w:val="006D36CF"/>
    <w:rsid w:val="006D38A5"/>
    <w:rsid w:val="006D39F8"/>
    <w:rsid w:val="006D3C69"/>
    <w:rsid w:val="006D4054"/>
    <w:rsid w:val="006D41D1"/>
    <w:rsid w:val="006D4287"/>
    <w:rsid w:val="006D42BF"/>
    <w:rsid w:val="006D42F1"/>
    <w:rsid w:val="006D43B3"/>
    <w:rsid w:val="006D4530"/>
    <w:rsid w:val="006D46F4"/>
    <w:rsid w:val="006D4AE9"/>
    <w:rsid w:val="006D4C26"/>
    <w:rsid w:val="006D4D45"/>
    <w:rsid w:val="006D5357"/>
    <w:rsid w:val="006D537C"/>
    <w:rsid w:val="006D56BA"/>
    <w:rsid w:val="006D5832"/>
    <w:rsid w:val="006D5836"/>
    <w:rsid w:val="006D5A92"/>
    <w:rsid w:val="006D5AEC"/>
    <w:rsid w:val="006D6023"/>
    <w:rsid w:val="006D60DC"/>
    <w:rsid w:val="006D633A"/>
    <w:rsid w:val="006D66AA"/>
    <w:rsid w:val="006D66FE"/>
    <w:rsid w:val="006D6702"/>
    <w:rsid w:val="006D6704"/>
    <w:rsid w:val="006D67E4"/>
    <w:rsid w:val="006D68EB"/>
    <w:rsid w:val="006D6970"/>
    <w:rsid w:val="006D6C58"/>
    <w:rsid w:val="006D6E0A"/>
    <w:rsid w:val="006D6E56"/>
    <w:rsid w:val="006D6FAE"/>
    <w:rsid w:val="006D6FF4"/>
    <w:rsid w:val="006D71FE"/>
    <w:rsid w:val="006D730E"/>
    <w:rsid w:val="006D740C"/>
    <w:rsid w:val="006D746D"/>
    <w:rsid w:val="006D74EE"/>
    <w:rsid w:val="006D75D2"/>
    <w:rsid w:val="006D7A42"/>
    <w:rsid w:val="006D7F59"/>
    <w:rsid w:val="006E0247"/>
    <w:rsid w:val="006E053B"/>
    <w:rsid w:val="006E064F"/>
    <w:rsid w:val="006E07F2"/>
    <w:rsid w:val="006E08B5"/>
    <w:rsid w:val="006E0B12"/>
    <w:rsid w:val="006E0C72"/>
    <w:rsid w:val="006E0C8C"/>
    <w:rsid w:val="006E0CDB"/>
    <w:rsid w:val="006E0CE1"/>
    <w:rsid w:val="006E0E76"/>
    <w:rsid w:val="006E0E98"/>
    <w:rsid w:val="006E0F7B"/>
    <w:rsid w:val="006E1165"/>
    <w:rsid w:val="006E117C"/>
    <w:rsid w:val="006E15A6"/>
    <w:rsid w:val="006E169F"/>
    <w:rsid w:val="006E1744"/>
    <w:rsid w:val="006E17D9"/>
    <w:rsid w:val="006E1886"/>
    <w:rsid w:val="006E18A0"/>
    <w:rsid w:val="006E18D3"/>
    <w:rsid w:val="006E1FD4"/>
    <w:rsid w:val="006E21D4"/>
    <w:rsid w:val="006E22D0"/>
    <w:rsid w:val="006E22D7"/>
    <w:rsid w:val="006E232F"/>
    <w:rsid w:val="006E2682"/>
    <w:rsid w:val="006E2687"/>
    <w:rsid w:val="006E290F"/>
    <w:rsid w:val="006E2950"/>
    <w:rsid w:val="006E29E9"/>
    <w:rsid w:val="006E2C94"/>
    <w:rsid w:val="006E2E32"/>
    <w:rsid w:val="006E2F0E"/>
    <w:rsid w:val="006E3003"/>
    <w:rsid w:val="006E33E8"/>
    <w:rsid w:val="006E346D"/>
    <w:rsid w:val="006E3765"/>
    <w:rsid w:val="006E37E3"/>
    <w:rsid w:val="006E3814"/>
    <w:rsid w:val="006E3A0E"/>
    <w:rsid w:val="006E40F0"/>
    <w:rsid w:val="006E425C"/>
    <w:rsid w:val="006E42E8"/>
    <w:rsid w:val="006E4318"/>
    <w:rsid w:val="006E45F8"/>
    <w:rsid w:val="006E4657"/>
    <w:rsid w:val="006E4DC3"/>
    <w:rsid w:val="006E4EF1"/>
    <w:rsid w:val="006E5198"/>
    <w:rsid w:val="006E51AC"/>
    <w:rsid w:val="006E53BB"/>
    <w:rsid w:val="006E547C"/>
    <w:rsid w:val="006E5676"/>
    <w:rsid w:val="006E56EE"/>
    <w:rsid w:val="006E5A55"/>
    <w:rsid w:val="006E5BDB"/>
    <w:rsid w:val="006E5C6C"/>
    <w:rsid w:val="006E5E23"/>
    <w:rsid w:val="006E5E75"/>
    <w:rsid w:val="006E5ED9"/>
    <w:rsid w:val="006E5F5E"/>
    <w:rsid w:val="006E5F99"/>
    <w:rsid w:val="006E6132"/>
    <w:rsid w:val="006E62C9"/>
    <w:rsid w:val="006E6378"/>
    <w:rsid w:val="006E6499"/>
    <w:rsid w:val="006E6514"/>
    <w:rsid w:val="006E6567"/>
    <w:rsid w:val="006E70AD"/>
    <w:rsid w:val="006E7150"/>
    <w:rsid w:val="006E73B9"/>
    <w:rsid w:val="006E75BA"/>
    <w:rsid w:val="006E7756"/>
    <w:rsid w:val="006E7791"/>
    <w:rsid w:val="006E7835"/>
    <w:rsid w:val="006F0106"/>
    <w:rsid w:val="006F0670"/>
    <w:rsid w:val="006F072B"/>
    <w:rsid w:val="006F0891"/>
    <w:rsid w:val="006F08F7"/>
    <w:rsid w:val="006F0A31"/>
    <w:rsid w:val="006F0A47"/>
    <w:rsid w:val="006F0B9F"/>
    <w:rsid w:val="006F0D4C"/>
    <w:rsid w:val="006F0DC3"/>
    <w:rsid w:val="006F133C"/>
    <w:rsid w:val="006F13E6"/>
    <w:rsid w:val="006F14A3"/>
    <w:rsid w:val="006F1891"/>
    <w:rsid w:val="006F1E01"/>
    <w:rsid w:val="006F1E9D"/>
    <w:rsid w:val="006F1EFD"/>
    <w:rsid w:val="006F1F2E"/>
    <w:rsid w:val="006F22BC"/>
    <w:rsid w:val="006F22E1"/>
    <w:rsid w:val="006F2722"/>
    <w:rsid w:val="006F2812"/>
    <w:rsid w:val="006F2A76"/>
    <w:rsid w:val="006F2AC3"/>
    <w:rsid w:val="006F2D74"/>
    <w:rsid w:val="006F2F67"/>
    <w:rsid w:val="006F33AB"/>
    <w:rsid w:val="006F37CF"/>
    <w:rsid w:val="006F3ABC"/>
    <w:rsid w:val="006F3BEB"/>
    <w:rsid w:val="006F3C7B"/>
    <w:rsid w:val="006F3C8F"/>
    <w:rsid w:val="006F3E0E"/>
    <w:rsid w:val="006F3E86"/>
    <w:rsid w:val="006F3EF5"/>
    <w:rsid w:val="006F4201"/>
    <w:rsid w:val="006F4261"/>
    <w:rsid w:val="006F458F"/>
    <w:rsid w:val="006F46A2"/>
    <w:rsid w:val="006F4715"/>
    <w:rsid w:val="006F48D9"/>
    <w:rsid w:val="006F4CE0"/>
    <w:rsid w:val="006F4DD1"/>
    <w:rsid w:val="006F4EF6"/>
    <w:rsid w:val="006F50FC"/>
    <w:rsid w:val="006F532A"/>
    <w:rsid w:val="006F538C"/>
    <w:rsid w:val="006F53BB"/>
    <w:rsid w:val="006F54EB"/>
    <w:rsid w:val="006F558F"/>
    <w:rsid w:val="006F5704"/>
    <w:rsid w:val="006F5D05"/>
    <w:rsid w:val="006F5D42"/>
    <w:rsid w:val="006F5DA8"/>
    <w:rsid w:val="006F5E96"/>
    <w:rsid w:val="006F6085"/>
    <w:rsid w:val="006F656E"/>
    <w:rsid w:val="006F66F8"/>
    <w:rsid w:val="006F6B19"/>
    <w:rsid w:val="006F6B87"/>
    <w:rsid w:val="006F6D7C"/>
    <w:rsid w:val="006F6F1F"/>
    <w:rsid w:val="006F7235"/>
    <w:rsid w:val="006F73BB"/>
    <w:rsid w:val="006F7AB6"/>
    <w:rsid w:val="006F7E03"/>
    <w:rsid w:val="006F7E41"/>
    <w:rsid w:val="006F7E95"/>
    <w:rsid w:val="00700AC7"/>
    <w:rsid w:val="00700ACC"/>
    <w:rsid w:val="00701074"/>
    <w:rsid w:val="007011B3"/>
    <w:rsid w:val="0070124C"/>
    <w:rsid w:val="0070162A"/>
    <w:rsid w:val="007017B3"/>
    <w:rsid w:val="007019A0"/>
    <w:rsid w:val="00701A0A"/>
    <w:rsid w:val="00701A30"/>
    <w:rsid w:val="0070210A"/>
    <w:rsid w:val="007021B3"/>
    <w:rsid w:val="007021D1"/>
    <w:rsid w:val="007026ED"/>
    <w:rsid w:val="0070277D"/>
    <w:rsid w:val="007028C1"/>
    <w:rsid w:val="007028CC"/>
    <w:rsid w:val="00702A5A"/>
    <w:rsid w:val="00702A99"/>
    <w:rsid w:val="00702CAB"/>
    <w:rsid w:val="00702EC2"/>
    <w:rsid w:val="00703174"/>
    <w:rsid w:val="007031DF"/>
    <w:rsid w:val="00703952"/>
    <w:rsid w:val="00703A0A"/>
    <w:rsid w:val="00703A0E"/>
    <w:rsid w:val="00703AB6"/>
    <w:rsid w:val="00703CC5"/>
    <w:rsid w:val="00703EA1"/>
    <w:rsid w:val="0070411A"/>
    <w:rsid w:val="0070416C"/>
    <w:rsid w:val="00704394"/>
    <w:rsid w:val="007044F8"/>
    <w:rsid w:val="007045F7"/>
    <w:rsid w:val="00704761"/>
    <w:rsid w:val="007048D0"/>
    <w:rsid w:val="007048E7"/>
    <w:rsid w:val="007049E1"/>
    <w:rsid w:val="00704C53"/>
    <w:rsid w:val="00704D8F"/>
    <w:rsid w:val="007055BC"/>
    <w:rsid w:val="00705600"/>
    <w:rsid w:val="00705B0F"/>
    <w:rsid w:val="00705D7A"/>
    <w:rsid w:val="00705DE2"/>
    <w:rsid w:val="007061BF"/>
    <w:rsid w:val="007062F3"/>
    <w:rsid w:val="0070652B"/>
    <w:rsid w:val="00706665"/>
    <w:rsid w:val="00706B23"/>
    <w:rsid w:val="00706B4E"/>
    <w:rsid w:val="00706C2C"/>
    <w:rsid w:val="00706F39"/>
    <w:rsid w:val="00707339"/>
    <w:rsid w:val="00707436"/>
    <w:rsid w:val="00707587"/>
    <w:rsid w:val="0070780B"/>
    <w:rsid w:val="00707866"/>
    <w:rsid w:val="0070793A"/>
    <w:rsid w:val="00707B78"/>
    <w:rsid w:val="00707E2E"/>
    <w:rsid w:val="00707F22"/>
    <w:rsid w:val="007101B0"/>
    <w:rsid w:val="007102B4"/>
    <w:rsid w:val="00710395"/>
    <w:rsid w:val="0071041C"/>
    <w:rsid w:val="00710444"/>
    <w:rsid w:val="00710501"/>
    <w:rsid w:val="00710669"/>
    <w:rsid w:val="0071083C"/>
    <w:rsid w:val="00710C21"/>
    <w:rsid w:val="00710DD1"/>
    <w:rsid w:val="00710E48"/>
    <w:rsid w:val="007110F4"/>
    <w:rsid w:val="0071136C"/>
    <w:rsid w:val="00711616"/>
    <w:rsid w:val="0071180B"/>
    <w:rsid w:val="0071185D"/>
    <w:rsid w:val="00711A42"/>
    <w:rsid w:val="00711AFD"/>
    <w:rsid w:val="00711B0D"/>
    <w:rsid w:val="007126D3"/>
    <w:rsid w:val="00712F99"/>
    <w:rsid w:val="007130A1"/>
    <w:rsid w:val="00713271"/>
    <w:rsid w:val="00713516"/>
    <w:rsid w:val="007137C2"/>
    <w:rsid w:val="007137F7"/>
    <w:rsid w:val="007138DB"/>
    <w:rsid w:val="007139B9"/>
    <w:rsid w:val="00714153"/>
    <w:rsid w:val="00714848"/>
    <w:rsid w:val="007148F2"/>
    <w:rsid w:val="00714A5E"/>
    <w:rsid w:val="00714A6B"/>
    <w:rsid w:val="00714B31"/>
    <w:rsid w:val="00714CAA"/>
    <w:rsid w:val="00714CBE"/>
    <w:rsid w:val="00714CF6"/>
    <w:rsid w:val="00714EBF"/>
    <w:rsid w:val="0071501C"/>
    <w:rsid w:val="00715336"/>
    <w:rsid w:val="007155B9"/>
    <w:rsid w:val="0071599E"/>
    <w:rsid w:val="00715CF9"/>
    <w:rsid w:val="00715EB4"/>
    <w:rsid w:val="00715EF7"/>
    <w:rsid w:val="00715F97"/>
    <w:rsid w:val="00716122"/>
    <w:rsid w:val="007168AF"/>
    <w:rsid w:val="00716AB1"/>
    <w:rsid w:val="00716D64"/>
    <w:rsid w:val="00716DB7"/>
    <w:rsid w:val="0071701E"/>
    <w:rsid w:val="00717107"/>
    <w:rsid w:val="0071756F"/>
    <w:rsid w:val="0071761F"/>
    <w:rsid w:val="00717649"/>
    <w:rsid w:val="0071769C"/>
    <w:rsid w:val="00717A38"/>
    <w:rsid w:val="00717BA7"/>
    <w:rsid w:val="00717DB4"/>
    <w:rsid w:val="00717F36"/>
    <w:rsid w:val="00720419"/>
    <w:rsid w:val="0072047E"/>
    <w:rsid w:val="007204C9"/>
    <w:rsid w:val="007204DC"/>
    <w:rsid w:val="007206BC"/>
    <w:rsid w:val="007206CE"/>
    <w:rsid w:val="007208D4"/>
    <w:rsid w:val="0072099D"/>
    <w:rsid w:val="007209CB"/>
    <w:rsid w:val="007211E3"/>
    <w:rsid w:val="007215EF"/>
    <w:rsid w:val="007216AF"/>
    <w:rsid w:val="00721A23"/>
    <w:rsid w:val="00721B0A"/>
    <w:rsid w:val="00721C33"/>
    <w:rsid w:val="00721EC0"/>
    <w:rsid w:val="00721F5E"/>
    <w:rsid w:val="00722397"/>
    <w:rsid w:val="00722508"/>
    <w:rsid w:val="00722B14"/>
    <w:rsid w:val="00722DDF"/>
    <w:rsid w:val="00722E58"/>
    <w:rsid w:val="00722FB3"/>
    <w:rsid w:val="0072303C"/>
    <w:rsid w:val="00723137"/>
    <w:rsid w:val="0072315D"/>
    <w:rsid w:val="007236EB"/>
    <w:rsid w:val="0072382C"/>
    <w:rsid w:val="0072397C"/>
    <w:rsid w:val="00723BE4"/>
    <w:rsid w:val="00724081"/>
    <w:rsid w:val="00724316"/>
    <w:rsid w:val="00724355"/>
    <w:rsid w:val="00724ABD"/>
    <w:rsid w:val="00724CFF"/>
    <w:rsid w:val="00724E72"/>
    <w:rsid w:val="00724FA7"/>
    <w:rsid w:val="0072510B"/>
    <w:rsid w:val="0072525F"/>
    <w:rsid w:val="0072544C"/>
    <w:rsid w:val="00725828"/>
    <w:rsid w:val="00725B25"/>
    <w:rsid w:val="00725CC9"/>
    <w:rsid w:val="00725ED8"/>
    <w:rsid w:val="00726068"/>
    <w:rsid w:val="00726093"/>
    <w:rsid w:val="007264CB"/>
    <w:rsid w:val="00726794"/>
    <w:rsid w:val="00726A8A"/>
    <w:rsid w:val="00726AC3"/>
    <w:rsid w:val="00726B58"/>
    <w:rsid w:val="00726CF8"/>
    <w:rsid w:val="00727067"/>
    <w:rsid w:val="0072747A"/>
    <w:rsid w:val="0072769D"/>
    <w:rsid w:val="007277C5"/>
    <w:rsid w:val="00727850"/>
    <w:rsid w:val="00727DA0"/>
    <w:rsid w:val="00727FE3"/>
    <w:rsid w:val="0073000B"/>
    <w:rsid w:val="007303AD"/>
    <w:rsid w:val="007303F0"/>
    <w:rsid w:val="00730511"/>
    <w:rsid w:val="00730758"/>
    <w:rsid w:val="007307B4"/>
    <w:rsid w:val="00730843"/>
    <w:rsid w:val="00730946"/>
    <w:rsid w:val="00730B42"/>
    <w:rsid w:val="0073123B"/>
    <w:rsid w:val="00731426"/>
    <w:rsid w:val="007314CB"/>
    <w:rsid w:val="00731D5F"/>
    <w:rsid w:val="00731D6E"/>
    <w:rsid w:val="00731D9A"/>
    <w:rsid w:val="0073237B"/>
    <w:rsid w:val="0073277E"/>
    <w:rsid w:val="00732904"/>
    <w:rsid w:val="00732C53"/>
    <w:rsid w:val="0073348D"/>
    <w:rsid w:val="00733603"/>
    <w:rsid w:val="007337DA"/>
    <w:rsid w:val="00734000"/>
    <w:rsid w:val="007340D5"/>
    <w:rsid w:val="0073412B"/>
    <w:rsid w:val="007341E0"/>
    <w:rsid w:val="0073447D"/>
    <w:rsid w:val="00734B01"/>
    <w:rsid w:val="00734C57"/>
    <w:rsid w:val="00734D4F"/>
    <w:rsid w:val="00735083"/>
    <w:rsid w:val="0073519D"/>
    <w:rsid w:val="007357C7"/>
    <w:rsid w:val="00735DA3"/>
    <w:rsid w:val="00735DCE"/>
    <w:rsid w:val="00735EE5"/>
    <w:rsid w:val="0073652D"/>
    <w:rsid w:val="0073658E"/>
    <w:rsid w:val="0073678B"/>
    <w:rsid w:val="007367D8"/>
    <w:rsid w:val="007367DC"/>
    <w:rsid w:val="007369AB"/>
    <w:rsid w:val="00736E47"/>
    <w:rsid w:val="00736E8E"/>
    <w:rsid w:val="0073707B"/>
    <w:rsid w:val="0073736C"/>
    <w:rsid w:val="007375E2"/>
    <w:rsid w:val="00737618"/>
    <w:rsid w:val="007377F8"/>
    <w:rsid w:val="00737EC7"/>
    <w:rsid w:val="00740322"/>
    <w:rsid w:val="00740441"/>
    <w:rsid w:val="007408FD"/>
    <w:rsid w:val="00740B8B"/>
    <w:rsid w:val="00740C3F"/>
    <w:rsid w:val="00741067"/>
    <w:rsid w:val="007410B8"/>
    <w:rsid w:val="0074126A"/>
    <w:rsid w:val="007412EB"/>
    <w:rsid w:val="00741571"/>
    <w:rsid w:val="007415FF"/>
    <w:rsid w:val="00741687"/>
    <w:rsid w:val="007418A3"/>
    <w:rsid w:val="00741D5D"/>
    <w:rsid w:val="0074229E"/>
    <w:rsid w:val="007422CF"/>
    <w:rsid w:val="007425FC"/>
    <w:rsid w:val="00742676"/>
    <w:rsid w:val="00742995"/>
    <w:rsid w:val="00742BA6"/>
    <w:rsid w:val="00742EC6"/>
    <w:rsid w:val="00743002"/>
    <w:rsid w:val="00743156"/>
    <w:rsid w:val="007433BE"/>
    <w:rsid w:val="00743693"/>
    <w:rsid w:val="00743707"/>
    <w:rsid w:val="0074372A"/>
    <w:rsid w:val="0074372F"/>
    <w:rsid w:val="0074387E"/>
    <w:rsid w:val="00743A50"/>
    <w:rsid w:val="00743D79"/>
    <w:rsid w:val="00743E6C"/>
    <w:rsid w:val="00743F3D"/>
    <w:rsid w:val="007440D0"/>
    <w:rsid w:val="007446A8"/>
    <w:rsid w:val="007446B4"/>
    <w:rsid w:val="007448DC"/>
    <w:rsid w:val="00744E57"/>
    <w:rsid w:val="00744E5E"/>
    <w:rsid w:val="00745394"/>
    <w:rsid w:val="007453EB"/>
    <w:rsid w:val="0074574E"/>
    <w:rsid w:val="00745880"/>
    <w:rsid w:val="00745B51"/>
    <w:rsid w:val="00745C36"/>
    <w:rsid w:val="00745EC3"/>
    <w:rsid w:val="00745ED1"/>
    <w:rsid w:val="007460C1"/>
    <w:rsid w:val="00746252"/>
    <w:rsid w:val="0074695F"/>
    <w:rsid w:val="00746CDA"/>
    <w:rsid w:val="00746D3E"/>
    <w:rsid w:val="00746FCA"/>
    <w:rsid w:val="007473EC"/>
    <w:rsid w:val="007477F6"/>
    <w:rsid w:val="007479BE"/>
    <w:rsid w:val="00747ADC"/>
    <w:rsid w:val="00747B39"/>
    <w:rsid w:val="00747F71"/>
    <w:rsid w:val="007501B7"/>
    <w:rsid w:val="0075053A"/>
    <w:rsid w:val="0075095C"/>
    <w:rsid w:val="00750B04"/>
    <w:rsid w:val="00750B3F"/>
    <w:rsid w:val="00750B40"/>
    <w:rsid w:val="00750C3E"/>
    <w:rsid w:val="007511AF"/>
    <w:rsid w:val="007511D9"/>
    <w:rsid w:val="007512B4"/>
    <w:rsid w:val="007515C7"/>
    <w:rsid w:val="00751B87"/>
    <w:rsid w:val="00751BC6"/>
    <w:rsid w:val="00751CB2"/>
    <w:rsid w:val="00751CE0"/>
    <w:rsid w:val="00751EE5"/>
    <w:rsid w:val="00751FD2"/>
    <w:rsid w:val="00752173"/>
    <w:rsid w:val="007521D1"/>
    <w:rsid w:val="007522A3"/>
    <w:rsid w:val="007525F1"/>
    <w:rsid w:val="007526B5"/>
    <w:rsid w:val="00752724"/>
    <w:rsid w:val="00752841"/>
    <w:rsid w:val="007528DB"/>
    <w:rsid w:val="00752970"/>
    <w:rsid w:val="00752C98"/>
    <w:rsid w:val="00752CE6"/>
    <w:rsid w:val="00752D8C"/>
    <w:rsid w:val="00752DE4"/>
    <w:rsid w:val="00753356"/>
    <w:rsid w:val="00753571"/>
    <w:rsid w:val="007536BC"/>
    <w:rsid w:val="007536BE"/>
    <w:rsid w:val="00753772"/>
    <w:rsid w:val="00753858"/>
    <w:rsid w:val="00753B37"/>
    <w:rsid w:val="00753B50"/>
    <w:rsid w:val="007540BD"/>
    <w:rsid w:val="007540F1"/>
    <w:rsid w:val="007542AE"/>
    <w:rsid w:val="00754326"/>
    <w:rsid w:val="007546E4"/>
    <w:rsid w:val="00754A95"/>
    <w:rsid w:val="00754D55"/>
    <w:rsid w:val="00754DA7"/>
    <w:rsid w:val="00754F6A"/>
    <w:rsid w:val="0075500F"/>
    <w:rsid w:val="0075502F"/>
    <w:rsid w:val="00755309"/>
    <w:rsid w:val="00755714"/>
    <w:rsid w:val="00755B24"/>
    <w:rsid w:val="00755B92"/>
    <w:rsid w:val="00755C02"/>
    <w:rsid w:val="0075611E"/>
    <w:rsid w:val="00756265"/>
    <w:rsid w:val="0075645B"/>
    <w:rsid w:val="00756633"/>
    <w:rsid w:val="00756D03"/>
    <w:rsid w:val="00756F0C"/>
    <w:rsid w:val="00756F79"/>
    <w:rsid w:val="0075775C"/>
    <w:rsid w:val="007578A9"/>
    <w:rsid w:val="00757BB6"/>
    <w:rsid w:val="00757CB3"/>
    <w:rsid w:val="00757E75"/>
    <w:rsid w:val="00757E89"/>
    <w:rsid w:val="00757F22"/>
    <w:rsid w:val="00760222"/>
    <w:rsid w:val="00760427"/>
    <w:rsid w:val="00760476"/>
    <w:rsid w:val="0076070C"/>
    <w:rsid w:val="0076085E"/>
    <w:rsid w:val="00760A41"/>
    <w:rsid w:val="00760A85"/>
    <w:rsid w:val="00760ADF"/>
    <w:rsid w:val="00760C46"/>
    <w:rsid w:val="00760D0E"/>
    <w:rsid w:val="00761226"/>
    <w:rsid w:val="00761C99"/>
    <w:rsid w:val="00761DF8"/>
    <w:rsid w:val="00761E04"/>
    <w:rsid w:val="00762084"/>
    <w:rsid w:val="007621DD"/>
    <w:rsid w:val="0076222A"/>
    <w:rsid w:val="00762306"/>
    <w:rsid w:val="007623BA"/>
    <w:rsid w:val="00762636"/>
    <w:rsid w:val="007626FD"/>
    <w:rsid w:val="00762DB7"/>
    <w:rsid w:val="007634EA"/>
    <w:rsid w:val="00763519"/>
    <w:rsid w:val="007635B2"/>
    <w:rsid w:val="0076376B"/>
    <w:rsid w:val="0076378D"/>
    <w:rsid w:val="00763AAE"/>
    <w:rsid w:val="00763BE6"/>
    <w:rsid w:val="00763CC5"/>
    <w:rsid w:val="00763CF4"/>
    <w:rsid w:val="00763E6F"/>
    <w:rsid w:val="00763E76"/>
    <w:rsid w:val="00763F4E"/>
    <w:rsid w:val="007642DF"/>
    <w:rsid w:val="0076438B"/>
    <w:rsid w:val="00764645"/>
    <w:rsid w:val="00764971"/>
    <w:rsid w:val="00764B42"/>
    <w:rsid w:val="00764B93"/>
    <w:rsid w:val="00764E40"/>
    <w:rsid w:val="00764E61"/>
    <w:rsid w:val="00764FE7"/>
    <w:rsid w:val="007654C5"/>
    <w:rsid w:val="007658A0"/>
    <w:rsid w:val="0076590F"/>
    <w:rsid w:val="00765BCF"/>
    <w:rsid w:val="00765DEC"/>
    <w:rsid w:val="00765F02"/>
    <w:rsid w:val="00766023"/>
    <w:rsid w:val="00766071"/>
    <w:rsid w:val="007660AB"/>
    <w:rsid w:val="00766122"/>
    <w:rsid w:val="007661DD"/>
    <w:rsid w:val="00766213"/>
    <w:rsid w:val="00766494"/>
    <w:rsid w:val="0076662C"/>
    <w:rsid w:val="00766975"/>
    <w:rsid w:val="00766BDE"/>
    <w:rsid w:val="00766D6B"/>
    <w:rsid w:val="00766DF8"/>
    <w:rsid w:val="0076744D"/>
    <w:rsid w:val="007676BC"/>
    <w:rsid w:val="007678EE"/>
    <w:rsid w:val="00767BD4"/>
    <w:rsid w:val="00767CA6"/>
    <w:rsid w:val="00767DA2"/>
    <w:rsid w:val="00767F36"/>
    <w:rsid w:val="007700F1"/>
    <w:rsid w:val="00770167"/>
    <w:rsid w:val="00770397"/>
    <w:rsid w:val="00770807"/>
    <w:rsid w:val="00770ABE"/>
    <w:rsid w:val="00770D8E"/>
    <w:rsid w:val="00770FD9"/>
    <w:rsid w:val="00771141"/>
    <w:rsid w:val="00771200"/>
    <w:rsid w:val="007714CA"/>
    <w:rsid w:val="0077151D"/>
    <w:rsid w:val="007715C1"/>
    <w:rsid w:val="0077196F"/>
    <w:rsid w:val="00771B0C"/>
    <w:rsid w:val="00771B65"/>
    <w:rsid w:val="00771BBA"/>
    <w:rsid w:val="00771F8F"/>
    <w:rsid w:val="00771FF7"/>
    <w:rsid w:val="00772212"/>
    <w:rsid w:val="00772229"/>
    <w:rsid w:val="00772429"/>
    <w:rsid w:val="00772481"/>
    <w:rsid w:val="007724D5"/>
    <w:rsid w:val="007726D1"/>
    <w:rsid w:val="007726D7"/>
    <w:rsid w:val="00772A70"/>
    <w:rsid w:val="00772C31"/>
    <w:rsid w:val="00772D80"/>
    <w:rsid w:val="007731EF"/>
    <w:rsid w:val="007732D9"/>
    <w:rsid w:val="0077389C"/>
    <w:rsid w:val="00773E3B"/>
    <w:rsid w:val="00773E44"/>
    <w:rsid w:val="00773F6B"/>
    <w:rsid w:val="00773FA6"/>
    <w:rsid w:val="00774387"/>
    <w:rsid w:val="007743E6"/>
    <w:rsid w:val="00774636"/>
    <w:rsid w:val="007747AC"/>
    <w:rsid w:val="007747B2"/>
    <w:rsid w:val="00774A04"/>
    <w:rsid w:val="00774B7B"/>
    <w:rsid w:val="00774EDC"/>
    <w:rsid w:val="00775038"/>
    <w:rsid w:val="007750FF"/>
    <w:rsid w:val="0077537C"/>
    <w:rsid w:val="0077550F"/>
    <w:rsid w:val="00775789"/>
    <w:rsid w:val="00775805"/>
    <w:rsid w:val="00775A8F"/>
    <w:rsid w:val="00775C09"/>
    <w:rsid w:val="00775E78"/>
    <w:rsid w:val="007760AB"/>
    <w:rsid w:val="00776515"/>
    <w:rsid w:val="00776585"/>
    <w:rsid w:val="00776690"/>
    <w:rsid w:val="00776950"/>
    <w:rsid w:val="007769DA"/>
    <w:rsid w:val="00776BA4"/>
    <w:rsid w:val="00776CB1"/>
    <w:rsid w:val="00776D4B"/>
    <w:rsid w:val="00776E1E"/>
    <w:rsid w:val="00776FF1"/>
    <w:rsid w:val="00777252"/>
    <w:rsid w:val="0077727C"/>
    <w:rsid w:val="007779A3"/>
    <w:rsid w:val="007779E0"/>
    <w:rsid w:val="00777CA1"/>
    <w:rsid w:val="00777F03"/>
    <w:rsid w:val="0078062C"/>
    <w:rsid w:val="007806EC"/>
    <w:rsid w:val="00780A65"/>
    <w:rsid w:val="00780DF6"/>
    <w:rsid w:val="00780F0F"/>
    <w:rsid w:val="00781049"/>
    <w:rsid w:val="0078153A"/>
    <w:rsid w:val="00781584"/>
    <w:rsid w:val="007816B5"/>
    <w:rsid w:val="007818BB"/>
    <w:rsid w:val="007819D3"/>
    <w:rsid w:val="00781B1A"/>
    <w:rsid w:val="00781EBB"/>
    <w:rsid w:val="00781F3F"/>
    <w:rsid w:val="007821CD"/>
    <w:rsid w:val="00782612"/>
    <w:rsid w:val="00782662"/>
    <w:rsid w:val="00782787"/>
    <w:rsid w:val="00782796"/>
    <w:rsid w:val="007828A7"/>
    <w:rsid w:val="00782AF5"/>
    <w:rsid w:val="00782BA1"/>
    <w:rsid w:val="00782E2B"/>
    <w:rsid w:val="0078304B"/>
    <w:rsid w:val="0078313B"/>
    <w:rsid w:val="007831FD"/>
    <w:rsid w:val="0078335B"/>
    <w:rsid w:val="007833F2"/>
    <w:rsid w:val="0078340D"/>
    <w:rsid w:val="007839EC"/>
    <w:rsid w:val="00784143"/>
    <w:rsid w:val="00784222"/>
    <w:rsid w:val="007842DA"/>
    <w:rsid w:val="0078463E"/>
    <w:rsid w:val="00784830"/>
    <w:rsid w:val="007848F6"/>
    <w:rsid w:val="00784910"/>
    <w:rsid w:val="007849A2"/>
    <w:rsid w:val="00784D1D"/>
    <w:rsid w:val="007853E3"/>
    <w:rsid w:val="00785FA4"/>
    <w:rsid w:val="00786121"/>
    <w:rsid w:val="00786366"/>
    <w:rsid w:val="007864A4"/>
    <w:rsid w:val="00786607"/>
    <w:rsid w:val="007873D9"/>
    <w:rsid w:val="007873EF"/>
    <w:rsid w:val="007875FF"/>
    <w:rsid w:val="00787612"/>
    <w:rsid w:val="00787638"/>
    <w:rsid w:val="00787978"/>
    <w:rsid w:val="00787B0D"/>
    <w:rsid w:val="00787BF8"/>
    <w:rsid w:val="00787C2F"/>
    <w:rsid w:val="007900AA"/>
    <w:rsid w:val="007902C4"/>
    <w:rsid w:val="007904BD"/>
    <w:rsid w:val="0079053F"/>
    <w:rsid w:val="007906B1"/>
    <w:rsid w:val="00790702"/>
    <w:rsid w:val="00790D89"/>
    <w:rsid w:val="00790D8C"/>
    <w:rsid w:val="00790D99"/>
    <w:rsid w:val="00790E1D"/>
    <w:rsid w:val="007911C9"/>
    <w:rsid w:val="0079166A"/>
    <w:rsid w:val="0079166E"/>
    <w:rsid w:val="0079199A"/>
    <w:rsid w:val="007919D0"/>
    <w:rsid w:val="00791A24"/>
    <w:rsid w:val="00791B03"/>
    <w:rsid w:val="00791E2D"/>
    <w:rsid w:val="00791EAF"/>
    <w:rsid w:val="00791F76"/>
    <w:rsid w:val="007922BF"/>
    <w:rsid w:val="007925D7"/>
    <w:rsid w:val="00792657"/>
    <w:rsid w:val="00792913"/>
    <w:rsid w:val="007929F9"/>
    <w:rsid w:val="00792A54"/>
    <w:rsid w:val="00792AC9"/>
    <w:rsid w:val="00792CD0"/>
    <w:rsid w:val="00792E17"/>
    <w:rsid w:val="00793383"/>
    <w:rsid w:val="007936C9"/>
    <w:rsid w:val="00793BA0"/>
    <w:rsid w:val="00793C61"/>
    <w:rsid w:val="00793DB5"/>
    <w:rsid w:val="00793EA0"/>
    <w:rsid w:val="00793F99"/>
    <w:rsid w:val="00793F9A"/>
    <w:rsid w:val="007946DA"/>
    <w:rsid w:val="00794873"/>
    <w:rsid w:val="00794B18"/>
    <w:rsid w:val="00794CBB"/>
    <w:rsid w:val="0079520E"/>
    <w:rsid w:val="00795385"/>
    <w:rsid w:val="00795721"/>
    <w:rsid w:val="00795762"/>
    <w:rsid w:val="007957EB"/>
    <w:rsid w:val="00795881"/>
    <w:rsid w:val="00795B7D"/>
    <w:rsid w:val="00795B8A"/>
    <w:rsid w:val="00795C8E"/>
    <w:rsid w:val="00795E00"/>
    <w:rsid w:val="00795E67"/>
    <w:rsid w:val="00795EC7"/>
    <w:rsid w:val="0079607B"/>
    <w:rsid w:val="00796173"/>
    <w:rsid w:val="00796436"/>
    <w:rsid w:val="00796465"/>
    <w:rsid w:val="007964F1"/>
    <w:rsid w:val="00796718"/>
    <w:rsid w:val="007969C8"/>
    <w:rsid w:val="00796A87"/>
    <w:rsid w:val="00796C85"/>
    <w:rsid w:val="00796E10"/>
    <w:rsid w:val="00797024"/>
    <w:rsid w:val="007978B6"/>
    <w:rsid w:val="00797999"/>
    <w:rsid w:val="00797A48"/>
    <w:rsid w:val="007A0245"/>
    <w:rsid w:val="007A0466"/>
    <w:rsid w:val="007A04FE"/>
    <w:rsid w:val="007A0509"/>
    <w:rsid w:val="007A0C3B"/>
    <w:rsid w:val="007A0DEB"/>
    <w:rsid w:val="007A0F5F"/>
    <w:rsid w:val="007A11CD"/>
    <w:rsid w:val="007A1349"/>
    <w:rsid w:val="007A1456"/>
    <w:rsid w:val="007A16F2"/>
    <w:rsid w:val="007A204F"/>
    <w:rsid w:val="007A22DC"/>
    <w:rsid w:val="007A25F9"/>
    <w:rsid w:val="007A261D"/>
    <w:rsid w:val="007A2A97"/>
    <w:rsid w:val="007A2ACB"/>
    <w:rsid w:val="007A2ACF"/>
    <w:rsid w:val="007A2B54"/>
    <w:rsid w:val="007A2B8A"/>
    <w:rsid w:val="007A2B91"/>
    <w:rsid w:val="007A2BCA"/>
    <w:rsid w:val="007A2C4F"/>
    <w:rsid w:val="007A2D3C"/>
    <w:rsid w:val="007A3715"/>
    <w:rsid w:val="007A374F"/>
    <w:rsid w:val="007A3787"/>
    <w:rsid w:val="007A3864"/>
    <w:rsid w:val="007A3995"/>
    <w:rsid w:val="007A3B1C"/>
    <w:rsid w:val="007A3BA1"/>
    <w:rsid w:val="007A3BCB"/>
    <w:rsid w:val="007A3C30"/>
    <w:rsid w:val="007A4071"/>
    <w:rsid w:val="007A41C4"/>
    <w:rsid w:val="007A4213"/>
    <w:rsid w:val="007A4B05"/>
    <w:rsid w:val="007A4C32"/>
    <w:rsid w:val="007A4C44"/>
    <w:rsid w:val="007A4FCD"/>
    <w:rsid w:val="007A5142"/>
    <w:rsid w:val="007A5319"/>
    <w:rsid w:val="007A53F5"/>
    <w:rsid w:val="007A549E"/>
    <w:rsid w:val="007A57B6"/>
    <w:rsid w:val="007A5AFA"/>
    <w:rsid w:val="007A5B14"/>
    <w:rsid w:val="007A5E18"/>
    <w:rsid w:val="007A5E7C"/>
    <w:rsid w:val="007A60C3"/>
    <w:rsid w:val="007A6163"/>
    <w:rsid w:val="007A61D0"/>
    <w:rsid w:val="007A6529"/>
    <w:rsid w:val="007A6680"/>
    <w:rsid w:val="007A673F"/>
    <w:rsid w:val="007A6973"/>
    <w:rsid w:val="007A6A6C"/>
    <w:rsid w:val="007A6BCF"/>
    <w:rsid w:val="007A6C31"/>
    <w:rsid w:val="007A6D5E"/>
    <w:rsid w:val="007A70CB"/>
    <w:rsid w:val="007A7366"/>
    <w:rsid w:val="007A748E"/>
    <w:rsid w:val="007A76A1"/>
    <w:rsid w:val="007A7A43"/>
    <w:rsid w:val="007A7BBB"/>
    <w:rsid w:val="007A7D8F"/>
    <w:rsid w:val="007B00F3"/>
    <w:rsid w:val="007B0311"/>
    <w:rsid w:val="007B03F7"/>
    <w:rsid w:val="007B091A"/>
    <w:rsid w:val="007B0A68"/>
    <w:rsid w:val="007B0A9E"/>
    <w:rsid w:val="007B0B38"/>
    <w:rsid w:val="007B0BE6"/>
    <w:rsid w:val="007B0C23"/>
    <w:rsid w:val="007B0C3A"/>
    <w:rsid w:val="007B0E2E"/>
    <w:rsid w:val="007B0FD9"/>
    <w:rsid w:val="007B10F0"/>
    <w:rsid w:val="007B147C"/>
    <w:rsid w:val="007B167C"/>
    <w:rsid w:val="007B1792"/>
    <w:rsid w:val="007B1865"/>
    <w:rsid w:val="007B19AE"/>
    <w:rsid w:val="007B19B4"/>
    <w:rsid w:val="007B1A59"/>
    <w:rsid w:val="007B1BDB"/>
    <w:rsid w:val="007B1C53"/>
    <w:rsid w:val="007B1D3F"/>
    <w:rsid w:val="007B1EE7"/>
    <w:rsid w:val="007B1F9C"/>
    <w:rsid w:val="007B2039"/>
    <w:rsid w:val="007B21C3"/>
    <w:rsid w:val="007B21EA"/>
    <w:rsid w:val="007B2511"/>
    <w:rsid w:val="007B2B40"/>
    <w:rsid w:val="007B2F9F"/>
    <w:rsid w:val="007B318C"/>
    <w:rsid w:val="007B31D1"/>
    <w:rsid w:val="007B3318"/>
    <w:rsid w:val="007B34F1"/>
    <w:rsid w:val="007B3658"/>
    <w:rsid w:val="007B366B"/>
    <w:rsid w:val="007B3D83"/>
    <w:rsid w:val="007B3F11"/>
    <w:rsid w:val="007B4199"/>
    <w:rsid w:val="007B42E1"/>
    <w:rsid w:val="007B4459"/>
    <w:rsid w:val="007B4689"/>
    <w:rsid w:val="007B4754"/>
    <w:rsid w:val="007B4D25"/>
    <w:rsid w:val="007B503F"/>
    <w:rsid w:val="007B5362"/>
    <w:rsid w:val="007B5447"/>
    <w:rsid w:val="007B5466"/>
    <w:rsid w:val="007B5CD0"/>
    <w:rsid w:val="007B5E5A"/>
    <w:rsid w:val="007B5EE4"/>
    <w:rsid w:val="007B5F75"/>
    <w:rsid w:val="007B6258"/>
    <w:rsid w:val="007B6366"/>
    <w:rsid w:val="007B6755"/>
    <w:rsid w:val="007B6787"/>
    <w:rsid w:val="007B69FE"/>
    <w:rsid w:val="007B6A71"/>
    <w:rsid w:val="007B6C0F"/>
    <w:rsid w:val="007B7686"/>
    <w:rsid w:val="007B77CB"/>
    <w:rsid w:val="007B77ED"/>
    <w:rsid w:val="007B7843"/>
    <w:rsid w:val="007B7968"/>
    <w:rsid w:val="007B7B22"/>
    <w:rsid w:val="007B7B6E"/>
    <w:rsid w:val="007B7E20"/>
    <w:rsid w:val="007B7E82"/>
    <w:rsid w:val="007B7E85"/>
    <w:rsid w:val="007B7F22"/>
    <w:rsid w:val="007B7F66"/>
    <w:rsid w:val="007C0104"/>
    <w:rsid w:val="007C0241"/>
    <w:rsid w:val="007C0361"/>
    <w:rsid w:val="007C040A"/>
    <w:rsid w:val="007C05B0"/>
    <w:rsid w:val="007C0705"/>
    <w:rsid w:val="007C0882"/>
    <w:rsid w:val="007C0AA2"/>
    <w:rsid w:val="007C0BC1"/>
    <w:rsid w:val="007C0FFF"/>
    <w:rsid w:val="007C1205"/>
    <w:rsid w:val="007C1242"/>
    <w:rsid w:val="007C14C3"/>
    <w:rsid w:val="007C14E3"/>
    <w:rsid w:val="007C166F"/>
    <w:rsid w:val="007C16DD"/>
    <w:rsid w:val="007C18D2"/>
    <w:rsid w:val="007C194D"/>
    <w:rsid w:val="007C1D17"/>
    <w:rsid w:val="007C1D65"/>
    <w:rsid w:val="007C1FA4"/>
    <w:rsid w:val="007C20E9"/>
    <w:rsid w:val="007C2527"/>
    <w:rsid w:val="007C2588"/>
    <w:rsid w:val="007C26F1"/>
    <w:rsid w:val="007C2A42"/>
    <w:rsid w:val="007C2CE2"/>
    <w:rsid w:val="007C2E29"/>
    <w:rsid w:val="007C2F35"/>
    <w:rsid w:val="007C2F39"/>
    <w:rsid w:val="007C30DE"/>
    <w:rsid w:val="007C37F5"/>
    <w:rsid w:val="007C3927"/>
    <w:rsid w:val="007C3D07"/>
    <w:rsid w:val="007C454A"/>
    <w:rsid w:val="007C48DD"/>
    <w:rsid w:val="007C48F0"/>
    <w:rsid w:val="007C4BF0"/>
    <w:rsid w:val="007C4D58"/>
    <w:rsid w:val="007C4D79"/>
    <w:rsid w:val="007C4E04"/>
    <w:rsid w:val="007C5017"/>
    <w:rsid w:val="007C509A"/>
    <w:rsid w:val="007C5194"/>
    <w:rsid w:val="007C54AC"/>
    <w:rsid w:val="007C5747"/>
    <w:rsid w:val="007C57C6"/>
    <w:rsid w:val="007C5ABF"/>
    <w:rsid w:val="007C5BAE"/>
    <w:rsid w:val="007C5C48"/>
    <w:rsid w:val="007C5EEF"/>
    <w:rsid w:val="007C6127"/>
    <w:rsid w:val="007C61E2"/>
    <w:rsid w:val="007C652D"/>
    <w:rsid w:val="007C66AD"/>
    <w:rsid w:val="007C693D"/>
    <w:rsid w:val="007C696C"/>
    <w:rsid w:val="007C6F2A"/>
    <w:rsid w:val="007C71E3"/>
    <w:rsid w:val="007C7235"/>
    <w:rsid w:val="007C73A7"/>
    <w:rsid w:val="007C74A9"/>
    <w:rsid w:val="007C75E2"/>
    <w:rsid w:val="007C76B0"/>
    <w:rsid w:val="007C7801"/>
    <w:rsid w:val="007C7925"/>
    <w:rsid w:val="007C7932"/>
    <w:rsid w:val="007C7C53"/>
    <w:rsid w:val="007C7E0C"/>
    <w:rsid w:val="007C7EE3"/>
    <w:rsid w:val="007D021F"/>
    <w:rsid w:val="007D05BA"/>
    <w:rsid w:val="007D0A03"/>
    <w:rsid w:val="007D0D2B"/>
    <w:rsid w:val="007D0D95"/>
    <w:rsid w:val="007D0E6F"/>
    <w:rsid w:val="007D0F0F"/>
    <w:rsid w:val="007D1797"/>
    <w:rsid w:val="007D186F"/>
    <w:rsid w:val="007D1977"/>
    <w:rsid w:val="007D1F93"/>
    <w:rsid w:val="007D1FCB"/>
    <w:rsid w:val="007D1FE8"/>
    <w:rsid w:val="007D20D8"/>
    <w:rsid w:val="007D25E7"/>
    <w:rsid w:val="007D28EA"/>
    <w:rsid w:val="007D2F44"/>
    <w:rsid w:val="007D30E5"/>
    <w:rsid w:val="007D3121"/>
    <w:rsid w:val="007D345D"/>
    <w:rsid w:val="007D3727"/>
    <w:rsid w:val="007D3D2C"/>
    <w:rsid w:val="007D3F1A"/>
    <w:rsid w:val="007D4264"/>
    <w:rsid w:val="007D4297"/>
    <w:rsid w:val="007D446C"/>
    <w:rsid w:val="007D44D6"/>
    <w:rsid w:val="007D4630"/>
    <w:rsid w:val="007D4AED"/>
    <w:rsid w:val="007D4BD4"/>
    <w:rsid w:val="007D5135"/>
    <w:rsid w:val="007D522C"/>
    <w:rsid w:val="007D5561"/>
    <w:rsid w:val="007D56A9"/>
    <w:rsid w:val="007D56E1"/>
    <w:rsid w:val="007D57D3"/>
    <w:rsid w:val="007D58FC"/>
    <w:rsid w:val="007D5AD2"/>
    <w:rsid w:val="007D5EFB"/>
    <w:rsid w:val="007D6178"/>
    <w:rsid w:val="007D63C7"/>
    <w:rsid w:val="007D63D0"/>
    <w:rsid w:val="007D67FE"/>
    <w:rsid w:val="007D6852"/>
    <w:rsid w:val="007D68F3"/>
    <w:rsid w:val="007D6AA6"/>
    <w:rsid w:val="007D6DAB"/>
    <w:rsid w:val="007D6F4D"/>
    <w:rsid w:val="007D70C6"/>
    <w:rsid w:val="007D7617"/>
    <w:rsid w:val="007D7689"/>
    <w:rsid w:val="007D79B8"/>
    <w:rsid w:val="007E0198"/>
    <w:rsid w:val="007E0760"/>
    <w:rsid w:val="007E0822"/>
    <w:rsid w:val="007E093F"/>
    <w:rsid w:val="007E0CEF"/>
    <w:rsid w:val="007E0ED2"/>
    <w:rsid w:val="007E0FAD"/>
    <w:rsid w:val="007E10C2"/>
    <w:rsid w:val="007E1613"/>
    <w:rsid w:val="007E1A53"/>
    <w:rsid w:val="007E1AA3"/>
    <w:rsid w:val="007E1C93"/>
    <w:rsid w:val="007E1CA8"/>
    <w:rsid w:val="007E1FBE"/>
    <w:rsid w:val="007E2020"/>
    <w:rsid w:val="007E23CB"/>
    <w:rsid w:val="007E241D"/>
    <w:rsid w:val="007E25C0"/>
    <w:rsid w:val="007E25DE"/>
    <w:rsid w:val="007E26C5"/>
    <w:rsid w:val="007E2953"/>
    <w:rsid w:val="007E2C6A"/>
    <w:rsid w:val="007E2F78"/>
    <w:rsid w:val="007E33EB"/>
    <w:rsid w:val="007E372C"/>
    <w:rsid w:val="007E3864"/>
    <w:rsid w:val="007E389A"/>
    <w:rsid w:val="007E39FE"/>
    <w:rsid w:val="007E3B59"/>
    <w:rsid w:val="007E3C79"/>
    <w:rsid w:val="007E3C82"/>
    <w:rsid w:val="007E3DCD"/>
    <w:rsid w:val="007E3E41"/>
    <w:rsid w:val="007E4250"/>
    <w:rsid w:val="007E4412"/>
    <w:rsid w:val="007E4484"/>
    <w:rsid w:val="007E4C47"/>
    <w:rsid w:val="007E5085"/>
    <w:rsid w:val="007E5154"/>
    <w:rsid w:val="007E51CA"/>
    <w:rsid w:val="007E573C"/>
    <w:rsid w:val="007E5804"/>
    <w:rsid w:val="007E585B"/>
    <w:rsid w:val="007E5955"/>
    <w:rsid w:val="007E5966"/>
    <w:rsid w:val="007E59E5"/>
    <w:rsid w:val="007E5B25"/>
    <w:rsid w:val="007E5FFB"/>
    <w:rsid w:val="007E60AE"/>
    <w:rsid w:val="007E6159"/>
    <w:rsid w:val="007E636D"/>
    <w:rsid w:val="007E6649"/>
    <w:rsid w:val="007E669D"/>
    <w:rsid w:val="007E6A10"/>
    <w:rsid w:val="007E6A99"/>
    <w:rsid w:val="007E6B71"/>
    <w:rsid w:val="007E7307"/>
    <w:rsid w:val="007E7683"/>
    <w:rsid w:val="007E7F2A"/>
    <w:rsid w:val="007F0125"/>
    <w:rsid w:val="007F0277"/>
    <w:rsid w:val="007F02EC"/>
    <w:rsid w:val="007F0310"/>
    <w:rsid w:val="007F043B"/>
    <w:rsid w:val="007F0519"/>
    <w:rsid w:val="007F09D3"/>
    <w:rsid w:val="007F09F2"/>
    <w:rsid w:val="007F0D20"/>
    <w:rsid w:val="007F0D4C"/>
    <w:rsid w:val="007F0D8F"/>
    <w:rsid w:val="007F0E91"/>
    <w:rsid w:val="007F0F6B"/>
    <w:rsid w:val="007F1183"/>
    <w:rsid w:val="007F142E"/>
    <w:rsid w:val="007F168F"/>
    <w:rsid w:val="007F178F"/>
    <w:rsid w:val="007F18A2"/>
    <w:rsid w:val="007F1E56"/>
    <w:rsid w:val="007F21DC"/>
    <w:rsid w:val="007F265F"/>
    <w:rsid w:val="007F26A1"/>
    <w:rsid w:val="007F26D0"/>
    <w:rsid w:val="007F2AF0"/>
    <w:rsid w:val="007F303B"/>
    <w:rsid w:val="007F315F"/>
    <w:rsid w:val="007F3229"/>
    <w:rsid w:val="007F3244"/>
    <w:rsid w:val="007F3588"/>
    <w:rsid w:val="007F373C"/>
    <w:rsid w:val="007F39E2"/>
    <w:rsid w:val="007F3E90"/>
    <w:rsid w:val="007F4085"/>
    <w:rsid w:val="007F4105"/>
    <w:rsid w:val="007F46AA"/>
    <w:rsid w:val="007F46BF"/>
    <w:rsid w:val="007F4A12"/>
    <w:rsid w:val="007F4D90"/>
    <w:rsid w:val="007F4DAC"/>
    <w:rsid w:val="007F4E7E"/>
    <w:rsid w:val="007F5277"/>
    <w:rsid w:val="007F527D"/>
    <w:rsid w:val="007F539C"/>
    <w:rsid w:val="007F55EF"/>
    <w:rsid w:val="007F5ACE"/>
    <w:rsid w:val="007F5DFF"/>
    <w:rsid w:val="007F605E"/>
    <w:rsid w:val="007F6287"/>
    <w:rsid w:val="007F65FB"/>
    <w:rsid w:val="007F7043"/>
    <w:rsid w:val="007F7684"/>
    <w:rsid w:val="007F7826"/>
    <w:rsid w:val="007F7CB7"/>
    <w:rsid w:val="007F7CF0"/>
    <w:rsid w:val="007F7D69"/>
    <w:rsid w:val="007F7E5F"/>
    <w:rsid w:val="0080011E"/>
    <w:rsid w:val="008001A3"/>
    <w:rsid w:val="0080075D"/>
    <w:rsid w:val="00800B64"/>
    <w:rsid w:val="00800E6E"/>
    <w:rsid w:val="00800FF7"/>
    <w:rsid w:val="00801465"/>
    <w:rsid w:val="008014AF"/>
    <w:rsid w:val="008014B3"/>
    <w:rsid w:val="00801B95"/>
    <w:rsid w:val="00801DE5"/>
    <w:rsid w:val="00801EAB"/>
    <w:rsid w:val="00802086"/>
    <w:rsid w:val="008023C2"/>
    <w:rsid w:val="00802471"/>
    <w:rsid w:val="008025C9"/>
    <w:rsid w:val="008026F8"/>
    <w:rsid w:val="00802D60"/>
    <w:rsid w:val="00802F5F"/>
    <w:rsid w:val="00803124"/>
    <w:rsid w:val="00803216"/>
    <w:rsid w:val="008032CD"/>
    <w:rsid w:val="00803350"/>
    <w:rsid w:val="00803401"/>
    <w:rsid w:val="00803443"/>
    <w:rsid w:val="00803628"/>
    <w:rsid w:val="008038D4"/>
    <w:rsid w:val="008039A9"/>
    <w:rsid w:val="008039E2"/>
    <w:rsid w:val="00803B2A"/>
    <w:rsid w:val="00803E31"/>
    <w:rsid w:val="008041DE"/>
    <w:rsid w:val="008043EB"/>
    <w:rsid w:val="008046C7"/>
    <w:rsid w:val="00804738"/>
    <w:rsid w:val="0080490D"/>
    <w:rsid w:val="00804A84"/>
    <w:rsid w:val="00804BCA"/>
    <w:rsid w:val="00804DF5"/>
    <w:rsid w:val="00804ECB"/>
    <w:rsid w:val="00804FB1"/>
    <w:rsid w:val="008051B9"/>
    <w:rsid w:val="00805409"/>
    <w:rsid w:val="0080573E"/>
    <w:rsid w:val="008058AE"/>
    <w:rsid w:val="00805E29"/>
    <w:rsid w:val="0080607B"/>
    <w:rsid w:val="008062CA"/>
    <w:rsid w:val="008062CC"/>
    <w:rsid w:val="00806344"/>
    <w:rsid w:val="008066D2"/>
    <w:rsid w:val="008066F8"/>
    <w:rsid w:val="00806939"/>
    <w:rsid w:val="0080695F"/>
    <w:rsid w:val="00806DF5"/>
    <w:rsid w:val="0080707D"/>
    <w:rsid w:val="00807117"/>
    <w:rsid w:val="0080726F"/>
    <w:rsid w:val="0080729D"/>
    <w:rsid w:val="00807359"/>
    <w:rsid w:val="008074E9"/>
    <w:rsid w:val="00807687"/>
    <w:rsid w:val="00807757"/>
    <w:rsid w:val="00807998"/>
    <w:rsid w:val="00807C12"/>
    <w:rsid w:val="00807EEF"/>
    <w:rsid w:val="008100CC"/>
    <w:rsid w:val="008101DA"/>
    <w:rsid w:val="008102BE"/>
    <w:rsid w:val="00810338"/>
    <w:rsid w:val="00810544"/>
    <w:rsid w:val="008105F0"/>
    <w:rsid w:val="00810805"/>
    <w:rsid w:val="00810A1D"/>
    <w:rsid w:val="00810BC6"/>
    <w:rsid w:val="00811118"/>
    <w:rsid w:val="00811373"/>
    <w:rsid w:val="0081148F"/>
    <w:rsid w:val="00811637"/>
    <w:rsid w:val="008117D5"/>
    <w:rsid w:val="008117F2"/>
    <w:rsid w:val="0081190F"/>
    <w:rsid w:val="00811A55"/>
    <w:rsid w:val="00811A56"/>
    <w:rsid w:val="0081209E"/>
    <w:rsid w:val="0081217E"/>
    <w:rsid w:val="0081227E"/>
    <w:rsid w:val="0081228E"/>
    <w:rsid w:val="00812365"/>
    <w:rsid w:val="00812394"/>
    <w:rsid w:val="00812433"/>
    <w:rsid w:val="00812480"/>
    <w:rsid w:val="008124F5"/>
    <w:rsid w:val="0081291C"/>
    <w:rsid w:val="00812974"/>
    <w:rsid w:val="00812AD1"/>
    <w:rsid w:val="00812C76"/>
    <w:rsid w:val="00812F25"/>
    <w:rsid w:val="008131BB"/>
    <w:rsid w:val="0081344B"/>
    <w:rsid w:val="00813A16"/>
    <w:rsid w:val="00813EFF"/>
    <w:rsid w:val="00813FE4"/>
    <w:rsid w:val="008142DD"/>
    <w:rsid w:val="00814348"/>
    <w:rsid w:val="00814425"/>
    <w:rsid w:val="008145EA"/>
    <w:rsid w:val="0081460A"/>
    <w:rsid w:val="00814684"/>
    <w:rsid w:val="00814AE1"/>
    <w:rsid w:val="00814BB5"/>
    <w:rsid w:val="00814D18"/>
    <w:rsid w:val="008150D3"/>
    <w:rsid w:val="00815289"/>
    <w:rsid w:val="008152E1"/>
    <w:rsid w:val="0081530F"/>
    <w:rsid w:val="0081533B"/>
    <w:rsid w:val="0081534F"/>
    <w:rsid w:val="00815381"/>
    <w:rsid w:val="00815540"/>
    <w:rsid w:val="0081557D"/>
    <w:rsid w:val="00815704"/>
    <w:rsid w:val="00815779"/>
    <w:rsid w:val="00815A44"/>
    <w:rsid w:val="00815A90"/>
    <w:rsid w:val="00815B91"/>
    <w:rsid w:val="00815DC7"/>
    <w:rsid w:val="00815E0E"/>
    <w:rsid w:val="00816429"/>
    <w:rsid w:val="0081643B"/>
    <w:rsid w:val="00816759"/>
    <w:rsid w:val="008168B1"/>
    <w:rsid w:val="00816C43"/>
    <w:rsid w:val="00817117"/>
    <w:rsid w:val="008178B8"/>
    <w:rsid w:val="00817D34"/>
    <w:rsid w:val="0082002D"/>
    <w:rsid w:val="0082022F"/>
    <w:rsid w:val="00820331"/>
    <w:rsid w:val="00820640"/>
    <w:rsid w:val="00820757"/>
    <w:rsid w:val="008208EE"/>
    <w:rsid w:val="0082093C"/>
    <w:rsid w:val="0082097D"/>
    <w:rsid w:val="0082098F"/>
    <w:rsid w:val="00820EBC"/>
    <w:rsid w:val="00821117"/>
    <w:rsid w:val="00821226"/>
    <w:rsid w:val="0082151A"/>
    <w:rsid w:val="00821CB4"/>
    <w:rsid w:val="00821CE8"/>
    <w:rsid w:val="00822254"/>
    <w:rsid w:val="00822367"/>
    <w:rsid w:val="008223D7"/>
    <w:rsid w:val="00822487"/>
    <w:rsid w:val="00822620"/>
    <w:rsid w:val="008227C4"/>
    <w:rsid w:val="0082298C"/>
    <w:rsid w:val="008229F5"/>
    <w:rsid w:val="00822B71"/>
    <w:rsid w:val="00822B8B"/>
    <w:rsid w:val="00822ECF"/>
    <w:rsid w:val="00823265"/>
    <w:rsid w:val="00823414"/>
    <w:rsid w:val="00823571"/>
    <w:rsid w:val="00823671"/>
    <w:rsid w:val="008237F5"/>
    <w:rsid w:val="00823B89"/>
    <w:rsid w:val="00823CBB"/>
    <w:rsid w:val="00823DB5"/>
    <w:rsid w:val="00823E7D"/>
    <w:rsid w:val="00824340"/>
    <w:rsid w:val="00824497"/>
    <w:rsid w:val="008248E8"/>
    <w:rsid w:val="0082522D"/>
    <w:rsid w:val="008255B7"/>
    <w:rsid w:val="00825663"/>
    <w:rsid w:val="008256EE"/>
    <w:rsid w:val="00825805"/>
    <w:rsid w:val="00825808"/>
    <w:rsid w:val="00825BDF"/>
    <w:rsid w:val="00825EFB"/>
    <w:rsid w:val="00826238"/>
    <w:rsid w:val="00826647"/>
    <w:rsid w:val="0082687C"/>
    <w:rsid w:val="00826B1D"/>
    <w:rsid w:val="00826DC2"/>
    <w:rsid w:val="00826F4B"/>
    <w:rsid w:val="00826F5E"/>
    <w:rsid w:val="008274F1"/>
    <w:rsid w:val="00827854"/>
    <w:rsid w:val="0082787F"/>
    <w:rsid w:val="0082791E"/>
    <w:rsid w:val="00827943"/>
    <w:rsid w:val="008279DC"/>
    <w:rsid w:val="00827A6D"/>
    <w:rsid w:val="00827DC6"/>
    <w:rsid w:val="00827F9C"/>
    <w:rsid w:val="008300BD"/>
    <w:rsid w:val="0083012A"/>
    <w:rsid w:val="0083036C"/>
    <w:rsid w:val="008307E8"/>
    <w:rsid w:val="0083089D"/>
    <w:rsid w:val="00830957"/>
    <w:rsid w:val="0083095C"/>
    <w:rsid w:val="00830AB5"/>
    <w:rsid w:val="00830D59"/>
    <w:rsid w:val="00830EB7"/>
    <w:rsid w:val="0083113D"/>
    <w:rsid w:val="008314F8"/>
    <w:rsid w:val="00831507"/>
    <w:rsid w:val="0083178E"/>
    <w:rsid w:val="00831B08"/>
    <w:rsid w:val="00831D2D"/>
    <w:rsid w:val="00831D73"/>
    <w:rsid w:val="00832C44"/>
    <w:rsid w:val="00832D29"/>
    <w:rsid w:val="00832D71"/>
    <w:rsid w:val="00832F03"/>
    <w:rsid w:val="00832F1F"/>
    <w:rsid w:val="00832FCC"/>
    <w:rsid w:val="00832FFB"/>
    <w:rsid w:val="008330E3"/>
    <w:rsid w:val="0083375A"/>
    <w:rsid w:val="00833945"/>
    <w:rsid w:val="00833F3A"/>
    <w:rsid w:val="008348C3"/>
    <w:rsid w:val="00834E34"/>
    <w:rsid w:val="00834FF5"/>
    <w:rsid w:val="0083546E"/>
    <w:rsid w:val="00835718"/>
    <w:rsid w:val="0083592A"/>
    <w:rsid w:val="00835B00"/>
    <w:rsid w:val="00835C87"/>
    <w:rsid w:val="00835D16"/>
    <w:rsid w:val="00835D1D"/>
    <w:rsid w:val="008363AA"/>
    <w:rsid w:val="008364A9"/>
    <w:rsid w:val="00836AC7"/>
    <w:rsid w:val="00836C94"/>
    <w:rsid w:val="00836CE8"/>
    <w:rsid w:val="00836D7A"/>
    <w:rsid w:val="00836DCC"/>
    <w:rsid w:val="00836FA7"/>
    <w:rsid w:val="008370F2"/>
    <w:rsid w:val="0083739F"/>
    <w:rsid w:val="0083784A"/>
    <w:rsid w:val="00840254"/>
    <w:rsid w:val="00840922"/>
    <w:rsid w:val="008409F0"/>
    <w:rsid w:val="00840A38"/>
    <w:rsid w:val="00840AB9"/>
    <w:rsid w:val="00840BB7"/>
    <w:rsid w:val="00840C46"/>
    <w:rsid w:val="00840FDD"/>
    <w:rsid w:val="0084108C"/>
    <w:rsid w:val="008410BB"/>
    <w:rsid w:val="00841115"/>
    <w:rsid w:val="008411AA"/>
    <w:rsid w:val="00841348"/>
    <w:rsid w:val="00841391"/>
    <w:rsid w:val="008416DD"/>
    <w:rsid w:val="008416E8"/>
    <w:rsid w:val="008417A0"/>
    <w:rsid w:val="0084186E"/>
    <w:rsid w:val="00841C8F"/>
    <w:rsid w:val="00841CE9"/>
    <w:rsid w:val="00841EE6"/>
    <w:rsid w:val="00841F8D"/>
    <w:rsid w:val="00841FF4"/>
    <w:rsid w:val="00842034"/>
    <w:rsid w:val="00842D02"/>
    <w:rsid w:val="00842F77"/>
    <w:rsid w:val="0084335A"/>
    <w:rsid w:val="00843389"/>
    <w:rsid w:val="00843501"/>
    <w:rsid w:val="00843537"/>
    <w:rsid w:val="00843789"/>
    <w:rsid w:val="00843795"/>
    <w:rsid w:val="008438AD"/>
    <w:rsid w:val="00843916"/>
    <w:rsid w:val="00843ADF"/>
    <w:rsid w:val="00843B64"/>
    <w:rsid w:val="00843D10"/>
    <w:rsid w:val="0084422F"/>
    <w:rsid w:val="0084423C"/>
    <w:rsid w:val="008442E7"/>
    <w:rsid w:val="00844576"/>
    <w:rsid w:val="00844C28"/>
    <w:rsid w:val="00844D67"/>
    <w:rsid w:val="00844F41"/>
    <w:rsid w:val="00844F74"/>
    <w:rsid w:val="0084514A"/>
    <w:rsid w:val="008452AB"/>
    <w:rsid w:val="008452AD"/>
    <w:rsid w:val="00845386"/>
    <w:rsid w:val="008456E2"/>
    <w:rsid w:val="00845761"/>
    <w:rsid w:val="008457F1"/>
    <w:rsid w:val="00845955"/>
    <w:rsid w:val="00845AA7"/>
    <w:rsid w:val="0084621D"/>
    <w:rsid w:val="00846265"/>
    <w:rsid w:val="008462AA"/>
    <w:rsid w:val="00846320"/>
    <w:rsid w:val="00846500"/>
    <w:rsid w:val="00846579"/>
    <w:rsid w:val="008465A3"/>
    <w:rsid w:val="00846A55"/>
    <w:rsid w:val="00846D07"/>
    <w:rsid w:val="00847002"/>
    <w:rsid w:val="00847087"/>
    <w:rsid w:val="008472E2"/>
    <w:rsid w:val="008473E6"/>
    <w:rsid w:val="0084750D"/>
    <w:rsid w:val="00847997"/>
    <w:rsid w:val="008479D8"/>
    <w:rsid w:val="008479E2"/>
    <w:rsid w:val="00847AA9"/>
    <w:rsid w:val="00847C92"/>
    <w:rsid w:val="00847D6E"/>
    <w:rsid w:val="00847F33"/>
    <w:rsid w:val="00850197"/>
    <w:rsid w:val="008501C3"/>
    <w:rsid w:val="00850261"/>
    <w:rsid w:val="0085033E"/>
    <w:rsid w:val="0085044D"/>
    <w:rsid w:val="00850462"/>
    <w:rsid w:val="008505FB"/>
    <w:rsid w:val="008508FA"/>
    <w:rsid w:val="00850B80"/>
    <w:rsid w:val="00850BF3"/>
    <w:rsid w:val="00850CD5"/>
    <w:rsid w:val="00850FA3"/>
    <w:rsid w:val="0085116D"/>
    <w:rsid w:val="00851D2E"/>
    <w:rsid w:val="00851D3B"/>
    <w:rsid w:val="008521FC"/>
    <w:rsid w:val="0085237D"/>
    <w:rsid w:val="008525C2"/>
    <w:rsid w:val="00852803"/>
    <w:rsid w:val="00852807"/>
    <w:rsid w:val="00852867"/>
    <w:rsid w:val="00852B74"/>
    <w:rsid w:val="00852B95"/>
    <w:rsid w:val="00852D2A"/>
    <w:rsid w:val="00852E0C"/>
    <w:rsid w:val="00852EA9"/>
    <w:rsid w:val="00852FA0"/>
    <w:rsid w:val="008530B9"/>
    <w:rsid w:val="00853345"/>
    <w:rsid w:val="00853B49"/>
    <w:rsid w:val="00853DF1"/>
    <w:rsid w:val="00853EC6"/>
    <w:rsid w:val="00853F21"/>
    <w:rsid w:val="008540A8"/>
    <w:rsid w:val="00854247"/>
    <w:rsid w:val="00854318"/>
    <w:rsid w:val="0085457C"/>
    <w:rsid w:val="008546EB"/>
    <w:rsid w:val="00854CA2"/>
    <w:rsid w:val="008550B1"/>
    <w:rsid w:val="008552CE"/>
    <w:rsid w:val="008553DC"/>
    <w:rsid w:val="008554BC"/>
    <w:rsid w:val="008556E6"/>
    <w:rsid w:val="0085576E"/>
    <w:rsid w:val="008558B1"/>
    <w:rsid w:val="008558F1"/>
    <w:rsid w:val="00855BDB"/>
    <w:rsid w:val="00855D11"/>
    <w:rsid w:val="00855D77"/>
    <w:rsid w:val="00855E7E"/>
    <w:rsid w:val="00855EC5"/>
    <w:rsid w:val="00855EE3"/>
    <w:rsid w:val="00855F80"/>
    <w:rsid w:val="00855FC2"/>
    <w:rsid w:val="008560D3"/>
    <w:rsid w:val="00856138"/>
    <w:rsid w:val="0085649A"/>
    <w:rsid w:val="0085654F"/>
    <w:rsid w:val="008565F8"/>
    <w:rsid w:val="00856777"/>
    <w:rsid w:val="00856B6E"/>
    <w:rsid w:val="008570FC"/>
    <w:rsid w:val="0085736F"/>
    <w:rsid w:val="00857390"/>
    <w:rsid w:val="00860136"/>
    <w:rsid w:val="00860476"/>
    <w:rsid w:val="00860633"/>
    <w:rsid w:val="0086077C"/>
    <w:rsid w:val="008608FE"/>
    <w:rsid w:val="00860B47"/>
    <w:rsid w:val="00860B7B"/>
    <w:rsid w:val="008610DF"/>
    <w:rsid w:val="008611E6"/>
    <w:rsid w:val="00861535"/>
    <w:rsid w:val="00861653"/>
    <w:rsid w:val="008616B2"/>
    <w:rsid w:val="0086174A"/>
    <w:rsid w:val="00861938"/>
    <w:rsid w:val="008619FB"/>
    <w:rsid w:val="008620EB"/>
    <w:rsid w:val="00862303"/>
    <w:rsid w:val="008623D0"/>
    <w:rsid w:val="008624A3"/>
    <w:rsid w:val="008627B1"/>
    <w:rsid w:val="00862F35"/>
    <w:rsid w:val="0086302A"/>
    <w:rsid w:val="008630F0"/>
    <w:rsid w:val="0086330E"/>
    <w:rsid w:val="0086364B"/>
    <w:rsid w:val="00863726"/>
    <w:rsid w:val="00863C7B"/>
    <w:rsid w:val="00863DE0"/>
    <w:rsid w:val="00863EA1"/>
    <w:rsid w:val="008642D1"/>
    <w:rsid w:val="008644D3"/>
    <w:rsid w:val="008646A4"/>
    <w:rsid w:val="008648CF"/>
    <w:rsid w:val="00864C90"/>
    <w:rsid w:val="00864D1D"/>
    <w:rsid w:val="0086512A"/>
    <w:rsid w:val="0086541C"/>
    <w:rsid w:val="0086553B"/>
    <w:rsid w:val="0086557F"/>
    <w:rsid w:val="00865700"/>
    <w:rsid w:val="0086574B"/>
    <w:rsid w:val="00865872"/>
    <w:rsid w:val="00865981"/>
    <w:rsid w:val="00865E1E"/>
    <w:rsid w:val="00866056"/>
    <w:rsid w:val="00866125"/>
    <w:rsid w:val="00866297"/>
    <w:rsid w:val="00866298"/>
    <w:rsid w:val="00866694"/>
    <w:rsid w:val="0086691D"/>
    <w:rsid w:val="00866E1C"/>
    <w:rsid w:val="00866FD8"/>
    <w:rsid w:val="00867042"/>
    <w:rsid w:val="008679A2"/>
    <w:rsid w:val="008679F6"/>
    <w:rsid w:val="00867BD8"/>
    <w:rsid w:val="00867E61"/>
    <w:rsid w:val="008709F5"/>
    <w:rsid w:val="00870B9F"/>
    <w:rsid w:val="00870BA7"/>
    <w:rsid w:val="00870E29"/>
    <w:rsid w:val="00870F63"/>
    <w:rsid w:val="0087103E"/>
    <w:rsid w:val="008711F9"/>
    <w:rsid w:val="0087127E"/>
    <w:rsid w:val="008712DF"/>
    <w:rsid w:val="0087139D"/>
    <w:rsid w:val="008715C2"/>
    <w:rsid w:val="00871842"/>
    <w:rsid w:val="00871CBD"/>
    <w:rsid w:val="00871FA4"/>
    <w:rsid w:val="008720F1"/>
    <w:rsid w:val="008725BA"/>
    <w:rsid w:val="008726DE"/>
    <w:rsid w:val="008728AF"/>
    <w:rsid w:val="00872DB3"/>
    <w:rsid w:val="00872E55"/>
    <w:rsid w:val="008730AB"/>
    <w:rsid w:val="0087359F"/>
    <w:rsid w:val="00873804"/>
    <w:rsid w:val="00873D11"/>
    <w:rsid w:val="00874189"/>
    <w:rsid w:val="0087418C"/>
    <w:rsid w:val="008742A8"/>
    <w:rsid w:val="008742F0"/>
    <w:rsid w:val="0087443E"/>
    <w:rsid w:val="00874551"/>
    <w:rsid w:val="008746A5"/>
    <w:rsid w:val="00874925"/>
    <w:rsid w:val="00874938"/>
    <w:rsid w:val="008750F4"/>
    <w:rsid w:val="00875562"/>
    <w:rsid w:val="008755E1"/>
    <w:rsid w:val="008755FA"/>
    <w:rsid w:val="008756C9"/>
    <w:rsid w:val="008759D8"/>
    <w:rsid w:val="00875B20"/>
    <w:rsid w:val="00875D15"/>
    <w:rsid w:val="008761BE"/>
    <w:rsid w:val="008761F2"/>
    <w:rsid w:val="0087645E"/>
    <w:rsid w:val="008765CD"/>
    <w:rsid w:val="00876CB4"/>
    <w:rsid w:val="00876F33"/>
    <w:rsid w:val="00877029"/>
    <w:rsid w:val="008772FD"/>
    <w:rsid w:val="00877993"/>
    <w:rsid w:val="00877C5B"/>
    <w:rsid w:val="00877F16"/>
    <w:rsid w:val="0088004B"/>
    <w:rsid w:val="008800DC"/>
    <w:rsid w:val="008805AC"/>
    <w:rsid w:val="00880624"/>
    <w:rsid w:val="008807F5"/>
    <w:rsid w:val="00880A3B"/>
    <w:rsid w:val="00880A7D"/>
    <w:rsid w:val="00880ADB"/>
    <w:rsid w:val="00880DEC"/>
    <w:rsid w:val="00880FE5"/>
    <w:rsid w:val="0088131C"/>
    <w:rsid w:val="008813D2"/>
    <w:rsid w:val="008814A9"/>
    <w:rsid w:val="0088151C"/>
    <w:rsid w:val="008816D5"/>
    <w:rsid w:val="00881737"/>
    <w:rsid w:val="00881B72"/>
    <w:rsid w:val="00881C5E"/>
    <w:rsid w:val="00881D2D"/>
    <w:rsid w:val="00881DE7"/>
    <w:rsid w:val="00881FCB"/>
    <w:rsid w:val="0088237B"/>
    <w:rsid w:val="00882A9C"/>
    <w:rsid w:val="00882BED"/>
    <w:rsid w:val="00882C40"/>
    <w:rsid w:val="008830C9"/>
    <w:rsid w:val="0088315D"/>
    <w:rsid w:val="0088321C"/>
    <w:rsid w:val="00883343"/>
    <w:rsid w:val="008835DC"/>
    <w:rsid w:val="008836D1"/>
    <w:rsid w:val="00883803"/>
    <w:rsid w:val="00883C3B"/>
    <w:rsid w:val="00883DAE"/>
    <w:rsid w:val="00883FD4"/>
    <w:rsid w:val="008841A8"/>
    <w:rsid w:val="008841C4"/>
    <w:rsid w:val="00884281"/>
    <w:rsid w:val="008843AE"/>
    <w:rsid w:val="008843F7"/>
    <w:rsid w:val="00884594"/>
    <w:rsid w:val="008847CC"/>
    <w:rsid w:val="00884B3F"/>
    <w:rsid w:val="00884BDA"/>
    <w:rsid w:val="00884D45"/>
    <w:rsid w:val="00884EE1"/>
    <w:rsid w:val="0088510C"/>
    <w:rsid w:val="00885148"/>
    <w:rsid w:val="0088522D"/>
    <w:rsid w:val="00885790"/>
    <w:rsid w:val="0088581E"/>
    <w:rsid w:val="00885BCB"/>
    <w:rsid w:val="00885EC5"/>
    <w:rsid w:val="00885F7F"/>
    <w:rsid w:val="008865D5"/>
    <w:rsid w:val="008869AA"/>
    <w:rsid w:val="00886A1C"/>
    <w:rsid w:val="00886AD2"/>
    <w:rsid w:val="00886F2A"/>
    <w:rsid w:val="0088731E"/>
    <w:rsid w:val="008876DD"/>
    <w:rsid w:val="0088773A"/>
    <w:rsid w:val="008877EF"/>
    <w:rsid w:val="00887B60"/>
    <w:rsid w:val="00887DCF"/>
    <w:rsid w:val="00887FBE"/>
    <w:rsid w:val="00890089"/>
    <w:rsid w:val="00890255"/>
    <w:rsid w:val="008902DB"/>
    <w:rsid w:val="0089040C"/>
    <w:rsid w:val="00890602"/>
    <w:rsid w:val="00890918"/>
    <w:rsid w:val="008909FA"/>
    <w:rsid w:val="00890C97"/>
    <w:rsid w:val="00890ECE"/>
    <w:rsid w:val="00890FC3"/>
    <w:rsid w:val="00891008"/>
    <w:rsid w:val="00891108"/>
    <w:rsid w:val="008911D3"/>
    <w:rsid w:val="0089149E"/>
    <w:rsid w:val="00891856"/>
    <w:rsid w:val="00891895"/>
    <w:rsid w:val="008918CA"/>
    <w:rsid w:val="00891A55"/>
    <w:rsid w:val="00891F6D"/>
    <w:rsid w:val="0089212C"/>
    <w:rsid w:val="0089221A"/>
    <w:rsid w:val="0089267F"/>
    <w:rsid w:val="00892B79"/>
    <w:rsid w:val="00892C85"/>
    <w:rsid w:val="00892DD1"/>
    <w:rsid w:val="008935CC"/>
    <w:rsid w:val="008935D7"/>
    <w:rsid w:val="008937D9"/>
    <w:rsid w:val="00893BAC"/>
    <w:rsid w:val="00893CD3"/>
    <w:rsid w:val="00893D79"/>
    <w:rsid w:val="00894238"/>
    <w:rsid w:val="0089460A"/>
    <w:rsid w:val="00894809"/>
    <w:rsid w:val="00894C1E"/>
    <w:rsid w:val="00894F0A"/>
    <w:rsid w:val="00894F19"/>
    <w:rsid w:val="00895152"/>
    <w:rsid w:val="00895959"/>
    <w:rsid w:val="00895A99"/>
    <w:rsid w:val="00895C0E"/>
    <w:rsid w:val="00895E43"/>
    <w:rsid w:val="00895FD2"/>
    <w:rsid w:val="00896008"/>
    <w:rsid w:val="00896346"/>
    <w:rsid w:val="008965FA"/>
    <w:rsid w:val="008967D1"/>
    <w:rsid w:val="00896820"/>
    <w:rsid w:val="008968A2"/>
    <w:rsid w:val="008968F4"/>
    <w:rsid w:val="00896CC9"/>
    <w:rsid w:val="00896EAF"/>
    <w:rsid w:val="00897A21"/>
    <w:rsid w:val="00897DB2"/>
    <w:rsid w:val="00897DCD"/>
    <w:rsid w:val="00897E75"/>
    <w:rsid w:val="008A04BB"/>
    <w:rsid w:val="008A06CB"/>
    <w:rsid w:val="008A0730"/>
    <w:rsid w:val="008A09E6"/>
    <w:rsid w:val="008A0A25"/>
    <w:rsid w:val="008A0EBC"/>
    <w:rsid w:val="008A0F25"/>
    <w:rsid w:val="008A0F41"/>
    <w:rsid w:val="008A0FCA"/>
    <w:rsid w:val="008A123E"/>
    <w:rsid w:val="008A1279"/>
    <w:rsid w:val="008A15FF"/>
    <w:rsid w:val="008A164E"/>
    <w:rsid w:val="008A17A0"/>
    <w:rsid w:val="008A17E0"/>
    <w:rsid w:val="008A1908"/>
    <w:rsid w:val="008A1DB4"/>
    <w:rsid w:val="008A1DE2"/>
    <w:rsid w:val="008A1FCB"/>
    <w:rsid w:val="008A22B5"/>
    <w:rsid w:val="008A23B0"/>
    <w:rsid w:val="008A2583"/>
    <w:rsid w:val="008A2936"/>
    <w:rsid w:val="008A2AF0"/>
    <w:rsid w:val="008A2E23"/>
    <w:rsid w:val="008A30A9"/>
    <w:rsid w:val="008A322B"/>
    <w:rsid w:val="008A333D"/>
    <w:rsid w:val="008A3D00"/>
    <w:rsid w:val="008A419E"/>
    <w:rsid w:val="008A4584"/>
    <w:rsid w:val="008A45EC"/>
    <w:rsid w:val="008A461A"/>
    <w:rsid w:val="008A47AE"/>
    <w:rsid w:val="008A4817"/>
    <w:rsid w:val="008A4943"/>
    <w:rsid w:val="008A4C9D"/>
    <w:rsid w:val="008A4E0F"/>
    <w:rsid w:val="008A4EB8"/>
    <w:rsid w:val="008A4F8C"/>
    <w:rsid w:val="008A5139"/>
    <w:rsid w:val="008A521A"/>
    <w:rsid w:val="008A52C3"/>
    <w:rsid w:val="008A52FF"/>
    <w:rsid w:val="008A585C"/>
    <w:rsid w:val="008A5A67"/>
    <w:rsid w:val="008A614D"/>
    <w:rsid w:val="008A62E9"/>
    <w:rsid w:val="008A656E"/>
    <w:rsid w:val="008A69E2"/>
    <w:rsid w:val="008A6B5F"/>
    <w:rsid w:val="008A6BF7"/>
    <w:rsid w:val="008A6F3B"/>
    <w:rsid w:val="008A6F4E"/>
    <w:rsid w:val="008A6F79"/>
    <w:rsid w:val="008A6F89"/>
    <w:rsid w:val="008A75B6"/>
    <w:rsid w:val="008A77BC"/>
    <w:rsid w:val="008A77EC"/>
    <w:rsid w:val="008A7853"/>
    <w:rsid w:val="008A78C7"/>
    <w:rsid w:val="008A7EDB"/>
    <w:rsid w:val="008B00B0"/>
    <w:rsid w:val="008B0406"/>
    <w:rsid w:val="008B065E"/>
    <w:rsid w:val="008B08B2"/>
    <w:rsid w:val="008B0A55"/>
    <w:rsid w:val="008B0D7F"/>
    <w:rsid w:val="008B1139"/>
    <w:rsid w:val="008B11B9"/>
    <w:rsid w:val="008B123F"/>
    <w:rsid w:val="008B125E"/>
    <w:rsid w:val="008B1882"/>
    <w:rsid w:val="008B1B5B"/>
    <w:rsid w:val="008B1F72"/>
    <w:rsid w:val="008B20A5"/>
    <w:rsid w:val="008B24B9"/>
    <w:rsid w:val="008B271B"/>
    <w:rsid w:val="008B2783"/>
    <w:rsid w:val="008B27DC"/>
    <w:rsid w:val="008B2926"/>
    <w:rsid w:val="008B2A6F"/>
    <w:rsid w:val="008B2C3B"/>
    <w:rsid w:val="008B2C56"/>
    <w:rsid w:val="008B3030"/>
    <w:rsid w:val="008B3227"/>
    <w:rsid w:val="008B34D1"/>
    <w:rsid w:val="008B3694"/>
    <w:rsid w:val="008B37D6"/>
    <w:rsid w:val="008B3969"/>
    <w:rsid w:val="008B3C1D"/>
    <w:rsid w:val="008B4041"/>
    <w:rsid w:val="008B464A"/>
    <w:rsid w:val="008B465A"/>
    <w:rsid w:val="008B4B14"/>
    <w:rsid w:val="008B4BA0"/>
    <w:rsid w:val="008B4CAF"/>
    <w:rsid w:val="008B4E24"/>
    <w:rsid w:val="008B4FB6"/>
    <w:rsid w:val="008B5117"/>
    <w:rsid w:val="008B51E9"/>
    <w:rsid w:val="008B53F7"/>
    <w:rsid w:val="008B55DD"/>
    <w:rsid w:val="008B55F3"/>
    <w:rsid w:val="008B567F"/>
    <w:rsid w:val="008B577B"/>
    <w:rsid w:val="008B59F2"/>
    <w:rsid w:val="008B5B7A"/>
    <w:rsid w:val="008B5B81"/>
    <w:rsid w:val="008B5F8D"/>
    <w:rsid w:val="008B6A07"/>
    <w:rsid w:val="008B6B3F"/>
    <w:rsid w:val="008B70AC"/>
    <w:rsid w:val="008B7168"/>
    <w:rsid w:val="008B71B7"/>
    <w:rsid w:val="008B741C"/>
    <w:rsid w:val="008B78D0"/>
    <w:rsid w:val="008B796A"/>
    <w:rsid w:val="008B7E39"/>
    <w:rsid w:val="008C0196"/>
    <w:rsid w:val="008C01BD"/>
    <w:rsid w:val="008C0367"/>
    <w:rsid w:val="008C04A1"/>
    <w:rsid w:val="008C059C"/>
    <w:rsid w:val="008C05E8"/>
    <w:rsid w:val="008C0641"/>
    <w:rsid w:val="008C0747"/>
    <w:rsid w:val="008C0766"/>
    <w:rsid w:val="008C0793"/>
    <w:rsid w:val="008C08C4"/>
    <w:rsid w:val="008C0B56"/>
    <w:rsid w:val="008C0D14"/>
    <w:rsid w:val="008C1101"/>
    <w:rsid w:val="008C11C8"/>
    <w:rsid w:val="008C11F2"/>
    <w:rsid w:val="008C15CD"/>
    <w:rsid w:val="008C188B"/>
    <w:rsid w:val="008C18E9"/>
    <w:rsid w:val="008C19A6"/>
    <w:rsid w:val="008C1C94"/>
    <w:rsid w:val="008C2041"/>
    <w:rsid w:val="008C2468"/>
    <w:rsid w:val="008C256E"/>
    <w:rsid w:val="008C2A32"/>
    <w:rsid w:val="008C2B68"/>
    <w:rsid w:val="008C2BFA"/>
    <w:rsid w:val="008C2F47"/>
    <w:rsid w:val="008C39D2"/>
    <w:rsid w:val="008C3B86"/>
    <w:rsid w:val="008C3C42"/>
    <w:rsid w:val="008C4056"/>
    <w:rsid w:val="008C42BC"/>
    <w:rsid w:val="008C4329"/>
    <w:rsid w:val="008C460F"/>
    <w:rsid w:val="008C4D88"/>
    <w:rsid w:val="008C5892"/>
    <w:rsid w:val="008C5C18"/>
    <w:rsid w:val="008C5EBD"/>
    <w:rsid w:val="008C5FF6"/>
    <w:rsid w:val="008C61EE"/>
    <w:rsid w:val="008C6285"/>
    <w:rsid w:val="008C696A"/>
    <w:rsid w:val="008C697F"/>
    <w:rsid w:val="008C6987"/>
    <w:rsid w:val="008C6F69"/>
    <w:rsid w:val="008C6FF3"/>
    <w:rsid w:val="008C703D"/>
    <w:rsid w:val="008C705F"/>
    <w:rsid w:val="008C719D"/>
    <w:rsid w:val="008C72E0"/>
    <w:rsid w:val="008C73B2"/>
    <w:rsid w:val="008C741B"/>
    <w:rsid w:val="008C7455"/>
    <w:rsid w:val="008C785B"/>
    <w:rsid w:val="008C7941"/>
    <w:rsid w:val="008C7B91"/>
    <w:rsid w:val="008C7B95"/>
    <w:rsid w:val="008C7FF9"/>
    <w:rsid w:val="008D05EC"/>
    <w:rsid w:val="008D063C"/>
    <w:rsid w:val="008D0698"/>
    <w:rsid w:val="008D080E"/>
    <w:rsid w:val="008D08BE"/>
    <w:rsid w:val="008D0CA8"/>
    <w:rsid w:val="008D0E09"/>
    <w:rsid w:val="008D0E95"/>
    <w:rsid w:val="008D0F06"/>
    <w:rsid w:val="008D1313"/>
    <w:rsid w:val="008D17BD"/>
    <w:rsid w:val="008D18AB"/>
    <w:rsid w:val="008D1961"/>
    <w:rsid w:val="008D1975"/>
    <w:rsid w:val="008D1D89"/>
    <w:rsid w:val="008D1D93"/>
    <w:rsid w:val="008D1FCC"/>
    <w:rsid w:val="008D2174"/>
    <w:rsid w:val="008D220C"/>
    <w:rsid w:val="008D23A7"/>
    <w:rsid w:val="008D25F5"/>
    <w:rsid w:val="008D2883"/>
    <w:rsid w:val="008D29A2"/>
    <w:rsid w:val="008D2A80"/>
    <w:rsid w:val="008D2C96"/>
    <w:rsid w:val="008D2F93"/>
    <w:rsid w:val="008D3152"/>
    <w:rsid w:val="008D32A0"/>
    <w:rsid w:val="008D343A"/>
    <w:rsid w:val="008D3633"/>
    <w:rsid w:val="008D39A8"/>
    <w:rsid w:val="008D3ADE"/>
    <w:rsid w:val="008D4028"/>
    <w:rsid w:val="008D4345"/>
    <w:rsid w:val="008D43DB"/>
    <w:rsid w:val="008D44A7"/>
    <w:rsid w:val="008D48BE"/>
    <w:rsid w:val="008D4D31"/>
    <w:rsid w:val="008D5027"/>
    <w:rsid w:val="008D510B"/>
    <w:rsid w:val="008D5377"/>
    <w:rsid w:val="008D557A"/>
    <w:rsid w:val="008D56BE"/>
    <w:rsid w:val="008D57E5"/>
    <w:rsid w:val="008D5CE4"/>
    <w:rsid w:val="008D5EEF"/>
    <w:rsid w:val="008D6430"/>
    <w:rsid w:val="008D660F"/>
    <w:rsid w:val="008D661F"/>
    <w:rsid w:val="008D6819"/>
    <w:rsid w:val="008D6830"/>
    <w:rsid w:val="008D6994"/>
    <w:rsid w:val="008D6AF5"/>
    <w:rsid w:val="008D6C5A"/>
    <w:rsid w:val="008D6CFE"/>
    <w:rsid w:val="008D6D27"/>
    <w:rsid w:val="008D6D43"/>
    <w:rsid w:val="008D6E3F"/>
    <w:rsid w:val="008D6F06"/>
    <w:rsid w:val="008D7054"/>
    <w:rsid w:val="008D7226"/>
    <w:rsid w:val="008D75DF"/>
    <w:rsid w:val="008D779E"/>
    <w:rsid w:val="008D78A1"/>
    <w:rsid w:val="008D7A8C"/>
    <w:rsid w:val="008D7B3A"/>
    <w:rsid w:val="008D7C53"/>
    <w:rsid w:val="008E029D"/>
    <w:rsid w:val="008E02C0"/>
    <w:rsid w:val="008E04FA"/>
    <w:rsid w:val="008E095F"/>
    <w:rsid w:val="008E0972"/>
    <w:rsid w:val="008E0B45"/>
    <w:rsid w:val="008E0B4F"/>
    <w:rsid w:val="008E0BB8"/>
    <w:rsid w:val="008E0C46"/>
    <w:rsid w:val="008E0D21"/>
    <w:rsid w:val="008E0FD8"/>
    <w:rsid w:val="008E1003"/>
    <w:rsid w:val="008E1B56"/>
    <w:rsid w:val="008E1BD6"/>
    <w:rsid w:val="008E1F5D"/>
    <w:rsid w:val="008E2358"/>
    <w:rsid w:val="008E239D"/>
    <w:rsid w:val="008E25CC"/>
    <w:rsid w:val="008E269D"/>
    <w:rsid w:val="008E28A4"/>
    <w:rsid w:val="008E2A86"/>
    <w:rsid w:val="008E2AE6"/>
    <w:rsid w:val="008E2F8E"/>
    <w:rsid w:val="008E30FE"/>
    <w:rsid w:val="008E31A8"/>
    <w:rsid w:val="008E31D1"/>
    <w:rsid w:val="008E32E2"/>
    <w:rsid w:val="008E3374"/>
    <w:rsid w:val="008E35B5"/>
    <w:rsid w:val="008E3776"/>
    <w:rsid w:val="008E393F"/>
    <w:rsid w:val="008E3CDB"/>
    <w:rsid w:val="008E406C"/>
    <w:rsid w:val="008E442D"/>
    <w:rsid w:val="008E4511"/>
    <w:rsid w:val="008E45D0"/>
    <w:rsid w:val="008E4A7C"/>
    <w:rsid w:val="008E4BFA"/>
    <w:rsid w:val="008E51BD"/>
    <w:rsid w:val="008E54F2"/>
    <w:rsid w:val="008E55B6"/>
    <w:rsid w:val="008E55E7"/>
    <w:rsid w:val="008E56C3"/>
    <w:rsid w:val="008E582A"/>
    <w:rsid w:val="008E58EF"/>
    <w:rsid w:val="008E58F4"/>
    <w:rsid w:val="008E5963"/>
    <w:rsid w:val="008E5FCE"/>
    <w:rsid w:val="008E62D2"/>
    <w:rsid w:val="008E6776"/>
    <w:rsid w:val="008E67E5"/>
    <w:rsid w:val="008E6A16"/>
    <w:rsid w:val="008E6B05"/>
    <w:rsid w:val="008E6B19"/>
    <w:rsid w:val="008E6B72"/>
    <w:rsid w:val="008E6BD9"/>
    <w:rsid w:val="008E6DB5"/>
    <w:rsid w:val="008E6EC5"/>
    <w:rsid w:val="008E6F15"/>
    <w:rsid w:val="008E709D"/>
    <w:rsid w:val="008E724B"/>
    <w:rsid w:val="008E73BD"/>
    <w:rsid w:val="008E7401"/>
    <w:rsid w:val="008E7535"/>
    <w:rsid w:val="008E754B"/>
    <w:rsid w:val="008E762D"/>
    <w:rsid w:val="008E76ED"/>
    <w:rsid w:val="008E77F3"/>
    <w:rsid w:val="008E791F"/>
    <w:rsid w:val="008E79CC"/>
    <w:rsid w:val="008E7D65"/>
    <w:rsid w:val="008F00C8"/>
    <w:rsid w:val="008F07D1"/>
    <w:rsid w:val="008F0844"/>
    <w:rsid w:val="008F0CE3"/>
    <w:rsid w:val="008F0CFB"/>
    <w:rsid w:val="008F0D97"/>
    <w:rsid w:val="008F0DAC"/>
    <w:rsid w:val="008F0FB5"/>
    <w:rsid w:val="008F134C"/>
    <w:rsid w:val="008F14B8"/>
    <w:rsid w:val="008F15FA"/>
    <w:rsid w:val="008F1661"/>
    <w:rsid w:val="008F1705"/>
    <w:rsid w:val="008F17C5"/>
    <w:rsid w:val="008F1801"/>
    <w:rsid w:val="008F1875"/>
    <w:rsid w:val="008F1ACC"/>
    <w:rsid w:val="008F1F01"/>
    <w:rsid w:val="008F2028"/>
    <w:rsid w:val="008F2238"/>
    <w:rsid w:val="008F2604"/>
    <w:rsid w:val="008F2B61"/>
    <w:rsid w:val="008F2BB6"/>
    <w:rsid w:val="008F2DCC"/>
    <w:rsid w:val="008F34D4"/>
    <w:rsid w:val="008F36AE"/>
    <w:rsid w:val="008F36D9"/>
    <w:rsid w:val="008F373B"/>
    <w:rsid w:val="008F37FC"/>
    <w:rsid w:val="008F3969"/>
    <w:rsid w:val="008F3A20"/>
    <w:rsid w:val="008F3ADA"/>
    <w:rsid w:val="008F4129"/>
    <w:rsid w:val="008F4199"/>
    <w:rsid w:val="008F43F7"/>
    <w:rsid w:val="008F49BC"/>
    <w:rsid w:val="008F4C4A"/>
    <w:rsid w:val="008F4CAC"/>
    <w:rsid w:val="008F4CCD"/>
    <w:rsid w:val="008F4DCF"/>
    <w:rsid w:val="008F5101"/>
    <w:rsid w:val="008F52C6"/>
    <w:rsid w:val="008F541D"/>
    <w:rsid w:val="008F558B"/>
    <w:rsid w:val="008F558F"/>
    <w:rsid w:val="008F595F"/>
    <w:rsid w:val="008F5D00"/>
    <w:rsid w:val="008F6113"/>
    <w:rsid w:val="008F614C"/>
    <w:rsid w:val="008F6885"/>
    <w:rsid w:val="008F69B5"/>
    <w:rsid w:val="008F6E77"/>
    <w:rsid w:val="008F7319"/>
    <w:rsid w:val="008F7376"/>
    <w:rsid w:val="008F750B"/>
    <w:rsid w:val="008F791C"/>
    <w:rsid w:val="008F7AA4"/>
    <w:rsid w:val="008F7B4C"/>
    <w:rsid w:val="008F7F40"/>
    <w:rsid w:val="009004C9"/>
    <w:rsid w:val="00900539"/>
    <w:rsid w:val="0090055C"/>
    <w:rsid w:val="0090068B"/>
    <w:rsid w:val="0090079C"/>
    <w:rsid w:val="00900910"/>
    <w:rsid w:val="00900EBC"/>
    <w:rsid w:val="00900F61"/>
    <w:rsid w:val="009012E1"/>
    <w:rsid w:val="00901621"/>
    <w:rsid w:val="009018A1"/>
    <w:rsid w:val="00901B86"/>
    <w:rsid w:val="00901DCF"/>
    <w:rsid w:val="00901E08"/>
    <w:rsid w:val="00901E3B"/>
    <w:rsid w:val="0090226F"/>
    <w:rsid w:val="009023B7"/>
    <w:rsid w:val="00902989"/>
    <w:rsid w:val="00902AAB"/>
    <w:rsid w:val="00902ABC"/>
    <w:rsid w:val="00902B35"/>
    <w:rsid w:val="009031B0"/>
    <w:rsid w:val="009032C2"/>
    <w:rsid w:val="00903314"/>
    <w:rsid w:val="0090339D"/>
    <w:rsid w:val="009035DD"/>
    <w:rsid w:val="00903795"/>
    <w:rsid w:val="00903AF1"/>
    <w:rsid w:val="00903DB4"/>
    <w:rsid w:val="009040C2"/>
    <w:rsid w:val="0090436E"/>
    <w:rsid w:val="00904465"/>
    <w:rsid w:val="009045B7"/>
    <w:rsid w:val="00904730"/>
    <w:rsid w:val="00904790"/>
    <w:rsid w:val="00904A0C"/>
    <w:rsid w:val="00904D86"/>
    <w:rsid w:val="00904F57"/>
    <w:rsid w:val="00904FA5"/>
    <w:rsid w:val="00905302"/>
    <w:rsid w:val="00905363"/>
    <w:rsid w:val="009053D8"/>
    <w:rsid w:val="00905565"/>
    <w:rsid w:val="00905DEF"/>
    <w:rsid w:val="00906160"/>
    <w:rsid w:val="00906388"/>
    <w:rsid w:val="0090640C"/>
    <w:rsid w:val="009064E1"/>
    <w:rsid w:val="00906930"/>
    <w:rsid w:val="0090693C"/>
    <w:rsid w:val="009069F0"/>
    <w:rsid w:val="00906A87"/>
    <w:rsid w:val="00906DDB"/>
    <w:rsid w:val="00906F12"/>
    <w:rsid w:val="0090704B"/>
    <w:rsid w:val="009071F7"/>
    <w:rsid w:val="009079DC"/>
    <w:rsid w:val="00907DC5"/>
    <w:rsid w:val="009100BE"/>
    <w:rsid w:val="009100C1"/>
    <w:rsid w:val="009103FF"/>
    <w:rsid w:val="00910453"/>
    <w:rsid w:val="009106CB"/>
    <w:rsid w:val="00910705"/>
    <w:rsid w:val="00910C0D"/>
    <w:rsid w:val="00910C37"/>
    <w:rsid w:val="00910DF9"/>
    <w:rsid w:val="00910F22"/>
    <w:rsid w:val="00911251"/>
    <w:rsid w:val="00911276"/>
    <w:rsid w:val="0091131C"/>
    <w:rsid w:val="0091146A"/>
    <w:rsid w:val="00911691"/>
    <w:rsid w:val="009117A6"/>
    <w:rsid w:val="00911A78"/>
    <w:rsid w:val="00911C1A"/>
    <w:rsid w:val="00911C3F"/>
    <w:rsid w:val="00911C61"/>
    <w:rsid w:val="00911D15"/>
    <w:rsid w:val="00912D3E"/>
    <w:rsid w:val="00912EF3"/>
    <w:rsid w:val="009130DF"/>
    <w:rsid w:val="00913A11"/>
    <w:rsid w:val="00913B5B"/>
    <w:rsid w:val="00913BE2"/>
    <w:rsid w:val="00913EE7"/>
    <w:rsid w:val="00913F84"/>
    <w:rsid w:val="0091404E"/>
    <w:rsid w:val="0091447C"/>
    <w:rsid w:val="00914724"/>
    <w:rsid w:val="00914971"/>
    <w:rsid w:val="00914982"/>
    <w:rsid w:val="00914CDE"/>
    <w:rsid w:val="00914E52"/>
    <w:rsid w:val="00914FE3"/>
    <w:rsid w:val="009151E7"/>
    <w:rsid w:val="0091553F"/>
    <w:rsid w:val="009159D3"/>
    <w:rsid w:val="00915E18"/>
    <w:rsid w:val="00915E9E"/>
    <w:rsid w:val="00916154"/>
    <w:rsid w:val="009161FB"/>
    <w:rsid w:val="00916775"/>
    <w:rsid w:val="00916873"/>
    <w:rsid w:val="009169FA"/>
    <w:rsid w:val="00916A46"/>
    <w:rsid w:val="00916DE5"/>
    <w:rsid w:val="009173F7"/>
    <w:rsid w:val="009177E4"/>
    <w:rsid w:val="009179BF"/>
    <w:rsid w:val="00917C97"/>
    <w:rsid w:val="00917D58"/>
    <w:rsid w:val="00917F86"/>
    <w:rsid w:val="009205B2"/>
    <w:rsid w:val="00920826"/>
    <w:rsid w:val="00920890"/>
    <w:rsid w:val="00920D2C"/>
    <w:rsid w:val="00920DB8"/>
    <w:rsid w:val="00920FB4"/>
    <w:rsid w:val="00921013"/>
    <w:rsid w:val="009213C6"/>
    <w:rsid w:val="009214D5"/>
    <w:rsid w:val="009215FF"/>
    <w:rsid w:val="00921BB5"/>
    <w:rsid w:val="00921C46"/>
    <w:rsid w:val="00921DDB"/>
    <w:rsid w:val="00921DF6"/>
    <w:rsid w:val="00921FAA"/>
    <w:rsid w:val="00921FC4"/>
    <w:rsid w:val="00922054"/>
    <w:rsid w:val="00922427"/>
    <w:rsid w:val="009225E0"/>
    <w:rsid w:val="00922BF1"/>
    <w:rsid w:val="00922E84"/>
    <w:rsid w:val="009230F1"/>
    <w:rsid w:val="00923122"/>
    <w:rsid w:val="009233D6"/>
    <w:rsid w:val="0092354D"/>
    <w:rsid w:val="009235CD"/>
    <w:rsid w:val="0092389C"/>
    <w:rsid w:val="00923E3B"/>
    <w:rsid w:val="00924187"/>
    <w:rsid w:val="00924517"/>
    <w:rsid w:val="009248CD"/>
    <w:rsid w:val="00924CC2"/>
    <w:rsid w:val="0092526A"/>
    <w:rsid w:val="00925272"/>
    <w:rsid w:val="00925475"/>
    <w:rsid w:val="00925BA5"/>
    <w:rsid w:val="00925C31"/>
    <w:rsid w:val="00925E24"/>
    <w:rsid w:val="00925EB0"/>
    <w:rsid w:val="00925F95"/>
    <w:rsid w:val="00926063"/>
    <w:rsid w:val="0092610D"/>
    <w:rsid w:val="00926275"/>
    <w:rsid w:val="009262D3"/>
    <w:rsid w:val="009263FA"/>
    <w:rsid w:val="00926690"/>
    <w:rsid w:val="00926A79"/>
    <w:rsid w:val="00926A80"/>
    <w:rsid w:val="00926BE1"/>
    <w:rsid w:val="00926DC9"/>
    <w:rsid w:val="00927155"/>
    <w:rsid w:val="00927273"/>
    <w:rsid w:val="00927287"/>
    <w:rsid w:val="00927FDE"/>
    <w:rsid w:val="00930173"/>
    <w:rsid w:val="00930399"/>
    <w:rsid w:val="00930553"/>
    <w:rsid w:val="00930A97"/>
    <w:rsid w:val="00930B79"/>
    <w:rsid w:val="00930C82"/>
    <w:rsid w:val="00930E90"/>
    <w:rsid w:val="00930FEB"/>
    <w:rsid w:val="00930FFC"/>
    <w:rsid w:val="009310D5"/>
    <w:rsid w:val="00931187"/>
    <w:rsid w:val="00931286"/>
    <w:rsid w:val="009312D2"/>
    <w:rsid w:val="009314E4"/>
    <w:rsid w:val="00931865"/>
    <w:rsid w:val="009318D0"/>
    <w:rsid w:val="00931A7D"/>
    <w:rsid w:val="00932158"/>
    <w:rsid w:val="0093224E"/>
    <w:rsid w:val="0093263F"/>
    <w:rsid w:val="0093285A"/>
    <w:rsid w:val="0093289F"/>
    <w:rsid w:val="00932B20"/>
    <w:rsid w:val="00932B95"/>
    <w:rsid w:val="00932BB6"/>
    <w:rsid w:val="00932CD5"/>
    <w:rsid w:val="00932D66"/>
    <w:rsid w:val="00932E5F"/>
    <w:rsid w:val="00932F1A"/>
    <w:rsid w:val="009336AE"/>
    <w:rsid w:val="00933703"/>
    <w:rsid w:val="0093389A"/>
    <w:rsid w:val="00933916"/>
    <w:rsid w:val="00933B8E"/>
    <w:rsid w:val="00933BD4"/>
    <w:rsid w:val="00933CDD"/>
    <w:rsid w:val="009340EA"/>
    <w:rsid w:val="00934239"/>
    <w:rsid w:val="00934452"/>
    <w:rsid w:val="009347D8"/>
    <w:rsid w:val="00934991"/>
    <w:rsid w:val="00934AA2"/>
    <w:rsid w:val="00934B0C"/>
    <w:rsid w:val="00935120"/>
    <w:rsid w:val="009351D7"/>
    <w:rsid w:val="009354DE"/>
    <w:rsid w:val="009357BC"/>
    <w:rsid w:val="00935840"/>
    <w:rsid w:val="00935D65"/>
    <w:rsid w:val="00935EC2"/>
    <w:rsid w:val="00935F98"/>
    <w:rsid w:val="0093604B"/>
    <w:rsid w:val="00936095"/>
    <w:rsid w:val="00936098"/>
    <w:rsid w:val="00936238"/>
    <w:rsid w:val="009366A7"/>
    <w:rsid w:val="00936824"/>
    <w:rsid w:val="00936BFA"/>
    <w:rsid w:val="00936EEF"/>
    <w:rsid w:val="00936FF6"/>
    <w:rsid w:val="0093708E"/>
    <w:rsid w:val="00937366"/>
    <w:rsid w:val="009373F8"/>
    <w:rsid w:val="00937A8F"/>
    <w:rsid w:val="0094016E"/>
    <w:rsid w:val="009401AB"/>
    <w:rsid w:val="009402D4"/>
    <w:rsid w:val="009407B0"/>
    <w:rsid w:val="009408E5"/>
    <w:rsid w:val="0094090D"/>
    <w:rsid w:val="00940966"/>
    <w:rsid w:val="00940DE0"/>
    <w:rsid w:val="00940EC4"/>
    <w:rsid w:val="00941130"/>
    <w:rsid w:val="00941171"/>
    <w:rsid w:val="00941208"/>
    <w:rsid w:val="0094144D"/>
    <w:rsid w:val="009418FF"/>
    <w:rsid w:val="00941C90"/>
    <w:rsid w:val="00941E7E"/>
    <w:rsid w:val="00941F25"/>
    <w:rsid w:val="00941FE8"/>
    <w:rsid w:val="0094224E"/>
    <w:rsid w:val="00942260"/>
    <w:rsid w:val="0094287A"/>
    <w:rsid w:val="00942942"/>
    <w:rsid w:val="00942A6C"/>
    <w:rsid w:val="00942F31"/>
    <w:rsid w:val="0094340F"/>
    <w:rsid w:val="00943557"/>
    <w:rsid w:val="009435BD"/>
    <w:rsid w:val="009436F1"/>
    <w:rsid w:val="00943766"/>
    <w:rsid w:val="009437FD"/>
    <w:rsid w:val="009438F2"/>
    <w:rsid w:val="00943C6D"/>
    <w:rsid w:val="00943D71"/>
    <w:rsid w:val="00943F48"/>
    <w:rsid w:val="0094418C"/>
    <w:rsid w:val="00944218"/>
    <w:rsid w:val="009442C7"/>
    <w:rsid w:val="00944453"/>
    <w:rsid w:val="009445C6"/>
    <w:rsid w:val="009446BE"/>
    <w:rsid w:val="00944778"/>
    <w:rsid w:val="009448FD"/>
    <w:rsid w:val="009449D9"/>
    <w:rsid w:val="00944A3F"/>
    <w:rsid w:val="00944AAC"/>
    <w:rsid w:val="00944C2E"/>
    <w:rsid w:val="00944E41"/>
    <w:rsid w:val="00944E64"/>
    <w:rsid w:val="00944F46"/>
    <w:rsid w:val="0094509B"/>
    <w:rsid w:val="0094532C"/>
    <w:rsid w:val="0094534B"/>
    <w:rsid w:val="00945422"/>
    <w:rsid w:val="009454D6"/>
    <w:rsid w:val="00945733"/>
    <w:rsid w:val="009459B3"/>
    <w:rsid w:val="00945A25"/>
    <w:rsid w:val="00945B66"/>
    <w:rsid w:val="00945BEC"/>
    <w:rsid w:val="00945CD8"/>
    <w:rsid w:val="00945EF0"/>
    <w:rsid w:val="00946154"/>
    <w:rsid w:val="009462B3"/>
    <w:rsid w:val="009466E6"/>
    <w:rsid w:val="009467D2"/>
    <w:rsid w:val="009469A3"/>
    <w:rsid w:val="00946D1B"/>
    <w:rsid w:val="00946E40"/>
    <w:rsid w:val="00946F02"/>
    <w:rsid w:val="00947090"/>
    <w:rsid w:val="009472C5"/>
    <w:rsid w:val="009476E1"/>
    <w:rsid w:val="009477B9"/>
    <w:rsid w:val="009478E5"/>
    <w:rsid w:val="00947974"/>
    <w:rsid w:val="00947A0C"/>
    <w:rsid w:val="00947BDA"/>
    <w:rsid w:val="00947D48"/>
    <w:rsid w:val="00947D86"/>
    <w:rsid w:val="00947EEF"/>
    <w:rsid w:val="00950180"/>
    <w:rsid w:val="009501B8"/>
    <w:rsid w:val="00950A40"/>
    <w:rsid w:val="00950CCB"/>
    <w:rsid w:val="00951294"/>
    <w:rsid w:val="00951326"/>
    <w:rsid w:val="00951667"/>
    <w:rsid w:val="0095168B"/>
    <w:rsid w:val="009516CF"/>
    <w:rsid w:val="009518A8"/>
    <w:rsid w:val="009518B1"/>
    <w:rsid w:val="00951A84"/>
    <w:rsid w:val="00951D32"/>
    <w:rsid w:val="00951E82"/>
    <w:rsid w:val="00951F4A"/>
    <w:rsid w:val="00951F57"/>
    <w:rsid w:val="00951FEF"/>
    <w:rsid w:val="00952411"/>
    <w:rsid w:val="00952677"/>
    <w:rsid w:val="0095297C"/>
    <w:rsid w:val="00952AC2"/>
    <w:rsid w:val="00952B76"/>
    <w:rsid w:val="00952B99"/>
    <w:rsid w:val="00952BD0"/>
    <w:rsid w:val="00952DDD"/>
    <w:rsid w:val="00952E0E"/>
    <w:rsid w:val="00952E9D"/>
    <w:rsid w:val="00952EA0"/>
    <w:rsid w:val="00953088"/>
    <w:rsid w:val="00953319"/>
    <w:rsid w:val="00953647"/>
    <w:rsid w:val="00953A54"/>
    <w:rsid w:val="00953A55"/>
    <w:rsid w:val="00953F8A"/>
    <w:rsid w:val="00953F9E"/>
    <w:rsid w:val="009546BB"/>
    <w:rsid w:val="00954794"/>
    <w:rsid w:val="009549FC"/>
    <w:rsid w:val="00954AA2"/>
    <w:rsid w:val="00954BDD"/>
    <w:rsid w:val="00954E18"/>
    <w:rsid w:val="00954F43"/>
    <w:rsid w:val="0095509B"/>
    <w:rsid w:val="009553A8"/>
    <w:rsid w:val="0095562B"/>
    <w:rsid w:val="00955658"/>
    <w:rsid w:val="009558FB"/>
    <w:rsid w:val="00955C10"/>
    <w:rsid w:val="00955C2D"/>
    <w:rsid w:val="00955E6E"/>
    <w:rsid w:val="00955F40"/>
    <w:rsid w:val="00955F84"/>
    <w:rsid w:val="009560D9"/>
    <w:rsid w:val="0095612B"/>
    <w:rsid w:val="0095626C"/>
    <w:rsid w:val="0095634C"/>
    <w:rsid w:val="009565A9"/>
    <w:rsid w:val="009565BD"/>
    <w:rsid w:val="00956A08"/>
    <w:rsid w:val="00956ACA"/>
    <w:rsid w:val="00956C3C"/>
    <w:rsid w:val="00956D95"/>
    <w:rsid w:val="00956EDE"/>
    <w:rsid w:val="00956FA9"/>
    <w:rsid w:val="009571C6"/>
    <w:rsid w:val="00957222"/>
    <w:rsid w:val="0095752B"/>
    <w:rsid w:val="009576BC"/>
    <w:rsid w:val="0095772F"/>
    <w:rsid w:val="00957877"/>
    <w:rsid w:val="00957893"/>
    <w:rsid w:val="00957A5A"/>
    <w:rsid w:val="00957A5C"/>
    <w:rsid w:val="00957B3B"/>
    <w:rsid w:val="00957C85"/>
    <w:rsid w:val="00957CCD"/>
    <w:rsid w:val="00957D90"/>
    <w:rsid w:val="00957F72"/>
    <w:rsid w:val="00957FE3"/>
    <w:rsid w:val="009600E7"/>
    <w:rsid w:val="0096010A"/>
    <w:rsid w:val="009601DB"/>
    <w:rsid w:val="009601F1"/>
    <w:rsid w:val="00960383"/>
    <w:rsid w:val="009603A8"/>
    <w:rsid w:val="009605A5"/>
    <w:rsid w:val="00960730"/>
    <w:rsid w:val="00960C2C"/>
    <w:rsid w:val="00960D51"/>
    <w:rsid w:val="00960E4A"/>
    <w:rsid w:val="0096117D"/>
    <w:rsid w:val="00961226"/>
    <w:rsid w:val="009612C8"/>
    <w:rsid w:val="009614B2"/>
    <w:rsid w:val="0096185B"/>
    <w:rsid w:val="00961917"/>
    <w:rsid w:val="00961A2C"/>
    <w:rsid w:val="00961B0B"/>
    <w:rsid w:val="00961B56"/>
    <w:rsid w:val="0096209D"/>
    <w:rsid w:val="00962244"/>
    <w:rsid w:val="009625CA"/>
    <w:rsid w:val="0096271E"/>
    <w:rsid w:val="009629E7"/>
    <w:rsid w:val="00962B8A"/>
    <w:rsid w:val="00962C26"/>
    <w:rsid w:val="00962D38"/>
    <w:rsid w:val="00962F26"/>
    <w:rsid w:val="00962FB1"/>
    <w:rsid w:val="00963019"/>
    <w:rsid w:val="0096315E"/>
    <w:rsid w:val="0096376D"/>
    <w:rsid w:val="00963821"/>
    <w:rsid w:val="00963C41"/>
    <w:rsid w:val="00963CFC"/>
    <w:rsid w:val="00963D95"/>
    <w:rsid w:val="00963DE5"/>
    <w:rsid w:val="00963F1C"/>
    <w:rsid w:val="009643E5"/>
    <w:rsid w:val="009643F1"/>
    <w:rsid w:val="009644C5"/>
    <w:rsid w:val="0096451A"/>
    <w:rsid w:val="009645F3"/>
    <w:rsid w:val="00964D80"/>
    <w:rsid w:val="009650F1"/>
    <w:rsid w:val="009654A2"/>
    <w:rsid w:val="00965674"/>
    <w:rsid w:val="009656E8"/>
    <w:rsid w:val="0096587C"/>
    <w:rsid w:val="009659E4"/>
    <w:rsid w:val="00965AD0"/>
    <w:rsid w:val="00965C34"/>
    <w:rsid w:val="00965D02"/>
    <w:rsid w:val="00965D84"/>
    <w:rsid w:val="00966105"/>
    <w:rsid w:val="00966128"/>
    <w:rsid w:val="00966294"/>
    <w:rsid w:val="00966458"/>
    <w:rsid w:val="0096645A"/>
    <w:rsid w:val="00966492"/>
    <w:rsid w:val="009664B5"/>
    <w:rsid w:val="00966742"/>
    <w:rsid w:val="0096677E"/>
    <w:rsid w:val="009668E0"/>
    <w:rsid w:val="00966B82"/>
    <w:rsid w:val="009673CF"/>
    <w:rsid w:val="00967B05"/>
    <w:rsid w:val="00967C73"/>
    <w:rsid w:val="00967D4A"/>
    <w:rsid w:val="00967D92"/>
    <w:rsid w:val="009702A5"/>
    <w:rsid w:val="0097058D"/>
    <w:rsid w:val="00970615"/>
    <w:rsid w:val="0097062C"/>
    <w:rsid w:val="0097091E"/>
    <w:rsid w:val="00970B49"/>
    <w:rsid w:val="00971036"/>
    <w:rsid w:val="009710B2"/>
    <w:rsid w:val="009716D1"/>
    <w:rsid w:val="009716EB"/>
    <w:rsid w:val="00971716"/>
    <w:rsid w:val="00971911"/>
    <w:rsid w:val="00971B74"/>
    <w:rsid w:val="00971B9A"/>
    <w:rsid w:val="00971C12"/>
    <w:rsid w:val="00971CA0"/>
    <w:rsid w:val="00971EFF"/>
    <w:rsid w:val="00971F2B"/>
    <w:rsid w:val="009722EE"/>
    <w:rsid w:val="009722FA"/>
    <w:rsid w:val="0097280B"/>
    <w:rsid w:val="00972A2D"/>
    <w:rsid w:val="00973175"/>
    <w:rsid w:val="00973306"/>
    <w:rsid w:val="0097351A"/>
    <w:rsid w:val="00973566"/>
    <w:rsid w:val="009736A0"/>
    <w:rsid w:val="00973703"/>
    <w:rsid w:val="00973B3D"/>
    <w:rsid w:val="00973CEC"/>
    <w:rsid w:val="00973F6E"/>
    <w:rsid w:val="0097427E"/>
    <w:rsid w:val="0097429D"/>
    <w:rsid w:val="00974382"/>
    <w:rsid w:val="009744CF"/>
    <w:rsid w:val="009745A2"/>
    <w:rsid w:val="0097480C"/>
    <w:rsid w:val="0097499A"/>
    <w:rsid w:val="00974A64"/>
    <w:rsid w:val="00974B2F"/>
    <w:rsid w:val="00974FDA"/>
    <w:rsid w:val="00975707"/>
    <w:rsid w:val="00975D1B"/>
    <w:rsid w:val="00975D9F"/>
    <w:rsid w:val="00975FEA"/>
    <w:rsid w:val="009760C2"/>
    <w:rsid w:val="00976256"/>
    <w:rsid w:val="0097630E"/>
    <w:rsid w:val="0097648B"/>
    <w:rsid w:val="009765AC"/>
    <w:rsid w:val="0097690A"/>
    <w:rsid w:val="0097694A"/>
    <w:rsid w:val="00976B06"/>
    <w:rsid w:val="00976B4E"/>
    <w:rsid w:val="00976E58"/>
    <w:rsid w:val="00977002"/>
    <w:rsid w:val="00977312"/>
    <w:rsid w:val="009773D7"/>
    <w:rsid w:val="009777D1"/>
    <w:rsid w:val="00977860"/>
    <w:rsid w:val="00977A15"/>
    <w:rsid w:val="00977BB9"/>
    <w:rsid w:val="00977C13"/>
    <w:rsid w:val="00977D6E"/>
    <w:rsid w:val="00977E98"/>
    <w:rsid w:val="009808E1"/>
    <w:rsid w:val="00980B55"/>
    <w:rsid w:val="00980CF3"/>
    <w:rsid w:val="00980D7F"/>
    <w:rsid w:val="00980DE6"/>
    <w:rsid w:val="00980F37"/>
    <w:rsid w:val="009813C4"/>
    <w:rsid w:val="00981665"/>
    <w:rsid w:val="00981905"/>
    <w:rsid w:val="009819B4"/>
    <w:rsid w:val="00981ACF"/>
    <w:rsid w:val="00981C54"/>
    <w:rsid w:val="00981F36"/>
    <w:rsid w:val="00981FDC"/>
    <w:rsid w:val="00982624"/>
    <w:rsid w:val="00982825"/>
    <w:rsid w:val="00982A37"/>
    <w:rsid w:val="00982E59"/>
    <w:rsid w:val="00982ED2"/>
    <w:rsid w:val="00982F51"/>
    <w:rsid w:val="0098307E"/>
    <w:rsid w:val="00983792"/>
    <w:rsid w:val="009838A1"/>
    <w:rsid w:val="009838CE"/>
    <w:rsid w:val="0098395B"/>
    <w:rsid w:val="009839AD"/>
    <w:rsid w:val="009839D7"/>
    <w:rsid w:val="00983A33"/>
    <w:rsid w:val="00983A53"/>
    <w:rsid w:val="00983D39"/>
    <w:rsid w:val="00983E15"/>
    <w:rsid w:val="009841B4"/>
    <w:rsid w:val="009841C7"/>
    <w:rsid w:val="00984346"/>
    <w:rsid w:val="009843FC"/>
    <w:rsid w:val="00984608"/>
    <w:rsid w:val="00984F26"/>
    <w:rsid w:val="00984F3D"/>
    <w:rsid w:val="00985255"/>
    <w:rsid w:val="0098525B"/>
    <w:rsid w:val="009853A1"/>
    <w:rsid w:val="00985403"/>
    <w:rsid w:val="00985404"/>
    <w:rsid w:val="00985431"/>
    <w:rsid w:val="009856F0"/>
    <w:rsid w:val="009859DA"/>
    <w:rsid w:val="00985ADC"/>
    <w:rsid w:val="00986038"/>
    <w:rsid w:val="009862D1"/>
    <w:rsid w:val="009866ED"/>
    <w:rsid w:val="0098693C"/>
    <w:rsid w:val="00986BF0"/>
    <w:rsid w:val="00986C3E"/>
    <w:rsid w:val="00986DCF"/>
    <w:rsid w:val="00986F20"/>
    <w:rsid w:val="00986F60"/>
    <w:rsid w:val="00986F63"/>
    <w:rsid w:val="00987275"/>
    <w:rsid w:val="009873B9"/>
    <w:rsid w:val="00987447"/>
    <w:rsid w:val="009876E7"/>
    <w:rsid w:val="0098777F"/>
    <w:rsid w:val="009878E4"/>
    <w:rsid w:val="00987B16"/>
    <w:rsid w:val="00987E0E"/>
    <w:rsid w:val="00987FBC"/>
    <w:rsid w:val="0099001A"/>
    <w:rsid w:val="00990069"/>
    <w:rsid w:val="00990198"/>
    <w:rsid w:val="009903C8"/>
    <w:rsid w:val="00990687"/>
    <w:rsid w:val="0099078B"/>
    <w:rsid w:val="009910D6"/>
    <w:rsid w:val="00991190"/>
    <w:rsid w:val="0099129B"/>
    <w:rsid w:val="009912F3"/>
    <w:rsid w:val="0099151F"/>
    <w:rsid w:val="00991707"/>
    <w:rsid w:val="009917A9"/>
    <w:rsid w:val="00991A87"/>
    <w:rsid w:val="00992038"/>
    <w:rsid w:val="00992211"/>
    <w:rsid w:val="009926B0"/>
    <w:rsid w:val="0099283B"/>
    <w:rsid w:val="009928DA"/>
    <w:rsid w:val="00992993"/>
    <w:rsid w:val="00992D81"/>
    <w:rsid w:val="00992E81"/>
    <w:rsid w:val="009934BC"/>
    <w:rsid w:val="00993AFD"/>
    <w:rsid w:val="00993C4C"/>
    <w:rsid w:val="00993D41"/>
    <w:rsid w:val="00993D46"/>
    <w:rsid w:val="00993D8C"/>
    <w:rsid w:val="00993FE3"/>
    <w:rsid w:val="0099410C"/>
    <w:rsid w:val="009945B4"/>
    <w:rsid w:val="0099470C"/>
    <w:rsid w:val="009949B0"/>
    <w:rsid w:val="00994BE4"/>
    <w:rsid w:val="00994FF3"/>
    <w:rsid w:val="009952D0"/>
    <w:rsid w:val="009955B3"/>
    <w:rsid w:val="00995B75"/>
    <w:rsid w:val="00996033"/>
    <w:rsid w:val="0099624D"/>
    <w:rsid w:val="00996304"/>
    <w:rsid w:val="00996368"/>
    <w:rsid w:val="00996508"/>
    <w:rsid w:val="00996683"/>
    <w:rsid w:val="009966EB"/>
    <w:rsid w:val="00996844"/>
    <w:rsid w:val="00996963"/>
    <w:rsid w:val="009969D6"/>
    <w:rsid w:val="009969DC"/>
    <w:rsid w:val="00996D99"/>
    <w:rsid w:val="00996E10"/>
    <w:rsid w:val="00996FEA"/>
    <w:rsid w:val="0099706A"/>
    <w:rsid w:val="009972B7"/>
    <w:rsid w:val="009973DF"/>
    <w:rsid w:val="00997912"/>
    <w:rsid w:val="00997B49"/>
    <w:rsid w:val="00997E63"/>
    <w:rsid w:val="00997F17"/>
    <w:rsid w:val="009A0004"/>
    <w:rsid w:val="009A003F"/>
    <w:rsid w:val="009A0174"/>
    <w:rsid w:val="009A01B8"/>
    <w:rsid w:val="009A021D"/>
    <w:rsid w:val="009A039F"/>
    <w:rsid w:val="009A0656"/>
    <w:rsid w:val="009A0AB8"/>
    <w:rsid w:val="009A0DF0"/>
    <w:rsid w:val="009A0E62"/>
    <w:rsid w:val="009A100D"/>
    <w:rsid w:val="009A117B"/>
    <w:rsid w:val="009A11CD"/>
    <w:rsid w:val="009A12C2"/>
    <w:rsid w:val="009A168C"/>
    <w:rsid w:val="009A16F9"/>
    <w:rsid w:val="009A198A"/>
    <w:rsid w:val="009A1B98"/>
    <w:rsid w:val="009A1EB6"/>
    <w:rsid w:val="009A2086"/>
    <w:rsid w:val="009A24E7"/>
    <w:rsid w:val="009A25DB"/>
    <w:rsid w:val="009A2756"/>
    <w:rsid w:val="009A2DDF"/>
    <w:rsid w:val="009A31F5"/>
    <w:rsid w:val="009A342B"/>
    <w:rsid w:val="009A34BF"/>
    <w:rsid w:val="009A38FB"/>
    <w:rsid w:val="009A38FE"/>
    <w:rsid w:val="009A3D3E"/>
    <w:rsid w:val="009A407F"/>
    <w:rsid w:val="009A445C"/>
    <w:rsid w:val="009A4476"/>
    <w:rsid w:val="009A4487"/>
    <w:rsid w:val="009A4568"/>
    <w:rsid w:val="009A4601"/>
    <w:rsid w:val="009A493E"/>
    <w:rsid w:val="009A49C1"/>
    <w:rsid w:val="009A49D7"/>
    <w:rsid w:val="009A50CC"/>
    <w:rsid w:val="009A5373"/>
    <w:rsid w:val="009A5499"/>
    <w:rsid w:val="009A56D8"/>
    <w:rsid w:val="009A58B5"/>
    <w:rsid w:val="009A59BB"/>
    <w:rsid w:val="009A5B48"/>
    <w:rsid w:val="009A5CEF"/>
    <w:rsid w:val="009A6060"/>
    <w:rsid w:val="009A6202"/>
    <w:rsid w:val="009A6476"/>
    <w:rsid w:val="009A651C"/>
    <w:rsid w:val="009A6536"/>
    <w:rsid w:val="009A6543"/>
    <w:rsid w:val="009A6591"/>
    <w:rsid w:val="009A6646"/>
    <w:rsid w:val="009A67FB"/>
    <w:rsid w:val="009A700C"/>
    <w:rsid w:val="009A7253"/>
    <w:rsid w:val="009A7258"/>
    <w:rsid w:val="009A74F3"/>
    <w:rsid w:val="009A756E"/>
    <w:rsid w:val="009A769E"/>
    <w:rsid w:val="009A7AD3"/>
    <w:rsid w:val="009A7B06"/>
    <w:rsid w:val="009A7D0F"/>
    <w:rsid w:val="009A7D46"/>
    <w:rsid w:val="009A7D50"/>
    <w:rsid w:val="009A7FCA"/>
    <w:rsid w:val="009B012E"/>
    <w:rsid w:val="009B03C7"/>
    <w:rsid w:val="009B07BC"/>
    <w:rsid w:val="009B0DEF"/>
    <w:rsid w:val="009B0E9D"/>
    <w:rsid w:val="009B105A"/>
    <w:rsid w:val="009B1173"/>
    <w:rsid w:val="009B1234"/>
    <w:rsid w:val="009B1337"/>
    <w:rsid w:val="009B15F9"/>
    <w:rsid w:val="009B19C3"/>
    <w:rsid w:val="009B1AD8"/>
    <w:rsid w:val="009B1E7E"/>
    <w:rsid w:val="009B222B"/>
    <w:rsid w:val="009B2493"/>
    <w:rsid w:val="009B27FC"/>
    <w:rsid w:val="009B283B"/>
    <w:rsid w:val="009B2AC6"/>
    <w:rsid w:val="009B2BF5"/>
    <w:rsid w:val="009B2C1D"/>
    <w:rsid w:val="009B2D8E"/>
    <w:rsid w:val="009B2D96"/>
    <w:rsid w:val="009B2F49"/>
    <w:rsid w:val="009B3009"/>
    <w:rsid w:val="009B332C"/>
    <w:rsid w:val="009B3878"/>
    <w:rsid w:val="009B3C12"/>
    <w:rsid w:val="009B3D74"/>
    <w:rsid w:val="009B3DAC"/>
    <w:rsid w:val="009B3FC9"/>
    <w:rsid w:val="009B401E"/>
    <w:rsid w:val="009B40C6"/>
    <w:rsid w:val="009B41AF"/>
    <w:rsid w:val="009B47B9"/>
    <w:rsid w:val="009B4AAC"/>
    <w:rsid w:val="009B4CBE"/>
    <w:rsid w:val="009B503E"/>
    <w:rsid w:val="009B50C7"/>
    <w:rsid w:val="009B5488"/>
    <w:rsid w:val="009B5561"/>
    <w:rsid w:val="009B559E"/>
    <w:rsid w:val="009B5B46"/>
    <w:rsid w:val="009B5BEE"/>
    <w:rsid w:val="009B5CBA"/>
    <w:rsid w:val="009B6007"/>
    <w:rsid w:val="009B6024"/>
    <w:rsid w:val="009B609C"/>
    <w:rsid w:val="009B6222"/>
    <w:rsid w:val="009B63FE"/>
    <w:rsid w:val="009B6409"/>
    <w:rsid w:val="009B66C1"/>
    <w:rsid w:val="009B68A5"/>
    <w:rsid w:val="009B691D"/>
    <w:rsid w:val="009B716C"/>
    <w:rsid w:val="009B718A"/>
    <w:rsid w:val="009B71B0"/>
    <w:rsid w:val="009B72FC"/>
    <w:rsid w:val="009B752C"/>
    <w:rsid w:val="009B769B"/>
    <w:rsid w:val="009B77B8"/>
    <w:rsid w:val="009B7804"/>
    <w:rsid w:val="009B7B1C"/>
    <w:rsid w:val="009B7DA7"/>
    <w:rsid w:val="009B7F7D"/>
    <w:rsid w:val="009C0059"/>
    <w:rsid w:val="009C00F6"/>
    <w:rsid w:val="009C0107"/>
    <w:rsid w:val="009C02A4"/>
    <w:rsid w:val="009C0353"/>
    <w:rsid w:val="009C0395"/>
    <w:rsid w:val="009C03C7"/>
    <w:rsid w:val="009C042C"/>
    <w:rsid w:val="009C0506"/>
    <w:rsid w:val="009C0C50"/>
    <w:rsid w:val="009C1073"/>
    <w:rsid w:val="009C1099"/>
    <w:rsid w:val="009C10C2"/>
    <w:rsid w:val="009C10CA"/>
    <w:rsid w:val="009C1116"/>
    <w:rsid w:val="009C1133"/>
    <w:rsid w:val="009C1936"/>
    <w:rsid w:val="009C1B1B"/>
    <w:rsid w:val="009C1BB4"/>
    <w:rsid w:val="009C1BC3"/>
    <w:rsid w:val="009C20F2"/>
    <w:rsid w:val="009C21D0"/>
    <w:rsid w:val="009C2399"/>
    <w:rsid w:val="009C2533"/>
    <w:rsid w:val="009C285D"/>
    <w:rsid w:val="009C314B"/>
    <w:rsid w:val="009C318C"/>
    <w:rsid w:val="009C337B"/>
    <w:rsid w:val="009C346B"/>
    <w:rsid w:val="009C356D"/>
    <w:rsid w:val="009C3607"/>
    <w:rsid w:val="009C36E8"/>
    <w:rsid w:val="009C3982"/>
    <w:rsid w:val="009C39E0"/>
    <w:rsid w:val="009C3C8E"/>
    <w:rsid w:val="009C3ECC"/>
    <w:rsid w:val="009C3EDE"/>
    <w:rsid w:val="009C4200"/>
    <w:rsid w:val="009C42F8"/>
    <w:rsid w:val="009C43A3"/>
    <w:rsid w:val="009C450B"/>
    <w:rsid w:val="009C463F"/>
    <w:rsid w:val="009C4A00"/>
    <w:rsid w:val="009C4AA0"/>
    <w:rsid w:val="009C4CA9"/>
    <w:rsid w:val="009C5515"/>
    <w:rsid w:val="009C5637"/>
    <w:rsid w:val="009C5682"/>
    <w:rsid w:val="009C57C2"/>
    <w:rsid w:val="009C59A0"/>
    <w:rsid w:val="009C5D01"/>
    <w:rsid w:val="009C5DA3"/>
    <w:rsid w:val="009C5DAC"/>
    <w:rsid w:val="009C5F0A"/>
    <w:rsid w:val="009C5F3F"/>
    <w:rsid w:val="009C5FD3"/>
    <w:rsid w:val="009C625E"/>
    <w:rsid w:val="009C633D"/>
    <w:rsid w:val="009C6364"/>
    <w:rsid w:val="009C6404"/>
    <w:rsid w:val="009C6479"/>
    <w:rsid w:val="009C6641"/>
    <w:rsid w:val="009C672C"/>
    <w:rsid w:val="009C69E7"/>
    <w:rsid w:val="009C69EA"/>
    <w:rsid w:val="009C6FC8"/>
    <w:rsid w:val="009C7090"/>
    <w:rsid w:val="009C7578"/>
    <w:rsid w:val="009C7A31"/>
    <w:rsid w:val="009C7A74"/>
    <w:rsid w:val="009C7DA7"/>
    <w:rsid w:val="009C7E15"/>
    <w:rsid w:val="009C7E17"/>
    <w:rsid w:val="009C7F27"/>
    <w:rsid w:val="009D0081"/>
    <w:rsid w:val="009D00FB"/>
    <w:rsid w:val="009D017D"/>
    <w:rsid w:val="009D0366"/>
    <w:rsid w:val="009D03B0"/>
    <w:rsid w:val="009D03D0"/>
    <w:rsid w:val="009D063F"/>
    <w:rsid w:val="009D0790"/>
    <w:rsid w:val="009D0B8C"/>
    <w:rsid w:val="009D0D32"/>
    <w:rsid w:val="009D0D83"/>
    <w:rsid w:val="009D0E27"/>
    <w:rsid w:val="009D0E46"/>
    <w:rsid w:val="009D1615"/>
    <w:rsid w:val="009D178C"/>
    <w:rsid w:val="009D1992"/>
    <w:rsid w:val="009D1AC2"/>
    <w:rsid w:val="009D1BC0"/>
    <w:rsid w:val="009D1D95"/>
    <w:rsid w:val="009D21B3"/>
    <w:rsid w:val="009D21BE"/>
    <w:rsid w:val="009D25B5"/>
    <w:rsid w:val="009D29CB"/>
    <w:rsid w:val="009D2A67"/>
    <w:rsid w:val="009D2C69"/>
    <w:rsid w:val="009D2E3E"/>
    <w:rsid w:val="009D2F20"/>
    <w:rsid w:val="009D2F24"/>
    <w:rsid w:val="009D3505"/>
    <w:rsid w:val="009D36A3"/>
    <w:rsid w:val="009D37C3"/>
    <w:rsid w:val="009D382E"/>
    <w:rsid w:val="009D39EE"/>
    <w:rsid w:val="009D3BEC"/>
    <w:rsid w:val="009D3CDA"/>
    <w:rsid w:val="009D3F27"/>
    <w:rsid w:val="009D40AE"/>
    <w:rsid w:val="009D40BC"/>
    <w:rsid w:val="009D421E"/>
    <w:rsid w:val="009D4888"/>
    <w:rsid w:val="009D4947"/>
    <w:rsid w:val="009D4ACB"/>
    <w:rsid w:val="009D4EF6"/>
    <w:rsid w:val="009D5496"/>
    <w:rsid w:val="009D54AE"/>
    <w:rsid w:val="009D560A"/>
    <w:rsid w:val="009D57A3"/>
    <w:rsid w:val="009D6025"/>
    <w:rsid w:val="009D61BE"/>
    <w:rsid w:val="009D6331"/>
    <w:rsid w:val="009D6408"/>
    <w:rsid w:val="009D6477"/>
    <w:rsid w:val="009D649B"/>
    <w:rsid w:val="009D68AE"/>
    <w:rsid w:val="009D6912"/>
    <w:rsid w:val="009D7233"/>
    <w:rsid w:val="009D77CF"/>
    <w:rsid w:val="009D7821"/>
    <w:rsid w:val="009D7848"/>
    <w:rsid w:val="009D786D"/>
    <w:rsid w:val="009D7D26"/>
    <w:rsid w:val="009D7F6A"/>
    <w:rsid w:val="009E00AB"/>
    <w:rsid w:val="009E01A6"/>
    <w:rsid w:val="009E0459"/>
    <w:rsid w:val="009E0475"/>
    <w:rsid w:val="009E05E1"/>
    <w:rsid w:val="009E08A2"/>
    <w:rsid w:val="009E0998"/>
    <w:rsid w:val="009E09C7"/>
    <w:rsid w:val="009E0A56"/>
    <w:rsid w:val="009E0B2B"/>
    <w:rsid w:val="009E0CB0"/>
    <w:rsid w:val="009E0D91"/>
    <w:rsid w:val="009E109F"/>
    <w:rsid w:val="009E10C8"/>
    <w:rsid w:val="009E116F"/>
    <w:rsid w:val="009E15AE"/>
    <w:rsid w:val="009E1666"/>
    <w:rsid w:val="009E19A7"/>
    <w:rsid w:val="009E1E11"/>
    <w:rsid w:val="009E1E4B"/>
    <w:rsid w:val="009E1EF1"/>
    <w:rsid w:val="009E212B"/>
    <w:rsid w:val="009E21DF"/>
    <w:rsid w:val="009E227E"/>
    <w:rsid w:val="009E2E1F"/>
    <w:rsid w:val="009E326C"/>
    <w:rsid w:val="009E32AC"/>
    <w:rsid w:val="009E34C2"/>
    <w:rsid w:val="009E356A"/>
    <w:rsid w:val="009E38A2"/>
    <w:rsid w:val="009E3CA7"/>
    <w:rsid w:val="009E3D77"/>
    <w:rsid w:val="009E3F44"/>
    <w:rsid w:val="009E3F79"/>
    <w:rsid w:val="009E418F"/>
    <w:rsid w:val="009E43FD"/>
    <w:rsid w:val="009E4595"/>
    <w:rsid w:val="009E4C2E"/>
    <w:rsid w:val="009E4CB6"/>
    <w:rsid w:val="009E51FB"/>
    <w:rsid w:val="009E5297"/>
    <w:rsid w:val="009E52BF"/>
    <w:rsid w:val="009E55C4"/>
    <w:rsid w:val="009E57FC"/>
    <w:rsid w:val="009E5AAF"/>
    <w:rsid w:val="009E5BD5"/>
    <w:rsid w:val="009E5E20"/>
    <w:rsid w:val="009E5FB3"/>
    <w:rsid w:val="009E6187"/>
    <w:rsid w:val="009E6EA7"/>
    <w:rsid w:val="009E7237"/>
    <w:rsid w:val="009E76A6"/>
    <w:rsid w:val="009E79D6"/>
    <w:rsid w:val="009E7BEB"/>
    <w:rsid w:val="009E7D91"/>
    <w:rsid w:val="009E7E3D"/>
    <w:rsid w:val="009F06C3"/>
    <w:rsid w:val="009F0808"/>
    <w:rsid w:val="009F081E"/>
    <w:rsid w:val="009F0AF7"/>
    <w:rsid w:val="009F0B7A"/>
    <w:rsid w:val="009F1235"/>
    <w:rsid w:val="009F1557"/>
    <w:rsid w:val="009F1B94"/>
    <w:rsid w:val="009F2191"/>
    <w:rsid w:val="009F21A6"/>
    <w:rsid w:val="009F24AE"/>
    <w:rsid w:val="009F289F"/>
    <w:rsid w:val="009F2AAE"/>
    <w:rsid w:val="009F2B19"/>
    <w:rsid w:val="009F2C65"/>
    <w:rsid w:val="009F2CFA"/>
    <w:rsid w:val="009F2F78"/>
    <w:rsid w:val="009F3282"/>
    <w:rsid w:val="009F32BE"/>
    <w:rsid w:val="009F32EF"/>
    <w:rsid w:val="009F38FE"/>
    <w:rsid w:val="009F3925"/>
    <w:rsid w:val="009F3928"/>
    <w:rsid w:val="009F3A8A"/>
    <w:rsid w:val="009F3DCD"/>
    <w:rsid w:val="009F3FB6"/>
    <w:rsid w:val="009F40C9"/>
    <w:rsid w:val="009F41CF"/>
    <w:rsid w:val="009F44AF"/>
    <w:rsid w:val="009F46BD"/>
    <w:rsid w:val="009F47DC"/>
    <w:rsid w:val="009F4842"/>
    <w:rsid w:val="009F489D"/>
    <w:rsid w:val="009F4935"/>
    <w:rsid w:val="009F4978"/>
    <w:rsid w:val="009F4A1B"/>
    <w:rsid w:val="009F4B02"/>
    <w:rsid w:val="009F4B1E"/>
    <w:rsid w:val="009F4E4E"/>
    <w:rsid w:val="009F515C"/>
    <w:rsid w:val="009F5230"/>
    <w:rsid w:val="009F533B"/>
    <w:rsid w:val="009F53FB"/>
    <w:rsid w:val="009F59A4"/>
    <w:rsid w:val="009F5A51"/>
    <w:rsid w:val="009F5BBD"/>
    <w:rsid w:val="009F6372"/>
    <w:rsid w:val="009F6401"/>
    <w:rsid w:val="009F68EF"/>
    <w:rsid w:val="009F6934"/>
    <w:rsid w:val="009F6AAB"/>
    <w:rsid w:val="009F6AC7"/>
    <w:rsid w:val="009F6C87"/>
    <w:rsid w:val="009F6CC1"/>
    <w:rsid w:val="009F734D"/>
    <w:rsid w:val="009F75D3"/>
    <w:rsid w:val="009F7837"/>
    <w:rsid w:val="009F79B7"/>
    <w:rsid w:val="009F7B8B"/>
    <w:rsid w:val="009F7BEC"/>
    <w:rsid w:val="009F7ED1"/>
    <w:rsid w:val="00A00021"/>
    <w:rsid w:val="00A0010A"/>
    <w:rsid w:val="00A0036C"/>
    <w:rsid w:val="00A00418"/>
    <w:rsid w:val="00A00446"/>
    <w:rsid w:val="00A0083E"/>
    <w:rsid w:val="00A008E1"/>
    <w:rsid w:val="00A00B50"/>
    <w:rsid w:val="00A00C39"/>
    <w:rsid w:val="00A00D39"/>
    <w:rsid w:val="00A00E0F"/>
    <w:rsid w:val="00A011CE"/>
    <w:rsid w:val="00A011D8"/>
    <w:rsid w:val="00A01219"/>
    <w:rsid w:val="00A018C4"/>
    <w:rsid w:val="00A01A71"/>
    <w:rsid w:val="00A01D74"/>
    <w:rsid w:val="00A01D7E"/>
    <w:rsid w:val="00A01EAB"/>
    <w:rsid w:val="00A01F28"/>
    <w:rsid w:val="00A01F68"/>
    <w:rsid w:val="00A021D5"/>
    <w:rsid w:val="00A02361"/>
    <w:rsid w:val="00A025D4"/>
    <w:rsid w:val="00A027DA"/>
    <w:rsid w:val="00A0280D"/>
    <w:rsid w:val="00A02B32"/>
    <w:rsid w:val="00A02CD7"/>
    <w:rsid w:val="00A02E58"/>
    <w:rsid w:val="00A031F2"/>
    <w:rsid w:val="00A032CA"/>
    <w:rsid w:val="00A03395"/>
    <w:rsid w:val="00A033E7"/>
    <w:rsid w:val="00A03484"/>
    <w:rsid w:val="00A03675"/>
    <w:rsid w:val="00A03A3E"/>
    <w:rsid w:val="00A03D49"/>
    <w:rsid w:val="00A04198"/>
    <w:rsid w:val="00A043FB"/>
    <w:rsid w:val="00A04439"/>
    <w:rsid w:val="00A04487"/>
    <w:rsid w:val="00A04C11"/>
    <w:rsid w:val="00A04C1D"/>
    <w:rsid w:val="00A04EC6"/>
    <w:rsid w:val="00A04F2E"/>
    <w:rsid w:val="00A051FB"/>
    <w:rsid w:val="00A05422"/>
    <w:rsid w:val="00A0549A"/>
    <w:rsid w:val="00A05625"/>
    <w:rsid w:val="00A05777"/>
    <w:rsid w:val="00A05864"/>
    <w:rsid w:val="00A05959"/>
    <w:rsid w:val="00A05A43"/>
    <w:rsid w:val="00A05AFE"/>
    <w:rsid w:val="00A05CFC"/>
    <w:rsid w:val="00A05DAE"/>
    <w:rsid w:val="00A05E07"/>
    <w:rsid w:val="00A06013"/>
    <w:rsid w:val="00A06157"/>
    <w:rsid w:val="00A06452"/>
    <w:rsid w:val="00A06457"/>
    <w:rsid w:val="00A06465"/>
    <w:rsid w:val="00A065CC"/>
    <w:rsid w:val="00A066D0"/>
    <w:rsid w:val="00A0670F"/>
    <w:rsid w:val="00A067EF"/>
    <w:rsid w:val="00A0695F"/>
    <w:rsid w:val="00A06A7C"/>
    <w:rsid w:val="00A06CF4"/>
    <w:rsid w:val="00A06FCF"/>
    <w:rsid w:val="00A07092"/>
    <w:rsid w:val="00A0728F"/>
    <w:rsid w:val="00A07309"/>
    <w:rsid w:val="00A073D1"/>
    <w:rsid w:val="00A07520"/>
    <w:rsid w:val="00A0766D"/>
    <w:rsid w:val="00A07876"/>
    <w:rsid w:val="00A07F55"/>
    <w:rsid w:val="00A100B6"/>
    <w:rsid w:val="00A10280"/>
    <w:rsid w:val="00A10A55"/>
    <w:rsid w:val="00A10D4F"/>
    <w:rsid w:val="00A1100E"/>
    <w:rsid w:val="00A1119E"/>
    <w:rsid w:val="00A1124B"/>
    <w:rsid w:val="00A1127C"/>
    <w:rsid w:val="00A112F6"/>
    <w:rsid w:val="00A113A0"/>
    <w:rsid w:val="00A1166C"/>
    <w:rsid w:val="00A116E7"/>
    <w:rsid w:val="00A11A16"/>
    <w:rsid w:val="00A11C34"/>
    <w:rsid w:val="00A11CA4"/>
    <w:rsid w:val="00A11E7F"/>
    <w:rsid w:val="00A11E9C"/>
    <w:rsid w:val="00A12000"/>
    <w:rsid w:val="00A121AD"/>
    <w:rsid w:val="00A12214"/>
    <w:rsid w:val="00A12224"/>
    <w:rsid w:val="00A123C5"/>
    <w:rsid w:val="00A127E9"/>
    <w:rsid w:val="00A12A72"/>
    <w:rsid w:val="00A12CD9"/>
    <w:rsid w:val="00A12D01"/>
    <w:rsid w:val="00A133F2"/>
    <w:rsid w:val="00A1389C"/>
    <w:rsid w:val="00A138EA"/>
    <w:rsid w:val="00A13EBF"/>
    <w:rsid w:val="00A143EB"/>
    <w:rsid w:val="00A14545"/>
    <w:rsid w:val="00A1478C"/>
    <w:rsid w:val="00A148AE"/>
    <w:rsid w:val="00A14C81"/>
    <w:rsid w:val="00A14CD9"/>
    <w:rsid w:val="00A14DE9"/>
    <w:rsid w:val="00A15106"/>
    <w:rsid w:val="00A15225"/>
    <w:rsid w:val="00A15972"/>
    <w:rsid w:val="00A15ACD"/>
    <w:rsid w:val="00A15B1F"/>
    <w:rsid w:val="00A15D55"/>
    <w:rsid w:val="00A15FB9"/>
    <w:rsid w:val="00A1607D"/>
    <w:rsid w:val="00A163A6"/>
    <w:rsid w:val="00A1641D"/>
    <w:rsid w:val="00A1658C"/>
    <w:rsid w:val="00A165D8"/>
    <w:rsid w:val="00A165D9"/>
    <w:rsid w:val="00A1680A"/>
    <w:rsid w:val="00A168E0"/>
    <w:rsid w:val="00A16A5F"/>
    <w:rsid w:val="00A16C59"/>
    <w:rsid w:val="00A16DE5"/>
    <w:rsid w:val="00A170CB"/>
    <w:rsid w:val="00A173CF"/>
    <w:rsid w:val="00A17615"/>
    <w:rsid w:val="00A176E8"/>
    <w:rsid w:val="00A1785F"/>
    <w:rsid w:val="00A17A72"/>
    <w:rsid w:val="00A17B5C"/>
    <w:rsid w:val="00A17E7C"/>
    <w:rsid w:val="00A17EBC"/>
    <w:rsid w:val="00A17EE3"/>
    <w:rsid w:val="00A201D5"/>
    <w:rsid w:val="00A20316"/>
    <w:rsid w:val="00A20536"/>
    <w:rsid w:val="00A2098E"/>
    <w:rsid w:val="00A20AB4"/>
    <w:rsid w:val="00A20DF0"/>
    <w:rsid w:val="00A212FC"/>
    <w:rsid w:val="00A21316"/>
    <w:rsid w:val="00A21350"/>
    <w:rsid w:val="00A2145C"/>
    <w:rsid w:val="00A21473"/>
    <w:rsid w:val="00A215AB"/>
    <w:rsid w:val="00A21617"/>
    <w:rsid w:val="00A216B4"/>
    <w:rsid w:val="00A21B61"/>
    <w:rsid w:val="00A21B89"/>
    <w:rsid w:val="00A21F23"/>
    <w:rsid w:val="00A222B5"/>
    <w:rsid w:val="00A225D2"/>
    <w:rsid w:val="00A225E7"/>
    <w:rsid w:val="00A2266D"/>
    <w:rsid w:val="00A22C75"/>
    <w:rsid w:val="00A22D02"/>
    <w:rsid w:val="00A22D16"/>
    <w:rsid w:val="00A23138"/>
    <w:rsid w:val="00A231DF"/>
    <w:rsid w:val="00A233CD"/>
    <w:rsid w:val="00A2348C"/>
    <w:rsid w:val="00A23A3B"/>
    <w:rsid w:val="00A23B67"/>
    <w:rsid w:val="00A23D57"/>
    <w:rsid w:val="00A23E77"/>
    <w:rsid w:val="00A2407B"/>
    <w:rsid w:val="00A240A1"/>
    <w:rsid w:val="00A24550"/>
    <w:rsid w:val="00A245CF"/>
    <w:rsid w:val="00A2483F"/>
    <w:rsid w:val="00A248A9"/>
    <w:rsid w:val="00A249FC"/>
    <w:rsid w:val="00A24A56"/>
    <w:rsid w:val="00A24B26"/>
    <w:rsid w:val="00A24FC0"/>
    <w:rsid w:val="00A25277"/>
    <w:rsid w:val="00A2564F"/>
    <w:rsid w:val="00A2599E"/>
    <w:rsid w:val="00A259FA"/>
    <w:rsid w:val="00A25A63"/>
    <w:rsid w:val="00A25A86"/>
    <w:rsid w:val="00A265B8"/>
    <w:rsid w:val="00A2661C"/>
    <w:rsid w:val="00A26830"/>
    <w:rsid w:val="00A26AE6"/>
    <w:rsid w:val="00A26CD1"/>
    <w:rsid w:val="00A26CE6"/>
    <w:rsid w:val="00A26E72"/>
    <w:rsid w:val="00A27373"/>
    <w:rsid w:val="00A273FC"/>
    <w:rsid w:val="00A2753A"/>
    <w:rsid w:val="00A2768F"/>
    <w:rsid w:val="00A2785E"/>
    <w:rsid w:val="00A27A05"/>
    <w:rsid w:val="00A27CA4"/>
    <w:rsid w:val="00A27D92"/>
    <w:rsid w:val="00A27EC4"/>
    <w:rsid w:val="00A27F04"/>
    <w:rsid w:val="00A27F2C"/>
    <w:rsid w:val="00A301CE"/>
    <w:rsid w:val="00A30420"/>
    <w:rsid w:val="00A308D9"/>
    <w:rsid w:val="00A3094B"/>
    <w:rsid w:val="00A30999"/>
    <w:rsid w:val="00A30B47"/>
    <w:rsid w:val="00A30EA1"/>
    <w:rsid w:val="00A31002"/>
    <w:rsid w:val="00A313EC"/>
    <w:rsid w:val="00A318FF"/>
    <w:rsid w:val="00A3231B"/>
    <w:rsid w:val="00A325D8"/>
    <w:rsid w:val="00A32A2B"/>
    <w:rsid w:val="00A32A76"/>
    <w:rsid w:val="00A32BC8"/>
    <w:rsid w:val="00A32D19"/>
    <w:rsid w:val="00A32EA1"/>
    <w:rsid w:val="00A3347D"/>
    <w:rsid w:val="00A3358E"/>
    <w:rsid w:val="00A338CB"/>
    <w:rsid w:val="00A3399F"/>
    <w:rsid w:val="00A33FAB"/>
    <w:rsid w:val="00A33FF9"/>
    <w:rsid w:val="00A3418B"/>
    <w:rsid w:val="00A343C3"/>
    <w:rsid w:val="00A345AC"/>
    <w:rsid w:val="00A346F7"/>
    <w:rsid w:val="00A34A41"/>
    <w:rsid w:val="00A34B1A"/>
    <w:rsid w:val="00A34D99"/>
    <w:rsid w:val="00A34DC9"/>
    <w:rsid w:val="00A34E18"/>
    <w:rsid w:val="00A34FC7"/>
    <w:rsid w:val="00A3510F"/>
    <w:rsid w:val="00A3513E"/>
    <w:rsid w:val="00A351AF"/>
    <w:rsid w:val="00A3545E"/>
    <w:rsid w:val="00A35706"/>
    <w:rsid w:val="00A35790"/>
    <w:rsid w:val="00A359DC"/>
    <w:rsid w:val="00A35C31"/>
    <w:rsid w:val="00A35C54"/>
    <w:rsid w:val="00A35ECC"/>
    <w:rsid w:val="00A35F8A"/>
    <w:rsid w:val="00A36168"/>
    <w:rsid w:val="00A36635"/>
    <w:rsid w:val="00A366B0"/>
    <w:rsid w:val="00A370E9"/>
    <w:rsid w:val="00A37181"/>
    <w:rsid w:val="00A37200"/>
    <w:rsid w:val="00A3725F"/>
    <w:rsid w:val="00A37471"/>
    <w:rsid w:val="00A374C5"/>
    <w:rsid w:val="00A376F9"/>
    <w:rsid w:val="00A37743"/>
    <w:rsid w:val="00A378C1"/>
    <w:rsid w:val="00A37B65"/>
    <w:rsid w:val="00A37CF2"/>
    <w:rsid w:val="00A37E25"/>
    <w:rsid w:val="00A402E2"/>
    <w:rsid w:val="00A40301"/>
    <w:rsid w:val="00A4030C"/>
    <w:rsid w:val="00A4031D"/>
    <w:rsid w:val="00A40C7B"/>
    <w:rsid w:val="00A40EA0"/>
    <w:rsid w:val="00A4112C"/>
    <w:rsid w:val="00A41438"/>
    <w:rsid w:val="00A414F2"/>
    <w:rsid w:val="00A418AC"/>
    <w:rsid w:val="00A419EE"/>
    <w:rsid w:val="00A41AA4"/>
    <w:rsid w:val="00A41AD1"/>
    <w:rsid w:val="00A41C94"/>
    <w:rsid w:val="00A41CEE"/>
    <w:rsid w:val="00A41E47"/>
    <w:rsid w:val="00A41E51"/>
    <w:rsid w:val="00A41E95"/>
    <w:rsid w:val="00A421E7"/>
    <w:rsid w:val="00A423BA"/>
    <w:rsid w:val="00A42455"/>
    <w:rsid w:val="00A424EE"/>
    <w:rsid w:val="00A42611"/>
    <w:rsid w:val="00A42829"/>
    <w:rsid w:val="00A428C4"/>
    <w:rsid w:val="00A42B78"/>
    <w:rsid w:val="00A42BCD"/>
    <w:rsid w:val="00A42C45"/>
    <w:rsid w:val="00A42C79"/>
    <w:rsid w:val="00A42F49"/>
    <w:rsid w:val="00A430B0"/>
    <w:rsid w:val="00A430FB"/>
    <w:rsid w:val="00A43A36"/>
    <w:rsid w:val="00A43F9D"/>
    <w:rsid w:val="00A43FDF"/>
    <w:rsid w:val="00A44188"/>
    <w:rsid w:val="00A44201"/>
    <w:rsid w:val="00A4437C"/>
    <w:rsid w:val="00A445F8"/>
    <w:rsid w:val="00A446E1"/>
    <w:rsid w:val="00A44835"/>
    <w:rsid w:val="00A448B3"/>
    <w:rsid w:val="00A449C3"/>
    <w:rsid w:val="00A449FD"/>
    <w:rsid w:val="00A44D89"/>
    <w:rsid w:val="00A44EDC"/>
    <w:rsid w:val="00A45017"/>
    <w:rsid w:val="00A45129"/>
    <w:rsid w:val="00A45154"/>
    <w:rsid w:val="00A452A6"/>
    <w:rsid w:val="00A45B77"/>
    <w:rsid w:val="00A45BBF"/>
    <w:rsid w:val="00A45C90"/>
    <w:rsid w:val="00A45CA2"/>
    <w:rsid w:val="00A45E4A"/>
    <w:rsid w:val="00A460F5"/>
    <w:rsid w:val="00A46293"/>
    <w:rsid w:val="00A462DC"/>
    <w:rsid w:val="00A46321"/>
    <w:rsid w:val="00A46752"/>
    <w:rsid w:val="00A4688F"/>
    <w:rsid w:val="00A46CED"/>
    <w:rsid w:val="00A46DB5"/>
    <w:rsid w:val="00A46EB9"/>
    <w:rsid w:val="00A46F3A"/>
    <w:rsid w:val="00A471EE"/>
    <w:rsid w:val="00A474BE"/>
    <w:rsid w:val="00A475A3"/>
    <w:rsid w:val="00A476F2"/>
    <w:rsid w:val="00A47BE3"/>
    <w:rsid w:val="00A47CB2"/>
    <w:rsid w:val="00A47D7A"/>
    <w:rsid w:val="00A47E4F"/>
    <w:rsid w:val="00A5020B"/>
    <w:rsid w:val="00A503F6"/>
    <w:rsid w:val="00A50CAC"/>
    <w:rsid w:val="00A50D7D"/>
    <w:rsid w:val="00A50DC4"/>
    <w:rsid w:val="00A50F0F"/>
    <w:rsid w:val="00A511AF"/>
    <w:rsid w:val="00A51C6E"/>
    <w:rsid w:val="00A51DC2"/>
    <w:rsid w:val="00A51DEE"/>
    <w:rsid w:val="00A51FE2"/>
    <w:rsid w:val="00A5202F"/>
    <w:rsid w:val="00A52054"/>
    <w:rsid w:val="00A52068"/>
    <w:rsid w:val="00A521D5"/>
    <w:rsid w:val="00A521FE"/>
    <w:rsid w:val="00A522A3"/>
    <w:rsid w:val="00A52434"/>
    <w:rsid w:val="00A525C6"/>
    <w:rsid w:val="00A5261A"/>
    <w:rsid w:val="00A528B2"/>
    <w:rsid w:val="00A529B4"/>
    <w:rsid w:val="00A52F77"/>
    <w:rsid w:val="00A5371B"/>
    <w:rsid w:val="00A537E0"/>
    <w:rsid w:val="00A53B40"/>
    <w:rsid w:val="00A53D7A"/>
    <w:rsid w:val="00A53DA9"/>
    <w:rsid w:val="00A542EA"/>
    <w:rsid w:val="00A545E8"/>
    <w:rsid w:val="00A54848"/>
    <w:rsid w:val="00A54996"/>
    <w:rsid w:val="00A54BCB"/>
    <w:rsid w:val="00A54C22"/>
    <w:rsid w:val="00A54DA3"/>
    <w:rsid w:val="00A55240"/>
    <w:rsid w:val="00A55509"/>
    <w:rsid w:val="00A5593C"/>
    <w:rsid w:val="00A55993"/>
    <w:rsid w:val="00A55B88"/>
    <w:rsid w:val="00A55DB4"/>
    <w:rsid w:val="00A562A6"/>
    <w:rsid w:val="00A562B3"/>
    <w:rsid w:val="00A56743"/>
    <w:rsid w:val="00A56803"/>
    <w:rsid w:val="00A56A1C"/>
    <w:rsid w:val="00A56AD8"/>
    <w:rsid w:val="00A56FF5"/>
    <w:rsid w:val="00A57496"/>
    <w:rsid w:val="00A57512"/>
    <w:rsid w:val="00A57725"/>
    <w:rsid w:val="00A57848"/>
    <w:rsid w:val="00A578A0"/>
    <w:rsid w:val="00A57FFA"/>
    <w:rsid w:val="00A602F1"/>
    <w:rsid w:val="00A6038D"/>
    <w:rsid w:val="00A603EB"/>
    <w:rsid w:val="00A60489"/>
    <w:rsid w:val="00A60C37"/>
    <w:rsid w:val="00A610C5"/>
    <w:rsid w:val="00A61271"/>
    <w:rsid w:val="00A61306"/>
    <w:rsid w:val="00A616A2"/>
    <w:rsid w:val="00A617A2"/>
    <w:rsid w:val="00A61887"/>
    <w:rsid w:val="00A61A0F"/>
    <w:rsid w:val="00A61A8C"/>
    <w:rsid w:val="00A61C32"/>
    <w:rsid w:val="00A61E2F"/>
    <w:rsid w:val="00A62207"/>
    <w:rsid w:val="00A62314"/>
    <w:rsid w:val="00A62528"/>
    <w:rsid w:val="00A62589"/>
    <w:rsid w:val="00A625EB"/>
    <w:rsid w:val="00A6276E"/>
    <w:rsid w:val="00A6292B"/>
    <w:rsid w:val="00A62BEC"/>
    <w:rsid w:val="00A62CF0"/>
    <w:rsid w:val="00A62D83"/>
    <w:rsid w:val="00A62F78"/>
    <w:rsid w:val="00A62FE5"/>
    <w:rsid w:val="00A63226"/>
    <w:rsid w:val="00A632EC"/>
    <w:rsid w:val="00A634CA"/>
    <w:rsid w:val="00A635F4"/>
    <w:rsid w:val="00A6367A"/>
    <w:rsid w:val="00A6385D"/>
    <w:rsid w:val="00A638A0"/>
    <w:rsid w:val="00A638CC"/>
    <w:rsid w:val="00A639FC"/>
    <w:rsid w:val="00A63E40"/>
    <w:rsid w:val="00A63FDA"/>
    <w:rsid w:val="00A640A7"/>
    <w:rsid w:val="00A642C5"/>
    <w:rsid w:val="00A6467E"/>
    <w:rsid w:val="00A6469B"/>
    <w:rsid w:val="00A64A61"/>
    <w:rsid w:val="00A64BE8"/>
    <w:rsid w:val="00A64E5B"/>
    <w:rsid w:val="00A64ECE"/>
    <w:rsid w:val="00A650BB"/>
    <w:rsid w:val="00A651B2"/>
    <w:rsid w:val="00A65297"/>
    <w:rsid w:val="00A653DA"/>
    <w:rsid w:val="00A6547D"/>
    <w:rsid w:val="00A655A4"/>
    <w:rsid w:val="00A6583A"/>
    <w:rsid w:val="00A65D19"/>
    <w:rsid w:val="00A65E1E"/>
    <w:rsid w:val="00A65E94"/>
    <w:rsid w:val="00A65F87"/>
    <w:rsid w:val="00A661D4"/>
    <w:rsid w:val="00A664B1"/>
    <w:rsid w:val="00A664B2"/>
    <w:rsid w:val="00A6683D"/>
    <w:rsid w:val="00A669EE"/>
    <w:rsid w:val="00A66B2A"/>
    <w:rsid w:val="00A66B98"/>
    <w:rsid w:val="00A6720D"/>
    <w:rsid w:val="00A673F2"/>
    <w:rsid w:val="00A6771F"/>
    <w:rsid w:val="00A677D5"/>
    <w:rsid w:val="00A67BC2"/>
    <w:rsid w:val="00A67F21"/>
    <w:rsid w:val="00A67F96"/>
    <w:rsid w:val="00A702BE"/>
    <w:rsid w:val="00A712DB"/>
    <w:rsid w:val="00A713EA"/>
    <w:rsid w:val="00A71519"/>
    <w:rsid w:val="00A717EF"/>
    <w:rsid w:val="00A718A7"/>
    <w:rsid w:val="00A71B40"/>
    <w:rsid w:val="00A71BA3"/>
    <w:rsid w:val="00A71BB8"/>
    <w:rsid w:val="00A721EF"/>
    <w:rsid w:val="00A728EC"/>
    <w:rsid w:val="00A72ADA"/>
    <w:rsid w:val="00A72E45"/>
    <w:rsid w:val="00A72F5E"/>
    <w:rsid w:val="00A73098"/>
    <w:rsid w:val="00A7310F"/>
    <w:rsid w:val="00A73502"/>
    <w:rsid w:val="00A737EB"/>
    <w:rsid w:val="00A739EA"/>
    <w:rsid w:val="00A73A13"/>
    <w:rsid w:val="00A73BE6"/>
    <w:rsid w:val="00A73CAE"/>
    <w:rsid w:val="00A73DA8"/>
    <w:rsid w:val="00A74055"/>
    <w:rsid w:val="00A74655"/>
    <w:rsid w:val="00A747D6"/>
    <w:rsid w:val="00A74B6C"/>
    <w:rsid w:val="00A74CA1"/>
    <w:rsid w:val="00A75299"/>
    <w:rsid w:val="00A755F4"/>
    <w:rsid w:val="00A75621"/>
    <w:rsid w:val="00A756E2"/>
    <w:rsid w:val="00A756F1"/>
    <w:rsid w:val="00A75933"/>
    <w:rsid w:val="00A75DC9"/>
    <w:rsid w:val="00A75F04"/>
    <w:rsid w:val="00A75F0B"/>
    <w:rsid w:val="00A75F0C"/>
    <w:rsid w:val="00A76059"/>
    <w:rsid w:val="00A7610B"/>
    <w:rsid w:val="00A763C6"/>
    <w:rsid w:val="00A76579"/>
    <w:rsid w:val="00A76744"/>
    <w:rsid w:val="00A768FE"/>
    <w:rsid w:val="00A76A0F"/>
    <w:rsid w:val="00A76A46"/>
    <w:rsid w:val="00A76DBD"/>
    <w:rsid w:val="00A76DFC"/>
    <w:rsid w:val="00A76F09"/>
    <w:rsid w:val="00A76F4E"/>
    <w:rsid w:val="00A770FB"/>
    <w:rsid w:val="00A77261"/>
    <w:rsid w:val="00A773DC"/>
    <w:rsid w:val="00A77777"/>
    <w:rsid w:val="00A77833"/>
    <w:rsid w:val="00A778E1"/>
    <w:rsid w:val="00A779F3"/>
    <w:rsid w:val="00A77B63"/>
    <w:rsid w:val="00A77B93"/>
    <w:rsid w:val="00A77C2B"/>
    <w:rsid w:val="00A77CF1"/>
    <w:rsid w:val="00A77E0A"/>
    <w:rsid w:val="00A77EB6"/>
    <w:rsid w:val="00A80213"/>
    <w:rsid w:val="00A8072F"/>
    <w:rsid w:val="00A807BD"/>
    <w:rsid w:val="00A80941"/>
    <w:rsid w:val="00A80986"/>
    <w:rsid w:val="00A80D36"/>
    <w:rsid w:val="00A80DFF"/>
    <w:rsid w:val="00A80F3D"/>
    <w:rsid w:val="00A8125F"/>
    <w:rsid w:val="00A81636"/>
    <w:rsid w:val="00A817DC"/>
    <w:rsid w:val="00A81D8A"/>
    <w:rsid w:val="00A821E7"/>
    <w:rsid w:val="00A8221E"/>
    <w:rsid w:val="00A82374"/>
    <w:rsid w:val="00A8248F"/>
    <w:rsid w:val="00A82C5C"/>
    <w:rsid w:val="00A82C88"/>
    <w:rsid w:val="00A8309F"/>
    <w:rsid w:val="00A83713"/>
    <w:rsid w:val="00A838A0"/>
    <w:rsid w:val="00A83B47"/>
    <w:rsid w:val="00A83FC0"/>
    <w:rsid w:val="00A84203"/>
    <w:rsid w:val="00A84291"/>
    <w:rsid w:val="00A842BB"/>
    <w:rsid w:val="00A84632"/>
    <w:rsid w:val="00A84AF2"/>
    <w:rsid w:val="00A84C07"/>
    <w:rsid w:val="00A84CEA"/>
    <w:rsid w:val="00A84E11"/>
    <w:rsid w:val="00A84EBA"/>
    <w:rsid w:val="00A852D6"/>
    <w:rsid w:val="00A8565F"/>
    <w:rsid w:val="00A85701"/>
    <w:rsid w:val="00A85716"/>
    <w:rsid w:val="00A85924"/>
    <w:rsid w:val="00A85933"/>
    <w:rsid w:val="00A859E2"/>
    <w:rsid w:val="00A85AF5"/>
    <w:rsid w:val="00A85D81"/>
    <w:rsid w:val="00A85E9A"/>
    <w:rsid w:val="00A86080"/>
    <w:rsid w:val="00A86089"/>
    <w:rsid w:val="00A86145"/>
    <w:rsid w:val="00A86541"/>
    <w:rsid w:val="00A866BE"/>
    <w:rsid w:val="00A86D89"/>
    <w:rsid w:val="00A86E10"/>
    <w:rsid w:val="00A8773E"/>
    <w:rsid w:val="00A87806"/>
    <w:rsid w:val="00A87824"/>
    <w:rsid w:val="00A87980"/>
    <w:rsid w:val="00A87C0A"/>
    <w:rsid w:val="00A87F5B"/>
    <w:rsid w:val="00A87F7A"/>
    <w:rsid w:val="00A9033F"/>
    <w:rsid w:val="00A90436"/>
    <w:rsid w:val="00A90513"/>
    <w:rsid w:val="00A90534"/>
    <w:rsid w:val="00A90948"/>
    <w:rsid w:val="00A909D8"/>
    <w:rsid w:val="00A90CF2"/>
    <w:rsid w:val="00A91270"/>
    <w:rsid w:val="00A914B6"/>
    <w:rsid w:val="00A915E3"/>
    <w:rsid w:val="00A91642"/>
    <w:rsid w:val="00A918A9"/>
    <w:rsid w:val="00A91B01"/>
    <w:rsid w:val="00A9213E"/>
    <w:rsid w:val="00A92148"/>
    <w:rsid w:val="00A92473"/>
    <w:rsid w:val="00A92603"/>
    <w:rsid w:val="00A92722"/>
    <w:rsid w:val="00A92A11"/>
    <w:rsid w:val="00A92A14"/>
    <w:rsid w:val="00A92A8B"/>
    <w:rsid w:val="00A92B13"/>
    <w:rsid w:val="00A92B30"/>
    <w:rsid w:val="00A92E00"/>
    <w:rsid w:val="00A92E6E"/>
    <w:rsid w:val="00A92F6B"/>
    <w:rsid w:val="00A930D0"/>
    <w:rsid w:val="00A938E7"/>
    <w:rsid w:val="00A93CEF"/>
    <w:rsid w:val="00A93F25"/>
    <w:rsid w:val="00A94143"/>
    <w:rsid w:val="00A94382"/>
    <w:rsid w:val="00A945CF"/>
    <w:rsid w:val="00A94681"/>
    <w:rsid w:val="00A9480D"/>
    <w:rsid w:val="00A94A88"/>
    <w:rsid w:val="00A9500B"/>
    <w:rsid w:val="00A95196"/>
    <w:rsid w:val="00A95489"/>
    <w:rsid w:val="00A9563A"/>
    <w:rsid w:val="00A9572D"/>
    <w:rsid w:val="00A958D1"/>
    <w:rsid w:val="00A9599B"/>
    <w:rsid w:val="00A959B4"/>
    <w:rsid w:val="00A959D5"/>
    <w:rsid w:val="00A95A3A"/>
    <w:rsid w:val="00A95B5B"/>
    <w:rsid w:val="00A95DEB"/>
    <w:rsid w:val="00A95E9C"/>
    <w:rsid w:val="00A960EC"/>
    <w:rsid w:val="00A962E5"/>
    <w:rsid w:val="00A96497"/>
    <w:rsid w:val="00A969AA"/>
    <w:rsid w:val="00A96BDF"/>
    <w:rsid w:val="00A96E55"/>
    <w:rsid w:val="00A96EC3"/>
    <w:rsid w:val="00A970C0"/>
    <w:rsid w:val="00A97AF4"/>
    <w:rsid w:val="00A97D27"/>
    <w:rsid w:val="00A97F12"/>
    <w:rsid w:val="00AA00B5"/>
    <w:rsid w:val="00AA027F"/>
    <w:rsid w:val="00AA034B"/>
    <w:rsid w:val="00AA046C"/>
    <w:rsid w:val="00AA08CA"/>
    <w:rsid w:val="00AA0B99"/>
    <w:rsid w:val="00AA0D11"/>
    <w:rsid w:val="00AA0DCB"/>
    <w:rsid w:val="00AA152A"/>
    <w:rsid w:val="00AA1575"/>
    <w:rsid w:val="00AA15CF"/>
    <w:rsid w:val="00AA181E"/>
    <w:rsid w:val="00AA184A"/>
    <w:rsid w:val="00AA1DEA"/>
    <w:rsid w:val="00AA2330"/>
    <w:rsid w:val="00AA2596"/>
    <w:rsid w:val="00AA3055"/>
    <w:rsid w:val="00AA32D5"/>
    <w:rsid w:val="00AA33E8"/>
    <w:rsid w:val="00AA3418"/>
    <w:rsid w:val="00AA3529"/>
    <w:rsid w:val="00AA3912"/>
    <w:rsid w:val="00AA3BD3"/>
    <w:rsid w:val="00AA3FA7"/>
    <w:rsid w:val="00AA3FAB"/>
    <w:rsid w:val="00AA4076"/>
    <w:rsid w:val="00AA4106"/>
    <w:rsid w:val="00AA4111"/>
    <w:rsid w:val="00AA4525"/>
    <w:rsid w:val="00AA4528"/>
    <w:rsid w:val="00AA4840"/>
    <w:rsid w:val="00AA4AC0"/>
    <w:rsid w:val="00AA4C56"/>
    <w:rsid w:val="00AA5257"/>
    <w:rsid w:val="00AA52F2"/>
    <w:rsid w:val="00AA588C"/>
    <w:rsid w:val="00AA5C41"/>
    <w:rsid w:val="00AA5D22"/>
    <w:rsid w:val="00AA5EA0"/>
    <w:rsid w:val="00AA6068"/>
    <w:rsid w:val="00AA6123"/>
    <w:rsid w:val="00AA6424"/>
    <w:rsid w:val="00AA64F2"/>
    <w:rsid w:val="00AA659A"/>
    <w:rsid w:val="00AA66C7"/>
    <w:rsid w:val="00AA696B"/>
    <w:rsid w:val="00AA6A46"/>
    <w:rsid w:val="00AA6B20"/>
    <w:rsid w:val="00AA6BCD"/>
    <w:rsid w:val="00AA763D"/>
    <w:rsid w:val="00AA7644"/>
    <w:rsid w:val="00AA773D"/>
    <w:rsid w:val="00AA7A47"/>
    <w:rsid w:val="00AA7B5A"/>
    <w:rsid w:val="00AA7BE3"/>
    <w:rsid w:val="00AA7E61"/>
    <w:rsid w:val="00AB0489"/>
    <w:rsid w:val="00AB0B3C"/>
    <w:rsid w:val="00AB100D"/>
    <w:rsid w:val="00AB131B"/>
    <w:rsid w:val="00AB1587"/>
    <w:rsid w:val="00AB1670"/>
    <w:rsid w:val="00AB1B1F"/>
    <w:rsid w:val="00AB1C4A"/>
    <w:rsid w:val="00AB1E44"/>
    <w:rsid w:val="00AB21B2"/>
    <w:rsid w:val="00AB21CA"/>
    <w:rsid w:val="00AB221B"/>
    <w:rsid w:val="00AB25A6"/>
    <w:rsid w:val="00AB2865"/>
    <w:rsid w:val="00AB29E5"/>
    <w:rsid w:val="00AB2AE3"/>
    <w:rsid w:val="00AB305E"/>
    <w:rsid w:val="00AB307D"/>
    <w:rsid w:val="00AB31C9"/>
    <w:rsid w:val="00AB344B"/>
    <w:rsid w:val="00AB3B50"/>
    <w:rsid w:val="00AB3E46"/>
    <w:rsid w:val="00AB40AF"/>
    <w:rsid w:val="00AB4174"/>
    <w:rsid w:val="00AB427B"/>
    <w:rsid w:val="00AB4443"/>
    <w:rsid w:val="00AB44FF"/>
    <w:rsid w:val="00AB463E"/>
    <w:rsid w:val="00AB489B"/>
    <w:rsid w:val="00AB4ADE"/>
    <w:rsid w:val="00AB4BCC"/>
    <w:rsid w:val="00AB517A"/>
    <w:rsid w:val="00AB525B"/>
    <w:rsid w:val="00AB52E2"/>
    <w:rsid w:val="00AB5306"/>
    <w:rsid w:val="00AB55F6"/>
    <w:rsid w:val="00AB576B"/>
    <w:rsid w:val="00AB57FA"/>
    <w:rsid w:val="00AB5A03"/>
    <w:rsid w:val="00AB5B2D"/>
    <w:rsid w:val="00AB5B35"/>
    <w:rsid w:val="00AB616F"/>
    <w:rsid w:val="00AB6234"/>
    <w:rsid w:val="00AB695B"/>
    <w:rsid w:val="00AB6A17"/>
    <w:rsid w:val="00AB6E5E"/>
    <w:rsid w:val="00AB7099"/>
    <w:rsid w:val="00AB723E"/>
    <w:rsid w:val="00AB739A"/>
    <w:rsid w:val="00AB7452"/>
    <w:rsid w:val="00AB75EC"/>
    <w:rsid w:val="00AB7887"/>
    <w:rsid w:val="00AB7AAE"/>
    <w:rsid w:val="00AB7B73"/>
    <w:rsid w:val="00AB7CCA"/>
    <w:rsid w:val="00AC0317"/>
    <w:rsid w:val="00AC0721"/>
    <w:rsid w:val="00AC08ED"/>
    <w:rsid w:val="00AC0947"/>
    <w:rsid w:val="00AC0EAE"/>
    <w:rsid w:val="00AC0EF6"/>
    <w:rsid w:val="00AC0FA7"/>
    <w:rsid w:val="00AC1B7C"/>
    <w:rsid w:val="00AC1DF2"/>
    <w:rsid w:val="00AC2287"/>
    <w:rsid w:val="00AC22FC"/>
    <w:rsid w:val="00AC253E"/>
    <w:rsid w:val="00AC2AC8"/>
    <w:rsid w:val="00AC2AFE"/>
    <w:rsid w:val="00AC2D9D"/>
    <w:rsid w:val="00AC2EF3"/>
    <w:rsid w:val="00AC2FBF"/>
    <w:rsid w:val="00AC3022"/>
    <w:rsid w:val="00AC32FC"/>
    <w:rsid w:val="00AC367B"/>
    <w:rsid w:val="00AC368D"/>
    <w:rsid w:val="00AC3ADB"/>
    <w:rsid w:val="00AC3CD7"/>
    <w:rsid w:val="00AC3FB5"/>
    <w:rsid w:val="00AC40E7"/>
    <w:rsid w:val="00AC420C"/>
    <w:rsid w:val="00AC4290"/>
    <w:rsid w:val="00AC47D6"/>
    <w:rsid w:val="00AC485E"/>
    <w:rsid w:val="00AC4AA5"/>
    <w:rsid w:val="00AC4D0C"/>
    <w:rsid w:val="00AC4F1B"/>
    <w:rsid w:val="00AC53F0"/>
    <w:rsid w:val="00AC560E"/>
    <w:rsid w:val="00AC5EFD"/>
    <w:rsid w:val="00AC5F72"/>
    <w:rsid w:val="00AC618B"/>
    <w:rsid w:val="00AC637F"/>
    <w:rsid w:val="00AC662B"/>
    <w:rsid w:val="00AC68AF"/>
    <w:rsid w:val="00AC6DCF"/>
    <w:rsid w:val="00AC7128"/>
    <w:rsid w:val="00AC7214"/>
    <w:rsid w:val="00AC7295"/>
    <w:rsid w:val="00AC7317"/>
    <w:rsid w:val="00AC73DC"/>
    <w:rsid w:val="00AC7755"/>
    <w:rsid w:val="00AC779F"/>
    <w:rsid w:val="00AC7AB6"/>
    <w:rsid w:val="00AC7BA4"/>
    <w:rsid w:val="00AC7BB2"/>
    <w:rsid w:val="00AC7CA5"/>
    <w:rsid w:val="00AD0360"/>
    <w:rsid w:val="00AD04A3"/>
    <w:rsid w:val="00AD054E"/>
    <w:rsid w:val="00AD0636"/>
    <w:rsid w:val="00AD0A7C"/>
    <w:rsid w:val="00AD0FB4"/>
    <w:rsid w:val="00AD10E7"/>
    <w:rsid w:val="00AD1674"/>
    <w:rsid w:val="00AD16FA"/>
    <w:rsid w:val="00AD1A4A"/>
    <w:rsid w:val="00AD1AB2"/>
    <w:rsid w:val="00AD1C82"/>
    <w:rsid w:val="00AD1C89"/>
    <w:rsid w:val="00AD1DC3"/>
    <w:rsid w:val="00AD1EFD"/>
    <w:rsid w:val="00AD211C"/>
    <w:rsid w:val="00AD2304"/>
    <w:rsid w:val="00AD24D1"/>
    <w:rsid w:val="00AD27DF"/>
    <w:rsid w:val="00AD281F"/>
    <w:rsid w:val="00AD2A75"/>
    <w:rsid w:val="00AD2AA9"/>
    <w:rsid w:val="00AD2BCB"/>
    <w:rsid w:val="00AD2DE7"/>
    <w:rsid w:val="00AD2E1C"/>
    <w:rsid w:val="00AD30B7"/>
    <w:rsid w:val="00AD3470"/>
    <w:rsid w:val="00AD3599"/>
    <w:rsid w:val="00AD38BF"/>
    <w:rsid w:val="00AD3913"/>
    <w:rsid w:val="00AD399C"/>
    <w:rsid w:val="00AD3C27"/>
    <w:rsid w:val="00AD3C84"/>
    <w:rsid w:val="00AD41E1"/>
    <w:rsid w:val="00AD425A"/>
    <w:rsid w:val="00AD4293"/>
    <w:rsid w:val="00AD429B"/>
    <w:rsid w:val="00AD4342"/>
    <w:rsid w:val="00AD44FB"/>
    <w:rsid w:val="00AD45B8"/>
    <w:rsid w:val="00AD4814"/>
    <w:rsid w:val="00AD48FB"/>
    <w:rsid w:val="00AD4940"/>
    <w:rsid w:val="00AD4A4F"/>
    <w:rsid w:val="00AD4BB8"/>
    <w:rsid w:val="00AD4FF7"/>
    <w:rsid w:val="00AD50AC"/>
    <w:rsid w:val="00AD52E3"/>
    <w:rsid w:val="00AD5566"/>
    <w:rsid w:val="00AD55D6"/>
    <w:rsid w:val="00AD5766"/>
    <w:rsid w:val="00AD58B5"/>
    <w:rsid w:val="00AD59CA"/>
    <w:rsid w:val="00AD5DAD"/>
    <w:rsid w:val="00AD5F5A"/>
    <w:rsid w:val="00AD627B"/>
    <w:rsid w:val="00AD64C7"/>
    <w:rsid w:val="00AD6812"/>
    <w:rsid w:val="00AD68EE"/>
    <w:rsid w:val="00AD6A44"/>
    <w:rsid w:val="00AD6BB3"/>
    <w:rsid w:val="00AD6C12"/>
    <w:rsid w:val="00AD742F"/>
    <w:rsid w:val="00AD7662"/>
    <w:rsid w:val="00AD76C7"/>
    <w:rsid w:val="00AD77AF"/>
    <w:rsid w:val="00AD799B"/>
    <w:rsid w:val="00AD7D75"/>
    <w:rsid w:val="00AE0424"/>
    <w:rsid w:val="00AE04D1"/>
    <w:rsid w:val="00AE067F"/>
    <w:rsid w:val="00AE0AAA"/>
    <w:rsid w:val="00AE107E"/>
    <w:rsid w:val="00AE1159"/>
    <w:rsid w:val="00AE11BB"/>
    <w:rsid w:val="00AE120C"/>
    <w:rsid w:val="00AE146B"/>
    <w:rsid w:val="00AE1497"/>
    <w:rsid w:val="00AE151E"/>
    <w:rsid w:val="00AE152F"/>
    <w:rsid w:val="00AE1913"/>
    <w:rsid w:val="00AE1A15"/>
    <w:rsid w:val="00AE1ABE"/>
    <w:rsid w:val="00AE2062"/>
    <w:rsid w:val="00AE2100"/>
    <w:rsid w:val="00AE2116"/>
    <w:rsid w:val="00AE220E"/>
    <w:rsid w:val="00AE2346"/>
    <w:rsid w:val="00AE29F2"/>
    <w:rsid w:val="00AE2CDD"/>
    <w:rsid w:val="00AE3068"/>
    <w:rsid w:val="00AE30E5"/>
    <w:rsid w:val="00AE3170"/>
    <w:rsid w:val="00AE3234"/>
    <w:rsid w:val="00AE34CE"/>
    <w:rsid w:val="00AE379C"/>
    <w:rsid w:val="00AE37D6"/>
    <w:rsid w:val="00AE395A"/>
    <w:rsid w:val="00AE39B3"/>
    <w:rsid w:val="00AE3BB5"/>
    <w:rsid w:val="00AE3C97"/>
    <w:rsid w:val="00AE3F63"/>
    <w:rsid w:val="00AE3F8A"/>
    <w:rsid w:val="00AE44DA"/>
    <w:rsid w:val="00AE4714"/>
    <w:rsid w:val="00AE471A"/>
    <w:rsid w:val="00AE48C1"/>
    <w:rsid w:val="00AE4C5C"/>
    <w:rsid w:val="00AE4CCB"/>
    <w:rsid w:val="00AE548D"/>
    <w:rsid w:val="00AE54AE"/>
    <w:rsid w:val="00AE5524"/>
    <w:rsid w:val="00AE5608"/>
    <w:rsid w:val="00AE5B17"/>
    <w:rsid w:val="00AE6051"/>
    <w:rsid w:val="00AE629B"/>
    <w:rsid w:val="00AE65C6"/>
    <w:rsid w:val="00AE683D"/>
    <w:rsid w:val="00AE68FF"/>
    <w:rsid w:val="00AE6AD7"/>
    <w:rsid w:val="00AE6B99"/>
    <w:rsid w:val="00AE6BDD"/>
    <w:rsid w:val="00AE6E6F"/>
    <w:rsid w:val="00AE6EA7"/>
    <w:rsid w:val="00AE70CD"/>
    <w:rsid w:val="00AE741F"/>
    <w:rsid w:val="00AE7520"/>
    <w:rsid w:val="00AE7568"/>
    <w:rsid w:val="00AE76A3"/>
    <w:rsid w:val="00AE778B"/>
    <w:rsid w:val="00AE79B7"/>
    <w:rsid w:val="00AE79C7"/>
    <w:rsid w:val="00AE7ABC"/>
    <w:rsid w:val="00AE7C5E"/>
    <w:rsid w:val="00AE7F4E"/>
    <w:rsid w:val="00AE7F7C"/>
    <w:rsid w:val="00AF0528"/>
    <w:rsid w:val="00AF069D"/>
    <w:rsid w:val="00AF073F"/>
    <w:rsid w:val="00AF0862"/>
    <w:rsid w:val="00AF094F"/>
    <w:rsid w:val="00AF0DE2"/>
    <w:rsid w:val="00AF0E9D"/>
    <w:rsid w:val="00AF0F24"/>
    <w:rsid w:val="00AF0FBE"/>
    <w:rsid w:val="00AF1058"/>
    <w:rsid w:val="00AF13DF"/>
    <w:rsid w:val="00AF1773"/>
    <w:rsid w:val="00AF1810"/>
    <w:rsid w:val="00AF1B98"/>
    <w:rsid w:val="00AF1DDF"/>
    <w:rsid w:val="00AF2178"/>
    <w:rsid w:val="00AF22FD"/>
    <w:rsid w:val="00AF2AE0"/>
    <w:rsid w:val="00AF2B40"/>
    <w:rsid w:val="00AF2D1D"/>
    <w:rsid w:val="00AF2E0C"/>
    <w:rsid w:val="00AF30C0"/>
    <w:rsid w:val="00AF3142"/>
    <w:rsid w:val="00AF346A"/>
    <w:rsid w:val="00AF3AB5"/>
    <w:rsid w:val="00AF3AC8"/>
    <w:rsid w:val="00AF3C0F"/>
    <w:rsid w:val="00AF3D27"/>
    <w:rsid w:val="00AF3D68"/>
    <w:rsid w:val="00AF3E57"/>
    <w:rsid w:val="00AF4455"/>
    <w:rsid w:val="00AF450C"/>
    <w:rsid w:val="00AF4581"/>
    <w:rsid w:val="00AF45C8"/>
    <w:rsid w:val="00AF4696"/>
    <w:rsid w:val="00AF4924"/>
    <w:rsid w:val="00AF49C0"/>
    <w:rsid w:val="00AF4A1C"/>
    <w:rsid w:val="00AF4B05"/>
    <w:rsid w:val="00AF4CB8"/>
    <w:rsid w:val="00AF4D8F"/>
    <w:rsid w:val="00AF5023"/>
    <w:rsid w:val="00AF5099"/>
    <w:rsid w:val="00AF5A0F"/>
    <w:rsid w:val="00AF5B33"/>
    <w:rsid w:val="00AF60FF"/>
    <w:rsid w:val="00AF61D0"/>
    <w:rsid w:val="00AF6304"/>
    <w:rsid w:val="00AF63D1"/>
    <w:rsid w:val="00AF65E5"/>
    <w:rsid w:val="00AF67B9"/>
    <w:rsid w:val="00AF67E4"/>
    <w:rsid w:val="00AF688A"/>
    <w:rsid w:val="00AF6F1A"/>
    <w:rsid w:val="00AF76E2"/>
    <w:rsid w:val="00AF7A20"/>
    <w:rsid w:val="00AF7CEB"/>
    <w:rsid w:val="00AF7D3A"/>
    <w:rsid w:val="00AF7EF2"/>
    <w:rsid w:val="00AF7FBC"/>
    <w:rsid w:val="00B00057"/>
    <w:rsid w:val="00B002C0"/>
    <w:rsid w:val="00B00318"/>
    <w:rsid w:val="00B0036C"/>
    <w:rsid w:val="00B00654"/>
    <w:rsid w:val="00B006B4"/>
    <w:rsid w:val="00B00700"/>
    <w:rsid w:val="00B0076B"/>
    <w:rsid w:val="00B007BB"/>
    <w:rsid w:val="00B0085B"/>
    <w:rsid w:val="00B00BD1"/>
    <w:rsid w:val="00B00CCE"/>
    <w:rsid w:val="00B00D6B"/>
    <w:rsid w:val="00B00ECC"/>
    <w:rsid w:val="00B01357"/>
    <w:rsid w:val="00B01623"/>
    <w:rsid w:val="00B017A1"/>
    <w:rsid w:val="00B01A1D"/>
    <w:rsid w:val="00B01AB6"/>
    <w:rsid w:val="00B01B53"/>
    <w:rsid w:val="00B01C52"/>
    <w:rsid w:val="00B01D64"/>
    <w:rsid w:val="00B01FBA"/>
    <w:rsid w:val="00B020B9"/>
    <w:rsid w:val="00B0215B"/>
    <w:rsid w:val="00B02B53"/>
    <w:rsid w:val="00B02EE6"/>
    <w:rsid w:val="00B03529"/>
    <w:rsid w:val="00B03604"/>
    <w:rsid w:val="00B038F4"/>
    <w:rsid w:val="00B03D34"/>
    <w:rsid w:val="00B03E19"/>
    <w:rsid w:val="00B041F4"/>
    <w:rsid w:val="00B04248"/>
    <w:rsid w:val="00B0445B"/>
    <w:rsid w:val="00B046D0"/>
    <w:rsid w:val="00B04908"/>
    <w:rsid w:val="00B04F50"/>
    <w:rsid w:val="00B054ED"/>
    <w:rsid w:val="00B0552B"/>
    <w:rsid w:val="00B0563D"/>
    <w:rsid w:val="00B056E5"/>
    <w:rsid w:val="00B057EA"/>
    <w:rsid w:val="00B058B5"/>
    <w:rsid w:val="00B05AFA"/>
    <w:rsid w:val="00B060EF"/>
    <w:rsid w:val="00B0610F"/>
    <w:rsid w:val="00B06276"/>
    <w:rsid w:val="00B06EBF"/>
    <w:rsid w:val="00B06EFF"/>
    <w:rsid w:val="00B06FA9"/>
    <w:rsid w:val="00B06FC3"/>
    <w:rsid w:val="00B07085"/>
    <w:rsid w:val="00B0734C"/>
    <w:rsid w:val="00B075AA"/>
    <w:rsid w:val="00B07808"/>
    <w:rsid w:val="00B078BB"/>
    <w:rsid w:val="00B079AE"/>
    <w:rsid w:val="00B07A1A"/>
    <w:rsid w:val="00B07BA1"/>
    <w:rsid w:val="00B07BE0"/>
    <w:rsid w:val="00B07C50"/>
    <w:rsid w:val="00B101BA"/>
    <w:rsid w:val="00B104B4"/>
    <w:rsid w:val="00B1065F"/>
    <w:rsid w:val="00B10736"/>
    <w:rsid w:val="00B10800"/>
    <w:rsid w:val="00B10BDA"/>
    <w:rsid w:val="00B10DB3"/>
    <w:rsid w:val="00B11449"/>
    <w:rsid w:val="00B11582"/>
    <w:rsid w:val="00B11653"/>
    <w:rsid w:val="00B11A73"/>
    <w:rsid w:val="00B11B3F"/>
    <w:rsid w:val="00B11D35"/>
    <w:rsid w:val="00B11E99"/>
    <w:rsid w:val="00B11EAE"/>
    <w:rsid w:val="00B11F6E"/>
    <w:rsid w:val="00B122A5"/>
    <w:rsid w:val="00B1235F"/>
    <w:rsid w:val="00B1263E"/>
    <w:rsid w:val="00B12666"/>
    <w:rsid w:val="00B12747"/>
    <w:rsid w:val="00B1291E"/>
    <w:rsid w:val="00B12AFB"/>
    <w:rsid w:val="00B12BF8"/>
    <w:rsid w:val="00B13035"/>
    <w:rsid w:val="00B134D7"/>
    <w:rsid w:val="00B135AB"/>
    <w:rsid w:val="00B1363A"/>
    <w:rsid w:val="00B13F3B"/>
    <w:rsid w:val="00B144D1"/>
    <w:rsid w:val="00B146F8"/>
    <w:rsid w:val="00B14A59"/>
    <w:rsid w:val="00B14FD4"/>
    <w:rsid w:val="00B1512A"/>
    <w:rsid w:val="00B15132"/>
    <w:rsid w:val="00B15135"/>
    <w:rsid w:val="00B15259"/>
    <w:rsid w:val="00B157E5"/>
    <w:rsid w:val="00B15894"/>
    <w:rsid w:val="00B158E2"/>
    <w:rsid w:val="00B15B32"/>
    <w:rsid w:val="00B15CF2"/>
    <w:rsid w:val="00B15FD2"/>
    <w:rsid w:val="00B160F2"/>
    <w:rsid w:val="00B1613D"/>
    <w:rsid w:val="00B161BC"/>
    <w:rsid w:val="00B1642C"/>
    <w:rsid w:val="00B1671D"/>
    <w:rsid w:val="00B16ACB"/>
    <w:rsid w:val="00B16CC7"/>
    <w:rsid w:val="00B16E61"/>
    <w:rsid w:val="00B16FA8"/>
    <w:rsid w:val="00B17340"/>
    <w:rsid w:val="00B17828"/>
    <w:rsid w:val="00B17C79"/>
    <w:rsid w:val="00B17E17"/>
    <w:rsid w:val="00B17E70"/>
    <w:rsid w:val="00B17F81"/>
    <w:rsid w:val="00B20133"/>
    <w:rsid w:val="00B201D8"/>
    <w:rsid w:val="00B20307"/>
    <w:rsid w:val="00B2044B"/>
    <w:rsid w:val="00B20559"/>
    <w:rsid w:val="00B20656"/>
    <w:rsid w:val="00B206DB"/>
    <w:rsid w:val="00B20A08"/>
    <w:rsid w:val="00B20B42"/>
    <w:rsid w:val="00B20CF1"/>
    <w:rsid w:val="00B20F1D"/>
    <w:rsid w:val="00B212A9"/>
    <w:rsid w:val="00B2139E"/>
    <w:rsid w:val="00B213EC"/>
    <w:rsid w:val="00B214AE"/>
    <w:rsid w:val="00B21727"/>
    <w:rsid w:val="00B21753"/>
    <w:rsid w:val="00B21CEE"/>
    <w:rsid w:val="00B21D4E"/>
    <w:rsid w:val="00B22255"/>
    <w:rsid w:val="00B224A5"/>
    <w:rsid w:val="00B2283A"/>
    <w:rsid w:val="00B22C35"/>
    <w:rsid w:val="00B23245"/>
    <w:rsid w:val="00B234D7"/>
    <w:rsid w:val="00B2375C"/>
    <w:rsid w:val="00B23A81"/>
    <w:rsid w:val="00B23AF3"/>
    <w:rsid w:val="00B23BAA"/>
    <w:rsid w:val="00B23C33"/>
    <w:rsid w:val="00B23DE6"/>
    <w:rsid w:val="00B23E64"/>
    <w:rsid w:val="00B241FA"/>
    <w:rsid w:val="00B24334"/>
    <w:rsid w:val="00B243F2"/>
    <w:rsid w:val="00B24613"/>
    <w:rsid w:val="00B2468D"/>
    <w:rsid w:val="00B24885"/>
    <w:rsid w:val="00B248DB"/>
    <w:rsid w:val="00B24ABF"/>
    <w:rsid w:val="00B24B08"/>
    <w:rsid w:val="00B25032"/>
    <w:rsid w:val="00B250B8"/>
    <w:rsid w:val="00B2511E"/>
    <w:rsid w:val="00B2527F"/>
    <w:rsid w:val="00B2532F"/>
    <w:rsid w:val="00B25385"/>
    <w:rsid w:val="00B253F8"/>
    <w:rsid w:val="00B25516"/>
    <w:rsid w:val="00B2559B"/>
    <w:rsid w:val="00B25757"/>
    <w:rsid w:val="00B25849"/>
    <w:rsid w:val="00B25A32"/>
    <w:rsid w:val="00B25C4F"/>
    <w:rsid w:val="00B25D4E"/>
    <w:rsid w:val="00B25F8E"/>
    <w:rsid w:val="00B2622D"/>
    <w:rsid w:val="00B26654"/>
    <w:rsid w:val="00B268A1"/>
    <w:rsid w:val="00B27183"/>
    <w:rsid w:val="00B2728F"/>
    <w:rsid w:val="00B27508"/>
    <w:rsid w:val="00B27598"/>
    <w:rsid w:val="00B277AF"/>
    <w:rsid w:val="00B27B85"/>
    <w:rsid w:val="00B27DDF"/>
    <w:rsid w:val="00B302CC"/>
    <w:rsid w:val="00B3033A"/>
    <w:rsid w:val="00B303A0"/>
    <w:rsid w:val="00B30493"/>
    <w:rsid w:val="00B308B2"/>
    <w:rsid w:val="00B309A3"/>
    <w:rsid w:val="00B30BD7"/>
    <w:rsid w:val="00B3116D"/>
    <w:rsid w:val="00B3121C"/>
    <w:rsid w:val="00B3131A"/>
    <w:rsid w:val="00B315AF"/>
    <w:rsid w:val="00B316A5"/>
    <w:rsid w:val="00B31739"/>
    <w:rsid w:val="00B31838"/>
    <w:rsid w:val="00B31B3B"/>
    <w:rsid w:val="00B31CB4"/>
    <w:rsid w:val="00B31F63"/>
    <w:rsid w:val="00B3202C"/>
    <w:rsid w:val="00B32063"/>
    <w:rsid w:val="00B32551"/>
    <w:rsid w:val="00B32632"/>
    <w:rsid w:val="00B327A7"/>
    <w:rsid w:val="00B32AA1"/>
    <w:rsid w:val="00B32DBE"/>
    <w:rsid w:val="00B333EB"/>
    <w:rsid w:val="00B33634"/>
    <w:rsid w:val="00B33726"/>
    <w:rsid w:val="00B3376A"/>
    <w:rsid w:val="00B33881"/>
    <w:rsid w:val="00B33980"/>
    <w:rsid w:val="00B33C62"/>
    <w:rsid w:val="00B33F7B"/>
    <w:rsid w:val="00B3419A"/>
    <w:rsid w:val="00B34565"/>
    <w:rsid w:val="00B3472D"/>
    <w:rsid w:val="00B34A3A"/>
    <w:rsid w:val="00B34E5B"/>
    <w:rsid w:val="00B34E68"/>
    <w:rsid w:val="00B34FED"/>
    <w:rsid w:val="00B352AC"/>
    <w:rsid w:val="00B353F9"/>
    <w:rsid w:val="00B3585B"/>
    <w:rsid w:val="00B35E06"/>
    <w:rsid w:val="00B35E79"/>
    <w:rsid w:val="00B3653D"/>
    <w:rsid w:val="00B36794"/>
    <w:rsid w:val="00B36877"/>
    <w:rsid w:val="00B36E35"/>
    <w:rsid w:val="00B36EC1"/>
    <w:rsid w:val="00B37214"/>
    <w:rsid w:val="00B374D9"/>
    <w:rsid w:val="00B375F5"/>
    <w:rsid w:val="00B37A72"/>
    <w:rsid w:val="00B37D4B"/>
    <w:rsid w:val="00B37E1C"/>
    <w:rsid w:val="00B37FB5"/>
    <w:rsid w:val="00B40058"/>
    <w:rsid w:val="00B4017C"/>
    <w:rsid w:val="00B4074C"/>
    <w:rsid w:val="00B4075E"/>
    <w:rsid w:val="00B40B66"/>
    <w:rsid w:val="00B40CE7"/>
    <w:rsid w:val="00B411FB"/>
    <w:rsid w:val="00B413C5"/>
    <w:rsid w:val="00B4163F"/>
    <w:rsid w:val="00B41EFF"/>
    <w:rsid w:val="00B421D8"/>
    <w:rsid w:val="00B42425"/>
    <w:rsid w:val="00B42764"/>
    <w:rsid w:val="00B42896"/>
    <w:rsid w:val="00B42E50"/>
    <w:rsid w:val="00B42FB5"/>
    <w:rsid w:val="00B433B8"/>
    <w:rsid w:val="00B43406"/>
    <w:rsid w:val="00B43504"/>
    <w:rsid w:val="00B43793"/>
    <w:rsid w:val="00B43893"/>
    <w:rsid w:val="00B439E3"/>
    <w:rsid w:val="00B43A74"/>
    <w:rsid w:val="00B43B0E"/>
    <w:rsid w:val="00B43CD2"/>
    <w:rsid w:val="00B43F43"/>
    <w:rsid w:val="00B43FE7"/>
    <w:rsid w:val="00B441CD"/>
    <w:rsid w:val="00B44402"/>
    <w:rsid w:val="00B4442A"/>
    <w:rsid w:val="00B44865"/>
    <w:rsid w:val="00B4498E"/>
    <w:rsid w:val="00B44D38"/>
    <w:rsid w:val="00B44E2E"/>
    <w:rsid w:val="00B4525B"/>
    <w:rsid w:val="00B45467"/>
    <w:rsid w:val="00B45857"/>
    <w:rsid w:val="00B45998"/>
    <w:rsid w:val="00B45A16"/>
    <w:rsid w:val="00B45D01"/>
    <w:rsid w:val="00B45F3B"/>
    <w:rsid w:val="00B45FFB"/>
    <w:rsid w:val="00B461F9"/>
    <w:rsid w:val="00B46301"/>
    <w:rsid w:val="00B464B6"/>
    <w:rsid w:val="00B4654E"/>
    <w:rsid w:val="00B466E2"/>
    <w:rsid w:val="00B46729"/>
    <w:rsid w:val="00B46F7A"/>
    <w:rsid w:val="00B46F96"/>
    <w:rsid w:val="00B46FAA"/>
    <w:rsid w:val="00B47033"/>
    <w:rsid w:val="00B473F8"/>
    <w:rsid w:val="00B474F4"/>
    <w:rsid w:val="00B47600"/>
    <w:rsid w:val="00B478B3"/>
    <w:rsid w:val="00B47C25"/>
    <w:rsid w:val="00B47D47"/>
    <w:rsid w:val="00B47EEA"/>
    <w:rsid w:val="00B503CD"/>
    <w:rsid w:val="00B50462"/>
    <w:rsid w:val="00B5064C"/>
    <w:rsid w:val="00B50FEA"/>
    <w:rsid w:val="00B51243"/>
    <w:rsid w:val="00B5159F"/>
    <w:rsid w:val="00B51654"/>
    <w:rsid w:val="00B5176C"/>
    <w:rsid w:val="00B5183B"/>
    <w:rsid w:val="00B51AD4"/>
    <w:rsid w:val="00B51B3C"/>
    <w:rsid w:val="00B51BFE"/>
    <w:rsid w:val="00B51C45"/>
    <w:rsid w:val="00B51E13"/>
    <w:rsid w:val="00B51E34"/>
    <w:rsid w:val="00B52390"/>
    <w:rsid w:val="00B52401"/>
    <w:rsid w:val="00B52B0C"/>
    <w:rsid w:val="00B52C10"/>
    <w:rsid w:val="00B52CF5"/>
    <w:rsid w:val="00B52D46"/>
    <w:rsid w:val="00B52D55"/>
    <w:rsid w:val="00B52FE8"/>
    <w:rsid w:val="00B530AC"/>
    <w:rsid w:val="00B5319B"/>
    <w:rsid w:val="00B533D3"/>
    <w:rsid w:val="00B533D9"/>
    <w:rsid w:val="00B53882"/>
    <w:rsid w:val="00B53AA9"/>
    <w:rsid w:val="00B53D8E"/>
    <w:rsid w:val="00B53F89"/>
    <w:rsid w:val="00B53F91"/>
    <w:rsid w:val="00B54298"/>
    <w:rsid w:val="00B5429B"/>
    <w:rsid w:val="00B545EE"/>
    <w:rsid w:val="00B548C4"/>
    <w:rsid w:val="00B55016"/>
    <w:rsid w:val="00B55137"/>
    <w:rsid w:val="00B5520F"/>
    <w:rsid w:val="00B552BC"/>
    <w:rsid w:val="00B5547B"/>
    <w:rsid w:val="00B5550D"/>
    <w:rsid w:val="00B556D4"/>
    <w:rsid w:val="00B55C21"/>
    <w:rsid w:val="00B55D5F"/>
    <w:rsid w:val="00B55E1A"/>
    <w:rsid w:val="00B56017"/>
    <w:rsid w:val="00B56023"/>
    <w:rsid w:val="00B56320"/>
    <w:rsid w:val="00B5670F"/>
    <w:rsid w:val="00B56746"/>
    <w:rsid w:val="00B5687F"/>
    <w:rsid w:val="00B5690E"/>
    <w:rsid w:val="00B5698D"/>
    <w:rsid w:val="00B56A70"/>
    <w:rsid w:val="00B56B4F"/>
    <w:rsid w:val="00B56F5B"/>
    <w:rsid w:val="00B56FEA"/>
    <w:rsid w:val="00B57442"/>
    <w:rsid w:val="00B57545"/>
    <w:rsid w:val="00B57D85"/>
    <w:rsid w:val="00B57DDA"/>
    <w:rsid w:val="00B600E7"/>
    <w:rsid w:val="00B603F8"/>
    <w:rsid w:val="00B60498"/>
    <w:rsid w:val="00B6060D"/>
    <w:rsid w:val="00B6066B"/>
    <w:rsid w:val="00B608CA"/>
    <w:rsid w:val="00B60E68"/>
    <w:rsid w:val="00B6104A"/>
    <w:rsid w:val="00B61369"/>
    <w:rsid w:val="00B618E9"/>
    <w:rsid w:val="00B61D10"/>
    <w:rsid w:val="00B61DDE"/>
    <w:rsid w:val="00B620C9"/>
    <w:rsid w:val="00B621DF"/>
    <w:rsid w:val="00B6234C"/>
    <w:rsid w:val="00B62491"/>
    <w:rsid w:val="00B6258D"/>
    <w:rsid w:val="00B62924"/>
    <w:rsid w:val="00B62944"/>
    <w:rsid w:val="00B629D4"/>
    <w:rsid w:val="00B62A06"/>
    <w:rsid w:val="00B62BEB"/>
    <w:rsid w:val="00B62C2F"/>
    <w:rsid w:val="00B62F1E"/>
    <w:rsid w:val="00B6320A"/>
    <w:rsid w:val="00B6348B"/>
    <w:rsid w:val="00B637BE"/>
    <w:rsid w:val="00B637E7"/>
    <w:rsid w:val="00B638A6"/>
    <w:rsid w:val="00B638E8"/>
    <w:rsid w:val="00B63A3A"/>
    <w:rsid w:val="00B63CAD"/>
    <w:rsid w:val="00B63FCE"/>
    <w:rsid w:val="00B63FEE"/>
    <w:rsid w:val="00B64077"/>
    <w:rsid w:val="00B64299"/>
    <w:rsid w:val="00B643FF"/>
    <w:rsid w:val="00B6455C"/>
    <w:rsid w:val="00B64751"/>
    <w:rsid w:val="00B64774"/>
    <w:rsid w:val="00B64865"/>
    <w:rsid w:val="00B64A1C"/>
    <w:rsid w:val="00B64A44"/>
    <w:rsid w:val="00B64E33"/>
    <w:rsid w:val="00B64E67"/>
    <w:rsid w:val="00B64E9B"/>
    <w:rsid w:val="00B65033"/>
    <w:rsid w:val="00B650D6"/>
    <w:rsid w:val="00B65260"/>
    <w:rsid w:val="00B654C1"/>
    <w:rsid w:val="00B654D0"/>
    <w:rsid w:val="00B65536"/>
    <w:rsid w:val="00B65552"/>
    <w:rsid w:val="00B659D3"/>
    <w:rsid w:val="00B65C06"/>
    <w:rsid w:val="00B66205"/>
    <w:rsid w:val="00B66244"/>
    <w:rsid w:val="00B66637"/>
    <w:rsid w:val="00B66D01"/>
    <w:rsid w:val="00B66F07"/>
    <w:rsid w:val="00B67008"/>
    <w:rsid w:val="00B67274"/>
    <w:rsid w:val="00B672BD"/>
    <w:rsid w:val="00B6759E"/>
    <w:rsid w:val="00B677B9"/>
    <w:rsid w:val="00B67A38"/>
    <w:rsid w:val="00B67CCC"/>
    <w:rsid w:val="00B67E58"/>
    <w:rsid w:val="00B70073"/>
    <w:rsid w:val="00B70174"/>
    <w:rsid w:val="00B70350"/>
    <w:rsid w:val="00B703AA"/>
    <w:rsid w:val="00B703F9"/>
    <w:rsid w:val="00B70474"/>
    <w:rsid w:val="00B70AA0"/>
    <w:rsid w:val="00B70BC6"/>
    <w:rsid w:val="00B70C7F"/>
    <w:rsid w:val="00B70DAE"/>
    <w:rsid w:val="00B70F87"/>
    <w:rsid w:val="00B71160"/>
    <w:rsid w:val="00B71330"/>
    <w:rsid w:val="00B7160D"/>
    <w:rsid w:val="00B71795"/>
    <w:rsid w:val="00B71860"/>
    <w:rsid w:val="00B718D7"/>
    <w:rsid w:val="00B71C5E"/>
    <w:rsid w:val="00B71EE3"/>
    <w:rsid w:val="00B71F26"/>
    <w:rsid w:val="00B71F68"/>
    <w:rsid w:val="00B724B1"/>
    <w:rsid w:val="00B72628"/>
    <w:rsid w:val="00B72731"/>
    <w:rsid w:val="00B727DB"/>
    <w:rsid w:val="00B7289B"/>
    <w:rsid w:val="00B72B9D"/>
    <w:rsid w:val="00B72CBC"/>
    <w:rsid w:val="00B72FC4"/>
    <w:rsid w:val="00B73A89"/>
    <w:rsid w:val="00B74C03"/>
    <w:rsid w:val="00B74F7C"/>
    <w:rsid w:val="00B75538"/>
    <w:rsid w:val="00B755DC"/>
    <w:rsid w:val="00B7565B"/>
    <w:rsid w:val="00B75F5B"/>
    <w:rsid w:val="00B76124"/>
    <w:rsid w:val="00B76238"/>
    <w:rsid w:val="00B762F6"/>
    <w:rsid w:val="00B7638A"/>
    <w:rsid w:val="00B7668E"/>
    <w:rsid w:val="00B76A35"/>
    <w:rsid w:val="00B76AA0"/>
    <w:rsid w:val="00B76AB1"/>
    <w:rsid w:val="00B76AD7"/>
    <w:rsid w:val="00B76D54"/>
    <w:rsid w:val="00B76F3D"/>
    <w:rsid w:val="00B7766A"/>
    <w:rsid w:val="00B7772A"/>
    <w:rsid w:val="00B77974"/>
    <w:rsid w:val="00B77CA6"/>
    <w:rsid w:val="00B77ECA"/>
    <w:rsid w:val="00B80308"/>
    <w:rsid w:val="00B80311"/>
    <w:rsid w:val="00B8033B"/>
    <w:rsid w:val="00B803B7"/>
    <w:rsid w:val="00B8045C"/>
    <w:rsid w:val="00B804EF"/>
    <w:rsid w:val="00B807EE"/>
    <w:rsid w:val="00B808A2"/>
    <w:rsid w:val="00B80939"/>
    <w:rsid w:val="00B80D6E"/>
    <w:rsid w:val="00B80DCB"/>
    <w:rsid w:val="00B81094"/>
    <w:rsid w:val="00B814F0"/>
    <w:rsid w:val="00B817B0"/>
    <w:rsid w:val="00B818BD"/>
    <w:rsid w:val="00B819D4"/>
    <w:rsid w:val="00B81C5F"/>
    <w:rsid w:val="00B81DDA"/>
    <w:rsid w:val="00B81FFF"/>
    <w:rsid w:val="00B82201"/>
    <w:rsid w:val="00B82234"/>
    <w:rsid w:val="00B822B0"/>
    <w:rsid w:val="00B823AC"/>
    <w:rsid w:val="00B823FE"/>
    <w:rsid w:val="00B82746"/>
    <w:rsid w:val="00B82CEE"/>
    <w:rsid w:val="00B8345C"/>
    <w:rsid w:val="00B83491"/>
    <w:rsid w:val="00B83572"/>
    <w:rsid w:val="00B8382D"/>
    <w:rsid w:val="00B8383C"/>
    <w:rsid w:val="00B839A3"/>
    <w:rsid w:val="00B83B3F"/>
    <w:rsid w:val="00B83C0B"/>
    <w:rsid w:val="00B83C79"/>
    <w:rsid w:val="00B84047"/>
    <w:rsid w:val="00B84737"/>
    <w:rsid w:val="00B84C8F"/>
    <w:rsid w:val="00B85275"/>
    <w:rsid w:val="00B853A6"/>
    <w:rsid w:val="00B854BE"/>
    <w:rsid w:val="00B854F8"/>
    <w:rsid w:val="00B85F66"/>
    <w:rsid w:val="00B86197"/>
    <w:rsid w:val="00B86815"/>
    <w:rsid w:val="00B86A16"/>
    <w:rsid w:val="00B86BD9"/>
    <w:rsid w:val="00B86F1F"/>
    <w:rsid w:val="00B87240"/>
    <w:rsid w:val="00B87263"/>
    <w:rsid w:val="00B876D7"/>
    <w:rsid w:val="00B879C7"/>
    <w:rsid w:val="00B87AEE"/>
    <w:rsid w:val="00B87D94"/>
    <w:rsid w:val="00B907D5"/>
    <w:rsid w:val="00B90C22"/>
    <w:rsid w:val="00B90C44"/>
    <w:rsid w:val="00B90E21"/>
    <w:rsid w:val="00B91432"/>
    <w:rsid w:val="00B91476"/>
    <w:rsid w:val="00B9193F"/>
    <w:rsid w:val="00B91A8E"/>
    <w:rsid w:val="00B91C03"/>
    <w:rsid w:val="00B91E22"/>
    <w:rsid w:val="00B91F0B"/>
    <w:rsid w:val="00B92203"/>
    <w:rsid w:val="00B92A5C"/>
    <w:rsid w:val="00B92A5F"/>
    <w:rsid w:val="00B92B8C"/>
    <w:rsid w:val="00B93326"/>
    <w:rsid w:val="00B93580"/>
    <w:rsid w:val="00B935D5"/>
    <w:rsid w:val="00B93B7E"/>
    <w:rsid w:val="00B93D1D"/>
    <w:rsid w:val="00B93E87"/>
    <w:rsid w:val="00B93F12"/>
    <w:rsid w:val="00B93F44"/>
    <w:rsid w:val="00B941F3"/>
    <w:rsid w:val="00B9429C"/>
    <w:rsid w:val="00B942B5"/>
    <w:rsid w:val="00B94426"/>
    <w:rsid w:val="00B94B2C"/>
    <w:rsid w:val="00B94C2B"/>
    <w:rsid w:val="00B94CAD"/>
    <w:rsid w:val="00B94D06"/>
    <w:rsid w:val="00B94DD7"/>
    <w:rsid w:val="00B9500B"/>
    <w:rsid w:val="00B96052"/>
    <w:rsid w:val="00B9689A"/>
    <w:rsid w:val="00B96BCC"/>
    <w:rsid w:val="00B96E68"/>
    <w:rsid w:val="00B96FDB"/>
    <w:rsid w:val="00B9763C"/>
    <w:rsid w:val="00B977F6"/>
    <w:rsid w:val="00B97A86"/>
    <w:rsid w:val="00B97AFB"/>
    <w:rsid w:val="00B97C4D"/>
    <w:rsid w:val="00B97DAB"/>
    <w:rsid w:val="00B97E4D"/>
    <w:rsid w:val="00B97E6B"/>
    <w:rsid w:val="00B97E9B"/>
    <w:rsid w:val="00BA0355"/>
    <w:rsid w:val="00BA0419"/>
    <w:rsid w:val="00BA041D"/>
    <w:rsid w:val="00BA0517"/>
    <w:rsid w:val="00BA0525"/>
    <w:rsid w:val="00BA0860"/>
    <w:rsid w:val="00BA095A"/>
    <w:rsid w:val="00BA0A6F"/>
    <w:rsid w:val="00BA1018"/>
    <w:rsid w:val="00BA1179"/>
    <w:rsid w:val="00BA13D4"/>
    <w:rsid w:val="00BA14BA"/>
    <w:rsid w:val="00BA160F"/>
    <w:rsid w:val="00BA1834"/>
    <w:rsid w:val="00BA2065"/>
    <w:rsid w:val="00BA229D"/>
    <w:rsid w:val="00BA2399"/>
    <w:rsid w:val="00BA245B"/>
    <w:rsid w:val="00BA263E"/>
    <w:rsid w:val="00BA2830"/>
    <w:rsid w:val="00BA29A2"/>
    <w:rsid w:val="00BA2A87"/>
    <w:rsid w:val="00BA2D98"/>
    <w:rsid w:val="00BA2F63"/>
    <w:rsid w:val="00BA2FE2"/>
    <w:rsid w:val="00BA2FEA"/>
    <w:rsid w:val="00BA35A7"/>
    <w:rsid w:val="00BA3817"/>
    <w:rsid w:val="00BA3A0D"/>
    <w:rsid w:val="00BA3A85"/>
    <w:rsid w:val="00BA3C5F"/>
    <w:rsid w:val="00BA3E2E"/>
    <w:rsid w:val="00BA3F8E"/>
    <w:rsid w:val="00BA4057"/>
    <w:rsid w:val="00BA4333"/>
    <w:rsid w:val="00BA4423"/>
    <w:rsid w:val="00BA4464"/>
    <w:rsid w:val="00BA4692"/>
    <w:rsid w:val="00BA4871"/>
    <w:rsid w:val="00BA4E65"/>
    <w:rsid w:val="00BA4FBC"/>
    <w:rsid w:val="00BA5069"/>
    <w:rsid w:val="00BA5257"/>
    <w:rsid w:val="00BA52B7"/>
    <w:rsid w:val="00BA54F8"/>
    <w:rsid w:val="00BA557C"/>
    <w:rsid w:val="00BA58E6"/>
    <w:rsid w:val="00BA58FA"/>
    <w:rsid w:val="00BA5A68"/>
    <w:rsid w:val="00BA5D31"/>
    <w:rsid w:val="00BA60D1"/>
    <w:rsid w:val="00BA6376"/>
    <w:rsid w:val="00BA63DF"/>
    <w:rsid w:val="00BA63F4"/>
    <w:rsid w:val="00BA6621"/>
    <w:rsid w:val="00BA6796"/>
    <w:rsid w:val="00BA6AC3"/>
    <w:rsid w:val="00BA6B1D"/>
    <w:rsid w:val="00BA6B81"/>
    <w:rsid w:val="00BA6BC6"/>
    <w:rsid w:val="00BA6BF3"/>
    <w:rsid w:val="00BA6C0F"/>
    <w:rsid w:val="00BA6CDA"/>
    <w:rsid w:val="00BA6E6D"/>
    <w:rsid w:val="00BA71AB"/>
    <w:rsid w:val="00BA72EE"/>
    <w:rsid w:val="00BA73BE"/>
    <w:rsid w:val="00BA7615"/>
    <w:rsid w:val="00BA7C2D"/>
    <w:rsid w:val="00BA7CAB"/>
    <w:rsid w:val="00BA7CDB"/>
    <w:rsid w:val="00BA7DF2"/>
    <w:rsid w:val="00BA7E15"/>
    <w:rsid w:val="00BB00B0"/>
    <w:rsid w:val="00BB044B"/>
    <w:rsid w:val="00BB05F6"/>
    <w:rsid w:val="00BB0706"/>
    <w:rsid w:val="00BB07F8"/>
    <w:rsid w:val="00BB0E7D"/>
    <w:rsid w:val="00BB0EEF"/>
    <w:rsid w:val="00BB12B6"/>
    <w:rsid w:val="00BB1608"/>
    <w:rsid w:val="00BB167C"/>
    <w:rsid w:val="00BB1726"/>
    <w:rsid w:val="00BB192E"/>
    <w:rsid w:val="00BB1BFE"/>
    <w:rsid w:val="00BB1C3C"/>
    <w:rsid w:val="00BB2280"/>
    <w:rsid w:val="00BB2318"/>
    <w:rsid w:val="00BB2368"/>
    <w:rsid w:val="00BB28DE"/>
    <w:rsid w:val="00BB2AF5"/>
    <w:rsid w:val="00BB2B1E"/>
    <w:rsid w:val="00BB2BBA"/>
    <w:rsid w:val="00BB2D52"/>
    <w:rsid w:val="00BB2EC8"/>
    <w:rsid w:val="00BB2F36"/>
    <w:rsid w:val="00BB309B"/>
    <w:rsid w:val="00BB3278"/>
    <w:rsid w:val="00BB3B7B"/>
    <w:rsid w:val="00BB3DA0"/>
    <w:rsid w:val="00BB3F78"/>
    <w:rsid w:val="00BB4139"/>
    <w:rsid w:val="00BB4224"/>
    <w:rsid w:val="00BB49DC"/>
    <w:rsid w:val="00BB49FE"/>
    <w:rsid w:val="00BB4ABC"/>
    <w:rsid w:val="00BB4E77"/>
    <w:rsid w:val="00BB4FFF"/>
    <w:rsid w:val="00BB5051"/>
    <w:rsid w:val="00BB51C5"/>
    <w:rsid w:val="00BB522A"/>
    <w:rsid w:val="00BB5353"/>
    <w:rsid w:val="00BB53F5"/>
    <w:rsid w:val="00BB5493"/>
    <w:rsid w:val="00BB581A"/>
    <w:rsid w:val="00BB5827"/>
    <w:rsid w:val="00BB5934"/>
    <w:rsid w:val="00BB6214"/>
    <w:rsid w:val="00BB6268"/>
    <w:rsid w:val="00BB62E8"/>
    <w:rsid w:val="00BB62F7"/>
    <w:rsid w:val="00BB63F2"/>
    <w:rsid w:val="00BB6410"/>
    <w:rsid w:val="00BB66B0"/>
    <w:rsid w:val="00BB6857"/>
    <w:rsid w:val="00BB695D"/>
    <w:rsid w:val="00BB6A49"/>
    <w:rsid w:val="00BB6D61"/>
    <w:rsid w:val="00BB6E90"/>
    <w:rsid w:val="00BB6EF4"/>
    <w:rsid w:val="00BB6EFE"/>
    <w:rsid w:val="00BB70C1"/>
    <w:rsid w:val="00BB73DB"/>
    <w:rsid w:val="00BB7612"/>
    <w:rsid w:val="00BB7632"/>
    <w:rsid w:val="00BB77AE"/>
    <w:rsid w:val="00BB7CB6"/>
    <w:rsid w:val="00BB7FA3"/>
    <w:rsid w:val="00BC03F4"/>
    <w:rsid w:val="00BC0677"/>
    <w:rsid w:val="00BC09FC"/>
    <w:rsid w:val="00BC0B89"/>
    <w:rsid w:val="00BC0BD0"/>
    <w:rsid w:val="00BC0BF6"/>
    <w:rsid w:val="00BC0C77"/>
    <w:rsid w:val="00BC0C87"/>
    <w:rsid w:val="00BC0EB4"/>
    <w:rsid w:val="00BC0FF0"/>
    <w:rsid w:val="00BC1060"/>
    <w:rsid w:val="00BC118E"/>
    <w:rsid w:val="00BC1464"/>
    <w:rsid w:val="00BC155D"/>
    <w:rsid w:val="00BC1623"/>
    <w:rsid w:val="00BC1875"/>
    <w:rsid w:val="00BC1A53"/>
    <w:rsid w:val="00BC1C84"/>
    <w:rsid w:val="00BC1E1A"/>
    <w:rsid w:val="00BC251D"/>
    <w:rsid w:val="00BC2724"/>
    <w:rsid w:val="00BC2729"/>
    <w:rsid w:val="00BC28F7"/>
    <w:rsid w:val="00BC2B0C"/>
    <w:rsid w:val="00BC2BF4"/>
    <w:rsid w:val="00BC30BE"/>
    <w:rsid w:val="00BC3113"/>
    <w:rsid w:val="00BC3295"/>
    <w:rsid w:val="00BC32CC"/>
    <w:rsid w:val="00BC33B8"/>
    <w:rsid w:val="00BC34E5"/>
    <w:rsid w:val="00BC3740"/>
    <w:rsid w:val="00BC3780"/>
    <w:rsid w:val="00BC381F"/>
    <w:rsid w:val="00BC4786"/>
    <w:rsid w:val="00BC4798"/>
    <w:rsid w:val="00BC4845"/>
    <w:rsid w:val="00BC488C"/>
    <w:rsid w:val="00BC4918"/>
    <w:rsid w:val="00BC49F5"/>
    <w:rsid w:val="00BC4ADF"/>
    <w:rsid w:val="00BC4CC0"/>
    <w:rsid w:val="00BC52A4"/>
    <w:rsid w:val="00BC5A10"/>
    <w:rsid w:val="00BC5A69"/>
    <w:rsid w:val="00BC615C"/>
    <w:rsid w:val="00BC6488"/>
    <w:rsid w:val="00BC6527"/>
    <w:rsid w:val="00BC6975"/>
    <w:rsid w:val="00BC6B69"/>
    <w:rsid w:val="00BC6D3A"/>
    <w:rsid w:val="00BC6DAA"/>
    <w:rsid w:val="00BC7299"/>
    <w:rsid w:val="00BC7321"/>
    <w:rsid w:val="00BC7589"/>
    <w:rsid w:val="00BC75EE"/>
    <w:rsid w:val="00BC7655"/>
    <w:rsid w:val="00BC7688"/>
    <w:rsid w:val="00BC76D1"/>
    <w:rsid w:val="00BC76D7"/>
    <w:rsid w:val="00BC77FB"/>
    <w:rsid w:val="00BC79DA"/>
    <w:rsid w:val="00BC7A8E"/>
    <w:rsid w:val="00BD01EB"/>
    <w:rsid w:val="00BD0267"/>
    <w:rsid w:val="00BD039F"/>
    <w:rsid w:val="00BD04EB"/>
    <w:rsid w:val="00BD05C2"/>
    <w:rsid w:val="00BD07A3"/>
    <w:rsid w:val="00BD08B5"/>
    <w:rsid w:val="00BD0A11"/>
    <w:rsid w:val="00BD0D1E"/>
    <w:rsid w:val="00BD0E36"/>
    <w:rsid w:val="00BD0F9C"/>
    <w:rsid w:val="00BD1112"/>
    <w:rsid w:val="00BD12B4"/>
    <w:rsid w:val="00BD1331"/>
    <w:rsid w:val="00BD13BD"/>
    <w:rsid w:val="00BD1423"/>
    <w:rsid w:val="00BD152E"/>
    <w:rsid w:val="00BD192A"/>
    <w:rsid w:val="00BD1C99"/>
    <w:rsid w:val="00BD1CAB"/>
    <w:rsid w:val="00BD1DBA"/>
    <w:rsid w:val="00BD1FFF"/>
    <w:rsid w:val="00BD20C1"/>
    <w:rsid w:val="00BD2247"/>
    <w:rsid w:val="00BD22A0"/>
    <w:rsid w:val="00BD24C0"/>
    <w:rsid w:val="00BD2659"/>
    <w:rsid w:val="00BD2B22"/>
    <w:rsid w:val="00BD2B9E"/>
    <w:rsid w:val="00BD2D1F"/>
    <w:rsid w:val="00BD2EDE"/>
    <w:rsid w:val="00BD31F7"/>
    <w:rsid w:val="00BD32BF"/>
    <w:rsid w:val="00BD32F2"/>
    <w:rsid w:val="00BD3543"/>
    <w:rsid w:val="00BD35E7"/>
    <w:rsid w:val="00BD3729"/>
    <w:rsid w:val="00BD3826"/>
    <w:rsid w:val="00BD3930"/>
    <w:rsid w:val="00BD39E3"/>
    <w:rsid w:val="00BD3BB7"/>
    <w:rsid w:val="00BD436F"/>
    <w:rsid w:val="00BD479B"/>
    <w:rsid w:val="00BD47E4"/>
    <w:rsid w:val="00BD491D"/>
    <w:rsid w:val="00BD4E0C"/>
    <w:rsid w:val="00BD52B9"/>
    <w:rsid w:val="00BD5451"/>
    <w:rsid w:val="00BD5579"/>
    <w:rsid w:val="00BD584D"/>
    <w:rsid w:val="00BD5BD2"/>
    <w:rsid w:val="00BD5E34"/>
    <w:rsid w:val="00BD648F"/>
    <w:rsid w:val="00BD64B8"/>
    <w:rsid w:val="00BD650A"/>
    <w:rsid w:val="00BD660D"/>
    <w:rsid w:val="00BD66EF"/>
    <w:rsid w:val="00BD676A"/>
    <w:rsid w:val="00BD69C3"/>
    <w:rsid w:val="00BD6A1B"/>
    <w:rsid w:val="00BD6E48"/>
    <w:rsid w:val="00BD7402"/>
    <w:rsid w:val="00BD761C"/>
    <w:rsid w:val="00BD767C"/>
    <w:rsid w:val="00BD7A11"/>
    <w:rsid w:val="00BD7B2F"/>
    <w:rsid w:val="00BD7C27"/>
    <w:rsid w:val="00BD7E69"/>
    <w:rsid w:val="00BD7E94"/>
    <w:rsid w:val="00BD7F98"/>
    <w:rsid w:val="00BE0057"/>
    <w:rsid w:val="00BE009B"/>
    <w:rsid w:val="00BE01EB"/>
    <w:rsid w:val="00BE02B6"/>
    <w:rsid w:val="00BE04E9"/>
    <w:rsid w:val="00BE096B"/>
    <w:rsid w:val="00BE0BD9"/>
    <w:rsid w:val="00BE0C8F"/>
    <w:rsid w:val="00BE0C9F"/>
    <w:rsid w:val="00BE0EA4"/>
    <w:rsid w:val="00BE1019"/>
    <w:rsid w:val="00BE1196"/>
    <w:rsid w:val="00BE14F7"/>
    <w:rsid w:val="00BE163B"/>
    <w:rsid w:val="00BE1BD8"/>
    <w:rsid w:val="00BE1C2B"/>
    <w:rsid w:val="00BE1D93"/>
    <w:rsid w:val="00BE21E3"/>
    <w:rsid w:val="00BE2748"/>
    <w:rsid w:val="00BE28C0"/>
    <w:rsid w:val="00BE2A43"/>
    <w:rsid w:val="00BE2B33"/>
    <w:rsid w:val="00BE2C52"/>
    <w:rsid w:val="00BE2CD2"/>
    <w:rsid w:val="00BE2DF0"/>
    <w:rsid w:val="00BE2FC6"/>
    <w:rsid w:val="00BE309A"/>
    <w:rsid w:val="00BE30E8"/>
    <w:rsid w:val="00BE3620"/>
    <w:rsid w:val="00BE3740"/>
    <w:rsid w:val="00BE4228"/>
    <w:rsid w:val="00BE469C"/>
    <w:rsid w:val="00BE47B3"/>
    <w:rsid w:val="00BE4B5F"/>
    <w:rsid w:val="00BE4C05"/>
    <w:rsid w:val="00BE4D7B"/>
    <w:rsid w:val="00BE4DC9"/>
    <w:rsid w:val="00BE4DEB"/>
    <w:rsid w:val="00BE4F05"/>
    <w:rsid w:val="00BE50A0"/>
    <w:rsid w:val="00BE52CD"/>
    <w:rsid w:val="00BE541E"/>
    <w:rsid w:val="00BE548E"/>
    <w:rsid w:val="00BE54D7"/>
    <w:rsid w:val="00BE5926"/>
    <w:rsid w:val="00BE59DB"/>
    <w:rsid w:val="00BE5C06"/>
    <w:rsid w:val="00BE5D3A"/>
    <w:rsid w:val="00BE61FE"/>
    <w:rsid w:val="00BE65CD"/>
    <w:rsid w:val="00BE6613"/>
    <w:rsid w:val="00BE6628"/>
    <w:rsid w:val="00BE66A6"/>
    <w:rsid w:val="00BE67D8"/>
    <w:rsid w:val="00BE696C"/>
    <w:rsid w:val="00BE69FD"/>
    <w:rsid w:val="00BE6DFD"/>
    <w:rsid w:val="00BE6F95"/>
    <w:rsid w:val="00BE6FAC"/>
    <w:rsid w:val="00BE7530"/>
    <w:rsid w:val="00BE7CAA"/>
    <w:rsid w:val="00BF00CD"/>
    <w:rsid w:val="00BF0281"/>
    <w:rsid w:val="00BF02C9"/>
    <w:rsid w:val="00BF0A13"/>
    <w:rsid w:val="00BF0BB4"/>
    <w:rsid w:val="00BF0BF5"/>
    <w:rsid w:val="00BF0D67"/>
    <w:rsid w:val="00BF1018"/>
    <w:rsid w:val="00BF1138"/>
    <w:rsid w:val="00BF1170"/>
    <w:rsid w:val="00BF117B"/>
    <w:rsid w:val="00BF13AC"/>
    <w:rsid w:val="00BF14C6"/>
    <w:rsid w:val="00BF16BA"/>
    <w:rsid w:val="00BF16D2"/>
    <w:rsid w:val="00BF19C3"/>
    <w:rsid w:val="00BF1C53"/>
    <w:rsid w:val="00BF1D3B"/>
    <w:rsid w:val="00BF1ECB"/>
    <w:rsid w:val="00BF1FA3"/>
    <w:rsid w:val="00BF22C9"/>
    <w:rsid w:val="00BF2698"/>
    <w:rsid w:val="00BF27CE"/>
    <w:rsid w:val="00BF2A96"/>
    <w:rsid w:val="00BF2B64"/>
    <w:rsid w:val="00BF32F9"/>
    <w:rsid w:val="00BF35C2"/>
    <w:rsid w:val="00BF3766"/>
    <w:rsid w:val="00BF37E3"/>
    <w:rsid w:val="00BF38AF"/>
    <w:rsid w:val="00BF391A"/>
    <w:rsid w:val="00BF391D"/>
    <w:rsid w:val="00BF3991"/>
    <w:rsid w:val="00BF3A04"/>
    <w:rsid w:val="00BF3CD1"/>
    <w:rsid w:val="00BF3FC9"/>
    <w:rsid w:val="00BF41AB"/>
    <w:rsid w:val="00BF42B9"/>
    <w:rsid w:val="00BF42D2"/>
    <w:rsid w:val="00BF441C"/>
    <w:rsid w:val="00BF47B9"/>
    <w:rsid w:val="00BF4B07"/>
    <w:rsid w:val="00BF4B50"/>
    <w:rsid w:val="00BF4F22"/>
    <w:rsid w:val="00BF528A"/>
    <w:rsid w:val="00BF5512"/>
    <w:rsid w:val="00BF567D"/>
    <w:rsid w:val="00BF590C"/>
    <w:rsid w:val="00BF598B"/>
    <w:rsid w:val="00BF5A3B"/>
    <w:rsid w:val="00BF5DAC"/>
    <w:rsid w:val="00BF5FDC"/>
    <w:rsid w:val="00BF5FDE"/>
    <w:rsid w:val="00BF61C7"/>
    <w:rsid w:val="00BF654C"/>
    <w:rsid w:val="00BF6B64"/>
    <w:rsid w:val="00BF6BC7"/>
    <w:rsid w:val="00BF6D20"/>
    <w:rsid w:val="00BF6D82"/>
    <w:rsid w:val="00BF6F39"/>
    <w:rsid w:val="00BF6FE7"/>
    <w:rsid w:val="00BF7058"/>
    <w:rsid w:val="00BF70D7"/>
    <w:rsid w:val="00BF7292"/>
    <w:rsid w:val="00BF73EA"/>
    <w:rsid w:val="00BF7714"/>
    <w:rsid w:val="00BF778C"/>
    <w:rsid w:val="00BF77E9"/>
    <w:rsid w:val="00BF792C"/>
    <w:rsid w:val="00BF79CE"/>
    <w:rsid w:val="00BF7AB8"/>
    <w:rsid w:val="00BF7DF4"/>
    <w:rsid w:val="00BF7F36"/>
    <w:rsid w:val="00BF7F8C"/>
    <w:rsid w:val="00C0086C"/>
    <w:rsid w:val="00C00A0A"/>
    <w:rsid w:val="00C00A45"/>
    <w:rsid w:val="00C00AD1"/>
    <w:rsid w:val="00C00DD8"/>
    <w:rsid w:val="00C00ED6"/>
    <w:rsid w:val="00C01175"/>
    <w:rsid w:val="00C0130F"/>
    <w:rsid w:val="00C014E0"/>
    <w:rsid w:val="00C01540"/>
    <w:rsid w:val="00C015D0"/>
    <w:rsid w:val="00C01686"/>
    <w:rsid w:val="00C01B79"/>
    <w:rsid w:val="00C01E4D"/>
    <w:rsid w:val="00C0200C"/>
    <w:rsid w:val="00C0210E"/>
    <w:rsid w:val="00C022BA"/>
    <w:rsid w:val="00C023CD"/>
    <w:rsid w:val="00C02779"/>
    <w:rsid w:val="00C02BFF"/>
    <w:rsid w:val="00C02FDD"/>
    <w:rsid w:val="00C030DE"/>
    <w:rsid w:val="00C03194"/>
    <w:rsid w:val="00C035F2"/>
    <w:rsid w:val="00C03601"/>
    <w:rsid w:val="00C0384D"/>
    <w:rsid w:val="00C03E4A"/>
    <w:rsid w:val="00C03E7F"/>
    <w:rsid w:val="00C03FD3"/>
    <w:rsid w:val="00C04123"/>
    <w:rsid w:val="00C041A3"/>
    <w:rsid w:val="00C04553"/>
    <w:rsid w:val="00C04608"/>
    <w:rsid w:val="00C04617"/>
    <w:rsid w:val="00C04966"/>
    <w:rsid w:val="00C04BC4"/>
    <w:rsid w:val="00C04DF2"/>
    <w:rsid w:val="00C05023"/>
    <w:rsid w:val="00C05104"/>
    <w:rsid w:val="00C05670"/>
    <w:rsid w:val="00C0577D"/>
    <w:rsid w:val="00C05931"/>
    <w:rsid w:val="00C05A31"/>
    <w:rsid w:val="00C05A71"/>
    <w:rsid w:val="00C05AE1"/>
    <w:rsid w:val="00C05D0C"/>
    <w:rsid w:val="00C062AB"/>
    <w:rsid w:val="00C062D2"/>
    <w:rsid w:val="00C06562"/>
    <w:rsid w:val="00C068C6"/>
    <w:rsid w:val="00C06F7A"/>
    <w:rsid w:val="00C0704E"/>
    <w:rsid w:val="00C070A0"/>
    <w:rsid w:val="00C078C6"/>
    <w:rsid w:val="00C07C74"/>
    <w:rsid w:val="00C07D69"/>
    <w:rsid w:val="00C07F94"/>
    <w:rsid w:val="00C07FB6"/>
    <w:rsid w:val="00C100E9"/>
    <w:rsid w:val="00C100F4"/>
    <w:rsid w:val="00C10257"/>
    <w:rsid w:val="00C10487"/>
    <w:rsid w:val="00C10C6A"/>
    <w:rsid w:val="00C10F4B"/>
    <w:rsid w:val="00C111FF"/>
    <w:rsid w:val="00C116B6"/>
    <w:rsid w:val="00C116EE"/>
    <w:rsid w:val="00C118DE"/>
    <w:rsid w:val="00C11971"/>
    <w:rsid w:val="00C11B1A"/>
    <w:rsid w:val="00C11C26"/>
    <w:rsid w:val="00C11EDB"/>
    <w:rsid w:val="00C1207F"/>
    <w:rsid w:val="00C12324"/>
    <w:rsid w:val="00C12798"/>
    <w:rsid w:val="00C12863"/>
    <w:rsid w:val="00C12B10"/>
    <w:rsid w:val="00C12CAD"/>
    <w:rsid w:val="00C12E6A"/>
    <w:rsid w:val="00C13095"/>
    <w:rsid w:val="00C136EE"/>
    <w:rsid w:val="00C13863"/>
    <w:rsid w:val="00C139FE"/>
    <w:rsid w:val="00C142FB"/>
    <w:rsid w:val="00C14876"/>
    <w:rsid w:val="00C1488B"/>
    <w:rsid w:val="00C14961"/>
    <w:rsid w:val="00C14D2D"/>
    <w:rsid w:val="00C14F98"/>
    <w:rsid w:val="00C153F9"/>
    <w:rsid w:val="00C154C3"/>
    <w:rsid w:val="00C15500"/>
    <w:rsid w:val="00C156F2"/>
    <w:rsid w:val="00C1586B"/>
    <w:rsid w:val="00C15A2A"/>
    <w:rsid w:val="00C16508"/>
    <w:rsid w:val="00C16677"/>
    <w:rsid w:val="00C16688"/>
    <w:rsid w:val="00C1669D"/>
    <w:rsid w:val="00C1681D"/>
    <w:rsid w:val="00C169EA"/>
    <w:rsid w:val="00C16A4C"/>
    <w:rsid w:val="00C16A5A"/>
    <w:rsid w:val="00C16AE4"/>
    <w:rsid w:val="00C16BA7"/>
    <w:rsid w:val="00C16DC3"/>
    <w:rsid w:val="00C16E4E"/>
    <w:rsid w:val="00C16EB7"/>
    <w:rsid w:val="00C17501"/>
    <w:rsid w:val="00C175A1"/>
    <w:rsid w:val="00C1777E"/>
    <w:rsid w:val="00C177E3"/>
    <w:rsid w:val="00C17861"/>
    <w:rsid w:val="00C17A51"/>
    <w:rsid w:val="00C17D9A"/>
    <w:rsid w:val="00C17E4F"/>
    <w:rsid w:val="00C20102"/>
    <w:rsid w:val="00C20180"/>
    <w:rsid w:val="00C202CE"/>
    <w:rsid w:val="00C203D9"/>
    <w:rsid w:val="00C207CB"/>
    <w:rsid w:val="00C2088B"/>
    <w:rsid w:val="00C20916"/>
    <w:rsid w:val="00C209FE"/>
    <w:rsid w:val="00C20A55"/>
    <w:rsid w:val="00C20DDD"/>
    <w:rsid w:val="00C210E4"/>
    <w:rsid w:val="00C21179"/>
    <w:rsid w:val="00C211C7"/>
    <w:rsid w:val="00C2163E"/>
    <w:rsid w:val="00C21680"/>
    <w:rsid w:val="00C2198E"/>
    <w:rsid w:val="00C21AE3"/>
    <w:rsid w:val="00C21B74"/>
    <w:rsid w:val="00C21CF3"/>
    <w:rsid w:val="00C21FBD"/>
    <w:rsid w:val="00C2203A"/>
    <w:rsid w:val="00C22396"/>
    <w:rsid w:val="00C2244F"/>
    <w:rsid w:val="00C22457"/>
    <w:rsid w:val="00C22654"/>
    <w:rsid w:val="00C22699"/>
    <w:rsid w:val="00C226D9"/>
    <w:rsid w:val="00C228A1"/>
    <w:rsid w:val="00C229D6"/>
    <w:rsid w:val="00C22B4B"/>
    <w:rsid w:val="00C2306C"/>
    <w:rsid w:val="00C23146"/>
    <w:rsid w:val="00C23156"/>
    <w:rsid w:val="00C231CC"/>
    <w:rsid w:val="00C234C5"/>
    <w:rsid w:val="00C2366F"/>
    <w:rsid w:val="00C23A45"/>
    <w:rsid w:val="00C23ACD"/>
    <w:rsid w:val="00C23DEF"/>
    <w:rsid w:val="00C23FC2"/>
    <w:rsid w:val="00C241B6"/>
    <w:rsid w:val="00C2429A"/>
    <w:rsid w:val="00C24557"/>
    <w:rsid w:val="00C245BE"/>
    <w:rsid w:val="00C245CC"/>
    <w:rsid w:val="00C2469B"/>
    <w:rsid w:val="00C248B9"/>
    <w:rsid w:val="00C24C7A"/>
    <w:rsid w:val="00C24CC0"/>
    <w:rsid w:val="00C24F1E"/>
    <w:rsid w:val="00C253FD"/>
    <w:rsid w:val="00C25601"/>
    <w:rsid w:val="00C2571B"/>
    <w:rsid w:val="00C257F9"/>
    <w:rsid w:val="00C259CB"/>
    <w:rsid w:val="00C25C42"/>
    <w:rsid w:val="00C25C60"/>
    <w:rsid w:val="00C25C8C"/>
    <w:rsid w:val="00C26207"/>
    <w:rsid w:val="00C26351"/>
    <w:rsid w:val="00C26448"/>
    <w:rsid w:val="00C2647A"/>
    <w:rsid w:val="00C264A0"/>
    <w:rsid w:val="00C264C8"/>
    <w:rsid w:val="00C26968"/>
    <w:rsid w:val="00C26BAA"/>
    <w:rsid w:val="00C26FB2"/>
    <w:rsid w:val="00C27052"/>
    <w:rsid w:val="00C2711E"/>
    <w:rsid w:val="00C27224"/>
    <w:rsid w:val="00C27360"/>
    <w:rsid w:val="00C278B4"/>
    <w:rsid w:val="00C27AAE"/>
    <w:rsid w:val="00C27B4D"/>
    <w:rsid w:val="00C27B99"/>
    <w:rsid w:val="00C27FB9"/>
    <w:rsid w:val="00C30A2B"/>
    <w:rsid w:val="00C30C0D"/>
    <w:rsid w:val="00C30EFF"/>
    <w:rsid w:val="00C30F9E"/>
    <w:rsid w:val="00C3135E"/>
    <w:rsid w:val="00C31411"/>
    <w:rsid w:val="00C314C3"/>
    <w:rsid w:val="00C31571"/>
    <w:rsid w:val="00C31A5F"/>
    <w:rsid w:val="00C31AB2"/>
    <w:rsid w:val="00C31B8A"/>
    <w:rsid w:val="00C31EA9"/>
    <w:rsid w:val="00C31F3C"/>
    <w:rsid w:val="00C3202D"/>
    <w:rsid w:val="00C3207F"/>
    <w:rsid w:val="00C323DE"/>
    <w:rsid w:val="00C32B24"/>
    <w:rsid w:val="00C32B36"/>
    <w:rsid w:val="00C32BF7"/>
    <w:rsid w:val="00C33706"/>
    <w:rsid w:val="00C33860"/>
    <w:rsid w:val="00C338E3"/>
    <w:rsid w:val="00C33C79"/>
    <w:rsid w:val="00C33D37"/>
    <w:rsid w:val="00C33EAC"/>
    <w:rsid w:val="00C340D9"/>
    <w:rsid w:val="00C341EC"/>
    <w:rsid w:val="00C342B4"/>
    <w:rsid w:val="00C3439B"/>
    <w:rsid w:val="00C343ED"/>
    <w:rsid w:val="00C344B4"/>
    <w:rsid w:val="00C34C14"/>
    <w:rsid w:val="00C34C17"/>
    <w:rsid w:val="00C352B8"/>
    <w:rsid w:val="00C35444"/>
    <w:rsid w:val="00C3566B"/>
    <w:rsid w:val="00C35A18"/>
    <w:rsid w:val="00C35C39"/>
    <w:rsid w:val="00C35D23"/>
    <w:rsid w:val="00C365BC"/>
    <w:rsid w:val="00C3668E"/>
    <w:rsid w:val="00C36727"/>
    <w:rsid w:val="00C3672B"/>
    <w:rsid w:val="00C36BAC"/>
    <w:rsid w:val="00C36C3C"/>
    <w:rsid w:val="00C36E97"/>
    <w:rsid w:val="00C370DF"/>
    <w:rsid w:val="00C370FE"/>
    <w:rsid w:val="00C371AC"/>
    <w:rsid w:val="00C37525"/>
    <w:rsid w:val="00C3774F"/>
    <w:rsid w:val="00C37E29"/>
    <w:rsid w:val="00C4006A"/>
    <w:rsid w:val="00C400AE"/>
    <w:rsid w:val="00C400D9"/>
    <w:rsid w:val="00C40277"/>
    <w:rsid w:val="00C40514"/>
    <w:rsid w:val="00C40688"/>
    <w:rsid w:val="00C4089F"/>
    <w:rsid w:val="00C40DB2"/>
    <w:rsid w:val="00C40DE7"/>
    <w:rsid w:val="00C41072"/>
    <w:rsid w:val="00C41207"/>
    <w:rsid w:val="00C41697"/>
    <w:rsid w:val="00C417DA"/>
    <w:rsid w:val="00C41AED"/>
    <w:rsid w:val="00C41BCD"/>
    <w:rsid w:val="00C41EBB"/>
    <w:rsid w:val="00C42273"/>
    <w:rsid w:val="00C42947"/>
    <w:rsid w:val="00C4298B"/>
    <w:rsid w:val="00C42AB1"/>
    <w:rsid w:val="00C42DFC"/>
    <w:rsid w:val="00C430E8"/>
    <w:rsid w:val="00C4337F"/>
    <w:rsid w:val="00C43466"/>
    <w:rsid w:val="00C4347F"/>
    <w:rsid w:val="00C435F9"/>
    <w:rsid w:val="00C4377B"/>
    <w:rsid w:val="00C438B0"/>
    <w:rsid w:val="00C439B9"/>
    <w:rsid w:val="00C43C53"/>
    <w:rsid w:val="00C43EAA"/>
    <w:rsid w:val="00C43F3E"/>
    <w:rsid w:val="00C441AD"/>
    <w:rsid w:val="00C44440"/>
    <w:rsid w:val="00C44CA4"/>
    <w:rsid w:val="00C44DE4"/>
    <w:rsid w:val="00C45080"/>
    <w:rsid w:val="00C45230"/>
    <w:rsid w:val="00C457E8"/>
    <w:rsid w:val="00C4583E"/>
    <w:rsid w:val="00C45E4B"/>
    <w:rsid w:val="00C45E68"/>
    <w:rsid w:val="00C45EDD"/>
    <w:rsid w:val="00C461EF"/>
    <w:rsid w:val="00C46748"/>
    <w:rsid w:val="00C46AE9"/>
    <w:rsid w:val="00C46BEA"/>
    <w:rsid w:val="00C46E6A"/>
    <w:rsid w:val="00C46E6F"/>
    <w:rsid w:val="00C4703A"/>
    <w:rsid w:val="00C47165"/>
    <w:rsid w:val="00C472E0"/>
    <w:rsid w:val="00C4733A"/>
    <w:rsid w:val="00C473C3"/>
    <w:rsid w:val="00C475D5"/>
    <w:rsid w:val="00C47972"/>
    <w:rsid w:val="00C47A74"/>
    <w:rsid w:val="00C47A77"/>
    <w:rsid w:val="00C47DCC"/>
    <w:rsid w:val="00C504F9"/>
    <w:rsid w:val="00C50500"/>
    <w:rsid w:val="00C50542"/>
    <w:rsid w:val="00C50622"/>
    <w:rsid w:val="00C50BC4"/>
    <w:rsid w:val="00C50DCC"/>
    <w:rsid w:val="00C50E54"/>
    <w:rsid w:val="00C50E63"/>
    <w:rsid w:val="00C5106F"/>
    <w:rsid w:val="00C51095"/>
    <w:rsid w:val="00C5175B"/>
    <w:rsid w:val="00C5181F"/>
    <w:rsid w:val="00C518D9"/>
    <w:rsid w:val="00C519CF"/>
    <w:rsid w:val="00C51C77"/>
    <w:rsid w:val="00C51D17"/>
    <w:rsid w:val="00C51FD8"/>
    <w:rsid w:val="00C52202"/>
    <w:rsid w:val="00C52483"/>
    <w:rsid w:val="00C524FF"/>
    <w:rsid w:val="00C52525"/>
    <w:rsid w:val="00C5252C"/>
    <w:rsid w:val="00C5268A"/>
    <w:rsid w:val="00C528AA"/>
    <w:rsid w:val="00C52B2C"/>
    <w:rsid w:val="00C52C3D"/>
    <w:rsid w:val="00C52E18"/>
    <w:rsid w:val="00C52E38"/>
    <w:rsid w:val="00C52FD3"/>
    <w:rsid w:val="00C533C5"/>
    <w:rsid w:val="00C5340F"/>
    <w:rsid w:val="00C5349D"/>
    <w:rsid w:val="00C534A3"/>
    <w:rsid w:val="00C537ED"/>
    <w:rsid w:val="00C538CF"/>
    <w:rsid w:val="00C53A0C"/>
    <w:rsid w:val="00C53C0D"/>
    <w:rsid w:val="00C53DA6"/>
    <w:rsid w:val="00C53DEB"/>
    <w:rsid w:val="00C53F23"/>
    <w:rsid w:val="00C5406A"/>
    <w:rsid w:val="00C541F4"/>
    <w:rsid w:val="00C547AF"/>
    <w:rsid w:val="00C54C7D"/>
    <w:rsid w:val="00C54FAA"/>
    <w:rsid w:val="00C551D0"/>
    <w:rsid w:val="00C55546"/>
    <w:rsid w:val="00C55738"/>
    <w:rsid w:val="00C557CD"/>
    <w:rsid w:val="00C55819"/>
    <w:rsid w:val="00C55891"/>
    <w:rsid w:val="00C558A1"/>
    <w:rsid w:val="00C559E9"/>
    <w:rsid w:val="00C55ACE"/>
    <w:rsid w:val="00C55F8C"/>
    <w:rsid w:val="00C5602B"/>
    <w:rsid w:val="00C5609F"/>
    <w:rsid w:val="00C561B5"/>
    <w:rsid w:val="00C562F9"/>
    <w:rsid w:val="00C5638B"/>
    <w:rsid w:val="00C56474"/>
    <w:rsid w:val="00C5664E"/>
    <w:rsid w:val="00C567CD"/>
    <w:rsid w:val="00C56837"/>
    <w:rsid w:val="00C569BD"/>
    <w:rsid w:val="00C569E8"/>
    <w:rsid w:val="00C56AC4"/>
    <w:rsid w:val="00C56C18"/>
    <w:rsid w:val="00C56DAA"/>
    <w:rsid w:val="00C57121"/>
    <w:rsid w:val="00C572A3"/>
    <w:rsid w:val="00C573D5"/>
    <w:rsid w:val="00C57449"/>
    <w:rsid w:val="00C574CC"/>
    <w:rsid w:val="00C577A7"/>
    <w:rsid w:val="00C57969"/>
    <w:rsid w:val="00C579AC"/>
    <w:rsid w:val="00C57CEC"/>
    <w:rsid w:val="00C57D46"/>
    <w:rsid w:val="00C57DAD"/>
    <w:rsid w:val="00C57F99"/>
    <w:rsid w:val="00C60501"/>
    <w:rsid w:val="00C605F5"/>
    <w:rsid w:val="00C60732"/>
    <w:rsid w:val="00C608E5"/>
    <w:rsid w:val="00C6094D"/>
    <w:rsid w:val="00C60B82"/>
    <w:rsid w:val="00C60DEC"/>
    <w:rsid w:val="00C60F34"/>
    <w:rsid w:val="00C617F6"/>
    <w:rsid w:val="00C61F6A"/>
    <w:rsid w:val="00C62052"/>
    <w:rsid w:val="00C62203"/>
    <w:rsid w:val="00C6245F"/>
    <w:rsid w:val="00C6274E"/>
    <w:rsid w:val="00C6285E"/>
    <w:rsid w:val="00C62908"/>
    <w:rsid w:val="00C62AD0"/>
    <w:rsid w:val="00C62BD5"/>
    <w:rsid w:val="00C631C1"/>
    <w:rsid w:val="00C631F5"/>
    <w:rsid w:val="00C6339B"/>
    <w:rsid w:val="00C63446"/>
    <w:rsid w:val="00C635CE"/>
    <w:rsid w:val="00C63763"/>
    <w:rsid w:val="00C63B30"/>
    <w:rsid w:val="00C63C77"/>
    <w:rsid w:val="00C64268"/>
    <w:rsid w:val="00C64800"/>
    <w:rsid w:val="00C64939"/>
    <w:rsid w:val="00C64BE9"/>
    <w:rsid w:val="00C64E52"/>
    <w:rsid w:val="00C65389"/>
    <w:rsid w:val="00C65C88"/>
    <w:rsid w:val="00C66B12"/>
    <w:rsid w:val="00C66C7C"/>
    <w:rsid w:val="00C66E49"/>
    <w:rsid w:val="00C66FA2"/>
    <w:rsid w:val="00C67317"/>
    <w:rsid w:val="00C673CC"/>
    <w:rsid w:val="00C6762E"/>
    <w:rsid w:val="00C67640"/>
    <w:rsid w:val="00C676CB"/>
    <w:rsid w:val="00C6779E"/>
    <w:rsid w:val="00C67863"/>
    <w:rsid w:val="00C67C41"/>
    <w:rsid w:val="00C7001D"/>
    <w:rsid w:val="00C70729"/>
    <w:rsid w:val="00C70921"/>
    <w:rsid w:val="00C70927"/>
    <w:rsid w:val="00C7098C"/>
    <w:rsid w:val="00C709A4"/>
    <w:rsid w:val="00C70C24"/>
    <w:rsid w:val="00C70D5F"/>
    <w:rsid w:val="00C70ECE"/>
    <w:rsid w:val="00C70F33"/>
    <w:rsid w:val="00C7100A"/>
    <w:rsid w:val="00C7120C"/>
    <w:rsid w:val="00C7145B"/>
    <w:rsid w:val="00C7162D"/>
    <w:rsid w:val="00C71901"/>
    <w:rsid w:val="00C71935"/>
    <w:rsid w:val="00C719A4"/>
    <w:rsid w:val="00C71D7B"/>
    <w:rsid w:val="00C71DB6"/>
    <w:rsid w:val="00C72357"/>
    <w:rsid w:val="00C723AF"/>
    <w:rsid w:val="00C7243C"/>
    <w:rsid w:val="00C72502"/>
    <w:rsid w:val="00C72597"/>
    <w:rsid w:val="00C7262F"/>
    <w:rsid w:val="00C7263B"/>
    <w:rsid w:val="00C72911"/>
    <w:rsid w:val="00C72D74"/>
    <w:rsid w:val="00C72E10"/>
    <w:rsid w:val="00C72F53"/>
    <w:rsid w:val="00C72FEF"/>
    <w:rsid w:val="00C730FF"/>
    <w:rsid w:val="00C73133"/>
    <w:rsid w:val="00C731AC"/>
    <w:rsid w:val="00C73265"/>
    <w:rsid w:val="00C73731"/>
    <w:rsid w:val="00C737A6"/>
    <w:rsid w:val="00C737AF"/>
    <w:rsid w:val="00C739E4"/>
    <w:rsid w:val="00C73B28"/>
    <w:rsid w:val="00C73C71"/>
    <w:rsid w:val="00C73CA8"/>
    <w:rsid w:val="00C73ED3"/>
    <w:rsid w:val="00C7419F"/>
    <w:rsid w:val="00C742F3"/>
    <w:rsid w:val="00C7431E"/>
    <w:rsid w:val="00C745E4"/>
    <w:rsid w:val="00C74ADB"/>
    <w:rsid w:val="00C74D7D"/>
    <w:rsid w:val="00C74FCC"/>
    <w:rsid w:val="00C750D5"/>
    <w:rsid w:val="00C751C5"/>
    <w:rsid w:val="00C75365"/>
    <w:rsid w:val="00C753CC"/>
    <w:rsid w:val="00C756E0"/>
    <w:rsid w:val="00C75851"/>
    <w:rsid w:val="00C75AE7"/>
    <w:rsid w:val="00C7612F"/>
    <w:rsid w:val="00C761BF"/>
    <w:rsid w:val="00C76257"/>
    <w:rsid w:val="00C7649F"/>
    <w:rsid w:val="00C76657"/>
    <w:rsid w:val="00C7687F"/>
    <w:rsid w:val="00C76C63"/>
    <w:rsid w:val="00C76DE7"/>
    <w:rsid w:val="00C76FD1"/>
    <w:rsid w:val="00C77643"/>
    <w:rsid w:val="00C776E5"/>
    <w:rsid w:val="00C77854"/>
    <w:rsid w:val="00C77D3A"/>
    <w:rsid w:val="00C80238"/>
    <w:rsid w:val="00C802F5"/>
    <w:rsid w:val="00C80616"/>
    <w:rsid w:val="00C806DC"/>
    <w:rsid w:val="00C809A3"/>
    <w:rsid w:val="00C80B42"/>
    <w:rsid w:val="00C80D1D"/>
    <w:rsid w:val="00C8185F"/>
    <w:rsid w:val="00C8186A"/>
    <w:rsid w:val="00C81881"/>
    <w:rsid w:val="00C81908"/>
    <w:rsid w:val="00C81AF9"/>
    <w:rsid w:val="00C81C87"/>
    <w:rsid w:val="00C81C98"/>
    <w:rsid w:val="00C81FE3"/>
    <w:rsid w:val="00C8207B"/>
    <w:rsid w:val="00C820DE"/>
    <w:rsid w:val="00C82267"/>
    <w:rsid w:val="00C823B9"/>
    <w:rsid w:val="00C823E2"/>
    <w:rsid w:val="00C824FD"/>
    <w:rsid w:val="00C8338C"/>
    <w:rsid w:val="00C835AE"/>
    <w:rsid w:val="00C838A3"/>
    <w:rsid w:val="00C839C4"/>
    <w:rsid w:val="00C841F4"/>
    <w:rsid w:val="00C84399"/>
    <w:rsid w:val="00C844D3"/>
    <w:rsid w:val="00C845E4"/>
    <w:rsid w:val="00C8464A"/>
    <w:rsid w:val="00C846DB"/>
    <w:rsid w:val="00C848AF"/>
    <w:rsid w:val="00C84986"/>
    <w:rsid w:val="00C84B20"/>
    <w:rsid w:val="00C85031"/>
    <w:rsid w:val="00C8523B"/>
    <w:rsid w:val="00C85243"/>
    <w:rsid w:val="00C8530A"/>
    <w:rsid w:val="00C8543B"/>
    <w:rsid w:val="00C8555C"/>
    <w:rsid w:val="00C855A2"/>
    <w:rsid w:val="00C85791"/>
    <w:rsid w:val="00C859A8"/>
    <w:rsid w:val="00C85B5B"/>
    <w:rsid w:val="00C85BF3"/>
    <w:rsid w:val="00C85C03"/>
    <w:rsid w:val="00C86234"/>
    <w:rsid w:val="00C8626E"/>
    <w:rsid w:val="00C86275"/>
    <w:rsid w:val="00C86293"/>
    <w:rsid w:val="00C863C2"/>
    <w:rsid w:val="00C86465"/>
    <w:rsid w:val="00C86694"/>
    <w:rsid w:val="00C867EA"/>
    <w:rsid w:val="00C867F9"/>
    <w:rsid w:val="00C86BDE"/>
    <w:rsid w:val="00C86D7E"/>
    <w:rsid w:val="00C86DF2"/>
    <w:rsid w:val="00C86ECE"/>
    <w:rsid w:val="00C86EFE"/>
    <w:rsid w:val="00C86F35"/>
    <w:rsid w:val="00C86FA0"/>
    <w:rsid w:val="00C8705E"/>
    <w:rsid w:val="00C875FE"/>
    <w:rsid w:val="00C8762E"/>
    <w:rsid w:val="00C8767F"/>
    <w:rsid w:val="00C87753"/>
    <w:rsid w:val="00C878C5"/>
    <w:rsid w:val="00C87938"/>
    <w:rsid w:val="00C87A03"/>
    <w:rsid w:val="00C87A52"/>
    <w:rsid w:val="00C87A95"/>
    <w:rsid w:val="00C87B08"/>
    <w:rsid w:val="00C87C91"/>
    <w:rsid w:val="00C902F2"/>
    <w:rsid w:val="00C907D5"/>
    <w:rsid w:val="00C90881"/>
    <w:rsid w:val="00C90A89"/>
    <w:rsid w:val="00C90C41"/>
    <w:rsid w:val="00C90FDB"/>
    <w:rsid w:val="00C911C1"/>
    <w:rsid w:val="00C9124B"/>
    <w:rsid w:val="00C9135B"/>
    <w:rsid w:val="00C9139D"/>
    <w:rsid w:val="00C91468"/>
    <w:rsid w:val="00C915BB"/>
    <w:rsid w:val="00C917D3"/>
    <w:rsid w:val="00C918BA"/>
    <w:rsid w:val="00C918D0"/>
    <w:rsid w:val="00C91933"/>
    <w:rsid w:val="00C91AC1"/>
    <w:rsid w:val="00C91AC9"/>
    <w:rsid w:val="00C91D7A"/>
    <w:rsid w:val="00C92791"/>
    <w:rsid w:val="00C92985"/>
    <w:rsid w:val="00C92A95"/>
    <w:rsid w:val="00C92C72"/>
    <w:rsid w:val="00C92F7F"/>
    <w:rsid w:val="00C9340A"/>
    <w:rsid w:val="00C9342A"/>
    <w:rsid w:val="00C93454"/>
    <w:rsid w:val="00C936C7"/>
    <w:rsid w:val="00C938B8"/>
    <w:rsid w:val="00C93F16"/>
    <w:rsid w:val="00C941D9"/>
    <w:rsid w:val="00C94689"/>
    <w:rsid w:val="00C94953"/>
    <w:rsid w:val="00C9497E"/>
    <w:rsid w:val="00C94B3F"/>
    <w:rsid w:val="00C94CC9"/>
    <w:rsid w:val="00C94D51"/>
    <w:rsid w:val="00C95099"/>
    <w:rsid w:val="00C95AEA"/>
    <w:rsid w:val="00C9624B"/>
    <w:rsid w:val="00C96258"/>
    <w:rsid w:val="00C965E9"/>
    <w:rsid w:val="00C965EF"/>
    <w:rsid w:val="00C96684"/>
    <w:rsid w:val="00C96745"/>
    <w:rsid w:val="00C96BCC"/>
    <w:rsid w:val="00C96D69"/>
    <w:rsid w:val="00C96DAB"/>
    <w:rsid w:val="00C97190"/>
    <w:rsid w:val="00C97199"/>
    <w:rsid w:val="00C972CC"/>
    <w:rsid w:val="00C972F6"/>
    <w:rsid w:val="00C973BB"/>
    <w:rsid w:val="00C974C3"/>
    <w:rsid w:val="00C975D0"/>
    <w:rsid w:val="00C975D2"/>
    <w:rsid w:val="00C975DC"/>
    <w:rsid w:val="00C97620"/>
    <w:rsid w:val="00C976A2"/>
    <w:rsid w:val="00C976BA"/>
    <w:rsid w:val="00C976CC"/>
    <w:rsid w:val="00C977A2"/>
    <w:rsid w:val="00C977E1"/>
    <w:rsid w:val="00C9787C"/>
    <w:rsid w:val="00C97A4F"/>
    <w:rsid w:val="00C97BA5"/>
    <w:rsid w:val="00C97D3B"/>
    <w:rsid w:val="00CA01AF"/>
    <w:rsid w:val="00CA063C"/>
    <w:rsid w:val="00CA0716"/>
    <w:rsid w:val="00CA08AF"/>
    <w:rsid w:val="00CA08B6"/>
    <w:rsid w:val="00CA0BD7"/>
    <w:rsid w:val="00CA0BEB"/>
    <w:rsid w:val="00CA1143"/>
    <w:rsid w:val="00CA155A"/>
    <w:rsid w:val="00CA19F4"/>
    <w:rsid w:val="00CA1BED"/>
    <w:rsid w:val="00CA1F61"/>
    <w:rsid w:val="00CA25DB"/>
    <w:rsid w:val="00CA277E"/>
    <w:rsid w:val="00CA2843"/>
    <w:rsid w:val="00CA2A66"/>
    <w:rsid w:val="00CA2E8B"/>
    <w:rsid w:val="00CA329A"/>
    <w:rsid w:val="00CA341F"/>
    <w:rsid w:val="00CA3C70"/>
    <w:rsid w:val="00CA3FA1"/>
    <w:rsid w:val="00CA411E"/>
    <w:rsid w:val="00CA4280"/>
    <w:rsid w:val="00CA49A1"/>
    <w:rsid w:val="00CA4B32"/>
    <w:rsid w:val="00CA51A7"/>
    <w:rsid w:val="00CA52EF"/>
    <w:rsid w:val="00CA5597"/>
    <w:rsid w:val="00CA5620"/>
    <w:rsid w:val="00CA5662"/>
    <w:rsid w:val="00CA59AD"/>
    <w:rsid w:val="00CA5BF5"/>
    <w:rsid w:val="00CA5C5F"/>
    <w:rsid w:val="00CA5DDE"/>
    <w:rsid w:val="00CA5E5C"/>
    <w:rsid w:val="00CA5F68"/>
    <w:rsid w:val="00CA6C5D"/>
    <w:rsid w:val="00CA6F0D"/>
    <w:rsid w:val="00CA6F4E"/>
    <w:rsid w:val="00CA719B"/>
    <w:rsid w:val="00CA730C"/>
    <w:rsid w:val="00CA768C"/>
    <w:rsid w:val="00CA7BAE"/>
    <w:rsid w:val="00CA7C1B"/>
    <w:rsid w:val="00CB0162"/>
    <w:rsid w:val="00CB0517"/>
    <w:rsid w:val="00CB0553"/>
    <w:rsid w:val="00CB0573"/>
    <w:rsid w:val="00CB06D4"/>
    <w:rsid w:val="00CB0730"/>
    <w:rsid w:val="00CB07C0"/>
    <w:rsid w:val="00CB07F8"/>
    <w:rsid w:val="00CB0B1B"/>
    <w:rsid w:val="00CB0BBC"/>
    <w:rsid w:val="00CB0CE4"/>
    <w:rsid w:val="00CB0F41"/>
    <w:rsid w:val="00CB0FB1"/>
    <w:rsid w:val="00CB11FF"/>
    <w:rsid w:val="00CB19AD"/>
    <w:rsid w:val="00CB1B62"/>
    <w:rsid w:val="00CB1E5D"/>
    <w:rsid w:val="00CB20D9"/>
    <w:rsid w:val="00CB2127"/>
    <w:rsid w:val="00CB223B"/>
    <w:rsid w:val="00CB224A"/>
    <w:rsid w:val="00CB23A9"/>
    <w:rsid w:val="00CB254B"/>
    <w:rsid w:val="00CB3384"/>
    <w:rsid w:val="00CB37A7"/>
    <w:rsid w:val="00CB3907"/>
    <w:rsid w:val="00CB399A"/>
    <w:rsid w:val="00CB4044"/>
    <w:rsid w:val="00CB4259"/>
    <w:rsid w:val="00CB42DD"/>
    <w:rsid w:val="00CB4973"/>
    <w:rsid w:val="00CB4998"/>
    <w:rsid w:val="00CB4B4A"/>
    <w:rsid w:val="00CB4C4A"/>
    <w:rsid w:val="00CB4C9A"/>
    <w:rsid w:val="00CB507A"/>
    <w:rsid w:val="00CB5138"/>
    <w:rsid w:val="00CB53F2"/>
    <w:rsid w:val="00CB55D3"/>
    <w:rsid w:val="00CB5817"/>
    <w:rsid w:val="00CB58BF"/>
    <w:rsid w:val="00CB5915"/>
    <w:rsid w:val="00CB5AD9"/>
    <w:rsid w:val="00CB60E5"/>
    <w:rsid w:val="00CB616D"/>
    <w:rsid w:val="00CB6461"/>
    <w:rsid w:val="00CB69C1"/>
    <w:rsid w:val="00CB6AA7"/>
    <w:rsid w:val="00CB6F0D"/>
    <w:rsid w:val="00CB71B6"/>
    <w:rsid w:val="00CB723E"/>
    <w:rsid w:val="00CB73E6"/>
    <w:rsid w:val="00CB76D3"/>
    <w:rsid w:val="00CB7779"/>
    <w:rsid w:val="00CB7A9D"/>
    <w:rsid w:val="00CB7ABC"/>
    <w:rsid w:val="00CB7E67"/>
    <w:rsid w:val="00CC04E5"/>
    <w:rsid w:val="00CC086B"/>
    <w:rsid w:val="00CC0991"/>
    <w:rsid w:val="00CC0C74"/>
    <w:rsid w:val="00CC0DA2"/>
    <w:rsid w:val="00CC0E8F"/>
    <w:rsid w:val="00CC0E95"/>
    <w:rsid w:val="00CC0E96"/>
    <w:rsid w:val="00CC1084"/>
    <w:rsid w:val="00CC12B2"/>
    <w:rsid w:val="00CC1446"/>
    <w:rsid w:val="00CC151E"/>
    <w:rsid w:val="00CC1A8A"/>
    <w:rsid w:val="00CC1C70"/>
    <w:rsid w:val="00CC1D27"/>
    <w:rsid w:val="00CC1E69"/>
    <w:rsid w:val="00CC1F66"/>
    <w:rsid w:val="00CC21C5"/>
    <w:rsid w:val="00CC224E"/>
    <w:rsid w:val="00CC2473"/>
    <w:rsid w:val="00CC25D8"/>
    <w:rsid w:val="00CC2941"/>
    <w:rsid w:val="00CC2E11"/>
    <w:rsid w:val="00CC2F9F"/>
    <w:rsid w:val="00CC307D"/>
    <w:rsid w:val="00CC31F7"/>
    <w:rsid w:val="00CC34F8"/>
    <w:rsid w:val="00CC351E"/>
    <w:rsid w:val="00CC36DD"/>
    <w:rsid w:val="00CC375B"/>
    <w:rsid w:val="00CC3852"/>
    <w:rsid w:val="00CC3B53"/>
    <w:rsid w:val="00CC3B78"/>
    <w:rsid w:val="00CC4278"/>
    <w:rsid w:val="00CC4670"/>
    <w:rsid w:val="00CC4747"/>
    <w:rsid w:val="00CC49A9"/>
    <w:rsid w:val="00CC4A8F"/>
    <w:rsid w:val="00CC4F8E"/>
    <w:rsid w:val="00CC4FF8"/>
    <w:rsid w:val="00CC514C"/>
    <w:rsid w:val="00CC57CD"/>
    <w:rsid w:val="00CC58D2"/>
    <w:rsid w:val="00CC5D6F"/>
    <w:rsid w:val="00CC613F"/>
    <w:rsid w:val="00CC6371"/>
    <w:rsid w:val="00CC66D5"/>
    <w:rsid w:val="00CC67EF"/>
    <w:rsid w:val="00CC6D6E"/>
    <w:rsid w:val="00CC6D7D"/>
    <w:rsid w:val="00CC71D8"/>
    <w:rsid w:val="00CC72D4"/>
    <w:rsid w:val="00CC72E0"/>
    <w:rsid w:val="00CC7312"/>
    <w:rsid w:val="00CC73B8"/>
    <w:rsid w:val="00CC74B7"/>
    <w:rsid w:val="00CC750D"/>
    <w:rsid w:val="00CC755F"/>
    <w:rsid w:val="00CC7665"/>
    <w:rsid w:val="00CC766E"/>
    <w:rsid w:val="00CC7685"/>
    <w:rsid w:val="00CC78FF"/>
    <w:rsid w:val="00CC79E9"/>
    <w:rsid w:val="00CC7AB1"/>
    <w:rsid w:val="00CC7C6F"/>
    <w:rsid w:val="00CC7D8D"/>
    <w:rsid w:val="00CC7F83"/>
    <w:rsid w:val="00CD034F"/>
    <w:rsid w:val="00CD04AA"/>
    <w:rsid w:val="00CD077C"/>
    <w:rsid w:val="00CD07FE"/>
    <w:rsid w:val="00CD0B35"/>
    <w:rsid w:val="00CD1026"/>
    <w:rsid w:val="00CD1150"/>
    <w:rsid w:val="00CD1257"/>
    <w:rsid w:val="00CD14A2"/>
    <w:rsid w:val="00CD1525"/>
    <w:rsid w:val="00CD1548"/>
    <w:rsid w:val="00CD1827"/>
    <w:rsid w:val="00CD18F0"/>
    <w:rsid w:val="00CD19E2"/>
    <w:rsid w:val="00CD1AB2"/>
    <w:rsid w:val="00CD2132"/>
    <w:rsid w:val="00CD225F"/>
    <w:rsid w:val="00CD259C"/>
    <w:rsid w:val="00CD2759"/>
    <w:rsid w:val="00CD2E8C"/>
    <w:rsid w:val="00CD323B"/>
    <w:rsid w:val="00CD32B2"/>
    <w:rsid w:val="00CD34D7"/>
    <w:rsid w:val="00CD386B"/>
    <w:rsid w:val="00CD3962"/>
    <w:rsid w:val="00CD3B85"/>
    <w:rsid w:val="00CD42D0"/>
    <w:rsid w:val="00CD42EE"/>
    <w:rsid w:val="00CD43A0"/>
    <w:rsid w:val="00CD4521"/>
    <w:rsid w:val="00CD4A5B"/>
    <w:rsid w:val="00CD4AA7"/>
    <w:rsid w:val="00CD5399"/>
    <w:rsid w:val="00CD53E2"/>
    <w:rsid w:val="00CD560E"/>
    <w:rsid w:val="00CD5644"/>
    <w:rsid w:val="00CD56D3"/>
    <w:rsid w:val="00CD5B4E"/>
    <w:rsid w:val="00CD5B64"/>
    <w:rsid w:val="00CD5EF2"/>
    <w:rsid w:val="00CD6031"/>
    <w:rsid w:val="00CD614D"/>
    <w:rsid w:val="00CD637F"/>
    <w:rsid w:val="00CD668F"/>
    <w:rsid w:val="00CD6A67"/>
    <w:rsid w:val="00CD6B1D"/>
    <w:rsid w:val="00CD6B99"/>
    <w:rsid w:val="00CD6C34"/>
    <w:rsid w:val="00CD6D67"/>
    <w:rsid w:val="00CD6EAE"/>
    <w:rsid w:val="00CD6EF4"/>
    <w:rsid w:val="00CD6F13"/>
    <w:rsid w:val="00CD76B3"/>
    <w:rsid w:val="00CD773B"/>
    <w:rsid w:val="00CD7861"/>
    <w:rsid w:val="00CD79FA"/>
    <w:rsid w:val="00CD7ADF"/>
    <w:rsid w:val="00CD7BAB"/>
    <w:rsid w:val="00CD7C96"/>
    <w:rsid w:val="00CD7EB5"/>
    <w:rsid w:val="00CE027D"/>
    <w:rsid w:val="00CE04A2"/>
    <w:rsid w:val="00CE061E"/>
    <w:rsid w:val="00CE0C41"/>
    <w:rsid w:val="00CE0CD5"/>
    <w:rsid w:val="00CE0EA8"/>
    <w:rsid w:val="00CE0EDC"/>
    <w:rsid w:val="00CE0FC8"/>
    <w:rsid w:val="00CE1656"/>
    <w:rsid w:val="00CE169E"/>
    <w:rsid w:val="00CE19B7"/>
    <w:rsid w:val="00CE19BA"/>
    <w:rsid w:val="00CE1B9A"/>
    <w:rsid w:val="00CE1E9C"/>
    <w:rsid w:val="00CE1F2D"/>
    <w:rsid w:val="00CE1F7D"/>
    <w:rsid w:val="00CE2080"/>
    <w:rsid w:val="00CE214C"/>
    <w:rsid w:val="00CE2201"/>
    <w:rsid w:val="00CE2238"/>
    <w:rsid w:val="00CE22AB"/>
    <w:rsid w:val="00CE2412"/>
    <w:rsid w:val="00CE2A30"/>
    <w:rsid w:val="00CE2BDB"/>
    <w:rsid w:val="00CE2C2C"/>
    <w:rsid w:val="00CE31A0"/>
    <w:rsid w:val="00CE321C"/>
    <w:rsid w:val="00CE3308"/>
    <w:rsid w:val="00CE34AE"/>
    <w:rsid w:val="00CE355D"/>
    <w:rsid w:val="00CE35BC"/>
    <w:rsid w:val="00CE3649"/>
    <w:rsid w:val="00CE3B1D"/>
    <w:rsid w:val="00CE3C5F"/>
    <w:rsid w:val="00CE3EF1"/>
    <w:rsid w:val="00CE439A"/>
    <w:rsid w:val="00CE44A8"/>
    <w:rsid w:val="00CE49F8"/>
    <w:rsid w:val="00CE4DF9"/>
    <w:rsid w:val="00CE54E8"/>
    <w:rsid w:val="00CE5598"/>
    <w:rsid w:val="00CE5834"/>
    <w:rsid w:val="00CE5943"/>
    <w:rsid w:val="00CE5AE2"/>
    <w:rsid w:val="00CE5CAE"/>
    <w:rsid w:val="00CE5D73"/>
    <w:rsid w:val="00CE5E38"/>
    <w:rsid w:val="00CE6154"/>
    <w:rsid w:val="00CE6864"/>
    <w:rsid w:val="00CE68B0"/>
    <w:rsid w:val="00CE6B2A"/>
    <w:rsid w:val="00CE6B43"/>
    <w:rsid w:val="00CE6C2E"/>
    <w:rsid w:val="00CE6D0E"/>
    <w:rsid w:val="00CE7362"/>
    <w:rsid w:val="00CE76E4"/>
    <w:rsid w:val="00CE7790"/>
    <w:rsid w:val="00CE78D8"/>
    <w:rsid w:val="00CE7928"/>
    <w:rsid w:val="00CE7A0E"/>
    <w:rsid w:val="00CE7A8F"/>
    <w:rsid w:val="00CE7C04"/>
    <w:rsid w:val="00CF045B"/>
    <w:rsid w:val="00CF04A0"/>
    <w:rsid w:val="00CF051A"/>
    <w:rsid w:val="00CF059A"/>
    <w:rsid w:val="00CF05CC"/>
    <w:rsid w:val="00CF0660"/>
    <w:rsid w:val="00CF08FF"/>
    <w:rsid w:val="00CF0AAF"/>
    <w:rsid w:val="00CF0AB6"/>
    <w:rsid w:val="00CF0AE3"/>
    <w:rsid w:val="00CF0E0C"/>
    <w:rsid w:val="00CF125E"/>
    <w:rsid w:val="00CF12C2"/>
    <w:rsid w:val="00CF1368"/>
    <w:rsid w:val="00CF197D"/>
    <w:rsid w:val="00CF19C8"/>
    <w:rsid w:val="00CF1CAC"/>
    <w:rsid w:val="00CF1D09"/>
    <w:rsid w:val="00CF1E3D"/>
    <w:rsid w:val="00CF1E4B"/>
    <w:rsid w:val="00CF1F06"/>
    <w:rsid w:val="00CF1FC6"/>
    <w:rsid w:val="00CF2505"/>
    <w:rsid w:val="00CF2615"/>
    <w:rsid w:val="00CF2BBE"/>
    <w:rsid w:val="00CF3011"/>
    <w:rsid w:val="00CF30F1"/>
    <w:rsid w:val="00CF310C"/>
    <w:rsid w:val="00CF338B"/>
    <w:rsid w:val="00CF33F7"/>
    <w:rsid w:val="00CF38BA"/>
    <w:rsid w:val="00CF3A72"/>
    <w:rsid w:val="00CF3B75"/>
    <w:rsid w:val="00CF3CCE"/>
    <w:rsid w:val="00CF40EE"/>
    <w:rsid w:val="00CF4232"/>
    <w:rsid w:val="00CF4656"/>
    <w:rsid w:val="00CF474B"/>
    <w:rsid w:val="00CF49C5"/>
    <w:rsid w:val="00CF4B55"/>
    <w:rsid w:val="00CF4B72"/>
    <w:rsid w:val="00CF4BD0"/>
    <w:rsid w:val="00CF4D0C"/>
    <w:rsid w:val="00CF4EC1"/>
    <w:rsid w:val="00CF4F19"/>
    <w:rsid w:val="00CF4F1E"/>
    <w:rsid w:val="00CF50AE"/>
    <w:rsid w:val="00CF528B"/>
    <w:rsid w:val="00CF530D"/>
    <w:rsid w:val="00CF5479"/>
    <w:rsid w:val="00CF55C7"/>
    <w:rsid w:val="00CF55F6"/>
    <w:rsid w:val="00CF5A0A"/>
    <w:rsid w:val="00CF5B68"/>
    <w:rsid w:val="00CF5CF4"/>
    <w:rsid w:val="00CF5FBF"/>
    <w:rsid w:val="00CF629F"/>
    <w:rsid w:val="00CF646E"/>
    <w:rsid w:val="00CF651B"/>
    <w:rsid w:val="00CF65EA"/>
    <w:rsid w:val="00CF67F7"/>
    <w:rsid w:val="00CF6A94"/>
    <w:rsid w:val="00CF6B0E"/>
    <w:rsid w:val="00CF6BAE"/>
    <w:rsid w:val="00CF6D93"/>
    <w:rsid w:val="00CF72CA"/>
    <w:rsid w:val="00CF7427"/>
    <w:rsid w:val="00CF7522"/>
    <w:rsid w:val="00CF78FF"/>
    <w:rsid w:val="00CF7AE9"/>
    <w:rsid w:val="00CF7B17"/>
    <w:rsid w:val="00CF7B56"/>
    <w:rsid w:val="00CF7E21"/>
    <w:rsid w:val="00D001C7"/>
    <w:rsid w:val="00D00258"/>
    <w:rsid w:val="00D004AD"/>
    <w:rsid w:val="00D0069C"/>
    <w:rsid w:val="00D0081B"/>
    <w:rsid w:val="00D00B41"/>
    <w:rsid w:val="00D00B51"/>
    <w:rsid w:val="00D00BD8"/>
    <w:rsid w:val="00D00C29"/>
    <w:rsid w:val="00D00C92"/>
    <w:rsid w:val="00D00E13"/>
    <w:rsid w:val="00D01125"/>
    <w:rsid w:val="00D015CE"/>
    <w:rsid w:val="00D015FA"/>
    <w:rsid w:val="00D019FE"/>
    <w:rsid w:val="00D01DEE"/>
    <w:rsid w:val="00D021EC"/>
    <w:rsid w:val="00D02204"/>
    <w:rsid w:val="00D02299"/>
    <w:rsid w:val="00D023BB"/>
    <w:rsid w:val="00D02473"/>
    <w:rsid w:val="00D025EF"/>
    <w:rsid w:val="00D02A55"/>
    <w:rsid w:val="00D02A92"/>
    <w:rsid w:val="00D02C8A"/>
    <w:rsid w:val="00D031B2"/>
    <w:rsid w:val="00D0346D"/>
    <w:rsid w:val="00D0359E"/>
    <w:rsid w:val="00D0369B"/>
    <w:rsid w:val="00D036F8"/>
    <w:rsid w:val="00D039FA"/>
    <w:rsid w:val="00D03B86"/>
    <w:rsid w:val="00D03B9B"/>
    <w:rsid w:val="00D04125"/>
    <w:rsid w:val="00D043E9"/>
    <w:rsid w:val="00D04540"/>
    <w:rsid w:val="00D046B0"/>
    <w:rsid w:val="00D04799"/>
    <w:rsid w:val="00D0495D"/>
    <w:rsid w:val="00D04E31"/>
    <w:rsid w:val="00D0503D"/>
    <w:rsid w:val="00D05071"/>
    <w:rsid w:val="00D05385"/>
    <w:rsid w:val="00D05517"/>
    <w:rsid w:val="00D055DA"/>
    <w:rsid w:val="00D05890"/>
    <w:rsid w:val="00D058D2"/>
    <w:rsid w:val="00D058F6"/>
    <w:rsid w:val="00D05AE7"/>
    <w:rsid w:val="00D060E0"/>
    <w:rsid w:val="00D061E5"/>
    <w:rsid w:val="00D063D1"/>
    <w:rsid w:val="00D064C0"/>
    <w:rsid w:val="00D065D9"/>
    <w:rsid w:val="00D06A26"/>
    <w:rsid w:val="00D06AAE"/>
    <w:rsid w:val="00D06D32"/>
    <w:rsid w:val="00D06D7D"/>
    <w:rsid w:val="00D073E9"/>
    <w:rsid w:val="00D073FF"/>
    <w:rsid w:val="00D0741D"/>
    <w:rsid w:val="00D07467"/>
    <w:rsid w:val="00D077BD"/>
    <w:rsid w:val="00D079D1"/>
    <w:rsid w:val="00D07C4E"/>
    <w:rsid w:val="00D07C83"/>
    <w:rsid w:val="00D07F80"/>
    <w:rsid w:val="00D10154"/>
    <w:rsid w:val="00D10537"/>
    <w:rsid w:val="00D1064F"/>
    <w:rsid w:val="00D10680"/>
    <w:rsid w:val="00D10ADA"/>
    <w:rsid w:val="00D10F21"/>
    <w:rsid w:val="00D1100B"/>
    <w:rsid w:val="00D11046"/>
    <w:rsid w:val="00D113A9"/>
    <w:rsid w:val="00D11517"/>
    <w:rsid w:val="00D115A1"/>
    <w:rsid w:val="00D11602"/>
    <w:rsid w:val="00D1192F"/>
    <w:rsid w:val="00D11C20"/>
    <w:rsid w:val="00D11C5D"/>
    <w:rsid w:val="00D11EB4"/>
    <w:rsid w:val="00D12093"/>
    <w:rsid w:val="00D12772"/>
    <w:rsid w:val="00D1290E"/>
    <w:rsid w:val="00D12E63"/>
    <w:rsid w:val="00D12EB6"/>
    <w:rsid w:val="00D130C2"/>
    <w:rsid w:val="00D1344E"/>
    <w:rsid w:val="00D1346E"/>
    <w:rsid w:val="00D13AF2"/>
    <w:rsid w:val="00D13C68"/>
    <w:rsid w:val="00D14124"/>
    <w:rsid w:val="00D14370"/>
    <w:rsid w:val="00D1441E"/>
    <w:rsid w:val="00D1443D"/>
    <w:rsid w:val="00D14C08"/>
    <w:rsid w:val="00D14D1B"/>
    <w:rsid w:val="00D14EA1"/>
    <w:rsid w:val="00D14FCB"/>
    <w:rsid w:val="00D15306"/>
    <w:rsid w:val="00D153AB"/>
    <w:rsid w:val="00D15745"/>
    <w:rsid w:val="00D15F00"/>
    <w:rsid w:val="00D165C6"/>
    <w:rsid w:val="00D1661F"/>
    <w:rsid w:val="00D1663D"/>
    <w:rsid w:val="00D167B2"/>
    <w:rsid w:val="00D168D7"/>
    <w:rsid w:val="00D16A4A"/>
    <w:rsid w:val="00D16C7E"/>
    <w:rsid w:val="00D16D5F"/>
    <w:rsid w:val="00D17099"/>
    <w:rsid w:val="00D17111"/>
    <w:rsid w:val="00D1760E"/>
    <w:rsid w:val="00D17794"/>
    <w:rsid w:val="00D177EF"/>
    <w:rsid w:val="00D17D69"/>
    <w:rsid w:val="00D17D7E"/>
    <w:rsid w:val="00D17DE9"/>
    <w:rsid w:val="00D17F32"/>
    <w:rsid w:val="00D17FEE"/>
    <w:rsid w:val="00D2077F"/>
    <w:rsid w:val="00D20D84"/>
    <w:rsid w:val="00D21076"/>
    <w:rsid w:val="00D214AB"/>
    <w:rsid w:val="00D21746"/>
    <w:rsid w:val="00D21B9B"/>
    <w:rsid w:val="00D21EAE"/>
    <w:rsid w:val="00D21F3C"/>
    <w:rsid w:val="00D21F5B"/>
    <w:rsid w:val="00D22111"/>
    <w:rsid w:val="00D22A6C"/>
    <w:rsid w:val="00D22AEC"/>
    <w:rsid w:val="00D22DF9"/>
    <w:rsid w:val="00D230D2"/>
    <w:rsid w:val="00D2333C"/>
    <w:rsid w:val="00D233E2"/>
    <w:rsid w:val="00D23B9C"/>
    <w:rsid w:val="00D23C8A"/>
    <w:rsid w:val="00D23C99"/>
    <w:rsid w:val="00D2429E"/>
    <w:rsid w:val="00D24AF2"/>
    <w:rsid w:val="00D24C66"/>
    <w:rsid w:val="00D24C68"/>
    <w:rsid w:val="00D24CA7"/>
    <w:rsid w:val="00D24D32"/>
    <w:rsid w:val="00D24D78"/>
    <w:rsid w:val="00D24F98"/>
    <w:rsid w:val="00D25046"/>
    <w:rsid w:val="00D25185"/>
    <w:rsid w:val="00D253A6"/>
    <w:rsid w:val="00D255B2"/>
    <w:rsid w:val="00D255D2"/>
    <w:rsid w:val="00D25780"/>
    <w:rsid w:val="00D25988"/>
    <w:rsid w:val="00D260C1"/>
    <w:rsid w:val="00D2613B"/>
    <w:rsid w:val="00D264EB"/>
    <w:rsid w:val="00D264F0"/>
    <w:rsid w:val="00D264F9"/>
    <w:rsid w:val="00D26A95"/>
    <w:rsid w:val="00D26B80"/>
    <w:rsid w:val="00D26E6E"/>
    <w:rsid w:val="00D26E70"/>
    <w:rsid w:val="00D26ECF"/>
    <w:rsid w:val="00D2707A"/>
    <w:rsid w:val="00D273CE"/>
    <w:rsid w:val="00D27529"/>
    <w:rsid w:val="00D27A96"/>
    <w:rsid w:val="00D27C21"/>
    <w:rsid w:val="00D27FF0"/>
    <w:rsid w:val="00D3016D"/>
    <w:rsid w:val="00D30190"/>
    <w:rsid w:val="00D30300"/>
    <w:rsid w:val="00D306F8"/>
    <w:rsid w:val="00D30742"/>
    <w:rsid w:val="00D30772"/>
    <w:rsid w:val="00D30D57"/>
    <w:rsid w:val="00D30EF4"/>
    <w:rsid w:val="00D311A5"/>
    <w:rsid w:val="00D314C2"/>
    <w:rsid w:val="00D314DF"/>
    <w:rsid w:val="00D31706"/>
    <w:rsid w:val="00D31807"/>
    <w:rsid w:val="00D31B0B"/>
    <w:rsid w:val="00D31DB5"/>
    <w:rsid w:val="00D31DDC"/>
    <w:rsid w:val="00D32042"/>
    <w:rsid w:val="00D3211F"/>
    <w:rsid w:val="00D3213E"/>
    <w:rsid w:val="00D322B0"/>
    <w:rsid w:val="00D326B1"/>
    <w:rsid w:val="00D327AE"/>
    <w:rsid w:val="00D32912"/>
    <w:rsid w:val="00D32A67"/>
    <w:rsid w:val="00D32B3C"/>
    <w:rsid w:val="00D32D63"/>
    <w:rsid w:val="00D33190"/>
    <w:rsid w:val="00D3370A"/>
    <w:rsid w:val="00D33749"/>
    <w:rsid w:val="00D339F3"/>
    <w:rsid w:val="00D33CF9"/>
    <w:rsid w:val="00D33ECC"/>
    <w:rsid w:val="00D34049"/>
    <w:rsid w:val="00D341DA"/>
    <w:rsid w:val="00D341EF"/>
    <w:rsid w:val="00D347C0"/>
    <w:rsid w:val="00D34A09"/>
    <w:rsid w:val="00D34A68"/>
    <w:rsid w:val="00D34A8D"/>
    <w:rsid w:val="00D34B2E"/>
    <w:rsid w:val="00D34D98"/>
    <w:rsid w:val="00D34EB7"/>
    <w:rsid w:val="00D35008"/>
    <w:rsid w:val="00D35303"/>
    <w:rsid w:val="00D3539A"/>
    <w:rsid w:val="00D35629"/>
    <w:rsid w:val="00D3564D"/>
    <w:rsid w:val="00D35B66"/>
    <w:rsid w:val="00D35CF0"/>
    <w:rsid w:val="00D35DE6"/>
    <w:rsid w:val="00D35E9B"/>
    <w:rsid w:val="00D3629B"/>
    <w:rsid w:val="00D363D8"/>
    <w:rsid w:val="00D36774"/>
    <w:rsid w:val="00D36AAB"/>
    <w:rsid w:val="00D36B27"/>
    <w:rsid w:val="00D36E6A"/>
    <w:rsid w:val="00D37954"/>
    <w:rsid w:val="00D37A1A"/>
    <w:rsid w:val="00D37B19"/>
    <w:rsid w:val="00D37E82"/>
    <w:rsid w:val="00D37F5E"/>
    <w:rsid w:val="00D4005D"/>
    <w:rsid w:val="00D40062"/>
    <w:rsid w:val="00D403EA"/>
    <w:rsid w:val="00D4071B"/>
    <w:rsid w:val="00D4078B"/>
    <w:rsid w:val="00D40DCD"/>
    <w:rsid w:val="00D411B7"/>
    <w:rsid w:val="00D4127D"/>
    <w:rsid w:val="00D4134E"/>
    <w:rsid w:val="00D41638"/>
    <w:rsid w:val="00D41ACD"/>
    <w:rsid w:val="00D41BAB"/>
    <w:rsid w:val="00D41EA9"/>
    <w:rsid w:val="00D421E3"/>
    <w:rsid w:val="00D42273"/>
    <w:rsid w:val="00D42585"/>
    <w:rsid w:val="00D42664"/>
    <w:rsid w:val="00D426F9"/>
    <w:rsid w:val="00D42C6A"/>
    <w:rsid w:val="00D42FEA"/>
    <w:rsid w:val="00D436B4"/>
    <w:rsid w:val="00D4372F"/>
    <w:rsid w:val="00D43C0D"/>
    <w:rsid w:val="00D43DBF"/>
    <w:rsid w:val="00D43E05"/>
    <w:rsid w:val="00D43F52"/>
    <w:rsid w:val="00D44038"/>
    <w:rsid w:val="00D44114"/>
    <w:rsid w:val="00D44270"/>
    <w:rsid w:val="00D44374"/>
    <w:rsid w:val="00D4446D"/>
    <w:rsid w:val="00D4451A"/>
    <w:rsid w:val="00D4463D"/>
    <w:rsid w:val="00D44646"/>
    <w:rsid w:val="00D44767"/>
    <w:rsid w:val="00D44E32"/>
    <w:rsid w:val="00D44F1A"/>
    <w:rsid w:val="00D44F2D"/>
    <w:rsid w:val="00D4515D"/>
    <w:rsid w:val="00D4564E"/>
    <w:rsid w:val="00D45773"/>
    <w:rsid w:val="00D459A2"/>
    <w:rsid w:val="00D45DC8"/>
    <w:rsid w:val="00D46034"/>
    <w:rsid w:val="00D462DE"/>
    <w:rsid w:val="00D46334"/>
    <w:rsid w:val="00D463F4"/>
    <w:rsid w:val="00D46492"/>
    <w:rsid w:val="00D464A5"/>
    <w:rsid w:val="00D4656B"/>
    <w:rsid w:val="00D46C5E"/>
    <w:rsid w:val="00D46D09"/>
    <w:rsid w:val="00D46D68"/>
    <w:rsid w:val="00D46DEE"/>
    <w:rsid w:val="00D473B9"/>
    <w:rsid w:val="00D47B69"/>
    <w:rsid w:val="00D47CEB"/>
    <w:rsid w:val="00D47D28"/>
    <w:rsid w:val="00D5059C"/>
    <w:rsid w:val="00D50826"/>
    <w:rsid w:val="00D50A40"/>
    <w:rsid w:val="00D50A72"/>
    <w:rsid w:val="00D50BF9"/>
    <w:rsid w:val="00D50C59"/>
    <w:rsid w:val="00D51188"/>
    <w:rsid w:val="00D51189"/>
    <w:rsid w:val="00D511E2"/>
    <w:rsid w:val="00D5136C"/>
    <w:rsid w:val="00D51669"/>
    <w:rsid w:val="00D51B6F"/>
    <w:rsid w:val="00D51C02"/>
    <w:rsid w:val="00D51C99"/>
    <w:rsid w:val="00D51DD8"/>
    <w:rsid w:val="00D51E50"/>
    <w:rsid w:val="00D51EA7"/>
    <w:rsid w:val="00D51FC6"/>
    <w:rsid w:val="00D524AC"/>
    <w:rsid w:val="00D524D7"/>
    <w:rsid w:val="00D52639"/>
    <w:rsid w:val="00D52685"/>
    <w:rsid w:val="00D526A5"/>
    <w:rsid w:val="00D52AC2"/>
    <w:rsid w:val="00D52AE2"/>
    <w:rsid w:val="00D52CBC"/>
    <w:rsid w:val="00D5317A"/>
    <w:rsid w:val="00D53642"/>
    <w:rsid w:val="00D5394C"/>
    <w:rsid w:val="00D53B94"/>
    <w:rsid w:val="00D53FB2"/>
    <w:rsid w:val="00D53FB8"/>
    <w:rsid w:val="00D54348"/>
    <w:rsid w:val="00D54384"/>
    <w:rsid w:val="00D5459C"/>
    <w:rsid w:val="00D545E9"/>
    <w:rsid w:val="00D54744"/>
    <w:rsid w:val="00D548B5"/>
    <w:rsid w:val="00D5496F"/>
    <w:rsid w:val="00D54ABF"/>
    <w:rsid w:val="00D54D56"/>
    <w:rsid w:val="00D54DD3"/>
    <w:rsid w:val="00D55164"/>
    <w:rsid w:val="00D5555E"/>
    <w:rsid w:val="00D55598"/>
    <w:rsid w:val="00D556BC"/>
    <w:rsid w:val="00D5575B"/>
    <w:rsid w:val="00D5578F"/>
    <w:rsid w:val="00D55A0F"/>
    <w:rsid w:val="00D55ECA"/>
    <w:rsid w:val="00D5608B"/>
    <w:rsid w:val="00D5626B"/>
    <w:rsid w:val="00D56509"/>
    <w:rsid w:val="00D56B05"/>
    <w:rsid w:val="00D56BAC"/>
    <w:rsid w:val="00D56E98"/>
    <w:rsid w:val="00D574EA"/>
    <w:rsid w:val="00D57689"/>
    <w:rsid w:val="00D5772C"/>
    <w:rsid w:val="00D57BCB"/>
    <w:rsid w:val="00D57CEA"/>
    <w:rsid w:val="00D57D5A"/>
    <w:rsid w:val="00D57F05"/>
    <w:rsid w:val="00D6001F"/>
    <w:rsid w:val="00D603E3"/>
    <w:rsid w:val="00D603EF"/>
    <w:rsid w:val="00D60E64"/>
    <w:rsid w:val="00D61673"/>
    <w:rsid w:val="00D616D8"/>
    <w:rsid w:val="00D61A89"/>
    <w:rsid w:val="00D61E30"/>
    <w:rsid w:val="00D622B1"/>
    <w:rsid w:val="00D62521"/>
    <w:rsid w:val="00D6257B"/>
    <w:rsid w:val="00D627A7"/>
    <w:rsid w:val="00D628A2"/>
    <w:rsid w:val="00D628F0"/>
    <w:rsid w:val="00D62A86"/>
    <w:rsid w:val="00D62BD1"/>
    <w:rsid w:val="00D62F62"/>
    <w:rsid w:val="00D63152"/>
    <w:rsid w:val="00D632E7"/>
    <w:rsid w:val="00D63536"/>
    <w:rsid w:val="00D63B6E"/>
    <w:rsid w:val="00D63C4A"/>
    <w:rsid w:val="00D63D03"/>
    <w:rsid w:val="00D63DEA"/>
    <w:rsid w:val="00D63E16"/>
    <w:rsid w:val="00D63EA6"/>
    <w:rsid w:val="00D641ED"/>
    <w:rsid w:val="00D64553"/>
    <w:rsid w:val="00D648A4"/>
    <w:rsid w:val="00D64AF0"/>
    <w:rsid w:val="00D64D7C"/>
    <w:rsid w:val="00D64F19"/>
    <w:rsid w:val="00D650D6"/>
    <w:rsid w:val="00D6521A"/>
    <w:rsid w:val="00D6540F"/>
    <w:rsid w:val="00D6582F"/>
    <w:rsid w:val="00D662DA"/>
    <w:rsid w:val="00D663FF"/>
    <w:rsid w:val="00D66929"/>
    <w:rsid w:val="00D66B5C"/>
    <w:rsid w:val="00D66B75"/>
    <w:rsid w:val="00D66BE0"/>
    <w:rsid w:val="00D66CDF"/>
    <w:rsid w:val="00D66EBC"/>
    <w:rsid w:val="00D66F37"/>
    <w:rsid w:val="00D67168"/>
    <w:rsid w:val="00D6725D"/>
    <w:rsid w:val="00D67478"/>
    <w:rsid w:val="00D6747F"/>
    <w:rsid w:val="00D6775D"/>
    <w:rsid w:val="00D67954"/>
    <w:rsid w:val="00D700D6"/>
    <w:rsid w:val="00D7016E"/>
    <w:rsid w:val="00D70526"/>
    <w:rsid w:val="00D705E5"/>
    <w:rsid w:val="00D70684"/>
    <w:rsid w:val="00D7070C"/>
    <w:rsid w:val="00D70916"/>
    <w:rsid w:val="00D70CB3"/>
    <w:rsid w:val="00D70CC3"/>
    <w:rsid w:val="00D71400"/>
    <w:rsid w:val="00D71411"/>
    <w:rsid w:val="00D714E3"/>
    <w:rsid w:val="00D7183E"/>
    <w:rsid w:val="00D71FD9"/>
    <w:rsid w:val="00D7225F"/>
    <w:rsid w:val="00D722C3"/>
    <w:rsid w:val="00D72344"/>
    <w:rsid w:val="00D72474"/>
    <w:rsid w:val="00D7250E"/>
    <w:rsid w:val="00D72960"/>
    <w:rsid w:val="00D73545"/>
    <w:rsid w:val="00D735C9"/>
    <w:rsid w:val="00D736E5"/>
    <w:rsid w:val="00D73721"/>
    <w:rsid w:val="00D73896"/>
    <w:rsid w:val="00D738E8"/>
    <w:rsid w:val="00D73973"/>
    <w:rsid w:val="00D73A6B"/>
    <w:rsid w:val="00D73B94"/>
    <w:rsid w:val="00D741AB"/>
    <w:rsid w:val="00D74241"/>
    <w:rsid w:val="00D7434E"/>
    <w:rsid w:val="00D743D0"/>
    <w:rsid w:val="00D74851"/>
    <w:rsid w:val="00D748F7"/>
    <w:rsid w:val="00D74B11"/>
    <w:rsid w:val="00D74D77"/>
    <w:rsid w:val="00D74F2F"/>
    <w:rsid w:val="00D750B2"/>
    <w:rsid w:val="00D75136"/>
    <w:rsid w:val="00D753CC"/>
    <w:rsid w:val="00D753E2"/>
    <w:rsid w:val="00D754A6"/>
    <w:rsid w:val="00D75A40"/>
    <w:rsid w:val="00D75A94"/>
    <w:rsid w:val="00D75DEF"/>
    <w:rsid w:val="00D76092"/>
    <w:rsid w:val="00D760A2"/>
    <w:rsid w:val="00D7624A"/>
    <w:rsid w:val="00D76382"/>
    <w:rsid w:val="00D766A3"/>
    <w:rsid w:val="00D76719"/>
    <w:rsid w:val="00D7689F"/>
    <w:rsid w:val="00D76993"/>
    <w:rsid w:val="00D769A8"/>
    <w:rsid w:val="00D76E6D"/>
    <w:rsid w:val="00D76EE0"/>
    <w:rsid w:val="00D7720A"/>
    <w:rsid w:val="00D77249"/>
    <w:rsid w:val="00D77296"/>
    <w:rsid w:val="00D775F3"/>
    <w:rsid w:val="00D77A2E"/>
    <w:rsid w:val="00D77A64"/>
    <w:rsid w:val="00D80017"/>
    <w:rsid w:val="00D80444"/>
    <w:rsid w:val="00D804E4"/>
    <w:rsid w:val="00D805CE"/>
    <w:rsid w:val="00D8073F"/>
    <w:rsid w:val="00D80AC2"/>
    <w:rsid w:val="00D80CB2"/>
    <w:rsid w:val="00D80FA1"/>
    <w:rsid w:val="00D80FD9"/>
    <w:rsid w:val="00D81884"/>
    <w:rsid w:val="00D818DF"/>
    <w:rsid w:val="00D819D0"/>
    <w:rsid w:val="00D81C59"/>
    <w:rsid w:val="00D81DED"/>
    <w:rsid w:val="00D821CC"/>
    <w:rsid w:val="00D82351"/>
    <w:rsid w:val="00D82362"/>
    <w:rsid w:val="00D82566"/>
    <w:rsid w:val="00D825BB"/>
    <w:rsid w:val="00D825F5"/>
    <w:rsid w:val="00D8265D"/>
    <w:rsid w:val="00D827B2"/>
    <w:rsid w:val="00D827C3"/>
    <w:rsid w:val="00D82E63"/>
    <w:rsid w:val="00D8314D"/>
    <w:rsid w:val="00D83196"/>
    <w:rsid w:val="00D8319E"/>
    <w:rsid w:val="00D83323"/>
    <w:rsid w:val="00D83460"/>
    <w:rsid w:val="00D83627"/>
    <w:rsid w:val="00D83CDC"/>
    <w:rsid w:val="00D83E01"/>
    <w:rsid w:val="00D83F31"/>
    <w:rsid w:val="00D83F66"/>
    <w:rsid w:val="00D8400F"/>
    <w:rsid w:val="00D84461"/>
    <w:rsid w:val="00D844AE"/>
    <w:rsid w:val="00D846C9"/>
    <w:rsid w:val="00D849D8"/>
    <w:rsid w:val="00D84A1C"/>
    <w:rsid w:val="00D84ADA"/>
    <w:rsid w:val="00D84B5B"/>
    <w:rsid w:val="00D85766"/>
    <w:rsid w:val="00D85948"/>
    <w:rsid w:val="00D85962"/>
    <w:rsid w:val="00D85E2F"/>
    <w:rsid w:val="00D85F49"/>
    <w:rsid w:val="00D85F4E"/>
    <w:rsid w:val="00D8601A"/>
    <w:rsid w:val="00D8612C"/>
    <w:rsid w:val="00D86378"/>
    <w:rsid w:val="00D864F8"/>
    <w:rsid w:val="00D86600"/>
    <w:rsid w:val="00D86607"/>
    <w:rsid w:val="00D86838"/>
    <w:rsid w:val="00D86AB1"/>
    <w:rsid w:val="00D86AE7"/>
    <w:rsid w:val="00D878AE"/>
    <w:rsid w:val="00D87A45"/>
    <w:rsid w:val="00D87A46"/>
    <w:rsid w:val="00D87DE5"/>
    <w:rsid w:val="00D87F61"/>
    <w:rsid w:val="00D90007"/>
    <w:rsid w:val="00D9025A"/>
    <w:rsid w:val="00D90351"/>
    <w:rsid w:val="00D9037A"/>
    <w:rsid w:val="00D905A4"/>
    <w:rsid w:val="00D908B3"/>
    <w:rsid w:val="00D908C4"/>
    <w:rsid w:val="00D90C3D"/>
    <w:rsid w:val="00D90C5B"/>
    <w:rsid w:val="00D90D4E"/>
    <w:rsid w:val="00D90DC1"/>
    <w:rsid w:val="00D90F5C"/>
    <w:rsid w:val="00D912C8"/>
    <w:rsid w:val="00D914C3"/>
    <w:rsid w:val="00D9173A"/>
    <w:rsid w:val="00D9220B"/>
    <w:rsid w:val="00D923BA"/>
    <w:rsid w:val="00D9252C"/>
    <w:rsid w:val="00D92640"/>
    <w:rsid w:val="00D92677"/>
    <w:rsid w:val="00D926A8"/>
    <w:rsid w:val="00D928ED"/>
    <w:rsid w:val="00D92D6F"/>
    <w:rsid w:val="00D92FA5"/>
    <w:rsid w:val="00D9312A"/>
    <w:rsid w:val="00D9351E"/>
    <w:rsid w:val="00D93537"/>
    <w:rsid w:val="00D937A2"/>
    <w:rsid w:val="00D93963"/>
    <w:rsid w:val="00D93A4E"/>
    <w:rsid w:val="00D93B93"/>
    <w:rsid w:val="00D93F48"/>
    <w:rsid w:val="00D944BE"/>
    <w:rsid w:val="00D944D2"/>
    <w:rsid w:val="00D944D6"/>
    <w:rsid w:val="00D94560"/>
    <w:rsid w:val="00D94709"/>
    <w:rsid w:val="00D94D72"/>
    <w:rsid w:val="00D94F48"/>
    <w:rsid w:val="00D94F66"/>
    <w:rsid w:val="00D95058"/>
    <w:rsid w:val="00D9529B"/>
    <w:rsid w:val="00D9548D"/>
    <w:rsid w:val="00D95987"/>
    <w:rsid w:val="00D95A1F"/>
    <w:rsid w:val="00D95B63"/>
    <w:rsid w:val="00D95BFE"/>
    <w:rsid w:val="00D95E38"/>
    <w:rsid w:val="00D96272"/>
    <w:rsid w:val="00D96701"/>
    <w:rsid w:val="00D96882"/>
    <w:rsid w:val="00D96C2E"/>
    <w:rsid w:val="00D96EA7"/>
    <w:rsid w:val="00D96F76"/>
    <w:rsid w:val="00D97141"/>
    <w:rsid w:val="00D972F5"/>
    <w:rsid w:val="00D97397"/>
    <w:rsid w:val="00D9744D"/>
    <w:rsid w:val="00D974CF"/>
    <w:rsid w:val="00D9758B"/>
    <w:rsid w:val="00D9778C"/>
    <w:rsid w:val="00D977A9"/>
    <w:rsid w:val="00D977E1"/>
    <w:rsid w:val="00D97B10"/>
    <w:rsid w:val="00D97B52"/>
    <w:rsid w:val="00D97CF5"/>
    <w:rsid w:val="00DA012E"/>
    <w:rsid w:val="00DA05BB"/>
    <w:rsid w:val="00DA05F3"/>
    <w:rsid w:val="00DA0836"/>
    <w:rsid w:val="00DA0838"/>
    <w:rsid w:val="00DA088D"/>
    <w:rsid w:val="00DA097E"/>
    <w:rsid w:val="00DA1008"/>
    <w:rsid w:val="00DA10E8"/>
    <w:rsid w:val="00DA10F6"/>
    <w:rsid w:val="00DA1116"/>
    <w:rsid w:val="00DA113A"/>
    <w:rsid w:val="00DA1340"/>
    <w:rsid w:val="00DA168B"/>
    <w:rsid w:val="00DA1844"/>
    <w:rsid w:val="00DA1D23"/>
    <w:rsid w:val="00DA1D8E"/>
    <w:rsid w:val="00DA22F3"/>
    <w:rsid w:val="00DA2406"/>
    <w:rsid w:val="00DA2779"/>
    <w:rsid w:val="00DA29E8"/>
    <w:rsid w:val="00DA29F4"/>
    <w:rsid w:val="00DA2CB7"/>
    <w:rsid w:val="00DA2F4B"/>
    <w:rsid w:val="00DA2F84"/>
    <w:rsid w:val="00DA2F8F"/>
    <w:rsid w:val="00DA3008"/>
    <w:rsid w:val="00DA304F"/>
    <w:rsid w:val="00DA308D"/>
    <w:rsid w:val="00DA3128"/>
    <w:rsid w:val="00DA3241"/>
    <w:rsid w:val="00DA331C"/>
    <w:rsid w:val="00DA33E0"/>
    <w:rsid w:val="00DA34B1"/>
    <w:rsid w:val="00DA3AE5"/>
    <w:rsid w:val="00DA3C0C"/>
    <w:rsid w:val="00DA3DC0"/>
    <w:rsid w:val="00DA3E77"/>
    <w:rsid w:val="00DA4415"/>
    <w:rsid w:val="00DA46E1"/>
    <w:rsid w:val="00DA4882"/>
    <w:rsid w:val="00DA48B5"/>
    <w:rsid w:val="00DA48E2"/>
    <w:rsid w:val="00DA4941"/>
    <w:rsid w:val="00DA4965"/>
    <w:rsid w:val="00DA4B5E"/>
    <w:rsid w:val="00DA5176"/>
    <w:rsid w:val="00DA5405"/>
    <w:rsid w:val="00DA5509"/>
    <w:rsid w:val="00DA5927"/>
    <w:rsid w:val="00DA5940"/>
    <w:rsid w:val="00DA5B47"/>
    <w:rsid w:val="00DA5B71"/>
    <w:rsid w:val="00DA5C03"/>
    <w:rsid w:val="00DA5C43"/>
    <w:rsid w:val="00DA5EC1"/>
    <w:rsid w:val="00DA5F83"/>
    <w:rsid w:val="00DA6059"/>
    <w:rsid w:val="00DA6642"/>
    <w:rsid w:val="00DA6B78"/>
    <w:rsid w:val="00DA6CA2"/>
    <w:rsid w:val="00DA6D4C"/>
    <w:rsid w:val="00DA6F27"/>
    <w:rsid w:val="00DA6F42"/>
    <w:rsid w:val="00DA77F6"/>
    <w:rsid w:val="00DA797F"/>
    <w:rsid w:val="00DB060C"/>
    <w:rsid w:val="00DB0683"/>
    <w:rsid w:val="00DB10C8"/>
    <w:rsid w:val="00DB11C5"/>
    <w:rsid w:val="00DB136E"/>
    <w:rsid w:val="00DB198C"/>
    <w:rsid w:val="00DB1CE3"/>
    <w:rsid w:val="00DB1FFE"/>
    <w:rsid w:val="00DB2353"/>
    <w:rsid w:val="00DB23C7"/>
    <w:rsid w:val="00DB2434"/>
    <w:rsid w:val="00DB28DB"/>
    <w:rsid w:val="00DB2B14"/>
    <w:rsid w:val="00DB2B2F"/>
    <w:rsid w:val="00DB2FF9"/>
    <w:rsid w:val="00DB308B"/>
    <w:rsid w:val="00DB30A9"/>
    <w:rsid w:val="00DB3851"/>
    <w:rsid w:val="00DB3CF9"/>
    <w:rsid w:val="00DB3E7E"/>
    <w:rsid w:val="00DB3F01"/>
    <w:rsid w:val="00DB3F43"/>
    <w:rsid w:val="00DB44A9"/>
    <w:rsid w:val="00DB4A42"/>
    <w:rsid w:val="00DB4A59"/>
    <w:rsid w:val="00DB4BD6"/>
    <w:rsid w:val="00DB4C05"/>
    <w:rsid w:val="00DB507C"/>
    <w:rsid w:val="00DB50B0"/>
    <w:rsid w:val="00DB52B6"/>
    <w:rsid w:val="00DB55F1"/>
    <w:rsid w:val="00DB5623"/>
    <w:rsid w:val="00DB58A1"/>
    <w:rsid w:val="00DB5A59"/>
    <w:rsid w:val="00DB5A94"/>
    <w:rsid w:val="00DB5D6F"/>
    <w:rsid w:val="00DB5DE5"/>
    <w:rsid w:val="00DB5ECC"/>
    <w:rsid w:val="00DB6116"/>
    <w:rsid w:val="00DB622A"/>
    <w:rsid w:val="00DB6278"/>
    <w:rsid w:val="00DB6317"/>
    <w:rsid w:val="00DB6388"/>
    <w:rsid w:val="00DB6597"/>
    <w:rsid w:val="00DB671E"/>
    <w:rsid w:val="00DB67E8"/>
    <w:rsid w:val="00DB6881"/>
    <w:rsid w:val="00DB6985"/>
    <w:rsid w:val="00DB6C0F"/>
    <w:rsid w:val="00DB704F"/>
    <w:rsid w:val="00DB781A"/>
    <w:rsid w:val="00DB79ED"/>
    <w:rsid w:val="00DB7BD0"/>
    <w:rsid w:val="00DB7DAF"/>
    <w:rsid w:val="00DB7EAC"/>
    <w:rsid w:val="00DC04B0"/>
    <w:rsid w:val="00DC0894"/>
    <w:rsid w:val="00DC0BD3"/>
    <w:rsid w:val="00DC0BDD"/>
    <w:rsid w:val="00DC0CBF"/>
    <w:rsid w:val="00DC0F80"/>
    <w:rsid w:val="00DC10CB"/>
    <w:rsid w:val="00DC11BE"/>
    <w:rsid w:val="00DC17D5"/>
    <w:rsid w:val="00DC1B3B"/>
    <w:rsid w:val="00DC1B96"/>
    <w:rsid w:val="00DC2045"/>
    <w:rsid w:val="00DC2077"/>
    <w:rsid w:val="00DC2733"/>
    <w:rsid w:val="00DC2A54"/>
    <w:rsid w:val="00DC2D3C"/>
    <w:rsid w:val="00DC2DCF"/>
    <w:rsid w:val="00DC2E47"/>
    <w:rsid w:val="00DC2F33"/>
    <w:rsid w:val="00DC3569"/>
    <w:rsid w:val="00DC366E"/>
    <w:rsid w:val="00DC36D2"/>
    <w:rsid w:val="00DC3943"/>
    <w:rsid w:val="00DC3B6E"/>
    <w:rsid w:val="00DC3CE3"/>
    <w:rsid w:val="00DC3D0A"/>
    <w:rsid w:val="00DC3D98"/>
    <w:rsid w:val="00DC4004"/>
    <w:rsid w:val="00DC400F"/>
    <w:rsid w:val="00DC4121"/>
    <w:rsid w:val="00DC412A"/>
    <w:rsid w:val="00DC4307"/>
    <w:rsid w:val="00DC4830"/>
    <w:rsid w:val="00DC4860"/>
    <w:rsid w:val="00DC48A8"/>
    <w:rsid w:val="00DC4938"/>
    <w:rsid w:val="00DC4F0F"/>
    <w:rsid w:val="00DC4F28"/>
    <w:rsid w:val="00DC504D"/>
    <w:rsid w:val="00DC51B4"/>
    <w:rsid w:val="00DC5343"/>
    <w:rsid w:val="00DC617F"/>
    <w:rsid w:val="00DC6201"/>
    <w:rsid w:val="00DC635B"/>
    <w:rsid w:val="00DC63C1"/>
    <w:rsid w:val="00DC6590"/>
    <w:rsid w:val="00DC674D"/>
    <w:rsid w:val="00DC6833"/>
    <w:rsid w:val="00DC6E06"/>
    <w:rsid w:val="00DC701E"/>
    <w:rsid w:val="00DC71ED"/>
    <w:rsid w:val="00DC74F3"/>
    <w:rsid w:val="00DC7535"/>
    <w:rsid w:val="00DC7711"/>
    <w:rsid w:val="00DC799D"/>
    <w:rsid w:val="00DC7D34"/>
    <w:rsid w:val="00DC7D77"/>
    <w:rsid w:val="00DC7F19"/>
    <w:rsid w:val="00DC7F67"/>
    <w:rsid w:val="00DD00DA"/>
    <w:rsid w:val="00DD0168"/>
    <w:rsid w:val="00DD02A6"/>
    <w:rsid w:val="00DD0463"/>
    <w:rsid w:val="00DD051E"/>
    <w:rsid w:val="00DD08C1"/>
    <w:rsid w:val="00DD0944"/>
    <w:rsid w:val="00DD0B21"/>
    <w:rsid w:val="00DD0BA1"/>
    <w:rsid w:val="00DD0C3C"/>
    <w:rsid w:val="00DD0D9A"/>
    <w:rsid w:val="00DD0F24"/>
    <w:rsid w:val="00DD10D0"/>
    <w:rsid w:val="00DD118A"/>
    <w:rsid w:val="00DD1591"/>
    <w:rsid w:val="00DD15A1"/>
    <w:rsid w:val="00DD1640"/>
    <w:rsid w:val="00DD17C4"/>
    <w:rsid w:val="00DD19C7"/>
    <w:rsid w:val="00DD1A13"/>
    <w:rsid w:val="00DD1D8D"/>
    <w:rsid w:val="00DD1F4C"/>
    <w:rsid w:val="00DD1F58"/>
    <w:rsid w:val="00DD2097"/>
    <w:rsid w:val="00DD20E7"/>
    <w:rsid w:val="00DD213C"/>
    <w:rsid w:val="00DD254E"/>
    <w:rsid w:val="00DD2607"/>
    <w:rsid w:val="00DD26D5"/>
    <w:rsid w:val="00DD2AF1"/>
    <w:rsid w:val="00DD2EC7"/>
    <w:rsid w:val="00DD300D"/>
    <w:rsid w:val="00DD32B7"/>
    <w:rsid w:val="00DD35CB"/>
    <w:rsid w:val="00DD3DA3"/>
    <w:rsid w:val="00DD3E56"/>
    <w:rsid w:val="00DD3F1A"/>
    <w:rsid w:val="00DD4298"/>
    <w:rsid w:val="00DD43B0"/>
    <w:rsid w:val="00DD4407"/>
    <w:rsid w:val="00DD469B"/>
    <w:rsid w:val="00DD46B7"/>
    <w:rsid w:val="00DD4AA4"/>
    <w:rsid w:val="00DD4B8A"/>
    <w:rsid w:val="00DD4C12"/>
    <w:rsid w:val="00DD4D4B"/>
    <w:rsid w:val="00DD4E0B"/>
    <w:rsid w:val="00DD50FE"/>
    <w:rsid w:val="00DD548F"/>
    <w:rsid w:val="00DD59B8"/>
    <w:rsid w:val="00DD5F52"/>
    <w:rsid w:val="00DD6190"/>
    <w:rsid w:val="00DD61DD"/>
    <w:rsid w:val="00DD649D"/>
    <w:rsid w:val="00DD64D8"/>
    <w:rsid w:val="00DD664A"/>
    <w:rsid w:val="00DD6740"/>
    <w:rsid w:val="00DD679A"/>
    <w:rsid w:val="00DD687A"/>
    <w:rsid w:val="00DD69D3"/>
    <w:rsid w:val="00DD6B17"/>
    <w:rsid w:val="00DD6B67"/>
    <w:rsid w:val="00DD6F85"/>
    <w:rsid w:val="00DD7000"/>
    <w:rsid w:val="00DD70FE"/>
    <w:rsid w:val="00DD73DF"/>
    <w:rsid w:val="00DD73EE"/>
    <w:rsid w:val="00DD7615"/>
    <w:rsid w:val="00DD7741"/>
    <w:rsid w:val="00DD77DC"/>
    <w:rsid w:val="00DD7C4C"/>
    <w:rsid w:val="00DD7F45"/>
    <w:rsid w:val="00DD7FEF"/>
    <w:rsid w:val="00DE014F"/>
    <w:rsid w:val="00DE01AC"/>
    <w:rsid w:val="00DE0594"/>
    <w:rsid w:val="00DE05DB"/>
    <w:rsid w:val="00DE0789"/>
    <w:rsid w:val="00DE0C37"/>
    <w:rsid w:val="00DE0CA6"/>
    <w:rsid w:val="00DE156F"/>
    <w:rsid w:val="00DE157F"/>
    <w:rsid w:val="00DE166E"/>
    <w:rsid w:val="00DE169E"/>
    <w:rsid w:val="00DE1736"/>
    <w:rsid w:val="00DE1FA7"/>
    <w:rsid w:val="00DE2172"/>
    <w:rsid w:val="00DE22C8"/>
    <w:rsid w:val="00DE2547"/>
    <w:rsid w:val="00DE291F"/>
    <w:rsid w:val="00DE2926"/>
    <w:rsid w:val="00DE2AA2"/>
    <w:rsid w:val="00DE2B14"/>
    <w:rsid w:val="00DE2B2B"/>
    <w:rsid w:val="00DE2CB6"/>
    <w:rsid w:val="00DE31E5"/>
    <w:rsid w:val="00DE3AB9"/>
    <w:rsid w:val="00DE3F97"/>
    <w:rsid w:val="00DE4166"/>
    <w:rsid w:val="00DE445F"/>
    <w:rsid w:val="00DE462A"/>
    <w:rsid w:val="00DE46CE"/>
    <w:rsid w:val="00DE4948"/>
    <w:rsid w:val="00DE4ABC"/>
    <w:rsid w:val="00DE4C0C"/>
    <w:rsid w:val="00DE4C85"/>
    <w:rsid w:val="00DE4C91"/>
    <w:rsid w:val="00DE4D1C"/>
    <w:rsid w:val="00DE4DBC"/>
    <w:rsid w:val="00DE500F"/>
    <w:rsid w:val="00DE5227"/>
    <w:rsid w:val="00DE53AC"/>
    <w:rsid w:val="00DE565F"/>
    <w:rsid w:val="00DE56A0"/>
    <w:rsid w:val="00DE57B0"/>
    <w:rsid w:val="00DE5825"/>
    <w:rsid w:val="00DE5C3A"/>
    <w:rsid w:val="00DE62B2"/>
    <w:rsid w:val="00DE6718"/>
    <w:rsid w:val="00DE6A74"/>
    <w:rsid w:val="00DE6E05"/>
    <w:rsid w:val="00DE6F3F"/>
    <w:rsid w:val="00DE70E3"/>
    <w:rsid w:val="00DE7165"/>
    <w:rsid w:val="00DE731E"/>
    <w:rsid w:val="00DE7794"/>
    <w:rsid w:val="00DE789E"/>
    <w:rsid w:val="00DE7918"/>
    <w:rsid w:val="00DE79BE"/>
    <w:rsid w:val="00DE7AA5"/>
    <w:rsid w:val="00DE7CB8"/>
    <w:rsid w:val="00DE7D10"/>
    <w:rsid w:val="00DE7F18"/>
    <w:rsid w:val="00DF00B4"/>
    <w:rsid w:val="00DF00F7"/>
    <w:rsid w:val="00DF0865"/>
    <w:rsid w:val="00DF0883"/>
    <w:rsid w:val="00DF0C92"/>
    <w:rsid w:val="00DF0D02"/>
    <w:rsid w:val="00DF0D6C"/>
    <w:rsid w:val="00DF0DE1"/>
    <w:rsid w:val="00DF0E2E"/>
    <w:rsid w:val="00DF0E8A"/>
    <w:rsid w:val="00DF11FB"/>
    <w:rsid w:val="00DF18FD"/>
    <w:rsid w:val="00DF1974"/>
    <w:rsid w:val="00DF1A3D"/>
    <w:rsid w:val="00DF1A44"/>
    <w:rsid w:val="00DF1FC0"/>
    <w:rsid w:val="00DF216B"/>
    <w:rsid w:val="00DF250E"/>
    <w:rsid w:val="00DF2D69"/>
    <w:rsid w:val="00DF31A7"/>
    <w:rsid w:val="00DF32CA"/>
    <w:rsid w:val="00DF3385"/>
    <w:rsid w:val="00DF3726"/>
    <w:rsid w:val="00DF3975"/>
    <w:rsid w:val="00DF3A10"/>
    <w:rsid w:val="00DF3BA6"/>
    <w:rsid w:val="00DF3D44"/>
    <w:rsid w:val="00DF4145"/>
    <w:rsid w:val="00DF42E6"/>
    <w:rsid w:val="00DF44DB"/>
    <w:rsid w:val="00DF4575"/>
    <w:rsid w:val="00DF45AA"/>
    <w:rsid w:val="00DF46CE"/>
    <w:rsid w:val="00DF46FD"/>
    <w:rsid w:val="00DF4811"/>
    <w:rsid w:val="00DF490B"/>
    <w:rsid w:val="00DF4A10"/>
    <w:rsid w:val="00DF4BAD"/>
    <w:rsid w:val="00DF4CF5"/>
    <w:rsid w:val="00DF4D01"/>
    <w:rsid w:val="00DF4F94"/>
    <w:rsid w:val="00DF5258"/>
    <w:rsid w:val="00DF53E9"/>
    <w:rsid w:val="00DF54F6"/>
    <w:rsid w:val="00DF594C"/>
    <w:rsid w:val="00DF5993"/>
    <w:rsid w:val="00DF5A0E"/>
    <w:rsid w:val="00DF5B99"/>
    <w:rsid w:val="00DF5E75"/>
    <w:rsid w:val="00DF5FBC"/>
    <w:rsid w:val="00DF6033"/>
    <w:rsid w:val="00DF60A0"/>
    <w:rsid w:val="00DF60E3"/>
    <w:rsid w:val="00DF6128"/>
    <w:rsid w:val="00DF63C4"/>
    <w:rsid w:val="00DF67D3"/>
    <w:rsid w:val="00DF6860"/>
    <w:rsid w:val="00DF6B22"/>
    <w:rsid w:val="00DF6BE1"/>
    <w:rsid w:val="00DF6FF4"/>
    <w:rsid w:val="00DF72AF"/>
    <w:rsid w:val="00DF73F9"/>
    <w:rsid w:val="00DF7BF7"/>
    <w:rsid w:val="00DF7C29"/>
    <w:rsid w:val="00DF7C7E"/>
    <w:rsid w:val="00DF7D81"/>
    <w:rsid w:val="00DF7E84"/>
    <w:rsid w:val="00E00711"/>
    <w:rsid w:val="00E007D0"/>
    <w:rsid w:val="00E009CF"/>
    <w:rsid w:val="00E00ADC"/>
    <w:rsid w:val="00E00C08"/>
    <w:rsid w:val="00E00F38"/>
    <w:rsid w:val="00E012B8"/>
    <w:rsid w:val="00E0153A"/>
    <w:rsid w:val="00E01790"/>
    <w:rsid w:val="00E01B6C"/>
    <w:rsid w:val="00E01BB9"/>
    <w:rsid w:val="00E01CBC"/>
    <w:rsid w:val="00E01CC0"/>
    <w:rsid w:val="00E01E5B"/>
    <w:rsid w:val="00E01FD6"/>
    <w:rsid w:val="00E0213F"/>
    <w:rsid w:val="00E02166"/>
    <w:rsid w:val="00E025FF"/>
    <w:rsid w:val="00E028C0"/>
    <w:rsid w:val="00E02978"/>
    <w:rsid w:val="00E02B88"/>
    <w:rsid w:val="00E02BBE"/>
    <w:rsid w:val="00E02C64"/>
    <w:rsid w:val="00E02CB3"/>
    <w:rsid w:val="00E02DA7"/>
    <w:rsid w:val="00E02E1B"/>
    <w:rsid w:val="00E02E63"/>
    <w:rsid w:val="00E02E8D"/>
    <w:rsid w:val="00E0300A"/>
    <w:rsid w:val="00E03078"/>
    <w:rsid w:val="00E0316C"/>
    <w:rsid w:val="00E032AA"/>
    <w:rsid w:val="00E035CF"/>
    <w:rsid w:val="00E03A4A"/>
    <w:rsid w:val="00E03C63"/>
    <w:rsid w:val="00E03C8D"/>
    <w:rsid w:val="00E03D6F"/>
    <w:rsid w:val="00E03DD9"/>
    <w:rsid w:val="00E03E17"/>
    <w:rsid w:val="00E03E6E"/>
    <w:rsid w:val="00E03EAF"/>
    <w:rsid w:val="00E03F93"/>
    <w:rsid w:val="00E04353"/>
    <w:rsid w:val="00E04399"/>
    <w:rsid w:val="00E04425"/>
    <w:rsid w:val="00E045D3"/>
    <w:rsid w:val="00E0462C"/>
    <w:rsid w:val="00E047B3"/>
    <w:rsid w:val="00E049B3"/>
    <w:rsid w:val="00E04A71"/>
    <w:rsid w:val="00E04D35"/>
    <w:rsid w:val="00E04DE2"/>
    <w:rsid w:val="00E050C4"/>
    <w:rsid w:val="00E052B0"/>
    <w:rsid w:val="00E054E6"/>
    <w:rsid w:val="00E05B73"/>
    <w:rsid w:val="00E05BA4"/>
    <w:rsid w:val="00E060BA"/>
    <w:rsid w:val="00E0642C"/>
    <w:rsid w:val="00E06621"/>
    <w:rsid w:val="00E069D0"/>
    <w:rsid w:val="00E06ABE"/>
    <w:rsid w:val="00E06EB3"/>
    <w:rsid w:val="00E07195"/>
    <w:rsid w:val="00E072D3"/>
    <w:rsid w:val="00E07360"/>
    <w:rsid w:val="00E07492"/>
    <w:rsid w:val="00E074AC"/>
    <w:rsid w:val="00E078A1"/>
    <w:rsid w:val="00E10050"/>
    <w:rsid w:val="00E100BC"/>
    <w:rsid w:val="00E10288"/>
    <w:rsid w:val="00E102FA"/>
    <w:rsid w:val="00E1030A"/>
    <w:rsid w:val="00E108B4"/>
    <w:rsid w:val="00E10B4C"/>
    <w:rsid w:val="00E10DD9"/>
    <w:rsid w:val="00E10F8B"/>
    <w:rsid w:val="00E10F94"/>
    <w:rsid w:val="00E11042"/>
    <w:rsid w:val="00E110F6"/>
    <w:rsid w:val="00E118BF"/>
    <w:rsid w:val="00E1193C"/>
    <w:rsid w:val="00E1195D"/>
    <w:rsid w:val="00E11AB8"/>
    <w:rsid w:val="00E11B4E"/>
    <w:rsid w:val="00E11C84"/>
    <w:rsid w:val="00E11DBD"/>
    <w:rsid w:val="00E121D4"/>
    <w:rsid w:val="00E127B5"/>
    <w:rsid w:val="00E1293D"/>
    <w:rsid w:val="00E12A4C"/>
    <w:rsid w:val="00E12B14"/>
    <w:rsid w:val="00E138A9"/>
    <w:rsid w:val="00E139D5"/>
    <w:rsid w:val="00E13B71"/>
    <w:rsid w:val="00E13DEA"/>
    <w:rsid w:val="00E13EF7"/>
    <w:rsid w:val="00E1418D"/>
    <w:rsid w:val="00E1437F"/>
    <w:rsid w:val="00E1463C"/>
    <w:rsid w:val="00E14983"/>
    <w:rsid w:val="00E1499B"/>
    <w:rsid w:val="00E149AB"/>
    <w:rsid w:val="00E14F61"/>
    <w:rsid w:val="00E152BE"/>
    <w:rsid w:val="00E154EB"/>
    <w:rsid w:val="00E155AA"/>
    <w:rsid w:val="00E15683"/>
    <w:rsid w:val="00E156C1"/>
    <w:rsid w:val="00E15A22"/>
    <w:rsid w:val="00E15A51"/>
    <w:rsid w:val="00E15B8B"/>
    <w:rsid w:val="00E15B97"/>
    <w:rsid w:val="00E15D2C"/>
    <w:rsid w:val="00E15D54"/>
    <w:rsid w:val="00E15EC1"/>
    <w:rsid w:val="00E15F50"/>
    <w:rsid w:val="00E15FAB"/>
    <w:rsid w:val="00E1619A"/>
    <w:rsid w:val="00E1639A"/>
    <w:rsid w:val="00E1651C"/>
    <w:rsid w:val="00E166A0"/>
    <w:rsid w:val="00E166E3"/>
    <w:rsid w:val="00E1678B"/>
    <w:rsid w:val="00E167EF"/>
    <w:rsid w:val="00E169DB"/>
    <w:rsid w:val="00E16B02"/>
    <w:rsid w:val="00E16B4A"/>
    <w:rsid w:val="00E16D77"/>
    <w:rsid w:val="00E16E31"/>
    <w:rsid w:val="00E17245"/>
    <w:rsid w:val="00E17367"/>
    <w:rsid w:val="00E17525"/>
    <w:rsid w:val="00E177C9"/>
    <w:rsid w:val="00E178E2"/>
    <w:rsid w:val="00E17910"/>
    <w:rsid w:val="00E17926"/>
    <w:rsid w:val="00E17997"/>
    <w:rsid w:val="00E17D85"/>
    <w:rsid w:val="00E200C7"/>
    <w:rsid w:val="00E20224"/>
    <w:rsid w:val="00E20274"/>
    <w:rsid w:val="00E202E0"/>
    <w:rsid w:val="00E202FB"/>
    <w:rsid w:val="00E204CA"/>
    <w:rsid w:val="00E2066B"/>
    <w:rsid w:val="00E2082D"/>
    <w:rsid w:val="00E2083C"/>
    <w:rsid w:val="00E20B4D"/>
    <w:rsid w:val="00E20C4D"/>
    <w:rsid w:val="00E20DCF"/>
    <w:rsid w:val="00E20E52"/>
    <w:rsid w:val="00E21228"/>
    <w:rsid w:val="00E2143E"/>
    <w:rsid w:val="00E215A0"/>
    <w:rsid w:val="00E2174F"/>
    <w:rsid w:val="00E21B40"/>
    <w:rsid w:val="00E21E82"/>
    <w:rsid w:val="00E21EDA"/>
    <w:rsid w:val="00E220AC"/>
    <w:rsid w:val="00E22288"/>
    <w:rsid w:val="00E2235D"/>
    <w:rsid w:val="00E225FC"/>
    <w:rsid w:val="00E226D9"/>
    <w:rsid w:val="00E228A2"/>
    <w:rsid w:val="00E22A19"/>
    <w:rsid w:val="00E22E95"/>
    <w:rsid w:val="00E22EF3"/>
    <w:rsid w:val="00E2323E"/>
    <w:rsid w:val="00E239F7"/>
    <w:rsid w:val="00E23C8F"/>
    <w:rsid w:val="00E23FC6"/>
    <w:rsid w:val="00E240E6"/>
    <w:rsid w:val="00E2425F"/>
    <w:rsid w:val="00E24357"/>
    <w:rsid w:val="00E24470"/>
    <w:rsid w:val="00E2455D"/>
    <w:rsid w:val="00E2470C"/>
    <w:rsid w:val="00E248F1"/>
    <w:rsid w:val="00E2496B"/>
    <w:rsid w:val="00E2499E"/>
    <w:rsid w:val="00E24A45"/>
    <w:rsid w:val="00E24C65"/>
    <w:rsid w:val="00E24C93"/>
    <w:rsid w:val="00E25006"/>
    <w:rsid w:val="00E25241"/>
    <w:rsid w:val="00E2536D"/>
    <w:rsid w:val="00E25618"/>
    <w:rsid w:val="00E25677"/>
    <w:rsid w:val="00E25775"/>
    <w:rsid w:val="00E25849"/>
    <w:rsid w:val="00E258C2"/>
    <w:rsid w:val="00E25AF0"/>
    <w:rsid w:val="00E25BF3"/>
    <w:rsid w:val="00E25C6B"/>
    <w:rsid w:val="00E266A4"/>
    <w:rsid w:val="00E26791"/>
    <w:rsid w:val="00E26FC1"/>
    <w:rsid w:val="00E2709A"/>
    <w:rsid w:val="00E27238"/>
    <w:rsid w:val="00E272DC"/>
    <w:rsid w:val="00E27699"/>
    <w:rsid w:val="00E276D0"/>
    <w:rsid w:val="00E27823"/>
    <w:rsid w:val="00E279DF"/>
    <w:rsid w:val="00E27C79"/>
    <w:rsid w:val="00E27D0A"/>
    <w:rsid w:val="00E30169"/>
    <w:rsid w:val="00E30386"/>
    <w:rsid w:val="00E30ACF"/>
    <w:rsid w:val="00E30CD7"/>
    <w:rsid w:val="00E30FE4"/>
    <w:rsid w:val="00E311F2"/>
    <w:rsid w:val="00E313C6"/>
    <w:rsid w:val="00E31644"/>
    <w:rsid w:val="00E31A70"/>
    <w:rsid w:val="00E31A7F"/>
    <w:rsid w:val="00E31B7C"/>
    <w:rsid w:val="00E31E56"/>
    <w:rsid w:val="00E3214B"/>
    <w:rsid w:val="00E3221A"/>
    <w:rsid w:val="00E32270"/>
    <w:rsid w:val="00E32309"/>
    <w:rsid w:val="00E324D8"/>
    <w:rsid w:val="00E32931"/>
    <w:rsid w:val="00E32CC6"/>
    <w:rsid w:val="00E32F1D"/>
    <w:rsid w:val="00E32F35"/>
    <w:rsid w:val="00E32F60"/>
    <w:rsid w:val="00E32F76"/>
    <w:rsid w:val="00E3323C"/>
    <w:rsid w:val="00E33570"/>
    <w:rsid w:val="00E3383C"/>
    <w:rsid w:val="00E33A3A"/>
    <w:rsid w:val="00E33A45"/>
    <w:rsid w:val="00E33CEE"/>
    <w:rsid w:val="00E33F52"/>
    <w:rsid w:val="00E33F9D"/>
    <w:rsid w:val="00E340E7"/>
    <w:rsid w:val="00E34249"/>
    <w:rsid w:val="00E34400"/>
    <w:rsid w:val="00E34587"/>
    <w:rsid w:val="00E346C3"/>
    <w:rsid w:val="00E34884"/>
    <w:rsid w:val="00E34B48"/>
    <w:rsid w:val="00E34B92"/>
    <w:rsid w:val="00E34E32"/>
    <w:rsid w:val="00E34F3E"/>
    <w:rsid w:val="00E351AE"/>
    <w:rsid w:val="00E35321"/>
    <w:rsid w:val="00E353AB"/>
    <w:rsid w:val="00E3561F"/>
    <w:rsid w:val="00E35645"/>
    <w:rsid w:val="00E35978"/>
    <w:rsid w:val="00E35AA7"/>
    <w:rsid w:val="00E35B10"/>
    <w:rsid w:val="00E35CF7"/>
    <w:rsid w:val="00E35EB6"/>
    <w:rsid w:val="00E35EF4"/>
    <w:rsid w:val="00E361F0"/>
    <w:rsid w:val="00E36936"/>
    <w:rsid w:val="00E3694F"/>
    <w:rsid w:val="00E36982"/>
    <w:rsid w:val="00E36D72"/>
    <w:rsid w:val="00E36E81"/>
    <w:rsid w:val="00E3734E"/>
    <w:rsid w:val="00E375C6"/>
    <w:rsid w:val="00E375EE"/>
    <w:rsid w:val="00E37983"/>
    <w:rsid w:val="00E37AA9"/>
    <w:rsid w:val="00E37C5F"/>
    <w:rsid w:val="00E37C9E"/>
    <w:rsid w:val="00E40149"/>
    <w:rsid w:val="00E40367"/>
    <w:rsid w:val="00E40377"/>
    <w:rsid w:val="00E40520"/>
    <w:rsid w:val="00E40562"/>
    <w:rsid w:val="00E405E9"/>
    <w:rsid w:val="00E4069B"/>
    <w:rsid w:val="00E40DAE"/>
    <w:rsid w:val="00E40E9F"/>
    <w:rsid w:val="00E40FC9"/>
    <w:rsid w:val="00E4134D"/>
    <w:rsid w:val="00E41376"/>
    <w:rsid w:val="00E417B6"/>
    <w:rsid w:val="00E417F1"/>
    <w:rsid w:val="00E418D0"/>
    <w:rsid w:val="00E41A63"/>
    <w:rsid w:val="00E41A9B"/>
    <w:rsid w:val="00E41B03"/>
    <w:rsid w:val="00E41D55"/>
    <w:rsid w:val="00E41FB3"/>
    <w:rsid w:val="00E42737"/>
    <w:rsid w:val="00E42DFE"/>
    <w:rsid w:val="00E42E33"/>
    <w:rsid w:val="00E42EE2"/>
    <w:rsid w:val="00E430CB"/>
    <w:rsid w:val="00E430FE"/>
    <w:rsid w:val="00E43166"/>
    <w:rsid w:val="00E43551"/>
    <w:rsid w:val="00E43787"/>
    <w:rsid w:val="00E438E0"/>
    <w:rsid w:val="00E43966"/>
    <w:rsid w:val="00E43A04"/>
    <w:rsid w:val="00E441FE"/>
    <w:rsid w:val="00E44260"/>
    <w:rsid w:val="00E44286"/>
    <w:rsid w:val="00E443E6"/>
    <w:rsid w:val="00E44516"/>
    <w:rsid w:val="00E44789"/>
    <w:rsid w:val="00E448EC"/>
    <w:rsid w:val="00E44901"/>
    <w:rsid w:val="00E44906"/>
    <w:rsid w:val="00E44B2F"/>
    <w:rsid w:val="00E44B75"/>
    <w:rsid w:val="00E44BA4"/>
    <w:rsid w:val="00E44C7C"/>
    <w:rsid w:val="00E450B5"/>
    <w:rsid w:val="00E4549E"/>
    <w:rsid w:val="00E454AA"/>
    <w:rsid w:val="00E45A45"/>
    <w:rsid w:val="00E45B55"/>
    <w:rsid w:val="00E46145"/>
    <w:rsid w:val="00E462F9"/>
    <w:rsid w:val="00E463D5"/>
    <w:rsid w:val="00E465BF"/>
    <w:rsid w:val="00E466D3"/>
    <w:rsid w:val="00E4673B"/>
    <w:rsid w:val="00E46887"/>
    <w:rsid w:val="00E46CEF"/>
    <w:rsid w:val="00E46D67"/>
    <w:rsid w:val="00E46DCA"/>
    <w:rsid w:val="00E4722D"/>
    <w:rsid w:val="00E47399"/>
    <w:rsid w:val="00E476B7"/>
    <w:rsid w:val="00E501D6"/>
    <w:rsid w:val="00E503C1"/>
    <w:rsid w:val="00E50435"/>
    <w:rsid w:val="00E504DC"/>
    <w:rsid w:val="00E505F9"/>
    <w:rsid w:val="00E50653"/>
    <w:rsid w:val="00E50B76"/>
    <w:rsid w:val="00E50C57"/>
    <w:rsid w:val="00E50C99"/>
    <w:rsid w:val="00E50E15"/>
    <w:rsid w:val="00E5107B"/>
    <w:rsid w:val="00E51096"/>
    <w:rsid w:val="00E51335"/>
    <w:rsid w:val="00E519DC"/>
    <w:rsid w:val="00E519E1"/>
    <w:rsid w:val="00E51A71"/>
    <w:rsid w:val="00E51B6F"/>
    <w:rsid w:val="00E51BD3"/>
    <w:rsid w:val="00E51D22"/>
    <w:rsid w:val="00E5220A"/>
    <w:rsid w:val="00E522ED"/>
    <w:rsid w:val="00E52450"/>
    <w:rsid w:val="00E524B9"/>
    <w:rsid w:val="00E52530"/>
    <w:rsid w:val="00E52573"/>
    <w:rsid w:val="00E529DC"/>
    <w:rsid w:val="00E52C86"/>
    <w:rsid w:val="00E52DFE"/>
    <w:rsid w:val="00E52F83"/>
    <w:rsid w:val="00E53058"/>
    <w:rsid w:val="00E530CF"/>
    <w:rsid w:val="00E531B1"/>
    <w:rsid w:val="00E531D0"/>
    <w:rsid w:val="00E53323"/>
    <w:rsid w:val="00E53744"/>
    <w:rsid w:val="00E53ADE"/>
    <w:rsid w:val="00E54028"/>
    <w:rsid w:val="00E54144"/>
    <w:rsid w:val="00E54338"/>
    <w:rsid w:val="00E5433C"/>
    <w:rsid w:val="00E5436C"/>
    <w:rsid w:val="00E543DE"/>
    <w:rsid w:val="00E54471"/>
    <w:rsid w:val="00E54787"/>
    <w:rsid w:val="00E5480A"/>
    <w:rsid w:val="00E54AB2"/>
    <w:rsid w:val="00E54AC3"/>
    <w:rsid w:val="00E54B84"/>
    <w:rsid w:val="00E54BA2"/>
    <w:rsid w:val="00E54DB4"/>
    <w:rsid w:val="00E54EEE"/>
    <w:rsid w:val="00E54FC5"/>
    <w:rsid w:val="00E55008"/>
    <w:rsid w:val="00E550ED"/>
    <w:rsid w:val="00E5527A"/>
    <w:rsid w:val="00E5539C"/>
    <w:rsid w:val="00E5551F"/>
    <w:rsid w:val="00E555CD"/>
    <w:rsid w:val="00E556D0"/>
    <w:rsid w:val="00E55704"/>
    <w:rsid w:val="00E55920"/>
    <w:rsid w:val="00E55AF2"/>
    <w:rsid w:val="00E55B0D"/>
    <w:rsid w:val="00E55BC2"/>
    <w:rsid w:val="00E561BE"/>
    <w:rsid w:val="00E561D4"/>
    <w:rsid w:val="00E56334"/>
    <w:rsid w:val="00E564E5"/>
    <w:rsid w:val="00E5663C"/>
    <w:rsid w:val="00E5695E"/>
    <w:rsid w:val="00E56EC7"/>
    <w:rsid w:val="00E57274"/>
    <w:rsid w:val="00E572C5"/>
    <w:rsid w:val="00E576EB"/>
    <w:rsid w:val="00E577E1"/>
    <w:rsid w:val="00E577EE"/>
    <w:rsid w:val="00E57C05"/>
    <w:rsid w:val="00E57C79"/>
    <w:rsid w:val="00E57D96"/>
    <w:rsid w:val="00E60051"/>
    <w:rsid w:val="00E602BD"/>
    <w:rsid w:val="00E6052D"/>
    <w:rsid w:val="00E6073C"/>
    <w:rsid w:val="00E60833"/>
    <w:rsid w:val="00E60B15"/>
    <w:rsid w:val="00E60C78"/>
    <w:rsid w:val="00E61239"/>
    <w:rsid w:val="00E612C9"/>
    <w:rsid w:val="00E614B9"/>
    <w:rsid w:val="00E6178E"/>
    <w:rsid w:val="00E618CF"/>
    <w:rsid w:val="00E619ED"/>
    <w:rsid w:val="00E61ABC"/>
    <w:rsid w:val="00E62225"/>
    <w:rsid w:val="00E62447"/>
    <w:rsid w:val="00E624AC"/>
    <w:rsid w:val="00E6279A"/>
    <w:rsid w:val="00E62AA7"/>
    <w:rsid w:val="00E62C0C"/>
    <w:rsid w:val="00E62C91"/>
    <w:rsid w:val="00E62CBF"/>
    <w:rsid w:val="00E62D19"/>
    <w:rsid w:val="00E6379E"/>
    <w:rsid w:val="00E63928"/>
    <w:rsid w:val="00E63943"/>
    <w:rsid w:val="00E63AF1"/>
    <w:rsid w:val="00E63C37"/>
    <w:rsid w:val="00E64233"/>
    <w:rsid w:val="00E642B7"/>
    <w:rsid w:val="00E64330"/>
    <w:rsid w:val="00E6438A"/>
    <w:rsid w:val="00E6461D"/>
    <w:rsid w:val="00E64831"/>
    <w:rsid w:val="00E64CBE"/>
    <w:rsid w:val="00E65004"/>
    <w:rsid w:val="00E65292"/>
    <w:rsid w:val="00E65538"/>
    <w:rsid w:val="00E65869"/>
    <w:rsid w:val="00E659F8"/>
    <w:rsid w:val="00E65C1B"/>
    <w:rsid w:val="00E65F78"/>
    <w:rsid w:val="00E6606D"/>
    <w:rsid w:val="00E66135"/>
    <w:rsid w:val="00E6659D"/>
    <w:rsid w:val="00E666EE"/>
    <w:rsid w:val="00E667BD"/>
    <w:rsid w:val="00E66CB8"/>
    <w:rsid w:val="00E66E3D"/>
    <w:rsid w:val="00E66F97"/>
    <w:rsid w:val="00E66FF2"/>
    <w:rsid w:val="00E670B8"/>
    <w:rsid w:val="00E67162"/>
    <w:rsid w:val="00E671C4"/>
    <w:rsid w:val="00E673C4"/>
    <w:rsid w:val="00E67535"/>
    <w:rsid w:val="00E67699"/>
    <w:rsid w:val="00E677E1"/>
    <w:rsid w:val="00E677E8"/>
    <w:rsid w:val="00E67856"/>
    <w:rsid w:val="00E6789D"/>
    <w:rsid w:val="00E67AB6"/>
    <w:rsid w:val="00E67DF0"/>
    <w:rsid w:val="00E67E85"/>
    <w:rsid w:val="00E67E8D"/>
    <w:rsid w:val="00E67EAF"/>
    <w:rsid w:val="00E67FC4"/>
    <w:rsid w:val="00E70038"/>
    <w:rsid w:val="00E700FA"/>
    <w:rsid w:val="00E703E6"/>
    <w:rsid w:val="00E704F9"/>
    <w:rsid w:val="00E70ABC"/>
    <w:rsid w:val="00E70B40"/>
    <w:rsid w:val="00E70BE2"/>
    <w:rsid w:val="00E70BEF"/>
    <w:rsid w:val="00E70D44"/>
    <w:rsid w:val="00E71636"/>
    <w:rsid w:val="00E7172B"/>
    <w:rsid w:val="00E71785"/>
    <w:rsid w:val="00E7186B"/>
    <w:rsid w:val="00E71B5F"/>
    <w:rsid w:val="00E71BA9"/>
    <w:rsid w:val="00E71E19"/>
    <w:rsid w:val="00E720B0"/>
    <w:rsid w:val="00E723A3"/>
    <w:rsid w:val="00E7270F"/>
    <w:rsid w:val="00E727CB"/>
    <w:rsid w:val="00E72B9E"/>
    <w:rsid w:val="00E72C3D"/>
    <w:rsid w:val="00E72CBC"/>
    <w:rsid w:val="00E72D25"/>
    <w:rsid w:val="00E72F7D"/>
    <w:rsid w:val="00E731D4"/>
    <w:rsid w:val="00E73427"/>
    <w:rsid w:val="00E73463"/>
    <w:rsid w:val="00E73E70"/>
    <w:rsid w:val="00E73E77"/>
    <w:rsid w:val="00E73F40"/>
    <w:rsid w:val="00E74270"/>
    <w:rsid w:val="00E74565"/>
    <w:rsid w:val="00E745D8"/>
    <w:rsid w:val="00E74675"/>
    <w:rsid w:val="00E74CCD"/>
    <w:rsid w:val="00E75392"/>
    <w:rsid w:val="00E75429"/>
    <w:rsid w:val="00E75545"/>
    <w:rsid w:val="00E75862"/>
    <w:rsid w:val="00E758DD"/>
    <w:rsid w:val="00E759EA"/>
    <w:rsid w:val="00E75ACF"/>
    <w:rsid w:val="00E75E65"/>
    <w:rsid w:val="00E7601E"/>
    <w:rsid w:val="00E76115"/>
    <w:rsid w:val="00E7611D"/>
    <w:rsid w:val="00E762BE"/>
    <w:rsid w:val="00E76390"/>
    <w:rsid w:val="00E7651A"/>
    <w:rsid w:val="00E76523"/>
    <w:rsid w:val="00E769CF"/>
    <w:rsid w:val="00E76B7D"/>
    <w:rsid w:val="00E76B7F"/>
    <w:rsid w:val="00E76BDE"/>
    <w:rsid w:val="00E76C3C"/>
    <w:rsid w:val="00E76EE3"/>
    <w:rsid w:val="00E77283"/>
    <w:rsid w:val="00E773AD"/>
    <w:rsid w:val="00E774BA"/>
    <w:rsid w:val="00E777BE"/>
    <w:rsid w:val="00E77AC6"/>
    <w:rsid w:val="00E77ADC"/>
    <w:rsid w:val="00E77C68"/>
    <w:rsid w:val="00E77E10"/>
    <w:rsid w:val="00E77EE6"/>
    <w:rsid w:val="00E8021D"/>
    <w:rsid w:val="00E807A3"/>
    <w:rsid w:val="00E808CC"/>
    <w:rsid w:val="00E80B36"/>
    <w:rsid w:val="00E80DCD"/>
    <w:rsid w:val="00E80DE0"/>
    <w:rsid w:val="00E811BD"/>
    <w:rsid w:val="00E814A7"/>
    <w:rsid w:val="00E81878"/>
    <w:rsid w:val="00E81CFD"/>
    <w:rsid w:val="00E81E49"/>
    <w:rsid w:val="00E820BD"/>
    <w:rsid w:val="00E82465"/>
    <w:rsid w:val="00E82638"/>
    <w:rsid w:val="00E82656"/>
    <w:rsid w:val="00E8266C"/>
    <w:rsid w:val="00E82725"/>
    <w:rsid w:val="00E8275A"/>
    <w:rsid w:val="00E82846"/>
    <w:rsid w:val="00E82A39"/>
    <w:rsid w:val="00E82A78"/>
    <w:rsid w:val="00E834EC"/>
    <w:rsid w:val="00E83A04"/>
    <w:rsid w:val="00E83B1A"/>
    <w:rsid w:val="00E83BA5"/>
    <w:rsid w:val="00E83E11"/>
    <w:rsid w:val="00E83F54"/>
    <w:rsid w:val="00E841CB"/>
    <w:rsid w:val="00E84271"/>
    <w:rsid w:val="00E845BD"/>
    <w:rsid w:val="00E84B56"/>
    <w:rsid w:val="00E8581B"/>
    <w:rsid w:val="00E859DF"/>
    <w:rsid w:val="00E85D94"/>
    <w:rsid w:val="00E86068"/>
    <w:rsid w:val="00E8640B"/>
    <w:rsid w:val="00E86595"/>
    <w:rsid w:val="00E866EF"/>
    <w:rsid w:val="00E86A9D"/>
    <w:rsid w:val="00E86C62"/>
    <w:rsid w:val="00E86F9B"/>
    <w:rsid w:val="00E86FCD"/>
    <w:rsid w:val="00E87126"/>
    <w:rsid w:val="00E8724D"/>
    <w:rsid w:val="00E873FE"/>
    <w:rsid w:val="00E87712"/>
    <w:rsid w:val="00E879C4"/>
    <w:rsid w:val="00E879FE"/>
    <w:rsid w:val="00E900FF"/>
    <w:rsid w:val="00E90281"/>
    <w:rsid w:val="00E90289"/>
    <w:rsid w:val="00E904E2"/>
    <w:rsid w:val="00E905E0"/>
    <w:rsid w:val="00E90B59"/>
    <w:rsid w:val="00E90BB8"/>
    <w:rsid w:val="00E90D25"/>
    <w:rsid w:val="00E9177C"/>
    <w:rsid w:val="00E91D76"/>
    <w:rsid w:val="00E92142"/>
    <w:rsid w:val="00E923ED"/>
    <w:rsid w:val="00E9249A"/>
    <w:rsid w:val="00E927D1"/>
    <w:rsid w:val="00E928DB"/>
    <w:rsid w:val="00E92D50"/>
    <w:rsid w:val="00E92DD1"/>
    <w:rsid w:val="00E92F22"/>
    <w:rsid w:val="00E93201"/>
    <w:rsid w:val="00E932A9"/>
    <w:rsid w:val="00E933B0"/>
    <w:rsid w:val="00E93479"/>
    <w:rsid w:val="00E93732"/>
    <w:rsid w:val="00E93790"/>
    <w:rsid w:val="00E93DC4"/>
    <w:rsid w:val="00E93DE5"/>
    <w:rsid w:val="00E93E95"/>
    <w:rsid w:val="00E93F6F"/>
    <w:rsid w:val="00E9407C"/>
    <w:rsid w:val="00E9411F"/>
    <w:rsid w:val="00E9431F"/>
    <w:rsid w:val="00E9443F"/>
    <w:rsid w:val="00E94479"/>
    <w:rsid w:val="00E944BC"/>
    <w:rsid w:val="00E945AD"/>
    <w:rsid w:val="00E94741"/>
    <w:rsid w:val="00E94ADB"/>
    <w:rsid w:val="00E94B2D"/>
    <w:rsid w:val="00E94DD5"/>
    <w:rsid w:val="00E94EAD"/>
    <w:rsid w:val="00E951F1"/>
    <w:rsid w:val="00E9521F"/>
    <w:rsid w:val="00E954AB"/>
    <w:rsid w:val="00E955B7"/>
    <w:rsid w:val="00E955CE"/>
    <w:rsid w:val="00E95682"/>
    <w:rsid w:val="00E95809"/>
    <w:rsid w:val="00E9582A"/>
    <w:rsid w:val="00E95874"/>
    <w:rsid w:val="00E95DA5"/>
    <w:rsid w:val="00E9605D"/>
    <w:rsid w:val="00E96BC2"/>
    <w:rsid w:val="00E96BEA"/>
    <w:rsid w:val="00E96C21"/>
    <w:rsid w:val="00E96E4C"/>
    <w:rsid w:val="00E9748D"/>
    <w:rsid w:val="00E97583"/>
    <w:rsid w:val="00E9762C"/>
    <w:rsid w:val="00E97758"/>
    <w:rsid w:val="00E977D8"/>
    <w:rsid w:val="00E978D8"/>
    <w:rsid w:val="00E97A1B"/>
    <w:rsid w:val="00E97F7E"/>
    <w:rsid w:val="00E97FCC"/>
    <w:rsid w:val="00EA0094"/>
    <w:rsid w:val="00EA0705"/>
    <w:rsid w:val="00EA084E"/>
    <w:rsid w:val="00EA0D91"/>
    <w:rsid w:val="00EA0E45"/>
    <w:rsid w:val="00EA0FA1"/>
    <w:rsid w:val="00EA1337"/>
    <w:rsid w:val="00EA1437"/>
    <w:rsid w:val="00EA14B4"/>
    <w:rsid w:val="00EA1856"/>
    <w:rsid w:val="00EA1FEF"/>
    <w:rsid w:val="00EA200F"/>
    <w:rsid w:val="00EA2100"/>
    <w:rsid w:val="00EA26E9"/>
    <w:rsid w:val="00EA2716"/>
    <w:rsid w:val="00EA27C5"/>
    <w:rsid w:val="00EA290B"/>
    <w:rsid w:val="00EA2A66"/>
    <w:rsid w:val="00EA2D5F"/>
    <w:rsid w:val="00EA2F73"/>
    <w:rsid w:val="00EA3078"/>
    <w:rsid w:val="00EA30EE"/>
    <w:rsid w:val="00EA3198"/>
    <w:rsid w:val="00EA3220"/>
    <w:rsid w:val="00EA35BF"/>
    <w:rsid w:val="00EA361D"/>
    <w:rsid w:val="00EA3E89"/>
    <w:rsid w:val="00EA4382"/>
    <w:rsid w:val="00EA4732"/>
    <w:rsid w:val="00EA47D6"/>
    <w:rsid w:val="00EA4D44"/>
    <w:rsid w:val="00EA514A"/>
    <w:rsid w:val="00EA5309"/>
    <w:rsid w:val="00EA5463"/>
    <w:rsid w:val="00EA54E9"/>
    <w:rsid w:val="00EA5641"/>
    <w:rsid w:val="00EA59BA"/>
    <w:rsid w:val="00EA5CFA"/>
    <w:rsid w:val="00EA5F4F"/>
    <w:rsid w:val="00EA5FDC"/>
    <w:rsid w:val="00EA60E5"/>
    <w:rsid w:val="00EA6591"/>
    <w:rsid w:val="00EA666C"/>
    <w:rsid w:val="00EA66F1"/>
    <w:rsid w:val="00EA6891"/>
    <w:rsid w:val="00EA69DB"/>
    <w:rsid w:val="00EA6B85"/>
    <w:rsid w:val="00EA715D"/>
    <w:rsid w:val="00EA7674"/>
    <w:rsid w:val="00EA78DC"/>
    <w:rsid w:val="00EA7A72"/>
    <w:rsid w:val="00EA7B92"/>
    <w:rsid w:val="00EA7C06"/>
    <w:rsid w:val="00EA7E1A"/>
    <w:rsid w:val="00EA7F04"/>
    <w:rsid w:val="00EB0154"/>
    <w:rsid w:val="00EB030B"/>
    <w:rsid w:val="00EB078C"/>
    <w:rsid w:val="00EB1151"/>
    <w:rsid w:val="00EB13C3"/>
    <w:rsid w:val="00EB1535"/>
    <w:rsid w:val="00EB169C"/>
    <w:rsid w:val="00EB17AF"/>
    <w:rsid w:val="00EB1BF6"/>
    <w:rsid w:val="00EB1C7B"/>
    <w:rsid w:val="00EB1C9D"/>
    <w:rsid w:val="00EB219A"/>
    <w:rsid w:val="00EB249B"/>
    <w:rsid w:val="00EB2989"/>
    <w:rsid w:val="00EB29E1"/>
    <w:rsid w:val="00EB2A1C"/>
    <w:rsid w:val="00EB2CCA"/>
    <w:rsid w:val="00EB2D15"/>
    <w:rsid w:val="00EB2D92"/>
    <w:rsid w:val="00EB31AF"/>
    <w:rsid w:val="00EB3334"/>
    <w:rsid w:val="00EB35D8"/>
    <w:rsid w:val="00EB36A8"/>
    <w:rsid w:val="00EB36BF"/>
    <w:rsid w:val="00EB3A85"/>
    <w:rsid w:val="00EB3BF6"/>
    <w:rsid w:val="00EB3D1B"/>
    <w:rsid w:val="00EB3D47"/>
    <w:rsid w:val="00EB3D4B"/>
    <w:rsid w:val="00EB3E9F"/>
    <w:rsid w:val="00EB3F6F"/>
    <w:rsid w:val="00EB4069"/>
    <w:rsid w:val="00EB40DB"/>
    <w:rsid w:val="00EB4621"/>
    <w:rsid w:val="00EB47D7"/>
    <w:rsid w:val="00EB484B"/>
    <w:rsid w:val="00EB4A31"/>
    <w:rsid w:val="00EB4C02"/>
    <w:rsid w:val="00EB4DE3"/>
    <w:rsid w:val="00EB4E13"/>
    <w:rsid w:val="00EB4E6C"/>
    <w:rsid w:val="00EB4EA1"/>
    <w:rsid w:val="00EB567A"/>
    <w:rsid w:val="00EB58D3"/>
    <w:rsid w:val="00EB5B7A"/>
    <w:rsid w:val="00EB5C21"/>
    <w:rsid w:val="00EB5C49"/>
    <w:rsid w:val="00EB5ED3"/>
    <w:rsid w:val="00EB6335"/>
    <w:rsid w:val="00EB6549"/>
    <w:rsid w:val="00EB6634"/>
    <w:rsid w:val="00EB66F6"/>
    <w:rsid w:val="00EB6790"/>
    <w:rsid w:val="00EB67F7"/>
    <w:rsid w:val="00EB6C29"/>
    <w:rsid w:val="00EB6C40"/>
    <w:rsid w:val="00EB6F8D"/>
    <w:rsid w:val="00EB70B5"/>
    <w:rsid w:val="00EB71A6"/>
    <w:rsid w:val="00EB731F"/>
    <w:rsid w:val="00EB7347"/>
    <w:rsid w:val="00EB739C"/>
    <w:rsid w:val="00EB7514"/>
    <w:rsid w:val="00EB7A79"/>
    <w:rsid w:val="00EB7A91"/>
    <w:rsid w:val="00EB7B1E"/>
    <w:rsid w:val="00EB7C32"/>
    <w:rsid w:val="00EB7E76"/>
    <w:rsid w:val="00EB7FAF"/>
    <w:rsid w:val="00EC0407"/>
    <w:rsid w:val="00EC0476"/>
    <w:rsid w:val="00EC09C8"/>
    <w:rsid w:val="00EC09D4"/>
    <w:rsid w:val="00EC09DC"/>
    <w:rsid w:val="00EC0B1C"/>
    <w:rsid w:val="00EC0FB8"/>
    <w:rsid w:val="00EC129E"/>
    <w:rsid w:val="00EC171A"/>
    <w:rsid w:val="00EC1BC2"/>
    <w:rsid w:val="00EC1C57"/>
    <w:rsid w:val="00EC1CFD"/>
    <w:rsid w:val="00EC1DD3"/>
    <w:rsid w:val="00EC2235"/>
    <w:rsid w:val="00EC2507"/>
    <w:rsid w:val="00EC2539"/>
    <w:rsid w:val="00EC2BDB"/>
    <w:rsid w:val="00EC2E0A"/>
    <w:rsid w:val="00EC2E54"/>
    <w:rsid w:val="00EC3138"/>
    <w:rsid w:val="00EC313E"/>
    <w:rsid w:val="00EC3256"/>
    <w:rsid w:val="00EC3487"/>
    <w:rsid w:val="00EC350F"/>
    <w:rsid w:val="00EC3578"/>
    <w:rsid w:val="00EC38C7"/>
    <w:rsid w:val="00EC3A55"/>
    <w:rsid w:val="00EC3AB0"/>
    <w:rsid w:val="00EC3DED"/>
    <w:rsid w:val="00EC4179"/>
    <w:rsid w:val="00EC425F"/>
    <w:rsid w:val="00EC4506"/>
    <w:rsid w:val="00EC4753"/>
    <w:rsid w:val="00EC4923"/>
    <w:rsid w:val="00EC4A2C"/>
    <w:rsid w:val="00EC4A40"/>
    <w:rsid w:val="00EC4F5F"/>
    <w:rsid w:val="00EC4F8C"/>
    <w:rsid w:val="00EC51FD"/>
    <w:rsid w:val="00EC5309"/>
    <w:rsid w:val="00EC5468"/>
    <w:rsid w:val="00EC557E"/>
    <w:rsid w:val="00EC5ABA"/>
    <w:rsid w:val="00EC5D3B"/>
    <w:rsid w:val="00EC5F4E"/>
    <w:rsid w:val="00EC60D7"/>
    <w:rsid w:val="00EC60F3"/>
    <w:rsid w:val="00EC63AB"/>
    <w:rsid w:val="00EC67BA"/>
    <w:rsid w:val="00EC6C17"/>
    <w:rsid w:val="00EC6E2A"/>
    <w:rsid w:val="00EC740C"/>
    <w:rsid w:val="00EC7489"/>
    <w:rsid w:val="00EC76CF"/>
    <w:rsid w:val="00EC7711"/>
    <w:rsid w:val="00EC77CD"/>
    <w:rsid w:val="00EC7B9C"/>
    <w:rsid w:val="00EC7CE8"/>
    <w:rsid w:val="00EC7D14"/>
    <w:rsid w:val="00EC7F5E"/>
    <w:rsid w:val="00ED0116"/>
    <w:rsid w:val="00ED0482"/>
    <w:rsid w:val="00ED07D9"/>
    <w:rsid w:val="00ED0B4F"/>
    <w:rsid w:val="00ED0CBB"/>
    <w:rsid w:val="00ED0D59"/>
    <w:rsid w:val="00ED0DC9"/>
    <w:rsid w:val="00ED10D3"/>
    <w:rsid w:val="00ED1319"/>
    <w:rsid w:val="00ED135F"/>
    <w:rsid w:val="00ED13A8"/>
    <w:rsid w:val="00ED1709"/>
    <w:rsid w:val="00ED17BE"/>
    <w:rsid w:val="00ED17DE"/>
    <w:rsid w:val="00ED192A"/>
    <w:rsid w:val="00ED19EB"/>
    <w:rsid w:val="00ED1B98"/>
    <w:rsid w:val="00ED1D58"/>
    <w:rsid w:val="00ED2011"/>
    <w:rsid w:val="00ED217D"/>
    <w:rsid w:val="00ED23A8"/>
    <w:rsid w:val="00ED2662"/>
    <w:rsid w:val="00ED2904"/>
    <w:rsid w:val="00ED2950"/>
    <w:rsid w:val="00ED2A08"/>
    <w:rsid w:val="00ED2A1C"/>
    <w:rsid w:val="00ED2BFE"/>
    <w:rsid w:val="00ED3019"/>
    <w:rsid w:val="00ED32C0"/>
    <w:rsid w:val="00ED3470"/>
    <w:rsid w:val="00ED3477"/>
    <w:rsid w:val="00ED34CA"/>
    <w:rsid w:val="00ED36BA"/>
    <w:rsid w:val="00ED3709"/>
    <w:rsid w:val="00ED3A65"/>
    <w:rsid w:val="00ED3E6F"/>
    <w:rsid w:val="00ED4142"/>
    <w:rsid w:val="00ED4527"/>
    <w:rsid w:val="00ED47DE"/>
    <w:rsid w:val="00ED48D3"/>
    <w:rsid w:val="00ED4B9A"/>
    <w:rsid w:val="00ED4E89"/>
    <w:rsid w:val="00ED4EA1"/>
    <w:rsid w:val="00ED5082"/>
    <w:rsid w:val="00ED517A"/>
    <w:rsid w:val="00ED51E8"/>
    <w:rsid w:val="00ED5317"/>
    <w:rsid w:val="00ED547D"/>
    <w:rsid w:val="00ED55BA"/>
    <w:rsid w:val="00ED56F5"/>
    <w:rsid w:val="00ED5793"/>
    <w:rsid w:val="00ED57E5"/>
    <w:rsid w:val="00ED5D16"/>
    <w:rsid w:val="00ED5E94"/>
    <w:rsid w:val="00ED5EEB"/>
    <w:rsid w:val="00ED627D"/>
    <w:rsid w:val="00ED642A"/>
    <w:rsid w:val="00ED6638"/>
    <w:rsid w:val="00ED67B6"/>
    <w:rsid w:val="00ED67C9"/>
    <w:rsid w:val="00ED6924"/>
    <w:rsid w:val="00ED6C8D"/>
    <w:rsid w:val="00ED6DDC"/>
    <w:rsid w:val="00ED7170"/>
    <w:rsid w:val="00ED7178"/>
    <w:rsid w:val="00ED717D"/>
    <w:rsid w:val="00ED74B2"/>
    <w:rsid w:val="00ED765A"/>
    <w:rsid w:val="00ED76BE"/>
    <w:rsid w:val="00ED7A47"/>
    <w:rsid w:val="00ED7B7E"/>
    <w:rsid w:val="00ED7BAF"/>
    <w:rsid w:val="00ED7D01"/>
    <w:rsid w:val="00ED7D44"/>
    <w:rsid w:val="00EE0024"/>
    <w:rsid w:val="00EE0054"/>
    <w:rsid w:val="00EE00C8"/>
    <w:rsid w:val="00EE0329"/>
    <w:rsid w:val="00EE04CF"/>
    <w:rsid w:val="00EE081E"/>
    <w:rsid w:val="00EE0947"/>
    <w:rsid w:val="00EE0A25"/>
    <w:rsid w:val="00EE0B6E"/>
    <w:rsid w:val="00EE0D9E"/>
    <w:rsid w:val="00EE13C4"/>
    <w:rsid w:val="00EE144C"/>
    <w:rsid w:val="00EE14EF"/>
    <w:rsid w:val="00EE1ABB"/>
    <w:rsid w:val="00EE1C25"/>
    <w:rsid w:val="00EE1E68"/>
    <w:rsid w:val="00EE221E"/>
    <w:rsid w:val="00EE2315"/>
    <w:rsid w:val="00EE241B"/>
    <w:rsid w:val="00EE26A2"/>
    <w:rsid w:val="00EE2908"/>
    <w:rsid w:val="00EE2D97"/>
    <w:rsid w:val="00EE3223"/>
    <w:rsid w:val="00EE336B"/>
    <w:rsid w:val="00EE348B"/>
    <w:rsid w:val="00EE37FD"/>
    <w:rsid w:val="00EE38B0"/>
    <w:rsid w:val="00EE3908"/>
    <w:rsid w:val="00EE39C7"/>
    <w:rsid w:val="00EE3B19"/>
    <w:rsid w:val="00EE3BB9"/>
    <w:rsid w:val="00EE3CD7"/>
    <w:rsid w:val="00EE3D64"/>
    <w:rsid w:val="00EE3D8A"/>
    <w:rsid w:val="00EE410D"/>
    <w:rsid w:val="00EE4156"/>
    <w:rsid w:val="00EE4201"/>
    <w:rsid w:val="00EE43BB"/>
    <w:rsid w:val="00EE43FA"/>
    <w:rsid w:val="00EE45BD"/>
    <w:rsid w:val="00EE4B6E"/>
    <w:rsid w:val="00EE4D7E"/>
    <w:rsid w:val="00EE4E4F"/>
    <w:rsid w:val="00EE518B"/>
    <w:rsid w:val="00EE51AF"/>
    <w:rsid w:val="00EE5753"/>
    <w:rsid w:val="00EE59CA"/>
    <w:rsid w:val="00EE5A94"/>
    <w:rsid w:val="00EE5B23"/>
    <w:rsid w:val="00EE5B7E"/>
    <w:rsid w:val="00EE5D66"/>
    <w:rsid w:val="00EE625E"/>
    <w:rsid w:val="00EE66FA"/>
    <w:rsid w:val="00EE6736"/>
    <w:rsid w:val="00EE683D"/>
    <w:rsid w:val="00EE6A88"/>
    <w:rsid w:val="00EE6BCA"/>
    <w:rsid w:val="00EE6DD5"/>
    <w:rsid w:val="00EE6F94"/>
    <w:rsid w:val="00EE7897"/>
    <w:rsid w:val="00EE7A76"/>
    <w:rsid w:val="00EE7CC6"/>
    <w:rsid w:val="00EE7D53"/>
    <w:rsid w:val="00EE7FD8"/>
    <w:rsid w:val="00EF0397"/>
    <w:rsid w:val="00EF05D1"/>
    <w:rsid w:val="00EF0AD8"/>
    <w:rsid w:val="00EF0D24"/>
    <w:rsid w:val="00EF0E16"/>
    <w:rsid w:val="00EF0E78"/>
    <w:rsid w:val="00EF0F37"/>
    <w:rsid w:val="00EF11E4"/>
    <w:rsid w:val="00EF122C"/>
    <w:rsid w:val="00EF12EA"/>
    <w:rsid w:val="00EF14AD"/>
    <w:rsid w:val="00EF15C3"/>
    <w:rsid w:val="00EF1810"/>
    <w:rsid w:val="00EF181A"/>
    <w:rsid w:val="00EF1831"/>
    <w:rsid w:val="00EF18E8"/>
    <w:rsid w:val="00EF197A"/>
    <w:rsid w:val="00EF19D9"/>
    <w:rsid w:val="00EF19E2"/>
    <w:rsid w:val="00EF1E2C"/>
    <w:rsid w:val="00EF1F44"/>
    <w:rsid w:val="00EF2214"/>
    <w:rsid w:val="00EF2267"/>
    <w:rsid w:val="00EF2402"/>
    <w:rsid w:val="00EF242B"/>
    <w:rsid w:val="00EF26EB"/>
    <w:rsid w:val="00EF2709"/>
    <w:rsid w:val="00EF2F5E"/>
    <w:rsid w:val="00EF3484"/>
    <w:rsid w:val="00EF3B2D"/>
    <w:rsid w:val="00EF3C3F"/>
    <w:rsid w:val="00EF3D1D"/>
    <w:rsid w:val="00EF3D27"/>
    <w:rsid w:val="00EF3DA1"/>
    <w:rsid w:val="00EF3DD6"/>
    <w:rsid w:val="00EF3E90"/>
    <w:rsid w:val="00EF3F7A"/>
    <w:rsid w:val="00EF4028"/>
    <w:rsid w:val="00EF41CE"/>
    <w:rsid w:val="00EF425B"/>
    <w:rsid w:val="00EF4271"/>
    <w:rsid w:val="00EF429C"/>
    <w:rsid w:val="00EF439F"/>
    <w:rsid w:val="00EF448D"/>
    <w:rsid w:val="00EF4642"/>
    <w:rsid w:val="00EF4704"/>
    <w:rsid w:val="00EF4784"/>
    <w:rsid w:val="00EF4A8D"/>
    <w:rsid w:val="00EF4B3C"/>
    <w:rsid w:val="00EF516A"/>
    <w:rsid w:val="00EF5492"/>
    <w:rsid w:val="00EF5A32"/>
    <w:rsid w:val="00EF5B7B"/>
    <w:rsid w:val="00EF5D56"/>
    <w:rsid w:val="00EF5D69"/>
    <w:rsid w:val="00EF5DBA"/>
    <w:rsid w:val="00EF5DF9"/>
    <w:rsid w:val="00EF5E57"/>
    <w:rsid w:val="00EF5FDD"/>
    <w:rsid w:val="00EF6003"/>
    <w:rsid w:val="00EF6469"/>
    <w:rsid w:val="00EF649F"/>
    <w:rsid w:val="00EF64DB"/>
    <w:rsid w:val="00EF6586"/>
    <w:rsid w:val="00EF679C"/>
    <w:rsid w:val="00EF68B9"/>
    <w:rsid w:val="00EF6AB4"/>
    <w:rsid w:val="00EF6FE9"/>
    <w:rsid w:val="00EF7243"/>
    <w:rsid w:val="00EF72E9"/>
    <w:rsid w:val="00EF75F2"/>
    <w:rsid w:val="00EF7961"/>
    <w:rsid w:val="00EF7971"/>
    <w:rsid w:val="00EF7991"/>
    <w:rsid w:val="00EF7A1C"/>
    <w:rsid w:val="00EF7BB4"/>
    <w:rsid w:val="00EF7BC3"/>
    <w:rsid w:val="00EF7CE6"/>
    <w:rsid w:val="00EF7FD3"/>
    <w:rsid w:val="00F00305"/>
    <w:rsid w:val="00F0033D"/>
    <w:rsid w:val="00F003B4"/>
    <w:rsid w:val="00F005A9"/>
    <w:rsid w:val="00F005F6"/>
    <w:rsid w:val="00F00670"/>
    <w:rsid w:val="00F00A43"/>
    <w:rsid w:val="00F00B43"/>
    <w:rsid w:val="00F00D70"/>
    <w:rsid w:val="00F01259"/>
    <w:rsid w:val="00F012EA"/>
    <w:rsid w:val="00F0141B"/>
    <w:rsid w:val="00F014FF"/>
    <w:rsid w:val="00F01721"/>
    <w:rsid w:val="00F0196C"/>
    <w:rsid w:val="00F01A26"/>
    <w:rsid w:val="00F01B1D"/>
    <w:rsid w:val="00F01DDA"/>
    <w:rsid w:val="00F01F6D"/>
    <w:rsid w:val="00F022CC"/>
    <w:rsid w:val="00F026D5"/>
    <w:rsid w:val="00F02840"/>
    <w:rsid w:val="00F0290E"/>
    <w:rsid w:val="00F02911"/>
    <w:rsid w:val="00F02B90"/>
    <w:rsid w:val="00F030B4"/>
    <w:rsid w:val="00F0328B"/>
    <w:rsid w:val="00F03295"/>
    <w:rsid w:val="00F036EF"/>
    <w:rsid w:val="00F03AF3"/>
    <w:rsid w:val="00F03B55"/>
    <w:rsid w:val="00F03C75"/>
    <w:rsid w:val="00F03DD3"/>
    <w:rsid w:val="00F03EAB"/>
    <w:rsid w:val="00F04519"/>
    <w:rsid w:val="00F04A91"/>
    <w:rsid w:val="00F04AA9"/>
    <w:rsid w:val="00F050C3"/>
    <w:rsid w:val="00F0513D"/>
    <w:rsid w:val="00F05639"/>
    <w:rsid w:val="00F05683"/>
    <w:rsid w:val="00F0572A"/>
    <w:rsid w:val="00F05938"/>
    <w:rsid w:val="00F05992"/>
    <w:rsid w:val="00F05A55"/>
    <w:rsid w:val="00F05A78"/>
    <w:rsid w:val="00F05CAE"/>
    <w:rsid w:val="00F06073"/>
    <w:rsid w:val="00F0637D"/>
    <w:rsid w:val="00F06712"/>
    <w:rsid w:val="00F06D78"/>
    <w:rsid w:val="00F06DC7"/>
    <w:rsid w:val="00F06ED2"/>
    <w:rsid w:val="00F06ED7"/>
    <w:rsid w:val="00F07060"/>
    <w:rsid w:val="00F0711E"/>
    <w:rsid w:val="00F07149"/>
    <w:rsid w:val="00F071D7"/>
    <w:rsid w:val="00F073EA"/>
    <w:rsid w:val="00F074C3"/>
    <w:rsid w:val="00F07532"/>
    <w:rsid w:val="00F07592"/>
    <w:rsid w:val="00F0764B"/>
    <w:rsid w:val="00F079BF"/>
    <w:rsid w:val="00F07D6C"/>
    <w:rsid w:val="00F07EB4"/>
    <w:rsid w:val="00F07EE6"/>
    <w:rsid w:val="00F07FD9"/>
    <w:rsid w:val="00F10011"/>
    <w:rsid w:val="00F100A3"/>
    <w:rsid w:val="00F10235"/>
    <w:rsid w:val="00F1027D"/>
    <w:rsid w:val="00F102F4"/>
    <w:rsid w:val="00F104A8"/>
    <w:rsid w:val="00F10822"/>
    <w:rsid w:val="00F10A0A"/>
    <w:rsid w:val="00F10C53"/>
    <w:rsid w:val="00F10CBF"/>
    <w:rsid w:val="00F10F93"/>
    <w:rsid w:val="00F11127"/>
    <w:rsid w:val="00F11203"/>
    <w:rsid w:val="00F11309"/>
    <w:rsid w:val="00F11547"/>
    <w:rsid w:val="00F11763"/>
    <w:rsid w:val="00F1181F"/>
    <w:rsid w:val="00F1184A"/>
    <w:rsid w:val="00F118D7"/>
    <w:rsid w:val="00F11A0A"/>
    <w:rsid w:val="00F11DDC"/>
    <w:rsid w:val="00F11EA9"/>
    <w:rsid w:val="00F11F70"/>
    <w:rsid w:val="00F11FFB"/>
    <w:rsid w:val="00F12678"/>
    <w:rsid w:val="00F12B6E"/>
    <w:rsid w:val="00F12BCB"/>
    <w:rsid w:val="00F12E28"/>
    <w:rsid w:val="00F131CC"/>
    <w:rsid w:val="00F132B3"/>
    <w:rsid w:val="00F13994"/>
    <w:rsid w:val="00F13B15"/>
    <w:rsid w:val="00F13BD2"/>
    <w:rsid w:val="00F13C38"/>
    <w:rsid w:val="00F13E7A"/>
    <w:rsid w:val="00F13F08"/>
    <w:rsid w:val="00F13FE4"/>
    <w:rsid w:val="00F14161"/>
    <w:rsid w:val="00F145F5"/>
    <w:rsid w:val="00F14679"/>
    <w:rsid w:val="00F1471F"/>
    <w:rsid w:val="00F14940"/>
    <w:rsid w:val="00F149D0"/>
    <w:rsid w:val="00F14C0A"/>
    <w:rsid w:val="00F14D1F"/>
    <w:rsid w:val="00F14DC2"/>
    <w:rsid w:val="00F14E2D"/>
    <w:rsid w:val="00F14F27"/>
    <w:rsid w:val="00F15135"/>
    <w:rsid w:val="00F15178"/>
    <w:rsid w:val="00F15286"/>
    <w:rsid w:val="00F15289"/>
    <w:rsid w:val="00F15347"/>
    <w:rsid w:val="00F1581F"/>
    <w:rsid w:val="00F15AB7"/>
    <w:rsid w:val="00F15C68"/>
    <w:rsid w:val="00F15C9D"/>
    <w:rsid w:val="00F15DCF"/>
    <w:rsid w:val="00F16161"/>
    <w:rsid w:val="00F1626A"/>
    <w:rsid w:val="00F162F6"/>
    <w:rsid w:val="00F166CD"/>
    <w:rsid w:val="00F16E72"/>
    <w:rsid w:val="00F16FA5"/>
    <w:rsid w:val="00F1721C"/>
    <w:rsid w:val="00F172EE"/>
    <w:rsid w:val="00F1751F"/>
    <w:rsid w:val="00F17752"/>
    <w:rsid w:val="00F178DB"/>
    <w:rsid w:val="00F17905"/>
    <w:rsid w:val="00F17ABD"/>
    <w:rsid w:val="00F17AD8"/>
    <w:rsid w:val="00F17B34"/>
    <w:rsid w:val="00F2002F"/>
    <w:rsid w:val="00F201EB"/>
    <w:rsid w:val="00F20270"/>
    <w:rsid w:val="00F202DA"/>
    <w:rsid w:val="00F2037D"/>
    <w:rsid w:val="00F205E2"/>
    <w:rsid w:val="00F207D8"/>
    <w:rsid w:val="00F209E7"/>
    <w:rsid w:val="00F20A0F"/>
    <w:rsid w:val="00F20E31"/>
    <w:rsid w:val="00F212C6"/>
    <w:rsid w:val="00F21411"/>
    <w:rsid w:val="00F2142C"/>
    <w:rsid w:val="00F214ED"/>
    <w:rsid w:val="00F21BF9"/>
    <w:rsid w:val="00F21DE7"/>
    <w:rsid w:val="00F21E1D"/>
    <w:rsid w:val="00F21F6C"/>
    <w:rsid w:val="00F21FAD"/>
    <w:rsid w:val="00F21FB8"/>
    <w:rsid w:val="00F221F3"/>
    <w:rsid w:val="00F2227B"/>
    <w:rsid w:val="00F2250A"/>
    <w:rsid w:val="00F225B0"/>
    <w:rsid w:val="00F227FB"/>
    <w:rsid w:val="00F22890"/>
    <w:rsid w:val="00F228A9"/>
    <w:rsid w:val="00F229CD"/>
    <w:rsid w:val="00F22A43"/>
    <w:rsid w:val="00F22B56"/>
    <w:rsid w:val="00F22B92"/>
    <w:rsid w:val="00F22DB3"/>
    <w:rsid w:val="00F2301F"/>
    <w:rsid w:val="00F231D4"/>
    <w:rsid w:val="00F23893"/>
    <w:rsid w:val="00F238C5"/>
    <w:rsid w:val="00F238FC"/>
    <w:rsid w:val="00F23F03"/>
    <w:rsid w:val="00F247FD"/>
    <w:rsid w:val="00F24BC0"/>
    <w:rsid w:val="00F24C41"/>
    <w:rsid w:val="00F24CBF"/>
    <w:rsid w:val="00F24D62"/>
    <w:rsid w:val="00F24E3E"/>
    <w:rsid w:val="00F250FA"/>
    <w:rsid w:val="00F2521C"/>
    <w:rsid w:val="00F25237"/>
    <w:rsid w:val="00F253A7"/>
    <w:rsid w:val="00F254EE"/>
    <w:rsid w:val="00F2561D"/>
    <w:rsid w:val="00F2566F"/>
    <w:rsid w:val="00F257F8"/>
    <w:rsid w:val="00F25C0F"/>
    <w:rsid w:val="00F25CA7"/>
    <w:rsid w:val="00F26170"/>
    <w:rsid w:val="00F264DD"/>
    <w:rsid w:val="00F26682"/>
    <w:rsid w:val="00F2668E"/>
    <w:rsid w:val="00F26A37"/>
    <w:rsid w:val="00F26C42"/>
    <w:rsid w:val="00F26DD7"/>
    <w:rsid w:val="00F26E45"/>
    <w:rsid w:val="00F26F78"/>
    <w:rsid w:val="00F27250"/>
    <w:rsid w:val="00F2732B"/>
    <w:rsid w:val="00F2742F"/>
    <w:rsid w:val="00F27685"/>
    <w:rsid w:val="00F27B3C"/>
    <w:rsid w:val="00F27BC8"/>
    <w:rsid w:val="00F27C14"/>
    <w:rsid w:val="00F301E9"/>
    <w:rsid w:val="00F30254"/>
    <w:rsid w:val="00F3035D"/>
    <w:rsid w:val="00F3049C"/>
    <w:rsid w:val="00F30503"/>
    <w:rsid w:val="00F3071F"/>
    <w:rsid w:val="00F30CA7"/>
    <w:rsid w:val="00F30D61"/>
    <w:rsid w:val="00F31209"/>
    <w:rsid w:val="00F3130E"/>
    <w:rsid w:val="00F315AB"/>
    <w:rsid w:val="00F3162B"/>
    <w:rsid w:val="00F3164D"/>
    <w:rsid w:val="00F31697"/>
    <w:rsid w:val="00F3188A"/>
    <w:rsid w:val="00F31AFC"/>
    <w:rsid w:val="00F31D91"/>
    <w:rsid w:val="00F31EE2"/>
    <w:rsid w:val="00F320E0"/>
    <w:rsid w:val="00F321DE"/>
    <w:rsid w:val="00F32403"/>
    <w:rsid w:val="00F327AF"/>
    <w:rsid w:val="00F32A34"/>
    <w:rsid w:val="00F32A5E"/>
    <w:rsid w:val="00F32CEA"/>
    <w:rsid w:val="00F32DF5"/>
    <w:rsid w:val="00F32E33"/>
    <w:rsid w:val="00F33014"/>
    <w:rsid w:val="00F336A4"/>
    <w:rsid w:val="00F33A6A"/>
    <w:rsid w:val="00F3455E"/>
    <w:rsid w:val="00F348DE"/>
    <w:rsid w:val="00F34BD6"/>
    <w:rsid w:val="00F34C20"/>
    <w:rsid w:val="00F34DF7"/>
    <w:rsid w:val="00F351D0"/>
    <w:rsid w:val="00F35634"/>
    <w:rsid w:val="00F3580A"/>
    <w:rsid w:val="00F35D1E"/>
    <w:rsid w:val="00F35D2C"/>
    <w:rsid w:val="00F3662E"/>
    <w:rsid w:val="00F36885"/>
    <w:rsid w:val="00F36AB4"/>
    <w:rsid w:val="00F36BDC"/>
    <w:rsid w:val="00F36DBE"/>
    <w:rsid w:val="00F36E59"/>
    <w:rsid w:val="00F36F8B"/>
    <w:rsid w:val="00F37437"/>
    <w:rsid w:val="00F37488"/>
    <w:rsid w:val="00F37500"/>
    <w:rsid w:val="00F376CD"/>
    <w:rsid w:val="00F37F3F"/>
    <w:rsid w:val="00F4007E"/>
    <w:rsid w:val="00F40593"/>
    <w:rsid w:val="00F40824"/>
    <w:rsid w:val="00F409CE"/>
    <w:rsid w:val="00F40C53"/>
    <w:rsid w:val="00F40D4D"/>
    <w:rsid w:val="00F40DE1"/>
    <w:rsid w:val="00F4119F"/>
    <w:rsid w:val="00F411F1"/>
    <w:rsid w:val="00F41351"/>
    <w:rsid w:val="00F4146C"/>
    <w:rsid w:val="00F41508"/>
    <w:rsid w:val="00F4176B"/>
    <w:rsid w:val="00F41A27"/>
    <w:rsid w:val="00F41AA5"/>
    <w:rsid w:val="00F41E30"/>
    <w:rsid w:val="00F41F34"/>
    <w:rsid w:val="00F42045"/>
    <w:rsid w:val="00F422B2"/>
    <w:rsid w:val="00F4254A"/>
    <w:rsid w:val="00F42CAE"/>
    <w:rsid w:val="00F42FE6"/>
    <w:rsid w:val="00F4324F"/>
    <w:rsid w:val="00F436DB"/>
    <w:rsid w:val="00F43784"/>
    <w:rsid w:val="00F43971"/>
    <w:rsid w:val="00F43AF6"/>
    <w:rsid w:val="00F43AFA"/>
    <w:rsid w:val="00F440D9"/>
    <w:rsid w:val="00F441AE"/>
    <w:rsid w:val="00F44704"/>
    <w:rsid w:val="00F44868"/>
    <w:rsid w:val="00F44BD8"/>
    <w:rsid w:val="00F44C3E"/>
    <w:rsid w:val="00F44D75"/>
    <w:rsid w:val="00F44EDA"/>
    <w:rsid w:val="00F45431"/>
    <w:rsid w:val="00F45633"/>
    <w:rsid w:val="00F4566A"/>
    <w:rsid w:val="00F457B4"/>
    <w:rsid w:val="00F458F2"/>
    <w:rsid w:val="00F4592B"/>
    <w:rsid w:val="00F45973"/>
    <w:rsid w:val="00F459CD"/>
    <w:rsid w:val="00F45F0B"/>
    <w:rsid w:val="00F4611C"/>
    <w:rsid w:val="00F4632F"/>
    <w:rsid w:val="00F46730"/>
    <w:rsid w:val="00F4680E"/>
    <w:rsid w:val="00F46873"/>
    <w:rsid w:val="00F469CF"/>
    <w:rsid w:val="00F46A22"/>
    <w:rsid w:val="00F46A32"/>
    <w:rsid w:val="00F46A3B"/>
    <w:rsid w:val="00F46E98"/>
    <w:rsid w:val="00F472D7"/>
    <w:rsid w:val="00F47B3F"/>
    <w:rsid w:val="00F47CDD"/>
    <w:rsid w:val="00F47D7C"/>
    <w:rsid w:val="00F47F15"/>
    <w:rsid w:val="00F47F66"/>
    <w:rsid w:val="00F5008E"/>
    <w:rsid w:val="00F501C4"/>
    <w:rsid w:val="00F507E3"/>
    <w:rsid w:val="00F508BA"/>
    <w:rsid w:val="00F50918"/>
    <w:rsid w:val="00F509E6"/>
    <w:rsid w:val="00F50C44"/>
    <w:rsid w:val="00F50CF3"/>
    <w:rsid w:val="00F50E86"/>
    <w:rsid w:val="00F50EB6"/>
    <w:rsid w:val="00F51081"/>
    <w:rsid w:val="00F5147E"/>
    <w:rsid w:val="00F515E8"/>
    <w:rsid w:val="00F518A8"/>
    <w:rsid w:val="00F519BE"/>
    <w:rsid w:val="00F5207F"/>
    <w:rsid w:val="00F52366"/>
    <w:rsid w:val="00F52389"/>
    <w:rsid w:val="00F52ADB"/>
    <w:rsid w:val="00F52E5A"/>
    <w:rsid w:val="00F52F3F"/>
    <w:rsid w:val="00F532CC"/>
    <w:rsid w:val="00F53A7C"/>
    <w:rsid w:val="00F53B2F"/>
    <w:rsid w:val="00F53C78"/>
    <w:rsid w:val="00F53D23"/>
    <w:rsid w:val="00F53D99"/>
    <w:rsid w:val="00F53E37"/>
    <w:rsid w:val="00F53FFB"/>
    <w:rsid w:val="00F5408F"/>
    <w:rsid w:val="00F549AE"/>
    <w:rsid w:val="00F54C4F"/>
    <w:rsid w:val="00F54C87"/>
    <w:rsid w:val="00F54E04"/>
    <w:rsid w:val="00F54E74"/>
    <w:rsid w:val="00F54F69"/>
    <w:rsid w:val="00F55074"/>
    <w:rsid w:val="00F5513A"/>
    <w:rsid w:val="00F553ED"/>
    <w:rsid w:val="00F55544"/>
    <w:rsid w:val="00F556F1"/>
    <w:rsid w:val="00F55860"/>
    <w:rsid w:val="00F55A4B"/>
    <w:rsid w:val="00F55B99"/>
    <w:rsid w:val="00F55C19"/>
    <w:rsid w:val="00F5603E"/>
    <w:rsid w:val="00F564AB"/>
    <w:rsid w:val="00F5659A"/>
    <w:rsid w:val="00F568D9"/>
    <w:rsid w:val="00F56B90"/>
    <w:rsid w:val="00F56B9F"/>
    <w:rsid w:val="00F56CD4"/>
    <w:rsid w:val="00F5706C"/>
    <w:rsid w:val="00F571CA"/>
    <w:rsid w:val="00F5738F"/>
    <w:rsid w:val="00F576F6"/>
    <w:rsid w:val="00F57CC1"/>
    <w:rsid w:val="00F57E24"/>
    <w:rsid w:val="00F600B2"/>
    <w:rsid w:val="00F60254"/>
    <w:rsid w:val="00F602BD"/>
    <w:rsid w:val="00F60530"/>
    <w:rsid w:val="00F6067B"/>
    <w:rsid w:val="00F6076C"/>
    <w:rsid w:val="00F6098F"/>
    <w:rsid w:val="00F60A94"/>
    <w:rsid w:val="00F60ACE"/>
    <w:rsid w:val="00F60CED"/>
    <w:rsid w:val="00F61422"/>
    <w:rsid w:val="00F614E8"/>
    <w:rsid w:val="00F6173C"/>
    <w:rsid w:val="00F619B8"/>
    <w:rsid w:val="00F61B35"/>
    <w:rsid w:val="00F61E53"/>
    <w:rsid w:val="00F620A2"/>
    <w:rsid w:val="00F6235E"/>
    <w:rsid w:val="00F627E3"/>
    <w:rsid w:val="00F62C6F"/>
    <w:rsid w:val="00F63238"/>
    <w:rsid w:val="00F63469"/>
    <w:rsid w:val="00F6348A"/>
    <w:rsid w:val="00F635C6"/>
    <w:rsid w:val="00F63768"/>
    <w:rsid w:val="00F6376A"/>
    <w:rsid w:val="00F63813"/>
    <w:rsid w:val="00F63B8C"/>
    <w:rsid w:val="00F63DF4"/>
    <w:rsid w:val="00F640F8"/>
    <w:rsid w:val="00F64272"/>
    <w:rsid w:val="00F6440E"/>
    <w:rsid w:val="00F646E6"/>
    <w:rsid w:val="00F64748"/>
    <w:rsid w:val="00F6477C"/>
    <w:rsid w:val="00F6482A"/>
    <w:rsid w:val="00F64D08"/>
    <w:rsid w:val="00F64D91"/>
    <w:rsid w:val="00F64F49"/>
    <w:rsid w:val="00F6504C"/>
    <w:rsid w:val="00F650A7"/>
    <w:rsid w:val="00F65934"/>
    <w:rsid w:val="00F6595B"/>
    <w:rsid w:val="00F65C22"/>
    <w:rsid w:val="00F65C5B"/>
    <w:rsid w:val="00F65E00"/>
    <w:rsid w:val="00F65E81"/>
    <w:rsid w:val="00F65EEA"/>
    <w:rsid w:val="00F65F9A"/>
    <w:rsid w:val="00F66149"/>
    <w:rsid w:val="00F6695D"/>
    <w:rsid w:val="00F66AC8"/>
    <w:rsid w:val="00F66C95"/>
    <w:rsid w:val="00F66F21"/>
    <w:rsid w:val="00F67011"/>
    <w:rsid w:val="00F676A7"/>
    <w:rsid w:val="00F678DE"/>
    <w:rsid w:val="00F6790C"/>
    <w:rsid w:val="00F679EA"/>
    <w:rsid w:val="00F67B41"/>
    <w:rsid w:val="00F67E5B"/>
    <w:rsid w:val="00F67E75"/>
    <w:rsid w:val="00F67E9A"/>
    <w:rsid w:val="00F70198"/>
    <w:rsid w:val="00F7026F"/>
    <w:rsid w:val="00F70350"/>
    <w:rsid w:val="00F703DE"/>
    <w:rsid w:val="00F7054B"/>
    <w:rsid w:val="00F7094C"/>
    <w:rsid w:val="00F709BE"/>
    <w:rsid w:val="00F70A78"/>
    <w:rsid w:val="00F70D34"/>
    <w:rsid w:val="00F70D70"/>
    <w:rsid w:val="00F712B2"/>
    <w:rsid w:val="00F715D5"/>
    <w:rsid w:val="00F716CE"/>
    <w:rsid w:val="00F716DE"/>
    <w:rsid w:val="00F716FC"/>
    <w:rsid w:val="00F71990"/>
    <w:rsid w:val="00F71DE6"/>
    <w:rsid w:val="00F71F41"/>
    <w:rsid w:val="00F721BC"/>
    <w:rsid w:val="00F721E9"/>
    <w:rsid w:val="00F7233B"/>
    <w:rsid w:val="00F72637"/>
    <w:rsid w:val="00F72BCD"/>
    <w:rsid w:val="00F72D31"/>
    <w:rsid w:val="00F72ED1"/>
    <w:rsid w:val="00F72EF4"/>
    <w:rsid w:val="00F72FED"/>
    <w:rsid w:val="00F73064"/>
    <w:rsid w:val="00F732F1"/>
    <w:rsid w:val="00F739BD"/>
    <w:rsid w:val="00F73EA9"/>
    <w:rsid w:val="00F74239"/>
    <w:rsid w:val="00F7426F"/>
    <w:rsid w:val="00F74496"/>
    <w:rsid w:val="00F7465A"/>
    <w:rsid w:val="00F74714"/>
    <w:rsid w:val="00F74747"/>
    <w:rsid w:val="00F74BF8"/>
    <w:rsid w:val="00F74C99"/>
    <w:rsid w:val="00F74D5F"/>
    <w:rsid w:val="00F74D91"/>
    <w:rsid w:val="00F74F5D"/>
    <w:rsid w:val="00F75178"/>
    <w:rsid w:val="00F751FB"/>
    <w:rsid w:val="00F75449"/>
    <w:rsid w:val="00F7562B"/>
    <w:rsid w:val="00F756A0"/>
    <w:rsid w:val="00F75CCA"/>
    <w:rsid w:val="00F75E7A"/>
    <w:rsid w:val="00F75EB2"/>
    <w:rsid w:val="00F75EF3"/>
    <w:rsid w:val="00F76192"/>
    <w:rsid w:val="00F76573"/>
    <w:rsid w:val="00F7680E"/>
    <w:rsid w:val="00F769CB"/>
    <w:rsid w:val="00F76A3A"/>
    <w:rsid w:val="00F76A57"/>
    <w:rsid w:val="00F76BA5"/>
    <w:rsid w:val="00F770AC"/>
    <w:rsid w:val="00F773B2"/>
    <w:rsid w:val="00F77437"/>
    <w:rsid w:val="00F7754B"/>
    <w:rsid w:val="00F777DE"/>
    <w:rsid w:val="00F77814"/>
    <w:rsid w:val="00F77831"/>
    <w:rsid w:val="00F77F2C"/>
    <w:rsid w:val="00F80119"/>
    <w:rsid w:val="00F80357"/>
    <w:rsid w:val="00F805AB"/>
    <w:rsid w:val="00F80704"/>
    <w:rsid w:val="00F8071E"/>
    <w:rsid w:val="00F8075F"/>
    <w:rsid w:val="00F80BB9"/>
    <w:rsid w:val="00F80BBA"/>
    <w:rsid w:val="00F80D46"/>
    <w:rsid w:val="00F80DAC"/>
    <w:rsid w:val="00F80EBF"/>
    <w:rsid w:val="00F81046"/>
    <w:rsid w:val="00F81078"/>
    <w:rsid w:val="00F811FB"/>
    <w:rsid w:val="00F81832"/>
    <w:rsid w:val="00F81BF1"/>
    <w:rsid w:val="00F81C6A"/>
    <w:rsid w:val="00F81E21"/>
    <w:rsid w:val="00F82054"/>
    <w:rsid w:val="00F821CE"/>
    <w:rsid w:val="00F8220B"/>
    <w:rsid w:val="00F822CF"/>
    <w:rsid w:val="00F82518"/>
    <w:rsid w:val="00F825AC"/>
    <w:rsid w:val="00F828E9"/>
    <w:rsid w:val="00F82D61"/>
    <w:rsid w:val="00F83063"/>
    <w:rsid w:val="00F83343"/>
    <w:rsid w:val="00F834FA"/>
    <w:rsid w:val="00F83557"/>
    <w:rsid w:val="00F835F8"/>
    <w:rsid w:val="00F8373F"/>
    <w:rsid w:val="00F83833"/>
    <w:rsid w:val="00F8386A"/>
    <w:rsid w:val="00F83BBE"/>
    <w:rsid w:val="00F83C91"/>
    <w:rsid w:val="00F83FAB"/>
    <w:rsid w:val="00F84056"/>
    <w:rsid w:val="00F843C0"/>
    <w:rsid w:val="00F843FE"/>
    <w:rsid w:val="00F844A7"/>
    <w:rsid w:val="00F8469B"/>
    <w:rsid w:val="00F84850"/>
    <w:rsid w:val="00F84C56"/>
    <w:rsid w:val="00F85471"/>
    <w:rsid w:val="00F855C4"/>
    <w:rsid w:val="00F85601"/>
    <w:rsid w:val="00F85CC5"/>
    <w:rsid w:val="00F85DED"/>
    <w:rsid w:val="00F85E82"/>
    <w:rsid w:val="00F85EB7"/>
    <w:rsid w:val="00F85F1F"/>
    <w:rsid w:val="00F860A5"/>
    <w:rsid w:val="00F86357"/>
    <w:rsid w:val="00F863C3"/>
    <w:rsid w:val="00F86617"/>
    <w:rsid w:val="00F8671F"/>
    <w:rsid w:val="00F8675B"/>
    <w:rsid w:val="00F86B04"/>
    <w:rsid w:val="00F86C10"/>
    <w:rsid w:val="00F86F86"/>
    <w:rsid w:val="00F87048"/>
    <w:rsid w:val="00F870B8"/>
    <w:rsid w:val="00F87230"/>
    <w:rsid w:val="00F8723C"/>
    <w:rsid w:val="00F87D4F"/>
    <w:rsid w:val="00F87F68"/>
    <w:rsid w:val="00F90137"/>
    <w:rsid w:val="00F90417"/>
    <w:rsid w:val="00F904CF"/>
    <w:rsid w:val="00F9073A"/>
    <w:rsid w:val="00F90B1D"/>
    <w:rsid w:val="00F90F1D"/>
    <w:rsid w:val="00F912A1"/>
    <w:rsid w:val="00F913A3"/>
    <w:rsid w:val="00F915A8"/>
    <w:rsid w:val="00F91865"/>
    <w:rsid w:val="00F91985"/>
    <w:rsid w:val="00F91997"/>
    <w:rsid w:val="00F919B4"/>
    <w:rsid w:val="00F91EAF"/>
    <w:rsid w:val="00F922D3"/>
    <w:rsid w:val="00F928A9"/>
    <w:rsid w:val="00F9299E"/>
    <w:rsid w:val="00F93335"/>
    <w:rsid w:val="00F93682"/>
    <w:rsid w:val="00F93839"/>
    <w:rsid w:val="00F93A18"/>
    <w:rsid w:val="00F93AED"/>
    <w:rsid w:val="00F93B2D"/>
    <w:rsid w:val="00F93B7A"/>
    <w:rsid w:val="00F940CB"/>
    <w:rsid w:val="00F9439F"/>
    <w:rsid w:val="00F9476D"/>
    <w:rsid w:val="00F948F3"/>
    <w:rsid w:val="00F949F8"/>
    <w:rsid w:val="00F94A88"/>
    <w:rsid w:val="00F94DD5"/>
    <w:rsid w:val="00F94F87"/>
    <w:rsid w:val="00F9517F"/>
    <w:rsid w:val="00F95198"/>
    <w:rsid w:val="00F953EF"/>
    <w:rsid w:val="00F9544E"/>
    <w:rsid w:val="00F954DE"/>
    <w:rsid w:val="00F955BC"/>
    <w:rsid w:val="00F955E5"/>
    <w:rsid w:val="00F9582C"/>
    <w:rsid w:val="00F958C2"/>
    <w:rsid w:val="00F9594E"/>
    <w:rsid w:val="00F9596B"/>
    <w:rsid w:val="00F95A79"/>
    <w:rsid w:val="00F95A9A"/>
    <w:rsid w:val="00F95ADE"/>
    <w:rsid w:val="00F95B18"/>
    <w:rsid w:val="00F95B50"/>
    <w:rsid w:val="00F95BCA"/>
    <w:rsid w:val="00F95FA0"/>
    <w:rsid w:val="00F96092"/>
    <w:rsid w:val="00F96540"/>
    <w:rsid w:val="00F96A17"/>
    <w:rsid w:val="00F96CC1"/>
    <w:rsid w:val="00F96D16"/>
    <w:rsid w:val="00F97260"/>
    <w:rsid w:val="00F972BC"/>
    <w:rsid w:val="00F97447"/>
    <w:rsid w:val="00F978E2"/>
    <w:rsid w:val="00F97D62"/>
    <w:rsid w:val="00FA006A"/>
    <w:rsid w:val="00FA0232"/>
    <w:rsid w:val="00FA02E6"/>
    <w:rsid w:val="00FA0597"/>
    <w:rsid w:val="00FA096E"/>
    <w:rsid w:val="00FA09AC"/>
    <w:rsid w:val="00FA0D2B"/>
    <w:rsid w:val="00FA0ECA"/>
    <w:rsid w:val="00FA0ED0"/>
    <w:rsid w:val="00FA13AF"/>
    <w:rsid w:val="00FA184B"/>
    <w:rsid w:val="00FA1B99"/>
    <w:rsid w:val="00FA1DD0"/>
    <w:rsid w:val="00FA1ECB"/>
    <w:rsid w:val="00FA23DF"/>
    <w:rsid w:val="00FA2733"/>
    <w:rsid w:val="00FA2878"/>
    <w:rsid w:val="00FA29CF"/>
    <w:rsid w:val="00FA2D17"/>
    <w:rsid w:val="00FA2F23"/>
    <w:rsid w:val="00FA2FBA"/>
    <w:rsid w:val="00FA3032"/>
    <w:rsid w:val="00FA3082"/>
    <w:rsid w:val="00FA30CF"/>
    <w:rsid w:val="00FA33A9"/>
    <w:rsid w:val="00FA34BF"/>
    <w:rsid w:val="00FA3715"/>
    <w:rsid w:val="00FA3BFF"/>
    <w:rsid w:val="00FA3C17"/>
    <w:rsid w:val="00FA3D70"/>
    <w:rsid w:val="00FA4013"/>
    <w:rsid w:val="00FA474B"/>
    <w:rsid w:val="00FA4A4E"/>
    <w:rsid w:val="00FA4AD6"/>
    <w:rsid w:val="00FA4ADF"/>
    <w:rsid w:val="00FA4BB9"/>
    <w:rsid w:val="00FA4E9E"/>
    <w:rsid w:val="00FA5101"/>
    <w:rsid w:val="00FA51D9"/>
    <w:rsid w:val="00FA528D"/>
    <w:rsid w:val="00FA5484"/>
    <w:rsid w:val="00FA55E3"/>
    <w:rsid w:val="00FA57BD"/>
    <w:rsid w:val="00FA5B38"/>
    <w:rsid w:val="00FA5CB2"/>
    <w:rsid w:val="00FA6067"/>
    <w:rsid w:val="00FA626D"/>
    <w:rsid w:val="00FA661E"/>
    <w:rsid w:val="00FA6665"/>
    <w:rsid w:val="00FA68BD"/>
    <w:rsid w:val="00FA6911"/>
    <w:rsid w:val="00FA69EC"/>
    <w:rsid w:val="00FA6AD4"/>
    <w:rsid w:val="00FA6BA4"/>
    <w:rsid w:val="00FA6D74"/>
    <w:rsid w:val="00FA6F53"/>
    <w:rsid w:val="00FA6F9F"/>
    <w:rsid w:val="00FA702D"/>
    <w:rsid w:val="00FA716F"/>
    <w:rsid w:val="00FA73B8"/>
    <w:rsid w:val="00FA746D"/>
    <w:rsid w:val="00FA74C1"/>
    <w:rsid w:val="00FA7DFC"/>
    <w:rsid w:val="00FA7EAC"/>
    <w:rsid w:val="00FB01BF"/>
    <w:rsid w:val="00FB01D2"/>
    <w:rsid w:val="00FB0309"/>
    <w:rsid w:val="00FB09E1"/>
    <w:rsid w:val="00FB0EBA"/>
    <w:rsid w:val="00FB132B"/>
    <w:rsid w:val="00FB1334"/>
    <w:rsid w:val="00FB16D2"/>
    <w:rsid w:val="00FB1C29"/>
    <w:rsid w:val="00FB1E56"/>
    <w:rsid w:val="00FB222A"/>
    <w:rsid w:val="00FB25C5"/>
    <w:rsid w:val="00FB2606"/>
    <w:rsid w:val="00FB2722"/>
    <w:rsid w:val="00FB2EA5"/>
    <w:rsid w:val="00FB30D9"/>
    <w:rsid w:val="00FB312B"/>
    <w:rsid w:val="00FB3249"/>
    <w:rsid w:val="00FB3518"/>
    <w:rsid w:val="00FB360C"/>
    <w:rsid w:val="00FB3BB9"/>
    <w:rsid w:val="00FB3E6B"/>
    <w:rsid w:val="00FB3FED"/>
    <w:rsid w:val="00FB40A2"/>
    <w:rsid w:val="00FB4265"/>
    <w:rsid w:val="00FB43B6"/>
    <w:rsid w:val="00FB4936"/>
    <w:rsid w:val="00FB4D1C"/>
    <w:rsid w:val="00FB4F42"/>
    <w:rsid w:val="00FB4F69"/>
    <w:rsid w:val="00FB5028"/>
    <w:rsid w:val="00FB50E4"/>
    <w:rsid w:val="00FB5140"/>
    <w:rsid w:val="00FB54F5"/>
    <w:rsid w:val="00FB558D"/>
    <w:rsid w:val="00FB5651"/>
    <w:rsid w:val="00FB56F3"/>
    <w:rsid w:val="00FB59AE"/>
    <w:rsid w:val="00FB5A7D"/>
    <w:rsid w:val="00FB5B55"/>
    <w:rsid w:val="00FB5BC9"/>
    <w:rsid w:val="00FB5C97"/>
    <w:rsid w:val="00FB5D67"/>
    <w:rsid w:val="00FB61B9"/>
    <w:rsid w:val="00FB6233"/>
    <w:rsid w:val="00FB6619"/>
    <w:rsid w:val="00FB666F"/>
    <w:rsid w:val="00FB673A"/>
    <w:rsid w:val="00FB6990"/>
    <w:rsid w:val="00FB69CF"/>
    <w:rsid w:val="00FB6A81"/>
    <w:rsid w:val="00FB6CC7"/>
    <w:rsid w:val="00FB71F2"/>
    <w:rsid w:val="00FB7324"/>
    <w:rsid w:val="00FB74DA"/>
    <w:rsid w:val="00FB76B5"/>
    <w:rsid w:val="00FB7745"/>
    <w:rsid w:val="00FB790F"/>
    <w:rsid w:val="00FB7CEF"/>
    <w:rsid w:val="00FB7DC8"/>
    <w:rsid w:val="00FB7DCC"/>
    <w:rsid w:val="00FC0634"/>
    <w:rsid w:val="00FC0737"/>
    <w:rsid w:val="00FC0A11"/>
    <w:rsid w:val="00FC0B75"/>
    <w:rsid w:val="00FC0ECA"/>
    <w:rsid w:val="00FC0FFA"/>
    <w:rsid w:val="00FC10FA"/>
    <w:rsid w:val="00FC17B8"/>
    <w:rsid w:val="00FC1874"/>
    <w:rsid w:val="00FC1989"/>
    <w:rsid w:val="00FC19CB"/>
    <w:rsid w:val="00FC1AD0"/>
    <w:rsid w:val="00FC1AEB"/>
    <w:rsid w:val="00FC1B4B"/>
    <w:rsid w:val="00FC1B60"/>
    <w:rsid w:val="00FC1CA6"/>
    <w:rsid w:val="00FC1EF1"/>
    <w:rsid w:val="00FC20CD"/>
    <w:rsid w:val="00FC20FD"/>
    <w:rsid w:val="00FC27F2"/>
    <w:rsid w:val="00FC2C7D"/>
    <w:rsid w:val="00FC2D60"/>
    <w:rsid w:val="00FC2D67"/>
    <w:rsid w:val="00FC2DDF"/>
    <w:rsid w:val="00FC2E3F"/>
    <w:rsid w:val="00FC2FCA"/>
    <w:rsid w:val="00FC317D"/>
    <w:rsid w:val="00FC37B2"/>
    <w:rsid w:val="00FC3A2C"/>
    <w:rsid w:val="00FC3A31"/>
    <w:rsid w:val="00FC3B66"/>
    <w:rsid w:val="00FC3C6B"/>
    <w:rsid w:val="00FC3D4B"/>
    <w:rsid w:val="00FC3E83"/>
    <w:rsid w:val="00FC3FFC"/>
    <w:rsid w:val="00FC4191"/>
    <w:rsid w:val="00FC464A"/>
    <w:rsid w:val="00FC484E"/>
    <w:rsid w:val="00FC4AF0"/>
    <w:rsid w:val="00FC4B0C"/>
    <w:rsid w:val="00FC4E1D"/>
    <w:rsid w:val="00FC4EAE"/>
    <w:rsid w:val="00FC4F0B"/>
    <w:rsid w:val="00FC5166"/>
    <w:rsid w:val="00FC55D5"/>
    <w:rsid w:val="00FC5FA1"/>
    <w:rsid w:val="00FC6286"/>
    <w:rsid w:val="00FC6415"/>
    <w:rsid w:val="00FC6447"/>
    <w:rsid w:val="00FC66C0"/>
    <w:rsid w:val="00FC6987"/>
    <w:rsid w:val="00FC6A3D"/>
    <w:rsid w:val="00FC6AB3"/>
    <w:rsid w:val="00FC6B76"/>
    <w:rsid w:val="00FC6EF8"/>
    <w:rsid w:val="00FC6F80"/>
    <w:rsid w:val="00FC6FB3"/>
    <w:rsid w:val="00FC7541"/>
    <w:rsid w:val="00FC77BC"/>
    <w:rsid w:val="00FC78B8"/>
    <w:rsid w:val="00FC79C5"/>
    <w:rsid w:val="00FC7A19"/>
    <w:rsid w:val="00FD0057"/>
    <w:rsid w:val="00FD03FE"/>
    <w:rsid w:val="00FD04E9"/>
    <w:rsid w:val="00FD0502"/>
    <w:rsid w:val="00FD0AA4"/>
    <w:rsid w:val="00FD0DDF"/>
    <w:rsid w:val="00FD0E72"/>
    <w:rsid w:val="00FD0EC0"/>
    <w:rsid w:val="00FD101F"/>
    <w:rsid w:val="00FD10D7"/>
    <w:rsid w:val="00FD1198"/>
    <w:rsid w:val="00FD1231"/>
    <w:rsid w:val="00FD1B53"/>
    <w:rsid w:val="00FD1D22"/>
    <w:rsid w:val="00FD1F3B"/>
    <w:rsid w:val="00FD1FAE"/>
    <w:rsid w:val="00FD2043"/>
    <w:rsid w:val="00FD2551"/>
    <w:rsid w:val="00FD27C2"/>
    <w:rsid w:val="00FD29CB"/>
    <w:rsid w:val="00FD2A0B"/>
    <w:rsid w:val="00FD2C50"/>
    <w:rsid w:val="00FD2D04"/>
    <w:rsid w:val="00FD2D28"/>
    <w:rsid w:val="00FD2FB7"/>
    <w:rsid w:val="00FD30A6"/>
    <w:rsid w:val="00FD3249"/>
    <w:rsid w:val="00FD366F"/>
    <w:rsid w:val="00FD3825"/>
    <w:rsid w:val="00FD3A87"/>
    <w:rsid w:val="00FD3B2E"/>
    <w:rsid w:val="00FD3C1E"/>
    <w:rsid w:val="00FD412E"/>
    <w:rsid w:val="00FD43F8"/>
    <w:rsid w:val="00FD4556"/>
    <w:rsid w:val="00FD4704"/>
    <w:rsid w:val="00FD4768"/>
    <w:rsid w:val="00FD4B37"/>
    <w:rsid w:val="00FD4C13"/>
    <w:rsid w:val="00FD4C18"/>
    <w:rsid w:val="00FD4DE4"/>
    <w:rsid w:val="00FD5359"/>
    <w:rsid w:val="00FD5476"/>
    <w:rsid w:val="00FD5842"/>
    <w:rsid w:val="00FD5A18"/>
    <w:rsid w:val="00FD5B79"/>
    <w:rsid w:val="00FD5D62"/>
    <w:rsid w:val="00FD5F32"/>
    <w:rsid w:val="00FD5F43"/>
    <w:rsid w:val="00FD602E"/>
    <w:rsid w:val="00FD63D7"/>
    <w:rsid w:val="00FD65ED"/>
    <w:rsid w:val="00FD66DC"/>
    <w:rsid w:val="00FD6959"/>
    <w:rsid w:val="00FD6FA6"/>
    <w:rsid w:val="00FD72DC"/>
    <w:rsid w:val="00FD73BE"/>
    <w:rsid w:val="00FD73EF"/>
    <w:rsid w:val="00FD7590"/>
    <w:rsid w:val="00FD7800"/>
    <w:rsid w:val="00FD7A92"/>
    <w:rsid w:val="00FD7ED8"/>
    <w:rsid w:val="00FD7F31"/>
    <w:rsid w:val="00FE0055"/>
    <w:rsid w:val="00FE0740"/>
    <w:rsid w:val="00FE08EA"/>
    <w:rsid w:val="00FE0D89"/>
    <w:rsid w:val="00FE0ED6"/>
    <w:rsid w:val="00FE1094"/>
    <w:rsid w:val="00FE1204"/>
    <w:rsid w:val="00FE17D6"/>
    <w:rsid w:val="00FE193B"/>
    <w:rsid w:val="00FE1A07"/>
    <w:rsid w:val="00FE1BB8"/>
    <w:rsid w:val="00FE205E"/>
    <w:rsid w:val="00FE20D4"/>
    <w:rsid w:val="00FE2531"/>
    <w:rsid w:val="00FE2607"/>
    <w:rsid w:val="00FE2B0D"/>
    <w:rsid w:val="00FE2DB2"/>
    <w:rsid w:val="00FE2E66"/>
    <w:rsid w:val="00FE3203"/>
    <w:rsid w:val="00FE383C"/>
    <w:rsid w:val="00FE3928"/>
    <w:rsid w:val="00FE394E"/>
    <w:rsid w:val="00FE39AA"/>
    <w:rsid w:val="00FE39F4"/>
    <w:rsid w:val="00FE3E31"/>
    <w:rsid w:val="00FE40A0"/>
    <w:rsid w:val="00FE41C2"/>
    <w:rsid w:val="00FE4D46"/>
    <w:rsid w:val="00FE515A"/>
    <w:rsid w:val="00FE51BC"/>
    <w:rsid w:val="00FE5773"/>
    <w:rsid w:val="00FE5C04"/>
    <w:rsid w:val="00FE5D5D"/>
    <w:rsid w:val="00FE5DD8"/>
    <w:rsid w:val="00FE5E4F"/>
    <w:rsid w:val="00FE5E81"/>
    <w:rsid w:val="00FE5F29"/>
    <w:rsid w:val="00FE6560"/>
    <w:rsid w:val="00FE6932"/>
    <w:rsid w:val="00FE6975"/>
    <w:rsid w:val="00FE6982"/>
    <w:rsid w:val="00FE6A83"/>
    <w:rsid w:val="00FE6B5D"/>
    <w:rsid w:val="00FE6B73"/>
    <w:rsid w:val="00FE6B89"/>
    <w:rsid w:val="00FE6DE8"/>
    <w:rsid w:val="00FE6F95"/>
    <w:rsid w:val="00FE705D"/>
    <w:rsid w:val="00FE7368"/>
    <w:rsid w:val="00FE7829"/>
    <w:rsid w:val="00FE78BD"/>
    <w:rsid w:val="00FE7BDC"/>
    <w:rsid w:val="00FF007F"/>
    <w:rsid w:val="00FF044E"/>
    <w:rsid w:val="00FF07E6"/>
    <w:rsid w:val="00FF0802"/>
    <w:rsid w:val="00FF0902"/>
    <w:rsid w:val="00FF0938"/>
    <w:rsid w:val="00FF0AE2"/>
    <w:rsid w:val="00FF0D64"/>
    <w:rsid w:val="00FF1018"/>
    <w:rsid w:val="00FF1056"/>
    <w:rsid w:val="00FF122C"/>
    <w:rsid w:val="00FF199B"/>
    <w:rsid w:val="00FF19CF"/>
    <w:rsid w:val="00FF19DD"/>
    <w:rsid w:val="00FF1A29"/>
    <w:rsid w:val="00FF1A8D"/>
    <w:rsid w:val="00FF1C4B"/>
    <w:rsid w:val="00FF1E97"/>
    <w:rsid w:val="00FF2441"/>
    <w:rsid w:val="00FF248B"/>
    <w:rsid w:val="00FF24B4"/>
    <w:rsid w:val="00FF24C8"/>
    <w:rsid w:val="00FF254C"/>
    <w:rsid w:val="00FF26EF"/>
    <w:rsid w:val="00FF29D6"/>
    <w:rsid w:val="00FF2EA3"/>
    <w:rsid w:val="00FF2F6C"/>
    <w:rsid w:val="00FF306B"/>
    <w:rsid w:val="00FF341C"/>
    <w:rsid w:val="00FF348E"/>
    <w:rsid w:val="00FF3573"/>
    <w:rsid w:val="00FF35C1"/>
    <w:rsid w:val="00FF3683"/>
    <w:rsid w:val="00FF37AD"/>
    <w:rsid w:val="00FF3A47"/>
    <w:rsid w:val="00FF3FC1"/>
    <w:rsid w:val="00FF43AA"/>
    <w:rsid w:val="00FF4620"/>
    <w:rsid w:val="00FF4667"/>
    <w:rsid w:val="00FF477A"/>
    <w:rsid w:val="00FF48F9"/>
    <w:rsid w:val="00FF495A"/>
    <w:rsid w:val="00FF4AD2"/>
    <w:rsid w:val="00FF4DC8"/>
    <w:rsid w:val="00FF4E2D"/>
    <w:rsid w:val="00FF4F80"/>
    <w:rsid w:val="00FF4FD6"/>
    <w:rsid w:val="00FF50F6"/>
    <w:rsid w:val="00FF5371"/>
    <w:rsid w:val="00FF5AD0"/>
    <w:rsid w:val="00FF5B26"/>
    <w:rsid w:val="00FF5B89"/>
    <w:rsid w:val="00FF5C4B"/>
    <w:rsid w:val="00FF5D57"/>
    <w:rsid w:val="00FF6741"/>
    <w:rsid w:val="00FF68A3"/>
    <w:rsid w:val="00FF690F"/>
    <w:rsid w:val="00FF6BBF"/>
    <w:rsid w:val="00FF6EB8"/>
    <w:rsid w:val="00FF74B3"/>
    <w:rsid w:val="00FF7603"/>
    <w:rsid w:val="00FF7676"/>
    <w:rsid w:val="00FF77B1"/>
    <w:rsid w:val="00FF7BBF"/>
    <w:rsid w:val="00FF7D1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4A9CE6FD"/>
  <w15:docId w15:val="{A2350B9D-DEC6-4D66-80A9-581419A19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73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C4478"/>
    <w:pPr>
      <w:spacing w:before="480"/>
      <w:outlineLvl w:val="0"/>
    </w:pPr>
    <w:rPr>
      <w:bCs w:val="0"/>
    </w:rPr>
  </w:style>
  <w:style w:type="paragraph" w:styleId="Heading2">
    <w:name w:val="heading 2"/>
    <w:basedOn w:val="HeadingBase"/>
    <w:next w:val="Normal"/>
    <w:link w:val="Heading2Char"/>
    <w:qFormat/>
    <w:rsid w:val="004C4478"/>
    <w:pPr>
      <w:spacing w:before="360"/>
      <w:outlineLvl w:val="1"/>
    </w:pPr>
    <w:rPr>
      <w:bCs w:val="0"/>
      <w:iCs/>
      <w:sz w:val="36"/>
      <w:szCs w:val="28"/>
    </w:rPr>
  </w:style>
  <w:style w:type="paragraph" w:styleId="Heading3">
    <w:name w:val="heading 3"/>
    <w:basedOn w:val="HeadingBase"/>
    <w:next w:val="Normal"/>
    <w:link w:val="Heading3Char"/>
    <w:qFormat/>
    <w:rsid w:val="004C4478"/>
    <w:pPr>
      <w:spacing w:before="240"/>
      <w:outlineLvl w:val="2"/>
    </w:pPr>
    <w:rPr>
      <w:bCs w:val="0"/>
      <w:color w:val="3A6FAF" w:themeColor="accent2"/>
      <w:sz w:val="28"/>
      <w:szCs w:val="26"/>
    </w:rPr>
  </w:style>
  <w:style w:type="paragraph" w:styleId="Heading4">
    <w:name w:val="heading 4"/>
    <w:basedOn w:val="HeadingBase"/>
    <w:next w:val="Normal"/>
    <w:link w:val="Heading4Char"/>
    <w:qFormat/>
    <w:rsid w:val="004C4478"/>
    <w:pPr>
      <w:outlineLvl w:val="3"/>
    </w:pPr>
    <w:rPr>
      <w:bCs w:val="0"/>
      <w:color w:val="3A6FAF" w:themeColor="accent2"/>
      <w:sz w:val="26"/>
      <w:szCs w:val="26"/>
    </w:rPr>
  </w:style>
  <w:style w:type="paragraph" w:styleId="Heading5">
    <w:name w:val="heading 5"/>
    <w:basedOn w:val="HeadingBase"/>
    <w:next w:val="Normal"/>
    <w:link w:val="Heading5Char"/>
    <w:qFormat/>
    <w:rsid w:val="004C4478"/>
    <w:pPr>
      <w:outlineLvl w:val="4"/>
    </w:pPr>
    <w:rPr>
      <w:b/>
      <w:bCs w:val="0"/>
      <w:iCs/>
      <w:sz w:val="22"/>
    </w:rPr>
  </w:style>
  <w:style w:type="paragraph" w:styleId="Heading6">
    <w:name w:val="heading 6"/>
    <w:basedOn w:val="HeadingBase"/>
    <w:next w:val="Normal"/>
    <w:link w:val="Heading6Char"/>
    <w:qFormat/>
    <w:rsid w:val="004C4478"/>
    <w:pPr>
      <w:outlineLvl w:val="5"/>
    </w:pPr>
    <w:rPr>
      <w:bCs w:val="0"/>
      <w:sz w:val="22"/>
      <w:szCs w:val="22"/>
    </w:rPr>
  </w:style>
  <w:style w:type="paragraph" w:styleId="Heading7">
    <w:name w:val="heading 7"/>
    <w:basedOn w:val="Normal"/>
    <w:next w:val="Normal"/>
    <w:link w:val="Heading7Char"/>
    <w:unhideWhenUsed/>
    <w:qFormat/>
    <w:rsid w:val="004C4478"/>
    <w:pPr>
      <w:keepNext/>
      <w:keepLines/>
      <w:spacing w:before="40" w:after="0"/>
      <w:outlineLvl w:val="6"/>
    </w:pPr>
    <w:rPr>
      <w:rFonts w:asciiTheme="majorHAnsi" w:eastAsiaTheme="majorEastAsia" w:hAnsiTheme="majorHAnsi" w:cstheme="majorBidi"/>
      <w:i/>
      <w:iCs/>
      <w:color w:val="001523" w:themeColor="accent1" w:themeShade="7F"/>
    </w:rPr>
  </w:style>
  <w:style w:type="paragraph" w:styleId="Heading8">
    <w:name w:val="heading 8"/>
    <w:basedOn w:val="Normal"/>
    <w:next w:val="Normal"/>
    <w:link w:val="Heading8Char"/>
    <w:rsid w:val="00F73064"/>
    <w:pPr>
      <w:keepNext/>
      <w:spacing w:after="60" w:line="0" w:lineRule="atLeast"/>
      <w:outlineLvl w:val="7"/>
    </w:pPr>
    <w:rPr>
      <w:b/>
      <w:color w:val="000080"/>
    </w:rPr>
  </w:style>
  <w:style w:type="paragraph" w:styleId="Heading9">
    <w:name w:val="heading 9"/>
    <w:basedOn w:val="Normal"/>
    <w:next w:val="Normal"/>
    <w:link w:val="Heading9Char"/>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qFormat/>
    <w:rsid w:val="004C4478"/>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Heading1Char">
    <w:name w:val="Heading 1 Char"/>
    <w:basedOn w:val="DefaultParagraphFont"/>
    <w:link w:val="Heading1"/>
    <w:rsid w:val="000849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0849BB"/>
    <w:rPr>
      <w:rFonts w:ascii="Calibri" w:eastAsia="Times New Roman" w:hAnsi="Calibri" w:cs="Arial"/>
      <w:iCs/>
      <w:color w:val="002C47" w:themeColor="accent1"/>
      <w:kern w:val="32"/>
      <w:sz w:val="36"/>
      <w:szCs w:val="28"/>
      <w:lang w:eastAsia="en-AU"/>
    </w:rPr>
  </w:style>
  <w:style w:type="character" w:customStyle="1" w:styleId="Heading3Char">
    <w:name w:val="Heading 3 Char"/>
    <w:basedOn w:val="DefaultParagraphFont"/>
    <w:link w:val="Heading3"/>
    <w:rsid w:val="00952AC2"/>
    <w:rPr>
      <w:rFonts w:ascii="Calibri" w:eastAsia="Times New Roman" w:hAnsi="Calibri" w:cs="Arial"/>
      <w:color w:val="3A6FAF" w:themeColor="accent2"/>
      <w:kern w:val="32"/>
      <w:sz w:val="28"/>
      <w:szCs w:val="26"/>
      <w:lang w:eastAsia="en-AU"/>
    </w:rPr>
  </w:style>
  <w:style w:type="character" w:customStyle="1" w:styleId="Heading4Char">
    <w:name w:val="Heading 4 Char"/>
    <w:basedOn w:val="DefaultParagraphFont"/>
    <w:link w:val="Heading4"/>
    <w:rsid w:val="008843AE"/>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0849BB"/>
    <w:rPr>
      <w:rFonts w:ascii="Calibri" w:eastAsia="Times New Roman" w:hAnsi="Calibri" w:cs="Arial"/>
      <w:b/>
      <w:iCs/>
      <w:color w:val="002C47" w:themeColor="accent1"/>
      <w:kern w:val="32"/>
      <w:szCs w:val="36"/>
      <w:lang w:eastAsia="en-AU"/>
    </w:rPr>
  </w:style>
  <w:style w:type="character" w:customStyle="1" w:styleId="Heading6Char">
    <w:name w:val="Heading 6 Char"/>
    <w:basedOn w:val="DefaultParagraphFont"/>
    <w:link w:val="Heading6"/>
    <w:rsid w:val="000849BB"/>
    <w:rPr>
      <w:rFonts w:ascii="Calibri" w:eastAsia="Times New Roman" w:hAnsi="Calibri" w:cs="Arial"/>
      <w:color w:val="002C47" w:themeColor="accent1"/>
      <w:kern w:val="32"/>
      <w:lang w:eastAsia="en-AU"/>
    </w:rPr>
  </w:style>
  <w:style w:type="character" w:customStyle="1" w:styleId="Heading7Char">
    <w:name w:val="Heading 7 Char"/>
    <w:basedOn w:val="DefaultParagraphFont"/>
    <w:link w:val="Heading7"/>
    <w:rsid w:val="00BB3278"/>
    <w:rPr>
      <w:rFonts w:asciiTheme="majorHAnsi" w:eastAsiaTheme="majorEastAsia" w:hAnsiTheme="majorHAnsi" w:cstheme="majorBidi"/>
      <w:i/>
      <w:iCs/>
      <w:color w:val="001523" w:themeColor="accent1" w:themeShade="7F"/>
      <w:szCs w:val="20"/>
      <w:lang w:eastAsia="en-AU"/>
    </w:rPr>
  </w:style>
  <w:style w:type="character" w:customStyle="1" w:styleId="Heading8Char">
    <w:name w:val="Heading 8 Char"/>
    <w:basedOn w:val="DefaultParagraphFont"/>
    <w:link w:val="Heading8"/>
    <w:rsid w:val="00BB3278"/>
    <w:rPr>
      <w:rFonts w:ascii="Calibri" w:eastAsia="Times New Roman" w:hAnsi="Calibri" w:cs="Times New Roman"/>
      <w:b/>
      <w:color w:val="000080"/>
      <w:szCs w:val="20"/>
      <w:lang w:eastAsia="en-AU"/>
    </w:rPr>
  </w:style>
  <w:style w:type="character" w:customStyle="1" w:styleId="Heading9Char">
    <w:name w:val="Heading 9 Char"/>
    <w:basedOn w:val="DefaultParagraphFont"/>
    <w:link w:val="Heading9"/>
    <w:rsid w:val="00BB3278"/>
    <w:rPr>
      <w:color w:val="000080"/>
      <w:u w:val="single"/>
    </w:rPr>
  </w:style>
  <w:style w:type="paragraph" w:customStyle="1" w:styleId="ChartGraphic">
    <w:name w:val="Chart Graphic"/>
    <w:basedOn w:val="Normal"/>
    <w:next w:val="Normal"/>
    <w:rsid w:val="00810BC6"/>
    <w:pPr>
      <w:keepNext/>
      <w:spacing w:before="0" w:after="0"/>
      <w:jc w:val="center"/>
    </w:pPr>
    <w:rPr>
      <w:color w:val="004A7F"/>
      <w:sz w:val="20"/>
    </w:rPr>
  </w:style>
  <w:style w:type="paragraph" w:customStyle="1" w:styleId="TableGraphic">
    <w:name w:val="Table Graphic"/>
    <w:basedOn w:val="HeadingBase"/>
    <w:next w:val="Normal"/>
    <w:qFormat/>
    <w:rsid w:val="004C4478"/>
    <w:pPr>
      <w:spacing w:after="0"/>
    </w:pPr>
  </w:style>
  <w:style w:type="paragraph" w:customStyle="1" w:styleId="AlphaParagraph">
    <w:name w:val="Alpha Paragraph"/>
    <w:basedOn w:val="Normal"/>
    <w:qFormat/>
    <w:rsid w:val="004C4478"/>
    <w:pPr>
      <w:numPr>
        <w:ilvl w:val="1"/>
        <w:numId w:val="18"/>
      </w:numPr>
      <w:spacing w:before="0"/>
    </w:pPr>
  </w:style>
  <w:style w:type="paragraph" w:customStyle="1" w:styleId="AppendixHeading">
    <w:name w:val="Appendix Heading"/>
    <w:basedOn w:val="Normal"/>
    <w:next w:val="Normal"/>
    <w:rsid w:val="00810BC6"/>
    <w:pPr>
      <w:keepNext/>
      <w:spacing w:before="720" w:after="360"/>
    </w:pPr>
    <w:rPr>
      <w:rFonts w:ascii="Arial Bold" w:hAnsi="Arial Bold"/>
      <w:b/>
      <w:smallCaps/>
      <w:color w:val="004A7F"/>
      <w:sz w:val="36"/>
      <w:szCs w:val="36"/>
    </w:rPr>
  </w:style>
  <w:style w:type="paragraph" w:styleId="BalloonText">
    <w:name w:val="Balloon Text"/>
    <w:basedOn w:val="Normal"/>
    <w:link w:val="BalloonTextChar"/>
    <w:unhideWhenUsed/>
    <w:rsid w:val="00810BC6"/>
    <w:pPr>
      <w:spacing w:before="0" w:after="0"/>
    </w:pPr>
    <w:rPr>
      <w:rFonts w:ascii="Tahoma" w:hAnsi="Tahoma" w:cs="Tahoma"/>
      <w:sz w:val="16"/>
      <w:szCs w:val="16"/>
    </w:rPr>
  </w:style>
  <w:style w:type="character" w:customStyle="1" w:styleId="BalloonTextChar">
    <w:name w:val="Balloon Text Char"/>
    <w:basedOn w:val="DefaultParagraphFont"/>
    <w:link w:val="BalloonText"/>
    <w:rsid w:val="00F73064"/>
    <w:rPr>
      <w:rFonts w:ascii="Tahoma" w:eastAsia="Times New Roman" w:hAnsi="Tahoma" w:cs="Tahoma"/>
      <w:sz w:val="16"/>
      <w:szCs w:val="16"/>
      <w:lang w:eastAsia="en-AU"/>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Bullet">
    <w:name w:val="Box Bullet"/>
    <w:basedOn w:val="Normal"/>
    <w:rsid w:val="004C4478"/>
    <w:pPr>
      <w:numPr>
        <w:numId w:val="2"/>
      </w:numPr>
      <w:spacing w:before="0"/>
      <w:ind w:left="284" w:hanging="284"/>
    </w:pPr>
  </w:style>
  <w:style w:type="paragraph" w:customStyle="1" w:styleId="BoxDash">
    <w:name w:val="Box Dash"/>
    <w:basedOn w:val="Normal"/>
    <w:rsid w:val="004C4478"/>
    <w:pPr>
      <w:numPr>
        <w:ilvl w:val="1"/>
        <w:numId w:val="2"/>
      </w:numPr>
      <w:spacing w:before="0"/>
      <w:ind w:left="568"/>
    </w:pPr>
  </w:style>
  <w:style w:type="paragraph" w:customStyle="1" w:styleId="BoxDoubleDot">
    <w:name w:val="Box Double Dot"/>
    <w:basedOn w:val="Normal"/>
    <w:rsid w:val="004C4478"/>
    <w:pPr>
      <w:numPr>
        <w:ilvl w:val="2"/>
        <w:numId w:val="2"/>
      </w:numPr>
      <w:spacing w:before="0"/>
      <w:ind w:left="851" w:hanging="284"/>
    </w:pPr>
  </w:style>
  <w:style w:type="paragraph" w:customStyle="1" w:styleId="BoxHeading">
    <w:name w:val="Box Heading"/>
    <w:basedOn w:val="Normal"/>
    <w:next w:val="Normal"/>
    <w:rsid w:val="00810BC6"/>
    <w:pPr>
      <w:keepNext/>
      <w:spacing w:before="240"/>
    </w:pPr>
    <w:rPr>
      <w:b/>
      <w:color w:val="002C47" w:themeColor="accent1"/>
      <w:sz w:val="26"/>
      <w:szCs w:val="26"/>
    </w:rPr>
  </w:style>
  <w:style w:type="paragraph" w:customStyle="1" w:styleId="BoxText">
    <w:name w:val="Box Text"/>
    <w:basedOn w:val="BoxTextBase"/>
    <w:qFormat/>
    <w:rsid w:val="00B55137"/>
  </w:style>
  <w:style w:type="paragraph" w:customStyle="1" w:styleId="Bullet">
    <w:name w:val="Bullet"/>
    <w:aliases w:val="Body,Bullet + line,b,b + line,b1,level 1,BodyNum,Bullet Char1,Bullet Char1 Char Char Char Char,b1 Char Char Char,Bullet Char1 Char Char Char Char Char,Bullet Char1 Char Char Char,bulleted"/>
    <w:basedOn w:val="Normal"/>
    <w:link w:val="BulletChar"/>
    <w:qFormat/>
    <w:rsid w:val="004C4478"/>
    <w:pPr>
      <w:numPr>
        <w:numId w:val="16"/>
      </w:numPr>
      <w:spacing w:before="0"/>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810BC6"/>
    <w:pPr>
      <w:numPr>
        <w:numId w:val="11"/>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D86607"/>
    <w:pPr>
      <w:numPr>
        <w:numId w:val="59"/>
      </w:numPr>
      <w:jc w:val="center"/>
      <w:outlineLvl w:val="3"/>
    </w:pPr>
    <w:rPr>
      <w:szCs w:val="24"/>
    </w:rPr>
  </w:style>
  <w:style w:type="paragraph" w:customStyle="1" w:styleId="ChartorTableNote">
    <w:name w:val="Chart or Table Note"/>
    <w:next w:val="Normal"/>
    <w:rsid w:val="00810BC6"/>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10BC6"/>
    <w:pPr>
      <w:jc w:val="center"/>
    </w:pPr>
  </w:style>
  <w:style w:type="paragraph" w:customStyle="1" w:styleId="Classification">
    <w:name w:val="Classification"/>
    <w:basedOn w:val="HeadingBase"/>
    <w:next w:val="Footer"/>
    <w:rsid w:val="00B55137"/>
    <w:pPr>
      <w:jc w:val="center"/>
    </w:pPr>
    <w:rPr>
      <w:b/>
      <w:bCs w:val="0"/>
      <w:smallCaps/>
    </w:rPr>
  </w:style>
  <w:style w:type="paragraph" w:styleId="Footer">
    <w:name w:val="footer"/>
    <w:basedOn w:val="Normal"/>
    <w:link w:val="FooterChar"/>
    <w:uiPriority w:val="99"/>
    <w:unhideWhenUsed/>
    <w:rsid w:val="00810BC6"/>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73064"/>
    <w:rPr>
      <w:rFonts w:ascii="Calibri" w:eastAsia="Times New Roman" w:hAnsi="Calibri" w:cs="Times New Roman"/>
      <w:color w:val="002C47"/>
      <w:sz w:val="20"/>
      <w:szCs w:val="20"/>
      <w:lang w:eastAsia="en-AU"/>
    </w:rPr>
  </w:style>
  <w:style w:type="paragraph" w:customStyle="1" w:styleId="ContentsHeading">
    <w:name w:val="Contents Heading"/>
    <w:basedOn w:val="Heading1"/>
    <w:next w:val="Normal"/>
    <w:rsid w:val="002A6A7A"/>
  </w:style>
  <w:style w:type="paragraph" w:customStyle="1" w:styleId="CoverTitleSub">
    <w:name w:val="Cover Title Sub"/>
    <w:basedOn w:val="HeadingBase"/>
    <w:rsid w:val="00B55137"/>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B55137"/>
    <w:pPr>
      <w:spacing w:after="480"/>
      <w:jc w:val="center"/>
    </w:pPr>
    <w:rPr>
      <w:b/>
      <w:bCs w:val="0"/>
    </w:rPr>
  </w:style>
  <w:style w:type="paragraph" w:customStyle="1" w:styleId="Dash">
    <w:name w:val="Dash"/>
    <w:basedOn w:val="Normal"/>
    <w:link w:val="DashChar"/>
    <w:qFormat/>
    <w:rsid w:val="004C4478"/>
    <w:pPr>
      <w:numPr>
        <w:ilvl w:val="1"/>
        <w:numId w:val="16"/>
      </w:numPr>
      <w:spacing w:before="0"/>
    </w:pPr>
  </w:style>
  <w:style w:type="paragraph" w:customStyle="1" w:styleId="DoubleDot">
    <w:name w:val="Double Dot"/>
    <w:basedOn w:val="Normal"/>
    <w:link w:val="DoubleDotChar"/>
    <w:qFormat/>
    <w:rsid w:val="004C4478"/>
    <w:pPr>
      <w:numPr>
        <w:ilvl w:val="2"/>
        <w:numId w:val="16"/>
      </w:numPr>
      <w:spacing w:before="0"/>
    </w:pPr>
  </w:style>
  <w:style w:type="paragraph" w:customStyle="1" w:styleId="Figuregraphic">
    <w:name w:val="Figure graphic"/>
    <w:basedOn w:val="Normal"/>
    <w:rsid w:val="00BB3278"/>
    <w:pPr>
      <w:jc w:val="center"/>
    </w:pPr>
  </w:style>
  <w:style w:type="paragraph" w:customStyle="1" w:styleId="FigureHeading">
    <w:name w:val="Figure Heading"/>
    <w:basedOn w:val="HeadingBase"/>
    <w:next w:val="Figuregraphic"/>
    <w:rsid w:val="00BB3278"/>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BB3278"/>
    <w:pPr>
      <w:spacing w:after="20"/>
      <w:jc w:val="center"/>
    </w:pPr>
  </w:style>
  <w:style w:type="paragraph" w:customStyle="1" w:styleId="TableMainHeading">
    <w:name w:val="Table Main Heading"/>
    <w:basedOn w:val="Heading3"/>
    <w:next w:val="Normal"/>
    <w:rsid w:val="00207393"/>
    <w:pPr>
      <w:numPr>
        <w:numId w:val="60"/>
      </w:numPr>
      <w:tabs>
        <w:tab w:val="left" w:pos="1134"/>
      </w:tabs>
      <w:spacing w:before="120" w:after="60"/>
      <w:outlineLvl w:val="9"/>
    </w:pPr>
    <w:rPr>
      <w:b/>
    </w:rPr>
  </w:style>
  <w:style w:type="paragraph" w:customStyle="1" w:styleId="FooterCentered">
    <w:name w:val="Footer Centered"/>
    <w:basedOn w:val="Footer"/>
    <w:rsid w:val="00B55137"/>
  </w:style>
  <w:style w:type="paragraph" w:customStyle="1" w:styleId="FooterEven">
    <w:name w:val="Footer Even"/>
    <w:basedOn w:val="Footer"/>
    <w:rsid w:val="00810BC6"/>
    <w:pPr>
      <w:keepNext/>
      <w:tabs>
        <w:tab w:val="clear" w:pos="4513"/>
        <w:tab w:val="clear" w:pos="9026"/>
      </w:tabs>
      <w:jc w:val="left"/>
    </w:pPr>
    <w:rPr>
      <w:noProof/>
    </w:rPr>
  </w:style>
  <w:style w:type="paragraph" w:customStyle="1" w:styleId="FooterOdd">
    <w:name w:val="Footer Odd"/>
    <w:basedOn w:val="Footer"/>
    <w:rsid w:val="00810BC6"/>
    <w:pPr>
      <w:keepNext/>
      <w:tabs>
        <w:tab w:val="clear" w:pos="4513"/>
        <w:tab w:val="clear" w:pos="9026"/>
      </w:tabs>
      <w:jc w:val="right"/>
    </w:pPr>
  </w:style>
  <w:style w:type="character" w:styleId="FootnoteReference">
    <w:name w:val="footnote reference"/>
    <w:basedOn w:val="DefaultParagraphFont"/>
    <w:uiPriority w:val="99"/>
    <w:rsid w:val="00810BC6"/>
    <w:rPr>
      <w:rFonts w:ascii="Calibri" w:hAnsi="Calibri"/>
      <w:sz w:val="20"/>
      <w:vertAlign w:val="superscript"/>
    </w:rPr>
  </w:style>
  <w:style w:type="paragraph" w:styleId="FootnoteText">
    <w:name w:val="footnote text"/>
    <w:basedOn w:val="Normal"/>
    <w:link w:val="FootnoteTextChar"/>
    <w:uiPriority w:val="99"/>
    <w:rsid w:val="004C4478"/>
    <w:pPr>
      <w:spacing w:before="0" w:after="0"/>
      <w:ind w:left="397" w:hanging="397"/>
    </w:pPr>
    <w:rPr>
      <w:sz w:val="20"/>
    </w:rPr>
  </w:style>
  <w:style w:type="character" w:customStyle="1" w:styleId="FootnoteTextChar">
    <w:name w:val="Footnote Text Char"/>
    <w:basedOn w:val="DefaultParagraphFont"/>
    <w:link w:val="FootnoteText"/>
    <w:uiPriority w:val="99"/>
    <w:rsid w:val="00A57848"/>
    <w:rPr>
      <w:rFonts w:ascii="Calibri" w:eastAsia="Times New Roman" w:hAnsi="Calibri" w:cs="Times New Roman"/>
      <w:sz w:val="20"/>
      <w:szCs w:val="20"/>
      <w:lang w:eastAsia="en-AU"/>
    </w:rPr>
  </w:style>
  <w:style w:type="character" w:customStyle="1" w:styleId="FramedFooter">
    <w:name w:val="Framed Footer"/>
    <w:rsid w:val="00810BC6"/>
    <w:rPr>
      <w:rFonts w:ascii="Arial" w:hAnsi="Arial"/>
      <w:color w:val="002C47"/>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Normal"/>
    <w:link w:val="HeaderChar"/>
    <w:unhideWhenUsed/>
    <w:rsid w:val="00810BC6"/>
    <w:pPr>
      <w:keepNext/>
      <w:spacing w:before="0" w:after="0"/>
      <w:jc w:val="right"/>
    </w:pPr>
    <w:rPr>
      <w:color w:val="004A7F"/>
      <w:sz w:val="20"/>
    </w:rPr>
  </w:style>
  <w:style w:type="character" w:customStyle="1" w:styleId="HeaderChar">
    <w:name w:val="Header Char"/>
    <w:basedOn w:val="DefaultParagraphFont"/>
    <w:link w:val="Header"/>
    <w:rsid w:val="00460338"/>
    <w:rPr>
      <w:rFonts w:ascii="Calibri" w:eastAsia="Times New Roman" w:hAnsi="Calibri" w:cs="Times New Roman"/>
      <w:color w:val="004A7F"/>
      <w:sz w:val="20"/>
      <w:szCs w:val="20"/>
      <w:lang w:eastAsia="en-AU"/>
    </w:rPr>
  </w:style>
  <w:style w:type="paragraph" w:customStyle="1" w:styleId="HeaderEven">
    <w:name w:val="Header Even"/>
    <w:basedOn w:val="Header"/>
    <w:qFormat/>
    <w:rsid w:val="004C4478"/>
    <w:pPr>
      <w:spacing w:after="240"/>
      <w:jc w:val="left"/>
    </w:pPr>
    <w:rPr>
      <w:color w:val="002C47"/>
    </w:rPr>
  </w:style>
  <w:style w:type="paragraph" w:customStyle="1" w:styleId="HeaderOdd">
    <w:name w:val="Header Odd"/>
    <w:basedOn w:val="Header"/>
    <w:qFormat/>
    <w:rsid w:val="004C4478"/>
    <w:pPr>
      <w:spacing w:after="240"/>
    </w:pPr>
    <w:rPr>
      <w:color w:val="002C47"/>
    </w:rPr>
  </w:style>
  <w:style w:type="character" w:styleId="Hyperlink">
    <w:name w:val="Hyperlink"/>
    <w:basedOn w:val="DefaultParagraphFont"/>
    <w:uiPriority w:val="99"/>
    <w:rsid w:val="00810BC6"/>
    <w:rPr>
      <w:color w:val="3A6FAF" w:themeColor="accent2"/>
      <w:u w:val="non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link w:val="OutlineNumbered1Char"/>
    <w:rsid w:val="00810BC6"/>
    <w:pPr>
      <w:numPr>
        <w:numId w:val="9"/>
      </w:numPr>
      <w:spacing w:before="0"/>
    </w:pPr>
  </w:style>
  <w:style w:type="paragraph" w:customStyle="1" w:styleId="OneLevelNumberedParagraph">
    <w:name w:val="One Level Numbered Paragraph"/>
    <w:basedOn w:val="Normal"/>
    <w:rsid w:val="00810BC6"/>
    <w:pPr>
      <w:numPr>
        <w:numId w:val="8"/>
      </w:numPr>
      <w:spacing w:before="0"/>
    </w:pPr>
  </w:style>
  <w:style w:type="paragraph" w:customStyle="1" w:styleId="OutlineNumbered2">
    <w:name w:val="Outline Numbered 2"/>
    <w:basedOn w:val="Normal"/>
    <w:link w:val="OutlineNumbered2Char"/>
    <w:rsid w:val="00810BC6"/>
    <w:pPr>
      <w:numPr>
        <w:ilvl w:val="1"/>
        <w:numId w:val="9"/>
      </w:numPr>
      <w:spacing w:before="0"/>
    </w:pPr>
  </w:style>
  <w:style w:type="paragraph" w:customStyle="1" w:styleId="OutlineNumbered3">
    <w:name w:val="Outline Numbered 3"/>
    <w:basedOn w:val="Normal"/>
    <w:rsid w:val="00810BC6"/>
    <w:pPr>
      <w:numPr>
        <w:ilvl w:val="2"/>
        <w:numId w:val="9"/>
      </w:numPr>
      <w:spacing w:before="0"/>
    </w:pPr>
  </w:style>
  <w:style w:type="character" w:styleId="PageNumber">
    <w:name w:val="page number"/>
    <w:basedOn w:val="DefaultParagraphFont"/>
    <w:rsid w:val="005552E2"/>
    <w:rPr>
      <w:rFonts w:asciiTheme="minorHAnsi" w:hAnsiTheme="minorHAnsi"/>
      <w:b/>
      <w:color w:val="003057"/>
      <w:sz w:val="22"/>
    </w:rPr>
  </w:style>
  <w:style w:type="paragraph" w:customStyle="1" w:styleId="Principle">
    <w:name w:val="Principle"/>
    <w:basedOn w:val="Normal"/>
    <w:rsid w:val="00EE6F94"/>
    <w:pPr>
      <w:keepNext/>
      <w:spacing w:after="60"/>
      <w:ind w:left="573"/>
    </w:pPr>
    <w:rPr>
      <w:rFonts w:ascii="Book Antiqua" w:hAnsi="Book Antiqua"/>
      <w:i/>
      <w:sz w:val="20"/>
    </w:rPr>
  </w:style>
  <w:style w:type="paragraph" w:customStyle="1" w:styleId="RecommendationTextBase">
    <w:name w:val="Recommendation Text Base"/>
    <w:basedOn w:val="Normal"/>
    <w:rsid w:val="00B55137"/>
    <w:rPr>
      <w:i/>
    </w:rPr>
  </w:style>
  <w:style w:type="paragraph" w:customStyle="1" w:styleId="RecommendationBullet">
    <w:name w:val="Recommendation Bullet"/>
    <w:basedOn w:val="RecommendationTextBase"/>
    <w:rsid w:val="00301A52"/>
    <w:pPr>
      <w:numPr>
        <w:numId w:val="10"/>
      </w:numPr>
    </w:pPr>
  </w:style>
  <w:style w:type="paragraph" w:customStyle="1" w:styleId="RecommendationDash">
    <w:name w:val="Recommendation Dash"/>
    <w:basedOn w:val="RecommendationTextBase"/>
    <w:rsid w:val="00301A52"/>
    <w:pPr>
      <w:numPr>
        <w:ilvl w:val="1"/>
        <w:numId w:val="10"/>
      </w:numPr>
    </w:pPr>
  </w:style>
  <w:style w:type="paragraph" w:customStyle="1" w:styleId="RecommendationDoubleDot">
    <w:name w:val="Recommendation Double Dot"/>
    <w:basedOn w:val="RecommendationTextBase"/>
    <w:rsid w:val="00301A52"/>
    <w:pPr>
      <w:numPr>
        <w:ilvl w:val="2"/>
        <w:numId w:val="10"/>
      </w:numPr>
    </w:pPr>
  </w:style>
  <w:style w:type="paragraph" w:customStyle="1" w:styleId="RecommendationHeading">
    <w:name w:val="Recommendation Heading"/>
    <w:basedOn w:val="HeadingBase"/>
    <w:next w:val="Normal"/>
    <w:rsid w:val="00B55137"/>
    <w:pPr>
      <w:spacing w:before="120" w:after="240"/>
    </w:pPr>
    <w:rPr>
      <w:b/>
      <w:sz w:val="22"/>
    </w:rPr>
  </w:style>
  <w:style w:type="paragraph" w:customStyle="1" w:styleId="RecommendationText">
    <w:name w:val="Recommendation Text"/>
    <w:basedOn w:val="RecommendationTextBase"/>
    <w:rsid w:val="00B55137"/>
  </w:style>
  <w:style w:type="paragraph" w:customStyle="1" w:styleId="Romannumeral">
    <w:name w:val="Roman numeral"/>
    <w:basedOn w:val="Normal"/>
    <w:rsid w:val="004C4478"/>
    <w:pPr>
      <w:numPr>
        <w:numId w:val="18"/>
      </w:numPr>
      <w:tabs>
        <w:tab w:val="clear" w:pos="720"/>
        <w:tab w:val="num" w:pos="851"/>
      </w:tabs>
      <w:spacing w:before="0"/>
      <w:ind w:left="0" w:firstLine="0"/>
    </w:pPr>
  </w:style>
  <w:style w:type="paragraph" w:customStyle="1" w:styleId="SingleParagraph">
    <w:name w:val="Single Paragraph"/>
    <w:basedOn w:val="Normal"/>
    <w:link w:val="SingleParagraphChar"/>
    <w:rsid w:val="00810BC6"/>
    <w:pPr>
      <w:spacing w:before="0"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Normal"/>
    <w:next w:val="Normal"/>
    <w:rsid w:val="00810BC6"/>
    <w:pPr>
      <w:keepNext/>
      <w:spacing w:before="0" w:after="20"/>
    </w:pPr>
    <w:rPr>
      <w:b/>
      <w:color w:val="3A6FAF" w:themeColor="accent2"/>
    </w:rPr>
  </w:style>
  <w:style w:type="paragraph" w:customStyle="1" w:styleId="TableTextBase">
    <w:name w:val="Table Text Base"/>
    <w:rsid w:val="00F73064"/>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Left"/>
    <w:rsid w:val="004C4478"/>
    <w:pPr>
      <w:jc w:val="center"/>
    </w:pPr>
    <w:rPr>
      <w:b/>
      <w:color w:val="002C47" w:themeColor="accent1"/>
      <w:sz w:val="20"/>
    </w:rPr>
  </w:style>
  <w:style w:type="paragraph" w:customStyle="1" w:styleId="TableColumnHeadingBase">
    <w:name w:val="Table Column Heading Base"/>
    <w:basedOn w:val="Normal"/>
    <w:rsid w:val="00EE6F94"/>
    <w:pPr>
      <w:spacing w:before="40" w:after="40"/>
    </w:pPr>
    <w:rPr>
      <w:rFonts w:ascii="Arial" w:hAnsi="Arial"/>
      <w:b/>
      <w:sz w:val="16"/>
    </w:rPr>
  </w:style>
  <w:style w:type="paragraph" w:customStyle="1" w:styleId="TableColumnHeadingLeft">
    <w:name w:val="Table Column Heading Left"/>
    <w:basedOn w:val="TableTextLeft"/>
    <w:rsid w:val="004C4478"/>
    <w:rPr>
      <w:b/>
      <w:color w:val="002C47" w:themeColor="accent1"/>
      <w:sz w:val="20"/>
    </w:rPr>
  </w:style>
  <w:style w:type="paragraph" w:customStyle="1" w:styleId="TableColumnHeadingRight">
    <w:name w:val="Table Column Heading Right"/>
    <w:basedOn w:val="TableTextLeft"/>
    <w:rsid w:val="004C4478"/>
    <w:pPr>
      <w:jc w:val="right"/>
    </w:pPr>
    <w:rPr>
      <w:b/>
      <w:color w:val="002C47" w:themeColor="accent1"/>
      <w:sz w:val="20"/>
    </w:rPr>
  </w:style>
  <w:style w:type="table" w:styleId="TableGrid">
    <w:name w:val="Table Grid"/>
    <w:basedOn w:val="TableNormal"/>
    <w:uiPriority w:val="39"/>
    <w:rsid w:val="00353172"/>
    <w:pPr>
      <w:spacing w:after="240" w:line="260" w:lineRule="exact"/>
      <w:jc w:val="both"/>
    </w:pPr>
    <w:rPr>
      <w:rFonts w:eastAsia="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B55137"/>
    <w:pPr>
      <w:pageBreakBefore/>
      <w:spacing w:after="20"/>
    </w:pPr>
    <w:rPr>
      <w:b/>
      <w:sz w:val="22"/>
    </w:rPr>
  </w:style>
  <w:style w:type="paragraph" w:customStyle="1" w:styleId="TableTextCentered">
    <w:name w:val="Table Text Centered"/>
    <w:basedOn w:val="TableTextBase"/>
    <w:rsid w:val="00823671"/>
    <w:pPr>
      <w:jc w:val="center"/>
    </w:pPr>
    <w:rPr>
      <w:sz w:val="18"/>
    </w:rPr>
  </w:style>
  <w:style w:type="paragraph" w:customStyle="1" w:styleId="TableTextIndented">
    <w:name w:val="Table Text Indented"/>
    <w:basedOn w:val="TableTextBase"/>
    <w:qFormat/>
    <w:rsid w:val="00B55137"/>
    <w:pPr>
      <w:ind w:left="284"/>
    </w:pPr>
  </w:style>
  <w:style w:type="paragraph" w:customStyle="1" w:styleId="TableTextLeft">
    <w:name w:val="Table Text Left"/>
    <w:basedOn w:val="TableTextRight"/>
    <w:rsid w:val="00810BC6"/>
    <w:pPr>
      <w:jc w:val="left"/>
    </w:pPr>
  </w:style>
  <w:style w:type="paragraph" w:customStyle="1" w:styleId="TableTextRight">
    <w:name w:val="Table Text Right"/>
    <w:basedOn w:val="Normal"/>
    <w:rsid w:val="00810BC6"/>
    <w:pPr>
      <w:spacing w:before="40" w:after="40"/>
      <w:jc w:val="right"/>
    </w:pPr>
    <w:rPr>
      <w:color w:val="000000"/>
      <w:sz w:val="18"/>
    </w:rPr>
  </w:style>
  <w:style w:type="paragraph" w:styleId="TOC1">
    <w:name w:val="toc 1"/>
    <w:basedOn w:val="Normal"/>
    <w:next w:val="Normal"/>
    <w:uiPriority w:val="39"/>
    <w:qFormat/>
    <w:rsid w:val="004C4478"/>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4C4478"/>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4C4478"/>
    <w:pPr>
      <w:tabs>
        <w:tab w:val="right" w:leader="dot" w:pos="9072"/>
      </w:tabs>
      <w:spacing w:before="20" w:after="0"/>
      <w:ind w:left="284" w:right="-2"/>
    </w:pPr>
    <w:rPr>
      <w:rFonts w:cs="Calibri"/>
      <w:noProof/>
      <w:color w:val="002C47" w:themeColor="accent1"/>
    </w:rPr>
  </w:style>
  <w:style w:type="paragraph" w:styleId="TOC4">
    <w:name w:val="toc 4"/>
    <w:basedOn w:val="Normal"/>
    <w:next w:val="Normal"/>
    <w:autoRedefine/>
    <w:rsid w:val="00F73064"/>
    <w:pPr>
      <w:tabs>
        <w:tab w:val="left" w:pos="1531"/>
        <w:tab w:val="right" w:leader="dot" w:pos="7711"/>
      </w:tabs>
      <w:ind w:left="1560" w:hanging="959"/>
    </w:pPr>
    <w:rPr>
      <w:noProof/>
    </w:rPr>
  </w:style>
  <w:style w:type="paragraph" w:styleId="BodyTextIndent2">
    <w:name w:val="Body Text Indent 2"/>
    <w:basedOn w:val="Normal"/>
    <w:link w:val="BodyTextIndent2Char"/>
    <w:rsid w:val="00B55137"/>
    <w:pPr>
      <w:spacing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szCs w:val="20"/>
      <w:lang w:eastAsia="en-AU"/>
    </w:rPr>
  </w:style>
  <w:style w:type="character" w:customStyle="1" w:styleId="BoldandItalic">
    <w:name w:val="Bold and Italic"/>
    <w:basedOn w:val="DefaultParagraphFont"/>
    <w:rsid w:val="00B55137"/>
    <w:rPr>
      <w:rFonts w:ascii="Arial" w:hAnsi="Arial"/>
      <w:b/>
      <w:i/>
    </w:rPr>
  </w:style>
  <w:style w:type="paragraph" w:styleId="Caption">
    <w:name w:val="caption"/>
    <w:basedOn w:val="Normal"/>
    <w:next w:val="Normal"/>
    <w:unhideWhenUsed/>
    <w:rsid w:val="00F73064"/>
    <w:rPr>
      <w:b/>
      <w:bCs/>
      <w:color w:val="003157"/>
      <w:sz w:val="18"/>
      <w:szCs w:val="18"/>
    </w:rPr>
  </w:style>
  <w:style w:type="character" w:styleId="CommentReference">
    <w:name w:val="annotation reference"/>
    <w:basedOn w:val="DefaultParagraphFont"/>
    <w:uiPriority w:val="99"/>
    <w:rsid w:val="00F73064"/>
    <w:rPr>
      <w:sz w:val="16"/>
      <w:szCs w:val="16"/>
    </w:rPr>
  </w:style>
  <w:style w:type="paragraph" w:styleId="CommentText">
    <w:name w:val="annotation text"/>
    <w:basedOn w:val="Normal"/>
    <w:link w:val="CommentTextChar"/>
    <w:uiPriority w:val="99"/>
    <w:rsid w:val="00F73064"/>
    <w:rPr>
      <w:sz w:val="20"/>
    </w:rPr>
  </w:style>
  <w:style w:type="character" w:customStyle="1" w:styleId="CommentTextChar">
    <w:name w:val="Comment Text Char"/>
    <w:basedOn w:val="DefaultParagraphFont"/>
    <w:link w:val="CommentText"/>
    <w:uiPriority w:val="99"/>
    <w:rsid w:val="00F73064"/>
    <w:rPr>
      <w:sz w:val="20"/>
    </w:rPr>
  </w:style>
  <w:style w:type="paragraph" w:styleId="CommentSubject">
    <w:name w:val="annotation subject"/>
    <w:basedOn w:val="CommentText"/>
    <w:next w:val="CommentText"/>
    <w:link w:val="CommentSubjectChar"/>
    <w:rsid w:val="00F73064"/>
    <w:rPr>
      <w:b/>
      <w:bCs/>
    </w:rPr>
  </w:style>
  <w:style w:type="character" w:customStyle="1" w:styleId="CommentSubjectChar">
    <w:name w:val="Comment Subject Char"/>
    <w:basedOn w:val="CommentTextChar"/>
    <w:link w:val="CommentSubject"/>
    <w:rsid w:val="00F73064"/>
    <w:rPr>
      <w:b/>
      <w:bCs/>
      <w:sz w:val="20"/>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5"/>
      </w:numPr>
    </w:pPr>
  </w:style>
  <w:style w:type="paragraph" w:customStyle="1" w:styleId="PictureCentred">
    <w:name w:val="Picture Centred"/>
    <w:basedOn w:val="Normal"/>
    <w:rsid w:val="00B55137"/>
    <w:pPr>
      <w:spacing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rPr>
      <w:rFonts w:ascii="Arial" w:hAnsi="Arial" w:cs="Arial"/>
      <w:b/>
      <w:bCs/>
      <w:sz w:val="24"/>
      <w:szCs w:val="24"/>
    </w:rPr>
  </w:style>
  <w:style w:type="paragraph" w:styleId="TOC5">
    <w:name w:val="toc 5"/>
    <w:basedOn w:val="Normal"/>
    <w:next w:val="Normal"/>
    <w:autoRedefine/>
    <w:semiHidden/>
    <w:rsid w:val="00F73064"/>
    <w:pPr>
      <w:ind w:left="1040"/>
    </w:pPr>
  </w:style>
  <w:style w:type="paragraph" w:styleId="TOC6">
    <w:name w:val="toc 6"/>
    <w:basedOn w:val="Normal"/>
    <w:next w:val="Normal"/>
    <w:autoRedefine/>
    <w:semiHidden/>
    <w:rsid w:val="00F73064"/>
    <w:pPr>
      <w:ind w:left="1300"/>
    </w:pPr>
  </w:style>
  <w:style w:type="paragraph" w:styleId="TOC7">
    <w:name w:val="toc 7"/>
    <w:basedOn w:val="Normal"/>
    <w:next w:val="Normal"/>
    <w:autoRedefine/>
    <w:semiHidden/>
    <w:rsid w:val="00F73064"/>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F73064"/>
    <w:pPr>
      <w:tabs>
        <w:tab w:val="right" w:leader="dot" w:pos="7711"/>
      </w:tabs>
      <w:spacing w:after="0"/>
      <w:ind w:left="1134"/>
    </w:pPr>
    <w:rPr>
      <w:noProof/>
    </w:rPr>
  </w:style>
  <w:style w:type="paragraph" w:styleId="TOC9">
    <w:name w:val="toc 9"/>
    <w:basedOn w:val="Normal"/>
    <w:next w:val="Normal"/>
    <w:autoRedefine/>
    <w:semiHidden/>
    <w:rsid w:val="00F73064"/>
    <w:pPr>
      <w:ind w:left="2080"/>
    </w:p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5F5653"/>
    <w:pPr>
      <w:numPr>
        <w:numId w:val="2"/>
      </w:numPr>
    </w:pPr>
  </w:style>
  <w:style w:type="numbering" w:customStyle="1" w:styleId="AlphaParagraphList">
    <w:name w:val="Alpha Paragraph List"/>
    <w:uiPriority w:val="99"/>
    <w:rsid w:val="009D0790"/>
    <w:pPr>
      <w:numPr>
        <w:numId w:val="3"/>
      </w:numPr>
    </w:pPr>
  </w:style>
  <w:style w:type="numbering" w:customStyle="1" w:styleId="OneLevelList">
    <w:name w:val="OneLevelList"/>
    <w:uiPriority w:val="99"/>
    <w:rsid w:val="003E0E7B"/>
    <w:pPr>
      <w:numPr>
        <w:numId w:val="4"/>
      </w:numPr>
    </w:pPr>
  </w:style>
  <w:style w:type="numbering" w:customStyle="1" w:styleId="RecommendationBulletList">
    <w:name w:val="RecommendationBulletList"/>
    <w:uiPriority w:val="99"/>
    <w:rsid w:val="00301A52"/>
    <w:pPr>
      <w:numPr>
        <w:numId w:val="6"/>
      </w:numPr>
    </w:pPr>
  </w:style>
  <w:style w:type="numbering" w:customStyle="1" w:styleId="RomanNumeralList">
    <w:name w:val="RomanNumeralList"/>
    <w:uiPriority w:val="99"/>
    <w:rsid w:val="009C7E17"/>
    <w:pPr>
      <w:numPr>
        <w:numId w:val="7"/>
      </w:numPr>
    </w:pPr>
  </w:style>
  <w:style w:type="numbering" w:customStyle="1" w:styleId="ChartandTableFootnoteAlphaList">
    <w:name w:val="ChartandTableFootnoteAlphaList"/>
    <w:uiPriority w:val="99"/>
    <w:rsid w:val="009862D1"/>
    <w:pPr>
      <w:numPr>
        <w:numId w:val="22"/>
      </w:numPr>
    </w:pPr>
  </w:style>
  <w:style w:type="paragraph" w:customStyle="1" w:styleId="TableTextBullet">
    <w:name w:val="Table Text Bullet"/>
    <w:basedOn w:val="TableTextBase"/>
    <w:rsid w:val="008B5F8D"/>
    <w:pPr>
      <w:tabs>
        <w:tab w:val="num" w:pos="1004"/>
      </w:tabs>
      <w:ind w:left="1004" w:hanging="284"/>
    </w:pPr>
    <w:rPr>
      <w:sz w:val="18"/>
    </w:rPr>
  </w:style>
  <w:style w:type="numbering" w:customStyle="1" w:styleId="TableTestBulletList">
    <w:name w:val="Table Test Bullet List"/>
    <w:uiPriority w:val="99"/>
    <w:rsid w:val="00E177C9"/>
  </w:style>
  <w:style w:type="numbering" w:customStyle="1" w:styleId="TableTextBulletList">
    <w:name w:val="Table Text Bullet List"/>
    <w:uiPriority w:val="99"/>
    <w:rsid w:val="005F3390"/>
  </w:style>
  <w:style w:type="paragraph" w:customStyle="1" w:styleId="StyleTableTextBulletLinespacingExactly13pt">
    <w:name w:val="Style Table Text Bullet + Line spacing:  Exactly 13 pt"/>
    <w:basedOn w:val="TableTextBullet"/>
    <w:rsid w:val="002271BB"/>
    <w:pPr>
      <w:tabs>
        <w:tab w:val="clear" w:pos="1004"/>
      </w:tabs>
      <w:spacing w:after="80" w:line="260" w:lineRule="exact"/>
      <w:ind w:left="0" w:firstLine="0"/>
    </w:pPr>
  </w:style>
  <w:style w:type="paragraph" w:customStyle="1" w:styleId="SecurityClassificationHeader">
    <w:name w:val="Security Classification Header"/>
    <w:link w:val="SecurityClassificationHeaderChar"/>
    <w:rsid w:val="00810BC6"/>
    <w:pPr>
      <w:spacing w:before="60" w:after="0" w:line="240" w:lineRule="auto"/>
      <w:jc w:val="center"/>
    </w:pPr>
    <w:rPr>
      <w:rFonts w:eastAsia="Times New Roman" w:cs="Times New Roman"/>
      <w:b/>
      <w:caps/>
      <w:color w:val="002C47" w:themeColor="accent1"/>
      <w:sz w:val="24"/>
      <w:szCs w:val="20"/>
      <w:lang w:eastAsia="en-AU"/>
    </w:rPr>
  </w:style>
  <w:style w:type="character" w:customStyle="1" w:styleId="SecurityClassificationHeaderChar">
    <w:name w:val="Security Classification Header Char"/>
    <w:basedOn w:val="HeaderChar"/>
    <w:link w:val="SecurityClassificationHeader"/>
    <w:rsid w:val="00A57848"/>
    <w:rPr>
      <w:rFonts w:ascii="Calibri" w:eastAsia="Times New Roman" w:hAnsi="Calibri" w:cs="Times New Roman"/>
      <w:b/>
      <w:caps/>
      <w:color w:val="002C47" w:themeColor="accent1"/>
      <w:sz w:val="24"/>
      <w:szCs w:val="20"/>
      <w:lang w:eastAsia="en-AU"/>
    </w:rPr>
  </w:style>
  <w:style w:type="paragraph" w:customStyle="1" w:styleId="SecurityClassificationFooter">
    <w:name w:val="Security Classification Footer"/>
    <w:link w:val="SecurityClassificationFooterChar"/>
    <w:rsid w:val="00810BC6"/>
    <w:pPr>
      <w:spacing w:after="40" w:line="240" w:lineRule="auto"/>
      <w:jc w:val="center"/>
    </w:pPr>
    <w:rPr>
      <w:rFonts w:eastAsia="Times New Roman" w:cs="Times New Roman"/>
      <w:b/>
      <w:caps/>
      <w:color w:val="002C47" w:themeColor="accent1"/>
      <w:sz w:val="24"/>
      <w:szCs w:val="20"/>
      <w:lang w:eastAsia="en-AU"/>
    </w:rPr>
  </w:style>
  <w:style w:type="character" w:customStyle="1" w:styleId="SecurityClassificationFooterChar">
    <w:name w:val="Security Classification Footer Char"/>
    <w:basedOn w:val="HeaderChar"/>
    <w:link w:val="SecurityClassificationFooter"/>
    <w:rsid w:val="00A57848"/>
    <w:rPr>
      <w:rFonts w:ascii="Calibri" w:eastAsia="Times New Roman" w:hAnsi="Calibri" w:cs="Times New Roman"/>
      <w:b/>
      <w:caps/>
      <w:color w:val="002C47" w:themeColor="accent1"/>
      <w:sz w:val="24"/>
      <w:szCs w:val="20"/>
      <w:lang w:eastAsia="en-AU"/>
    </w:rPr>
  </w:style>
  <w:style w:type="paragraph" w:customStyle="1" w:styleId="DLMSecurityHeader">
    <w:name w:val="DLM Security Header"/>
    <w:link w:val="DLMSecurityHeaderChar"/>
    <w:rsid w:val="00810BC6"/>
    <w:pPr>
      <w:spacing w:after="240"/>
      <w:jc w:val="center"/>
    </w:pPr>
    <w:rPr>
      <w:rFonts w:eastAsia="Times New Roman" w:cs="Times New Roman"/>
      <w:b/>
      <w:caps/>
      <w:color w:val="002C47" w:themeColor="accent1"/>
      <w:sz w:val="24"/>
      <w:szCs w:val="20"/>
      <w:lang w:eastAsia="en-AU"/>
    </w:rPr>
  </w:style>
  <w:style w:type="character" w:customStyle="1" w:styleId="DLMSecurityHeaderChar">
    <w:name w:val="DLM Security Header Char"/>
    <w:basedOn w:val="HeaderChar"/>
    <w:link w:val="DLMSecurityHeader"/>
    <w:rsid w:val="00F012EA"/>
    <w:rPr>
      <w:rFonts w:ascii="Calibri" w:eastAsia="Times New Roman" w:hAnsi="Calibri" w:cs="Times New Roman"/>
      <w:b/>
      <w:caps/>
      <w:color w:val="002C47" w:themeColor="accent1"/>
      <w:sz w:val="24"/>
      <w:szCs w:val="20"/>
      <w:lang w:eastAsia="en-AU"/>
    </w:rPr>
  </w:style>
  <w:style w:type="paragraph" w:customStyle="1" w:styleId="DLMSecurityFooter">
    <w:name w:val="DLM Security Footer"/>
    <w:link w:val="DLMSecurityFooterChar"/>
    <w:rsid w:val="00810BC6"/>
    <w:pPr>
      <w:spacing w:before="240" w:after="0"/>
      <w:jc w:val="center"/>
    </w:pPr>
    <w:rPr>
      <w:rFonts w:eastAsia="Times New Roman" w:cs="Times New Roman"/>
      <w:b/>
      <w:caps/>
      <w:color w:val="002C47" w:themeColor="accent1"/>
      <w:sz w:val="24"/>
      <w:szCs w:val="20"/>
      <w:lang w:eastAsia="en-AU"/>
    </w:rPr>
  </w:style>
  <w:style w:type="character" w:customStyle="1" w:styleId="DLMSecurityFooterChar">
    <w:name w:val="DLM Security Footer Char"/>
    <w:basedOn w:val="HeaderChar"/>
    <w:link w:val="DLMSecurityFooter"/>
    <w:rsid w:val="00F012EA"/>
    <w:rPr>
      <w:rFonts w:ascii="Calibri" w:eastAsia="Times New Roman" w:hAnsi="Calibri" w:cs="Times New Roman"/>
      <w:b/>
      <w:caps/>
      <w:color w:val="002C47" w:themeColor="accent1"/>
      <w:sz w:val="24"/>
      <w:szCs w:val="20"/>
      <w:lang w:eastAsia="en-AU"/>
    </w:rPr>
  </w:style>
  <w:style w:type="paragraph" w:customStyle="1" w:styleId="AuthorName">
    <w:name w:val="Author Name"/>
    <w:basedOn w:val="Normal"/>
    <w:rsid w:val="00F73064"/>
    <w:pPr>
      <w:jc w:val="center"/>
    </w:pPr>
    <w:rPr>
      <w:rFonts w:ascii="Arial Bold" w:hAnsi="Arial Bold"/>
      <w:b/>
      <w:sz w:val="24"/>
    </w:rPr>
  </w:style>
  <w:style w:type="paragraph" w:styleId="Title">
    <w:name w:val="Title"/>
    <w:basedOn w:val="Normal"/>
    <w:next w:val="Normal"/>
    <w:link w:val="TitleChar"/>
    <w:qFormat/>
    <w:rsid w:val="004C4478"/>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rsid w:val="00823CBB"/>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qFormat/>
    <w:rsid w:val="00810BC6"/>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rsid w:val="00F73064"/>
    <w:rPr>
      <w:rFonts w:ascii="Calibri" w:eastAsiaTheme="majorEastAsia" w:hAnsi="Calibri" w:cstheme="majorBidi"/>
      <w:iCs/>
      <w:color w:val="002C4A"/>
      <w:sz w:val="44"/>
      <w:szCs w:val="44"/>
      <w:lang w:eastAsia="en-AU"/>
    </w:rPr>
  </w:style>
  <w:style w:type="paragraph" w:customStyle="1" w:styleId="SeriesNumber">
    <w:name w:val="Series Number"/>
    <w:basedOn w:val="HeadingBaseStyle"/>
    <w:rsid w:val="00F73064"/>
    <w:pPr>
      <w:spacing w:after="300"/>
      <w:jc w:val="center"/>
    </w:pPr>
    <w:rPr>
      <w:rFonts w:ascii="Arial Bold" w:hAnsi="Arial Bold"/>
      <w:b/>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Normal"/>
    <w:rsid w:val="00F73064"/>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tabs>
        <w:tab w:val="num" w:pos="1004"/>
      </w:tabs>
      <w:ind w:left="1004" w:hanging="284"/>
    </w:pPr>
  </w:style>
  <w:style w:type="paragraph" w:customStyle="1" w:styleId="HeadingBaseStyle">
    <w:name w:val="HeadingBaseStyle"/>
    <w:basedOn w:val="Normal"/>
    <w:rsid w:val="000849BB"/>
    <w:pPr>
      <w:keepNext/>
      <w:spacing w:after="0"/>
    </w:pPr>
    <w:rPr>
      <w:rFonts w:ascii="Arial" w:hAnsi="Arial"/>
      <w:color w:val="002C47" w:themeColor="accent1"/>
    </w:rPr>
  </w:style>
  <w:style w:type="paragraph" w:customStyle="1" w:styleId="AppendixHeadingNotNumbered">
    <w:name w:val="Appendix Heading Not Numbered"/>
    <w:basedOn w:val="HeadingBaseStyle"/>
    <w:rsid w:val="00F73064"/>
    <w:pPr>
      <w:numPr>
        <w:numId w:val="14"/>
      </w:numPr>
      <w:spacing w:before="480" w:after="320"/>
      <w:ind w:left="360" w:hanging="360"/>
    </w:pPr>
    <w:rPr>
      <w:b/>
      <w:smallCaps/>
      <w:sz w:val="32"/>
      <w:szCs w:val="28"/>
    </w:rPr>
  </w:style>
  <w:style w:type="paragraph" w:customStyle="1" w:styleId="AppendixHeadingLevel2">
    <w:name w:val="Appendix Heading Level 2"/>
    <w:basedOn w:val="AppendixHeadingNotNumbered"/>
    <w:next w:val="Normal"/>
    <w:rsid w:val="00F73064"/>
    <w:pPr>
      <w:numPr>
        <w:ilvl w:val="1"/>
      </w:numPr>
      <w:tabs>
        <w:tab w:val="clear" w:pos="1134"/>
      </w:tabs>
      <w:ind w:left="720" w:hanging="360"/>
    </w:pPr>
  </w:style>
  <w:style w:type="paragraph" w:customStyle="1" w:styleId="AppendixHeadingLevel3">
    <w:name w:val="Appendix Heading Level 3"/>
    <w:basedOn w:val="Heading3"/>
    <w:next w:val="Normal"/>
    <w:rsid w:val="00F73064"/>
    <w:pPr>
      <w:numPr>
        <w:ilvl w:val="2"/>
        <w:numId w:val="14"/>
      </w:numPr>
    </w:pPr>
  </w:style>
  <w:style w:type="paragraph" w:customStyle="1" w:styleId="AppendixHeadingLevel4">
    <w:name w:val="Appendix Heading Level 4"/>
    <w:basedOn w:val="Heading4"/>
    <w:next w:val="Normal"/>
    <w:rsid w:val="00F73064"/>
    <w:pPr>
      <w:numPr>
        <w:ilvl w:val="3"/>
        <w:numId w:val="14"/>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F73064"/>
    <w:pPr>
      <w:spacing w:line="260" w:lineRule="exact"/>
      <w:ind w:left="360" w:hanging="360"/>
    </w:pPr>
    <w:rPr>
      <w:rFonts w:asciiTheme="minorHAnsi" w:hAnsiTheme="minorHAnsi"/>
      <w:color w:val="auto"/>
      <w:kern w:val="28"/>
      <w:sz w:val="20"/>
    </w:rPr>
  </w:style>
  <w:style w:type="paragraph" w:customStyle="1" w:styleId="Captiongraphic">
    <w:name w:val="Caption graphic"/>
    <w:basedOn w:val="HeadingBaseStyle"/>
    <w:next w:val="Normal"/>
    <w:rsid w:val="00F73064"/>
    <w:pPr>
      <w:spacing w:after="20"/>
      <w:jc w:val="center"/>
    </w:pPr>
    <w:rPr>
      <w:color w:val="auto"/>
      <w:sz w:val="24"/>
    </w:rPr>
  </w:style>
  <w:style w:type="paragraph" w:customStyle="1" w:styleId="CaptionHeading1">
    <w:name w:val="Caption Heading 1"/>
    <w:basedOn w:val="Normal"/>
    <w:next w:val="Captiongraphic"/>
    <w:rsid w:val="00F73064"/>
    <w:pPr>
      <w:keepNext/>
      <w:spacing w:after="0"/>
      <w:jc w:val="center"/>
    </w:pPr>
    <w:rPr>
      <w:rFonts w:ascii="Arial" w:hAnsi="Arial"/>
      <w:color w:val="003157"/>
      <w:sz w:val="24"/>
    </w:rPr>
  </w:style>
  <w:style w:type="paragraph" w:customStyle="1" w:styleId="CaptionHeading2">
    <w:name w:val="Caption Heading 2"/>
    <w:basedOn w:val="Normal"/>
    <w:rsid w:val="00F73064"/>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F73064"/>
    <w:rPr>
      <w:rFonts w:ascii="Arial Bold" w:hAnsi="Arial Bold"/>
      <w:b/>
      <w:color w:val="000000"/>
    </w:rPr>
  </w:style>
  <w:style w:type="paragraph" w:styleId="NoSpacing">
    <w:name w:val="No Spacing"/>
    <w:link w:val="NoSpacingChar"/>
    <w:uiPriority w:val="1"/>
    <w:rsid w:val="00F73064"/>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F73064"/>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F73064"/>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F73064"/>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F73064"/>
    <w:pPr>
      <w:spacing w:after="240" w:line="260" w:lineRule="exact"/>
    </w:pPr>
    <w:rPr>
      <w:color w:val="auto"/>
      <w:sz w:val="24"/>
    </w:rPr>
  </w:style>
  <w:style w:type="character" w:styleId="Emphasis">
    <w:name w:val="Emphasis"/>
    <w:basedOn w:val="DefaultParagraphFont"/>
    <w:qFormat/>
    <w:rsid w:val="00F73064"/>
    <w:rPr>
      <w:i/>
      <w:iCs/>
    </w:rPr>
  </w:style>
  <w:style w:type="paragraph" w:customStyle="1" w:styleId="Equation">
    <w:name w:val="Equation"/>
    <w:basedOn w:val="Normal"/>
    <w:next w:val="Normal"/>
    <w:rsid w:val="00F73064"/>
    <w:pPr>
      <w:ind w:left="357"/>
    </w:pPr>
    <w:rPr>
      <w:rFonts w:ascii="Times New Roman" w:hAnsi="Times New Roman"/>
    </w:rPr>
  </w:style>
  <w:style w:type="paragraph" w:customStyle="1" w:styleId="ExampleBullet">
    <w:name w:val="Example Bullet"/>
    <w:basedOn w:val="Normal"/>
    <w:rsid w:val="00F73064"/>
    <w:pPr>
      <w:tabs>
        <w:tab w:val="num" w:pos="360"/>
      </w:tabs>
      <w:spacing w:before="40" w:after="40"/>
      <w:ind w:left="284" w:hanging="284"/>
    </w:pPr>
    <w:rPr>
      <w:rFonts w:ascii="Arial" w:hAnsi="Arial"/>
      <w:sz w:val="18"/>
    </w:rPr>
  </w:style>
  <w:style w:type="paragraph" w:customStyle="1" w:styleId="Heading2NotNumbered">
    <w:name w:val="Heading 2 Not Numbered"/>
    <w:basedOn w:val="Heading2"/>
    <w:rsid w:val="00F73064"/>
  </w:style>
  <w:style w:type="paragraph" w:customStyle="1" w:styleId="Heading3NotNumbered">
    <w:name w:val="Heading 3 Not Numbered"/>
    <w:basedOn w:val="Heading4"/>
    <w:rsid w:val="000849BB"/>
    <w:rPr>
      <w:b/>
      <w:sz w:val="28"/>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F73064"/>
    <w:rPr>
      <w:b/>
      <w:bCs/>
      <w:i/>
      <w:iCs/>
      <w:color w:val="002C47"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val="0"/>
      <w:color w:val="FF0000"/>
    </w:rPr>
  </w:style>
  <w:style w:type="character" w:customStyle="1" w:styleId="NormalBold">
    <w:name w:val="Normal Bold"/>
    <w:basedOn w:val="DefaultParagraphFont"/>
    <w:rsid w:val="00F73064"/>
    <w:rPr>
      <w:rFonts w:ascii="Calibri" w:hAnsi="Calibri"/>
      <w:b/>
      <w:sz w:val="22"/>
    </w:rPr>
  </w:style>
  <w:style w:type="character" w:customStyle="1" w:styleId="Normalitalics">
    <w:name w:val="Normal italics"/>
    <w:basedOn w:val="DefaultParagraphFont"/>
    <w:rsid w:val="00F73064"/>
    <w:rPr>
      <w:i/>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ind w:left="720" w:hanging="360"/>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TableHeading1">
    <w:name w:val="Table Heading 1"/>
    <w:basedOn w:val="HeadingBaseStyle"/>
    <w:next w:val="Normal"/>
    <w:rsid w:val="00F73064"/>
    <w:pPr>
      <w:spacing w:after="20"/>
      <w:jc w:val="center"/>
    </w:pPr>
    <w:rPr>
      <w:sz w:val="24"/>
    </w:rPr>
  </w:style>
  <w:style w:type="paragraph" w:customStyle="1" w:styleId="Tableheading2">
    <w:name w:val="Table heading 2"/>
    <w:basedOn w:val="TableHeading1"/>
    <w:next w:val="Normal"/>
    <w:rsid w:val="00F73064"/>
    <w:pPr>
      <w:spacing w:before="0"/>
    </w:pPr>
    <w:rPr>
      <w:sz w:val="22"/>
    </w:rPr>
  </w:style>
  <w:style w:type="paragraph" w:customStyle="1" w:styleId="TableHeadingcontinued">
    <w:name w:val="Table Heading continued"/>
    <w:basedOn w:val="HeadingBaseStyle"/>
    <w:next w:val="Normal"/>
    <w:rsid w:val="00F73064"/>
    <w:pPr>
      <w:jc w:val="center"/>
    </w:pPr>
  </w:style>
  <w:style w:type="paragraph" w:customStyle="1" w:styleId="Tabletextcentred">
    <w:name w:val="Table text centred"/>
    <w:basedOn w:val="TableTextBase"/>
    <w:rsid w:val="00F73064"/>
    <w:pPr>
      <w:jc w:val="center"/>
    </w:pPr>
  </w:style>
  <w:style w:type="paragraph" w:customStyle="1" w:styleId="Tabletextleft0">
    <w:name w:val="Table text left"/>
    <w:basedOn w:val="TableTextBase"/>
    <w:rsid w:val="00F73064"/>
  </w:style>
  <w:style w:type="paragraph" w:styleId="Revision">
    <w:name w:val="Revision"/>
    <w:hidden/>
    <w:uiPriority w:val="99"/>
    <w:semiHidden/>
    <w:rsid w:val="00AB44FF"/>
    <w:pPr>
      <w:spacing w:after="0" w:line="240" w:lineRule="auto"/>
    </w:pPr>
    <w:rPr>
      <w:rFonts w:ascii="Calibri" w:hAnsi="Calibri"/>
      <w:color w:val="000000" w:themeColor="text1"/>
    </w:rPr>
  </w:style>
  <w:style w:type="character" w:customStyle="1" w:styleId="BulletChar">
    <w:name w:val="Bullet Char"/>
    <w:aliases w:val="Body Char,Bullet + line Char,Bulleted Para Char,List Paragraph2 Char,Number Char,Recommendation Char,b + line Char,b + line Char Char,b Char,b Char Char,b1 Char,level 1 Char,Bullets Char,L Char,List Paragraph Char,List Paragraph1 Char"/>
    <w:basedOn w:val="DefaultParagraphFont"/>
    <w:link w:val="Bullet"/>
    <w:qFormat/>
    <w:rsid w:val="00165218"/>
    <w:rPr>
      <w:rFonts w:ascii="Calibri" w:eastAsia="Times New Roman" w:hAnsi="Calibri" w:cs="Times New Roman"/>
      <w:szCs w:val="20"/>
      <w:lang w:eastAsia="en-AU"/>
    </w:rPr>
  </w:style>
  <w:style w:type="character" w:customStyle="1" w:styleId="DashChar">
    <w:name w:val="Dash Char"/>
    <w:basedOn w:val="DefaultParagraphFont"/>
    <w:link w:val="Dash"/>
    <w:rsid w:val="00D64D7C"/>
    <w:rPr>
      <w:rFonts w:ascii="Calibri" w:eastAsia="Times New Roman" w:hAnsi="Calibri" w:cs="Times New Roman"/>
      <w:szCs w:val="20"/>
      <w:lang w:eastAsia="en-AU"/>
    </w:rPr>
  </w:style>
  <w:style w:type="paragraph" w:styleId="ListParagraph">
    <w:name w:val="List Paragraph"/>
    <w:basedOn w:val="Normal"/>
    <w:uiPriority w:val="34"/>
    <w:qFormat/>
    <w:rsid w:val="00246734"/>
    <w:pPr>
      <w:spacing w:after="0"/>
      <w:ind w:left="720"/>
    </w:pPr>
    <w:rPr>
      <w:rFonts w:cs="Calibri"/>
    </w:rPr>
  </w:style>
  <w:style w:type="character" w:styleId="UnresolvedMention">
    <w:name w:val="Unresolved Mention"/>
    <w:basedOn w:val="DefaultParagraphFont"/>
    <w:uiPriority w:val="99"/>
    <w:semiHidden/>
    <w:unhideWhenUsed/>
    <w:rsid w:val="00EE43BB"/>
    <w:rPr>
      <w:color w:val="605E5C"/>
      <w:shd w:val="clear" w:color="auto" w:fill="E1DFDD"/>
    </w:rPr>
  </w:style>
  <w:style w:type="character" w:customStyle="1" w:styleId="DoubleDotChar">
    <w:name w:val="Double Dot Char"/>
    <w:basedOn w:val="DefaultParagraphFont"/>
    <w:link w:val="DoubleDot"/>
    <w:rsid w:val="00AF3D68"/>
    <w:rPr>
      <w:rFonts w:ascii="Calibri" w:eastAsia="Times New Roman" w:hAnsi="Calibri" w:cs="Times New Roman"/>
      <w:szCs w:val="20"/>
      <w:lang w:eastAsia="en-AU"/>
    </w:rPr>
  </w:style>
  <w:style w:type="character" w:customStyle="1" w:styleId="OutlineNumbered1Char">
    <w:name w:val="Outline Numbered 1 Char"/>
    <w:basedOn w:val="CommentTextChar"/>
    <w:link w:val="OutlineNumbered1"/>
    <w:rsid w:val="00AD1674"/>
    <w:rPr>
      <w:rFonts w:ascii="Calibri" w:eastAsia="Times New Roman" w:hAnsi="Calibri" w:cs="Times New Roman"/>
      <w:sz w:val="20"/>
      <w:szCs w:val="20"/>
      <w:lang w:eastAsia="en-AU"/>
    </w:rPr>
  </w:style>
  <w:style w:type="paragraph" w:customStyle="1" w:styleId="Subtitle0">
    <w:name w:val="Sub title"/>
    <w:basedOn w:val="Normal"/>
    <w:qFormat/>
    <w:rsid w:val="00E06ABE"/>
    <w:pPr>
      <w:jc w:val="right"/>
    </w:pPr>
    <w:rPr>
      <w:color w:val="00818F" w:themeColor="accent5"/>
    </w:rPr>
  </w:style>
  <w:style w:type="table" w:styleId="TableGridLight">
    <w:name w:val="Grid Table Light"/>
    <w:basedOn w:val="TableNormal"/>
    <w:uiPriority w:val="40"/>
    <w:rsid w:val="004929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E06ABE"/>
    <w:pPr>
      <w:keepLines/>
      <w:spacing w:before="240" w:after="0" w:line="259" w:lineRule="auto"/>
      <w:outlineLvl w:val="9"/>
    </w:pPr>
    <w:rPr>
      <w:rFonts w:asciiTheme="majorHAnsi" w:eastAsiaTheme="majorEastAsia" w:hAnsiTheme="majorHAnsi" w:cstheme="majorBidi"/>
      <w:b/>
      <w:smallCaps/>
      <w:color w:val="002035" w:themeColor="accent1" w:themeShade="BF"/>
      <w:sz w:val="32"/>
      <w:szCs w:val="32"/>
      <w:lang w:val="en-US"/>
    </w:rPr>
  </w:style>
  <w:style w:type="paragraph" w:customStyle="1" w:styleId="ReportDate">
    <w:name w:val="Report Date"/>
    <w:basedOn w:val="Normal"/>
    <w:link w:val="ReportDateChar"/>
    <w:rsid w:val="004C4478"/>
    <w:pPr>
      <w:keepNext/>
      <w:spacing w:before="0" w:after="360"/>
    </w:pPr>
    <w:rPr>
      <w:color w:val="00818F" w:themeColor="accent5"/>
      <w:sz w:val="44"/>
    </w:rPr>
  </w:style>
  <w:style w:type="paragraph" w:customStyle="1" w:styleId="Crest">
    <w:name w:val="Crest"/>
    <w:basedOn w:val="Header"/>
    <w:rsid w:val="004C4478"/>
    <w:pPr>
      <w:spacing w:after="480"/>
      <w:jc w:val="center"/>
    </w:pPr>
    <w:rPr>
      <w:color w:val="000000" w:themeColor="text1"/>
    </w:rPr>
  </w:style>
  <w:style w:type="paragraph" w:customStyle="1" w:styleId="Heading1Numbered">
    <w:name w:val="Heading 1 Numbered"/>
    <w:basedOn w:val="Heading1"/>
    <w:next w:val="Normal"/>
    <w:rsid w:val="00687267"/>
    <w:pPr>
      <w:numPr>
        <w:numId w:val="17"/>
      </w:numPr>
      <w:ind w:left="0" w:firstLine="0"/>
    </w:pPr>
  </w:style>
  <w:style w:type="character" w:customStyle="1" w:styleId="SingleParagraphChar">
    <w:name w:val="Single Paragraph Char"/>
    <w:basedOn w:val="DefaultParagraphFont"/>
    <w:link w:val="SingleParagraph"/>
    <w:rsid w:val="0036331A"/>
    <w:rPr>
      <w:rFonts w:ascii="Calibri" w:eastAsia="Times New Roman" w:hAnsi="Calibri" w:cs="Times New Roman"/>
      <w:szCs w:val="20"/>
      <w:lang w:eastAsia="en-AU"/>
    </w:rPr>
  </w:style>
  <w:style w:type="paragraph" w:customStyle="1" w:styleId="Heading2Numbered">
    <w:name w:val="Heading 2 Numbered"/>
    <w:basedOn w:val="Heading2"/>
    <w:next w:val="Normal"/>
    <w:rsid w:val="004C4478"/>
    <w:pPr>
      <w:numPr>
        <w:ilvl w:val="1"/>
        <w:numId w:val="17"/>
      </w:numPr>
    </w:pPr>
  </w:style>
  <w:style w:type="paragraph" w:customStyle="1" w:styleId="Heading3Numbered">
    <w:name w:val="Heading 3 Numbered"/>
    <w:basedOn w:val="Heading3"/>
    <w:qFormat/>
    <w:rsid w:val="004C4478"/>
    <w:pPr>
      <w:numPr>
        <w:ilvl w:val="2"/>
        <w:numId w:val="17"/>
      </w:numPr>
    </w:pPr>
  </w:style>
  <w:style w:type="character" w:styleId="SubtleEmphasis">
    <w:name w:val="Subtle Emphasis"/>
    <w:basedOn w:val="DefaultParagraphFont"/>
    <w:uiPriority w:val="19"/>
    <w:qFormat/>
    <w:rsid w:val="0036331A"/>
    <w:rPr>
      <w:i/>
      <w:iCs/>
      <w:color w:val="808080" w:themeColor="text1" w:themeTint="7F"/>
    </w:rPr>
  </w:style>
  <w:style w:type="character" w:customStyle="1" w:styleId="ReportDateChar">
    <w:name w:val="Report Date Char"/>
    <w:basedOn w:val="DefaultParagraphFont"/>
    <w:link w:val="ReportDate"/>
    <w:rsid w:val="0036331A"/>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36331A"/>
    <w:pPr>
      <w:spacing w:after="1800"/>
      <w:ind w:right="142"/>
    </w:pPr>
    <w:rPr>
      <w:rFonts w:ascii="Century Gothic" w:hAnsi="Century Gothic"/>
      <w:b/>
      <w:bCs/>
      <w:color w:val="5F5F5F" w:themeColor="text2"/>
      <w:sz w:val="22"/>
    </w:rPr>
  </w:style>
  <w:style w:type="paragraph" w:customStyle="1" w:styleId="Divider">
    <w:name w:val="Divider"/>
    <w:basedOn w:val="ReportDate"/>
    <w:qFormat/>
    <w:rsid w:val="0036331A"/>
    <w:pPr>
      <w:spacing w:after="1800"/>
    </w:pPr>
    <w:rPr>
      <w:rFonts w:ascii="Rockwell" w:hAnsi="Rockwell"/>
      <w:sz w:val="24"/>
    </w:rPr>
  </w:style>
  <w:style w:type="paragraph" w:customStyle="1" w:styleId="TableHeadingContinued0">
    <w:name w:val="Table Heading Continued"/>
    <w:basedOn w:val="TableMainHeading"/>
    <w:next w:val="TableGraphic"/>
    <w:qFormat/>
    <w:rsid w:val="0036331A"/>
  </w:style>
  <w:style w:type="character" w:customStyle="1" w:styleId="OutlineNumbered2Char">
    <w:name w:val="Outline Numbered 2 Char"/>
    <w:basedOn w:val="DefaultParagraphFont"/>
    <w:link w:val="OutlineNumbered2"/>
    <w:rsid w:val="00C2469B"/>
    <w:rPr>
      <w:rFonts w:ascii="Calibri" w:eastAsia="Times New Roman" w:hAnsi="Calibri" w:cs="Times New Roman"/>
      <w:szCs w:val="20"/>
      <w:lang w:eastAsia="en-AU"/>
    </w:rPr>
  </w:style>
  <w:style w:type="table" w:customStyle="1" w:styleId="TableGrid1">
    <w:name w:val="Table Grid1"/>
    <w:basedOn w:val="TableNormal"/>
    <w:next w:val="TableGrid"/>
    <w:uiPriority w:val="39"/>
    <w:rsid w:val="00F30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33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0391"/>
    <w:pPr>
      <w:spacing w:after="240" w:line="260" w:lineRule="exact"/>
      <w:jc w:val="both"/>
    </w:pPr>
    <w:rPr>
      <w:rFonts w:eastAsia="Times New Roman" w:cs="Times New Roman"/>
      <w:sz w:val="20"/>
      <w:szCs w:val="20"/>
      <w:lang w:eastAsia="en-AU"/>
    </w:rPr>
    <w:tblPr/>
    <w:tcPr>
      <w:shd w:val="clear" w:color="auto" w:fill="E6E6E6"/>
    </w:tcPr>
  </w:style>
  <w:style w:type="table" w:customStyle="1" w:styleId="TableGrid11">
    <w:name w:val="Table Grid11"/>
    <w:basedOn w:val="TableNormal"/>
    <w:next w:val="TableGrid"/>
    <w:uiPriority w:val="39"/>
    <w:rsid w:val="007D79B8"/>
    <w:pPr>
      <w:spacing w:after="240" w:line="260" w:lineRule="exact"/>
      <w:jc w:val="both"/>
    </w:pPr>
    <w:rPr>
      <w:rFonts w:eastAsia="Times New Roman" w:cs="Times New Roman"/>
      <w:sz w:val="20"/>
      <w:szCs w:val="20"/>
      <w:lang w:eastAsia="en-AU"/>
    </w:rPr>
    <w:tblPr/>
    <w:tcPr>
      <w:shd w:val="clear" w:color="auto" w:fill="E6E6E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4704">
      <w:bodyDiv w:val="1"/>
      <w:marLeft w:val="0"/>
      <w:marRight w:val="0"/>
      <w:marTop w:val="0"/>
      <w:marBottom w:val="0"/>
      <w:divBdr>
        <w:top w:val="none" w:sz="0" w:space="0" w:color="auto"/>
        <w:left w:val="none" w:sz="0" w:space="0" w:color="auto"/>
        <w:bottom w:val="none" w:sz="0" w:space="0" w:color="auto"/>
        <w:right w:val="none" w:sz="0" w:space="0" w:color="auto"/>
      </w:divBdr>
    </w:div>
    <w:div w:id="68121200">
      <w:bodyDiv w:val="1"/>
      <w:marLeft w:val="0"/>
      <w:marRight w:val="0"/>
      <w:marTop w:val="0"/>
      <w:marBottom w:val="0"/>
      <w:divBdr>
        <w:top w:val="none" w:sz="0" w:space="0" w:color="auto"/>
        <w:left w:val="none" w:sz="0" w:space="0" w:color="auto"/>
        <w:bottom w:val="none" w:sz="0" w:space="0" w:color="auto"/>
        <w:right w:val="none" w:sz="0" w:space="0" w:color="auto"/>
      </w:divBdr>
    </w:div>
    <w:div w:id="105007704">
      <w:bodyDiv w:val="1"/>
      <w:marLeft w:val="0"/>
      <w:marRight w:val="0"/>
      <w:marTop w:val="0"/>
      <w:marBottom w:val="0"/>
      <w:divBdr>
        <w:top w:val="none" w:sz="0" w:space="0" w:color="auto"/>
        <w:left w:val="none" w:sz="0" w:space="0" w:color="auto"/>
        <w:bottom w:val="none" w:sz="0" w:space="0" w:color="auto"/>
        <w:right w:val="none" w:sz="0" w:space="0" w:color="auto"/>
      </w:divBdr>
    </w:div>
    <w:div w:id="138232456">
      <w:bodyDiv w:val="1"/>
      <w:marLeft w:val="0"/>
      <w:marRight w:val="0"/>
      <w:marTop w:val="0"/>
      <w:marBottom w:val="0"/>
      <w:divBdr>
        <w:top w:val="none" w:sz="0" w:space="0" w:color="auto"/>
        <w:left w:val="none" w:sz="0" w:space="0" w:color="auto"/>
        <w:bottom w:val="none" w:sz="0" w:space="0" w:color="auto"/>
        <w:right w:val="none" w:sz="0" w:space="0" w:color="auto"/>
      </w:divBdr>
    </w:div>
    <w:div w:id="157157675">
      <w:bodyDiv w:val="1"/>
      <w:marLeft w:val="0"/>
      <w:marRight w:val="0"/>
      <w:marTop w:val="0"/>
      <w:marBottom w:val="0"/>
      <w:divBdr>
        <w:top w:val="none" w:sz="0" w:space="0" w:color="auto"/>
        <w:left w:val="none" w:sz="0" w:space="0" w:color="auto"/>
        <w:bottom w:val="none" w:sz="0" w:space="0" w:color="auto"/>
        <w:right w:val="none" w:sz="0" w:space="0" w:color="auto"/>
      </w:divBdr>
    </w:div>
    <w:div w:id="160782136">
      <w:bodyDiv w:val="1"/>
      <w:marLeft w:val="0"/>
      <w:marRight w:val="0"/>
      <w:marTop w:val="0"/>
      <w:marBottom w:val="0"/>
      <w:divBdr>
        <w:top w:val="none" w:sz="0" w:space="0" w:color="auto"/>
        <w:left w:val="none" w:sz="0" w:space="0" w:color="auto"/>
        <w:bottom w:val="none" w:sz="0" w:space="0" w:color="auto"/>
        <w:right w:val="none" w:sz="0" w:space="0" w:color="auto"/>
      </w:divBdr>
    </w:div>
    <w:div w:id="178276778">
      <w:bodyDiv w:val="1"/>
      <w:marLeft w:val="0"/>
      <w:marRight w:val="0"/>
      <w:marTop w:val="0"/>
      <w:marBottom w:val="0"/>
      <w:divBdr>
        <w:top w:val="none" w:sz="0" w:space="0" w:color="auto"/>
        <w:left w:val="none" w:sz="0" w:space="0" w:color="auto"/>
        <w:bottom w:val="none" w:sz="0" w:space="0" w:color="auto"/>
        <w:right w:val="none" w:sz="0" w:space="0" w:color="auto"/>
      </w:divBdr>
    </w:div>
    <w:div w:id="266275993">
      <w:bodyDiv w:val="1"/>
      <w:marLeft w:val="0"/>
      <w:marRight w:val="0"/>
      <w:marTop w:val="0"/>
      <w:marBottom w:val="0"/>
      <w:divBdr>
        <w:top w:val="none" w:sz="0" w:space="0" w:color="auto"/>
        <w:left w:val="none" w:sz="0" w:space="0" w:color="auto"/>
        <w:bottom w:val="none" w:sz="0" w:space="0" w:color="auto"/>
        <w:right w:val="none" w:sz="0" w:space="0" w:color="auto"/>
      </w:divBdr>
    </w:div>
    <w:div w:id="266738381">
      <w:bodyDiv w:val="1"/>
      <w:marLeft w:val="0"/>
      <w:marRight w:val="0"/>
      <w:marTop w:val="0"/>
      <w:marBottom w:val="0"/>
      <w:divBdr>
        <w:top w:val="none" w:sz="0" w:space="0" w:color="auto"/>
        <w:left w:val="none" w:sz="0" w:space="0" w:color="auto"/>
        <w:bottom w:val="none" w:sz="0" w:space="0" w:color="auto"/>
        <w:right w:val="none" w:sz="0" w:space="0" w:color="auto"/>
      </w:divBdr>
    </w:div>
    <w:div w:id="284386319">
      <w:bodyDiv w:val="1"/>
      <w:marLeft w:val="0"/>
      <w:marRight w:val="0"/>
      <w:marTop w:val="0"/>
      <w:marBottom w:val="0"/>
      <w:divBdr>
        <w:top w:val="none" w:sz="0" w:space="0" w:color="auto"/>
        <w:left w:val="none" w:sz="0" w:space="0" w:color="auto"/>
        <w:bottom w:val="none" w:sz="0" w:space="0" w:color="auto"/>
        <w:right w:val="none" w:sz="0" w:space="0" w:color="auto"/>
      </w:divBdr>
    </w:div>
    <w:div w:id="333151033">
      <w:bodyDiv w:val="1"/>
      <w:marLeft w:val="0"/>
      <w:marRight w:val="0"/>
      <w:marTop w:val="0"/>
      <w:marBottom w:val="0"/>
      <w:divBdr>
        <w:top w:val="none" w:sz="0" w:space="0" w:color="auto"/>
        <w:left w:val="none" w:sz="0" w:space="0" w:color="auto"/>
        <w:bottom w:val="none" w:sz="0" w:space="0" w:color="auto"/>
        <w:right w:val="none" w:sz="0" w:space="0" w:color="auto"/>
      </w:divBdr>
    </w:div>
    <w:div w:id="390730962">
      <w:bodyDiv w:val="1"/>
      <w:marLeft w:val="0"/>
      <w:marRight w:val="0"/>
      <w:marTop w:val="0"/>
      <w:marBottom w:val="0"/>
      <w:divBdr>
        <w:top w:val="none" w:sz="0" w:space="0" w:color="auto"/>
        <w:left w:val="none" w:sz="0" w:space="0" w:color="auto"/>
        <w:bottom w:val="none" w:sz="0" w:space="0" w:color="auto"/>
        <w:right w:val="none" w:sz="0" w:space="0" w:color="auto"/>
      </w:divBdr>
    </w:div>
    <w:div w:id="402991490">
      <w:bodyDiv w:val="1"/>
      <w:marLeft w:val="0"/>
      <w:marRight w:val="0"/>
      <w:marTop w:val="0"/>
      <w:marBottom w:val="0"/>
      <w:divBdr>
        <w:top w:val="none" w:sz="0" w:space="0" w:color="auto"/>
        <w:left w:val="none" w:sz="0" w:space="0" w:color="auto"/>
        <w:bottom w:val="none" w:sz="0" w:space="0" w:color="auto"/>
        <w:right w:val="none" w:sz="0" w:space="0" w:color="auto"/>
      </w:divBdr>
    </w:div>
    <w:div w:id="420152169">
      <w:bodyDiv w:val="1"/>
      <w:marLeft w:val="0"/>
      <w:marRight w:val="0"/>
      <w:marTop w:val="0"/>
      <w:marBottom w:val="0"/>
      <w:divBdr>
        <w:top w:val="none" w:sz="0" w:space="0" w:color="auto"/>
        <w:left w:val="none" w:sz="0" w:space="0" w:color="auto"/>
        <w:bottom w:val="none" w:sz="0" w:space="0" w:color="auto"/>
        <w:right w:val="none" w:sz="0" w:space="0" w:color="auto"/>
      </w:divBdr>
    </w:div>
    <w:div w:id="470752966">
      <w:bodyDiv w:val="1"/>
      <w:marLeft w:val="0"/>
      <w:marRight w:val="0"/>
      <w:marTop w:val="0"/>
      <w:marBottom w:val="0"/>
      <w:divBdr>
        <w:top w:val="none" w:sz="0" w:space="0" w:color="auto"/>
        <w:left w:val="none" w:sz="0" w:space="0" w:color="auto"/>
        <w:bottom w:val="none" w:sz="0" w:space="0" w:color="auto"/>
        <w:right w:val="none" w:sz="0" w:space="0" w:color="auto"/>
      </w:divBdr>
    </w:div>
    <w:div w:id="489254686">
      <w:bodyDiv w:val="1"/>
      <w:marLeft w:val="0"/>
      <w:marRight w:val="0"/>
      <w:marTop w:val="0"/>
      <w:marBottom w:val="0"/>
      <w:divBdr>
        <w:top w:val="none" w:sz="0" w:space="0" w:color="auto"/>
        <w:left w:val="none" w:sz="0" w:space="0" w:color="auto"/>
        <w:bottom w:val="none" w:sz="0" w:space="0" w:color="auto"/>
        <w:right w:val="none" w:sz="0" w:space="0" w:color="auto"/>
      </w:divBdr>
    </w:div>
    <w:div w:id="500433924">
      <w:bodyDiv w:val="1"/>
      <w:marLeft w:val="0"/>
      <w:marRight w:val="0"/>
      <w:marTop w:val="0"/>
      <w:marBottom w:val="0"/>
      <w:divBdr>
        <w:top w:val="none" w:sz="0" w:space="0" w:color="auto"/>
        <w:left w:val="none" w:sz="0" w:space="0" w:color="auto"/>
        <w:bottom w:val="none" w:sz="0" w:space="0" w:color="auto"/>
        <w:right w:val="none" w:sz="0" w:space="0" w:color="auto"/>
      </w:divBdr>
    </w:div>
    <w:div w:id="550843569">
      <w:bodyDiv w:val="1"/>
      <w:marLeft w:val="0"/>
      <w:marRight w:val="0"/>
      <w:marTop w:val="0"/>
      <w:marBottom w:val="0"/>
      <w:divBdr>
        <w:top w:val="none" w:sz="0" w:space="0" w:color="auto"/>
        <w:left w:val="none" w:sz="0" w:space="0" w:color="auto"/>
        <w:bottom w:val="none" w:sz="0" w:space="0" w:color="auto"/>
        <w:right w:val="none" w:sz="0" w:space="0" w:color="auto"/>
      </w:divBdr>
    </w:div>
    <w:div w:id="552929870">
      <w:bodyDiv w:val="1"/>
      <w:marLeft w:val="0"/>
      <w:marRight w:val="0"/>
      <w:marTop w:val="0"/>
      <w:marBottom w:val="0"/>
      <w:divBdr>
        <w:top w:val="none" w:sz="0" w:space="0" w:color="auto"/>
        <w:left w:val="none" w:sz="0" w:space="0" w:color="auto"/>
        <w:bottom w:val="none" w:sz="0" w:space="0" w:color="auto"/>
        <w:right w:val="none" w:sz="0" w:space="0" w:color="auto"/>
      </w:divBdr>
    </w:div>
    <w:div w:id="581985577">
      <w:bodyDiv w:val="1"/>
      <w:marLeft w:val="0"/>
      <w:marRight w:val="0"/>
      <w:marTop w:val="0"/>
      <w:marBottom w:val="0"/>
      <w:divBdr>
        <w:top w:val="none" w:sz="0" w:space="0" w:color="auto"/>
        <w:left w:val="none" w:sz="0" w:space="0" w:color="auto"/>
        <w:bottom w:val="none" w:sz="0" w:space="0" w:color="auto"/>
        <w:right w:val="none" w:sz="0" w:space="0" w:color="auto"/>
      </w:divBdr>
    </w:div>
    <w:div w:id="600184090">
      <w:bodyDiv w:val="1"/>
      <w:marLeft w:val="0"/>
      <w:marRight w:val="0"/>
      <w:marTop w:val="0"/>
      <w:marBottom w:val="0"/>
      <w:divBdr>
        <w:top w:val="none" w:sz="0" w:space="0" w:color="auto"/>
        <w:left w:val="none" w:sz="0" w:space="0" w:color="auto"/>
        <w:bottom w:val="none" w:sz="0" w:space="0" w:color="auto"/>
        <w:right w:val="none" w:sz="0" w:space="0" w:color="auto"/>
      </w:divBdr>
    </w:div>
    <w:div w:id="629869354">
      <w:bodyDiv w:val="1"/>
      <w:marLeft w:val="0"/>
      <w:marRight w:val="0"/>
      <w:marTop w:val="0"/>
      <w:marBottom w:val="0"/>
      <w:divBdr>
        <w:top w:val="none" w:sz="0" w:space="0" w:color="auto"/>
        <w:left w:val="none" w:sz="0" w:space="0" w:color="auto"/>
        <w:bottom w:val="none" w:sz="0" w:space="0" w:color="auto"/>
        <w:right w:val="none" w:sz="0" w:space="0" w:color="auto"/>
      </w:divBdr>
    </w:div>
    <w:div w:id="743988673">
      <w:bodyDiv w:val="1"/>
      <w:marLeft w:val="0"/>
      <w:marRight w:val="0"/>
      <w:marTop w:val="0"/>
      <w:marBottom w:val="0"/>
      <w:divBdr>
        <w:top w:val="none" w:sz="0" w:space="0" w:color="auto"/>
        <w:left w:val="none" w:sz="0" w:space="0" w:color="auto"/>
        <w:bottom w:val="none" w:sz="0" w:space="0" w:color="auto"/>
        <w:right w:val="none" w:sz="0" w:space="0" w:color="auto"/>
      </w:divBdr>
    </w:div>
    <w:div w:id="753169553">
      <w:bodyDiv w:val="1"/>
      <w:marLeft w:val="0"/>
      <w:marRight w:val="0"/>
      <w:marTop w:val="0"/>
      <w:marBottom w:val="0"/>
      <w:divBdr>
        <w:top w:val="none" w:sz="0" w:space="0" w:color="auto"/>
        <w:left w:val="none" w:sz="0" w:space="0" w:color="auto"/>
        <w:bottom w:val="none" w:sz="0" w:space="0" w:color="auto"/>
        <w:right w:val="none" w:sz="0" w:space="0" w:color="auto"/>
      </w:divBdr>
    </w:div>
    <w:div w:id="873618287">
      <w:bodyDiv w:val="1"/>
      <w:marLeft w:val="0"/>
      <w:marRight w:val="0"/>
      <w:marTop w:val="0"/>
      <w:marBottom w:val="0"/>
      <w:divBdr>
        <w:top w:val="none" w:sz="0" w:space="0" w:color="auto"/>
        <w:left w:val="none" w:sz="0" w:space="0" w:color="auto"/>
        <w:bottom w:val="none" w:sz="0" w:space="0" w:color="auto"/>
        <w:right w:val="none" w:sz="0" w:space="0" w:color="auto"/>
      </w:divBdr>
    </w:div>
    <w:div w:id="880556496">
      <w:bodyDiv w:val="1"/>
      <w:marLeft w:val="0"/>
      <w:marRight w:val="0"/>
      <w:marTop w:val="0"/>
      <w:marBottom w:val="0"/>
      <w:divBdr>
        <w:top w:val="none" w:sz="0" w:space="0" w:color="auto"/>
        <w:left w:val="none" w:sz="0" w:space="0" w:color="auto"/>
        <w:bottom w:val="none" w:sz="0" w:space="0" w:color="auto"/>
        <w:right w:val="none" w:sz="0" w:space="0" w:color="auto"/>
      </w:divBdr>
    </w:div>
    <w:div w:id="888490848">
      <w:bodyDiv w:val="1"/>
      <w:marLeft w:val="0"/>
      <w:marRight w:val="0"/>
      <w:marTop w:val="0"/>
      <w:marBottom w:val="0"/>
      <w:divBdr>
        <w:top w:val="none" w:sz="0" w:space="0" w:color="auto"/>
        <w:left w:val="none" w:sz="0" w:space="0" w:color="auto"/>
        <w:bottom w:val="none" w:sz="0" w:space="0" w:color="auto"/>
        <w:right w:val="none" w:sz="0" w:space="0" w:color="auto"/>
      </w:divBdr>
    </w:div>
    <w:div w:id="893736652">
      <w:bodyDiv w:val="1"/>
      <w:marLeft w:val="0"/>
      <w:marRight w:val="0"/>
      <w:marTop w:val="0"/>
      <w:marBottom w:val="0"/>
      <w:divBdr>
        <w:top w:val="none" w:sz="0" w:space="0" w:color="auto"/>
        <w:left w:val="none" w:sz="0" w:space="0" w:color="auto"/>
        <w:bottom w:val="none" w:sz="0" w:space="0" w:color="auto"/>
        <w:right w:val="none" w:sz="0" w:space="0" w:color="auto"/>
      </w:divBdr>
    </w:div>
    <w:div w:id="910120176">
      <w:bodyDiv w:val="1"/>
      <w:marLeft w:val="0"/>
      <w:marRight w:val="0"/>
      <w:marTop w:val="0"/>
      <w:marBottom w:val="0"/>
      <w:divBdr>
        <w:top w:val="none" w:sz="0" w:space="0" w:color="auto"/>
        <w:left w:val="none" w:sz="0" w:space="0" w:color="auto"/>
        <w:bottom w:val="none" w:sz="0" w:space="0" w:color="auto"/>
        <w:right w:val="none" w:sz="0" w:space="0" w:color="auto"/>
      </w:divBdr>
    </w:div>
    <w:div w:id="913465903">
      <w:bodyDiv w:val="1"/>
      <w:marLeft w:val="0"/>
      <w:marRight w:val="0"/>
      <w:marTop w:val="0"/>
      <w:marBottom w:val="0"/>
      <w:divBdr>
        <w:top w:val="none" w:sz="0" w:space="0" w:color="auto"/>
        <w:left w:val="none" w:sz="0" w:space="0" w:color="auto"/>
        <w:bottom w:val="none" w:sz="0" w:space="0" w:color="auto"/>
        <w:right w:val="none" w:sz="0" w:space="0" w:color="auto"/>
      </w:divBdr>
    </w:div>
    <w:div w:id="925922910">
      <w:bodyDiv w:val="1"/>
      <w:marLeft w:val="0"/>
      <w:marRight w:val="0"/>
      <w:marTop w:val="0"/>
      <w:marBottom w:val="0"/>
      <w:divBdr>
        <w:top w:val="none" w:sz="0" w:space="0" w:color="auto"/>
        <w:left w:val="none" w:sz="0" w:space="0" w:color="auto"/>
        <w:bottom w:val="none" w:sz="0" w:space="0" w:color="auto"/>
        <w:right w:val="none" w:sz="0" w:space="0" w:color="auto"/>
      </w:divBdr>
    </w:div>
    <w:div w:id="941843213">
      <w:bodyDiv w:val="1"/>
      <w:marLeft w:val="0"/>
      <w:marRight w:val="0"/>
      <w:marTop w:val="0"/>
      <w:marBottom w:val="0"/>
      <w:divBdr>
        <w:top w:val="none" w:sz="0" w:space="0" w:color="auto"/>
        <w:left w:val="none" w:sz="0" w:space="0" w:color="auto"/>
        <w:bottom w:val="none" w:sz="0" w:space="0" w:color="auto"/>
        <w:right w:val="none" w:sz="0" w:space="0" w:color="auto"/>
      </w:divBdr>
    </w:div>
    <w:div w:id="967856148">
      <w:bodyDiv w:val="1"/>
      <w:marLeft w:val="0"/>
      <w:marRight w:val="0"/>
      <w:marTop w:val="0"/>
      <w:marBottom w:val="0"/>
      <w:divBdr>
        <w:top w:val="none" w:sz="0" w:space="0" w:color="auto"/>
        <w:left w:val="none" w:sz="0" w:space="0" w:color="auto"/>
        <w:bottom w:val="none" w:sz="0" w:space="0" w:color="auto"/>
        <w:right w:val="none" w:sz="0" w:space="0" w:color="auto"/>
      </w:divBdr>
    </w:div>
    <w:div w:id="983581330">
      <w:bodyDiv w:val="1"/>
      <w:marLeft w:val="0"/>
      <w:marRight w:val="0"/>
      <w:marTop w:val="0"/>
      <w:marBottom w:val="0"/>
      <w:divBdr>
        <w:top w:val="none" w:sz="0" w:space="0" w:color="auto"/>
        <w:left w:val="none" w:sz="0" w:space="0" w:color="auto"/>
        <w:bottom w:val="none" w:sz="0" w:space="0" w:color="auto"/>
        <w:right w:val="none" w:sz="0" w:space="0" w:color="auto"/>
      </w:divBdr>
    </w:div>
    <w:div w:id="991912828">
      <w:bodyDiv w:val="1"/>
      <w:marLeft w:val="0"/>
      <w:marRight w:val="0"/>
      <w:marTop w:val="0"/>
      <w:marBottom w:val="0"/>
      <w:divBdr>
        <w:top w:val="none" w:sz="0" w:space="0" w:color="auto"/>
        <w:left w:val="none" w:sz="0" w:space="0" w:color="auto"/>
        <w:bottom w:val="none" w:sz="0" w:space="0" w:color="auto"/>
        <w:right w:val="none" w:sz="0" w:space="0" w:color="auto"/>
      </w:divBdr>
    </w:div>
    <w:div w:id="996344411">
      <w:bodyDiv w:val="1"/>
      <w:marLeft w:val="0"/>
      <w:marRight w:val="0"/>
      <w:marTop w:val="0"/>
      <w:marBottom w:val="0"/>
      <w:divBdr>
        <w:top w:val="none" w:sz="0" w:space="0" w:color="auto"/>
        <w:left w:val="none" w:sz="0" w:space="0" w:color="auto"/>
        <w:bottom w:val="none" w:sz="0" w:space="0" w:color="auto"/>
        <w:right w:val="none" w:sz="0" w:space="0" w:color="auto"/>
      </w:divBdr>
    </w:div>
    <w:div w:id="1179542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059">
          <w:marLeft w:val="0"/>
          <w:marRight w:val="0"/>
          <w:marTop w:val="0"/>
          <w:marBottom w:val="0"/>
          <w:divBdr>
            <w:top w:val="none" w:sz="0" w:space="0" w:color="auto"/>
            <w:left w:val="none" w:sz="0" w:space="0" w:color="auto"/>
            <w:bottom w:val="none" w:sz="0" w:space="0" w:color="auto"/>
            <w:right w:val="none" w:sz="0" w:space="0" w:color="auto"/>
          </w:divBdr>
          <w:divsChild>
            <w:div w:id="2113042133">
              <w:marLeft w:val="0"/>
              <w:marRight w:val="0"/>
              <w:marTop w:val="0"/>
              <w:marBottom w:val="0"/>
              <w:divBdr>
                <w:top w:val="none" w:sz="0" w:space="0" w:color="auto"/>
                <w:left w:val="none" w:sz="0" w:space="0" w:color="auto"/>
                <w:bottom w:val="none" w:sz="0" w:space="0" w:color="auto"/>
                <w:right w:val="none" w:sz="0" w:space="0" w:color="auto"/>
              </w:divBdr>
              <w:divsChild>
                <w:div w:id="1094940186">
                  <w:marLeft w:val="0"/>
                  <w:marRight w:val="0"/>
                  <w:marTop w:val="0"/>
                  <w:marBottom w:val="0"/>
                  <w:divBdr>
                    <w:top w:val="none" w:sz="0" w:space="0" w:color="auto"/>
                    <w:left w:val="none" w:sz="0" w:space="0" w:color="auto"/>
                    <w:bottom w:val="none" w:sz="0" w:space="0" w:color="auto"/>
                    <w:right w:val="none" w:sz="0" w:space="0" w:color="auto"/>
                  </w:divBdr>
                  <w:divsChild>
                    <w:div w:id="129717392">
                      <w:marLeft w:val="0"/>
                      <w:marRight w:val="0"/>
                      <w:marTop w:val="0"/>
                      <w:marBottom w:val="0"/>
                      <w:divBdr>
                        <w:top w:val="none" w:sz="0" w:space="0" w:color="auto"/>
                        <w:left w:val="none" w:sz="0" w:space="0" w:color="auto"/>
                        <w:bottom w:val="none" w:sz="0" w:space="0" w:color="auto"/>
                        <w:right w:val="none" w:sz="0" w:space="0" w:color="auto"/>
                      </w:divBdr>
                      <w:divsChild>
                        <w:div w:id="730732115">
                          <w:marLeft w:val="0"/>
                          <w:marRight w:val="0"/>
                          <w:marTop w:val="0"/>
                          <w:marBottom w:val="0"/>
                          <w:divBdr>
                            <w:top w:val="none" w:sz="0" w:space="0" w:color="auto"/>
                            <w:left w:val="none" w:sz="0" w:space="0" w:color="auto"/>
                            <w:bottom w:val="none" w:sz="0" w:space="0" w:color="auto"/>
                            <w:right w:val="none" w:sz="0" w:space="0" w:color="auto"/>
                          </w:divBdr>
                          <w:divsChild>
                            <w:div w:id="667950660">
                              <w:marLeft w:val="0"/>
                              <w:marRight w:val="0"/>
                              <w:marTop w:val="0"/>
                              <w:marBottom w:val="0"/>
                              <w:divBdr>
                                <w:top w:val="none" w:sz="0" w:space="0" w:color="auto"/>
                                <w:left w:val="none" w:sz="0" w:space="0" w:color="auto"/>
                                <w:bottom w:val="none" w:sz="0" w:space="0" w:color="auto"/>
                                <w:right w:val="none" w:sz="0" w:space="0" w:color="auto"/>
                              </w:divBdr>
                              <w:divsChild>
                                <w:div w:id="1124812272">
                                  <w:marLeft w:val="0"/>
                                  <w:marRight w:val="0"/>
                                  <w:marTop w:val="0"/>
                                  <w:marBottom w:val="0"/>
                                  <w:divBdr>
                                    <w:top w:val="none" w:sz="0" w:space="0" w:color="auto"/>
                                    <w:left w:val="none" w:sz="0" w:space="0" w:color="auto"/>
                                    <w:bottom w:val="none" w:sz="0" w:space="0" w:color="auto"/>
                                    <w:right w:val="none" w:sz="0" w:space="0" w:color="auto"/>
                                  </w:divBdr>
                                  <w:divsChild>
                                    <w:div w:id="1165436045">
                                      <w:marLeft w:val="0"/>
                                      <w:marRight w:val="0"/>
                                      <w:marTop w:val="0"/>
                                      <w:marBottom w:val="0"/>
                                      <w:divBdr>
                                        <w:top w:val="none" w:sz="0" w:space="0" w:color="auto"/>
                                        <w:left w:val="none" w:sz="0" w:space="0" w:color="auto"/>
                                        <w:bottom w:val="none" w:sz="0" w:space="0" w:color="auto"/>
                                        <w:right w:val="none" w:sz="0" w:space="0" w:color="auto"/>
                                      </w:divBdr>
                                      <w:divsChild>
                                        <w:div w:id="1749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7379195">
      <w:bodyDiv w:val="1"/>
      <w:marLeft w:val="0"/>
      <w:marRight w:val="0"/>
      <w:marTop w:val="0"/>
      <w:marBottom w:val="0"/>
      <w:divBdr>
        <w:top w:val="none" w:sz="0" w:space="0" w:color="auto"/>
        <w:left w:val="none" w:sz="0" w:space="0" w:color="auto"/>
        <w:bottom w:val="none" w:sz="0" w:space="0" w:color="auto"/>
        <w:right w:val="none" w:sz="0" w:space="0" w:color="auto"/>
      </w:divBdr>
    </w:div>
    <w:div w:id="1229153319">
      <w:bodyDiv w:val="1"/>
      <w:marLeft w:val="0"/>
      <w:marRight w:val="0"/>
      <w:marTop w:val="0"/>
      <w:marBottom w:val="0"/>
      <w:divBdr>
        <w:top w:val="none" w:sz="0" w:space="0" w:color="auto"/>
        <w:left w:val="none" w:sz="0" w:space="0" w:color="auto"/>
        <w:bottom w:val="none" w:sz="0" w:space="0" w:color="auto"/>
        <w:right w:val="none" w:sz="0" w:space="0" w:color="auto"/>
      </w:divBdr>
    </w:div>
    <w:div w:id="1326978205">
      <w:bodyDiv w:val="1"/>
      <w:marLeft w:val="0"/>
      <w:marRight w:val="0"/>
      <w:marTop w:val="0"/>
      <w:marBottom w:val="0"/>
      <w:divBdr>
        <w:top w:val="none" w:sz="0" w:space="0" w:color="auto"/>
        <w:left w:val="none" w:sz="0" w:space="0" w:color="auto"/>
        <w:bottom w:val="none" w:sz="0" w:space="0" w:color="auto"/>
        <w:right w:val="none" w:sz="0" w:space="0" w:color="auto"/>
      </w:divBdr>
    </w:div>
    <w:div w:id="1380474081">
      <w:bodyDiv w:val="1"/>
      <w:marLeft w:val="0"/>
      <w:marRight w:val="0"/>
      <w:marTop w:val="0"/>
      <w:marBottom w:val="0"/>
      <w:divBdr>
        <w:top w:val="none" w:sz="0" w:space="0" w:color="auto"/>
        <w:left w:val="none" w:sz="0" w:space="0" w:color="auto"/>
        <w:bottom w:val="none" w:sz="0" w:space="0" w:color="auto"/>
        <w:right w:val="none" w:sz="0" w:space="0" w:color="auto"/>
      </w:divBdr>
    </w:div>
    <w:div w:id="1441338480">
      <w:bodyDiv w:val="1"/>
      <w:marLeft w:val="0"/>
      <w:marRight w:val="0"/>
      <w:marTop w:val="0"/>
      <w:marBottom w:val="0"/>
      <w:divBdr>
        <w:top w:val="none" w:sz="0" w:space="0" w:color="auto"/>
        <w:left w:val="none" w:sz="0" w:space="0" w:color="auto"/>
        <w:bottom w:val="none" w:sz="0" w:space="0" w:color="auto"/>
        <w:right w:val="none" w:sz="0" w:space="0" w:color="auto"/>
      </w:divBdr>
    </w:div>
    <w:div w:id="1515413625">
      <w:bodyDiv w:val="1"/>
      <w:marLeft w:val="0"/>
      <w:marRight w:val="0"/>
      <w:marTop w:val="0"/>
      <w:marBottom w:val="0"/>
      <w:divBdr>
        <w:top w:val="none" w:sz="0" w:space="0" w:color="auto"/>
        <w:left w:val="none" w:sz="0" w:space="0" w:color="auto"/>
        <w:bottom w:val="none" w:sz="0" w:space="0" w:color="auto"/>
        <w:right w:val="none" w:sz="0" w:space="0" w:color="auto"/>
      </w:divBdr>
    </w:div>
    <w:div w:id="1599488645">
      <w:bodyDiv w:val="1"/>
      <w:marLeft w:val="0"/>
      <w:marRight w:val="0"/>
      <w:marTop w:val="0"/>
      <w:marBottom w:val="0"/>
      <w:divBdr>
        <w:top w:val="none" w:sz="0" w:space="0" w:color="auto"/>
        <w:left w:val="none" w:sz="0" w:space="0" w:color="auto"/>
        <w:bottom w:val="none" w:sz="0" w:space="0" w:color="auto"/>
        <w:right w:val="none" w:sz="0" w:space="0" w:color="auto"/>
      </w:divBdr>
    </w:div>
    <w:div w:id="1669020127">
      <w:bodyDiv w:val="1"/>
      <w:marLeft w:val="0"/>
      <w:marRight w:val="0"/>
      <w:marTop w:val="0"/>
      <w:marBottom w:val="0"/>
      <w:divBdr>
        <w:top w:val="none" w:sz="0" w:space="0" w:color="auto"/>
        <w:left w:val="none" w:sz="0" w:space="0" w:color="auto"/>
        <w:bottom w:val="none" w:sz="0" w:space="0" w:color="auto"/>
        <w:right w:val="none" w:sz="0" w:space="0" w:color="auto"/>
      </w:divBdr>
    </w:div>
    <w:div w:id="1818107734">
      <w:bodyDiv w:val="1"/>
      <w:marLeft w:val="0"/>
      <w:marRight w:val="0"/>
      <w:marTop w:val="0"/>
      <w:marBottom w:val="0"/>
      <w:divBdr>
        <w:top w:val="none" w:sz="0" w:space="0" w:color="auto"/>
        <w:left w:val="none" w:sz="0" w:space="0" w:color="auto"/>
        <w:bottom w:val="none" w:sz="0" w:space="0" w:color="auto"/>
        <w:right w:val="none" w:sz="0" w:space="0" w:color="auto"/>
      </w:divBdr>
    </w:div>
    <w:div w:id="1856190883">
      <w:bodyDiv w:val="1"/>
      <w:marLeft w:val="0"/>
      <w:marRight w:val="0"/>
      <w:marTop w:val="0"/>
      <w:marBottom w:val="0"/>
      <w:divBdr>
        <w:top w:val="none" w:sz="0" w:space="0" w:color="auto"/>
        <w:left w:val="none" w:sz="0" w:space="0" w:color="auto"/>
        <w:bottom w:val="none" w:sz="0" w:space="0" w:color="auto"/>
        <w:right w:val="none" w:sz="0" w:space="0" w:color="auto"/>
      </w:divBdr>
    </w:div>
    <w:div w:id="1923487696">
      <w:bodyDiv w:val="1"/>
      <w:marLeft w:val="0"/>
      <w:marRight w:val="0"/>
      <w:marTop w:val="0"/>
      <w:marBottom w:val="0"/>
      <w:divBdr>
        <w:top w:val="none" w:sz="0" w:space="0" w:color="auto"/>
        <w:left w:val="none" w:sz="0" w:space="0" w:color="auto"/>
        <w:bottom w:val="none" w:sz="0" w:space="0" w:color="auto"/>
        <w:right w:val="none" w:sz="0" w:space="0" w:color="auto"/>
      </w:divBdr>
    </w:div>
    <w:div w:id="1949392335">
      <w:bodyDiv w:val="1"/>
      <w:marLeft w:val="0"/>
      <w:marRight w:val="0"/>
      <w:marTop w:val="0"/>
      <w:marBottom w:val="0"/>
      <w:divBdr>
        <w:top w:val="none" w:sz="0" w:space="0" w:color="auto"/>
        <w:left w:val="none" w:sz="0" w:space="0" w:color="auto"/>
        <w:bottom w:val="none" w:sz="0" w:space="0" w:color="auto"/>
        <w:right w:val="none" w:sz="0" w:space="0" w:color="auto"/>
      </w:divBdr>
    </w:div>
    <w:div w:id="1971980245">
      <w:bodyDiv w:val="1"/>
      <w:marLeft w:val="0"/>
      <w:marRight w:val="0"/>
      <w:marTop w:val="0"/>
      <w:marBottom w:val="0"/>
      <w:divBdr>
        <w:top w:val="none" w:sz="0" w:space="0" w:color="auto"/>
        <w:left w:val="none" w:sz="0" w:space="0" w:color="auto"/>
        <w:bottom w:val="none" w:sz="0" w:space="0" w:color="auto"/>
        <w:right w:val="none" w:sz="0" w:space="0" w:color="auto"/>
      </w:divBdr>
    </w:div>
    <w:div w:id="1977370379">
      <w:bodyDiv w:val="1"/>
      <w:marLeft w:val="0"/>
      <w:marRight w:val="0"/>
      <w:marTop w:val="0"/>
      <w:marBottom w:val="0"/>
      <w:divBdr>
        <w:top w:val="none" w:sz="0" w:space="0" w:color="auto"/>
        <w:left w:val="none" w:sz="0" w:space="0" w:color="auto"/>
        <w:bottom w:val="none" w:sz="0" w:space="0" w:color="auto"/>
        <w:right w:val="none" w:sz="0" w:space="0" w:color="auto"/>
      </w:divBdr>
    </w:div>
    <w:div w:id="1979451668">
      <w:bodyDiv w:val="1"/>
      <w:marLeft w:val="0"/>
      <w:marRight w:val="0"/>
      <w:marTop w:val="0"/>
      <w:marBottom w:val="0"/>
      <w:divBdr>
        <w:top w:val="none" w:sz="0" w:space="0" w:color="auto"/>
        <w:left w:val="none" w:sz="0" w:space="0" w:color="auto"/>
        <w:bottom w:val="none" w:sz="0" w:space="0" w:color="auto"/>
        <w:right w:val="none" w:sz="0" w:space="0" w:color="auto"/>
      </w:divBdr>
    </w:div>
    <w:div w:id="2008629548">
      <w:bodyDiv w:val="1"/>
      <w:marLeft w:val="0"/>
      <w:marRight w:val="0"/>
      <w:marTop w:val="0"/>
      <w:marBottom w:val="0"/>
      <w:divBdr>
        <w:top w:val="none" w:sz="0" w:space="0" w:color="auto"/>
        <w:left w:val="none" w:sz="0" w:space="0" w:color="auto"/>
        <w:bottom w:val="none" w:sz="0" w:space="0" w:color="auto"/>
        <w:right w:val="none" w:sz="0" w:space="0" w:color="auto"/>
      </w:divBdr>
    </w:div>
    <w:div w:id="2016178829">
      <w:bodyDiv w:val="1"/>
      <w:marLeft w:val="0"/>
      <w:marRight w:val="0"/>
      <w:marTop w:val="0"/>
      <w:marBottom w:val="0"/>
      <w:divBdr>
        <w:top w:val="none" w:sz="0" w:space="0" w:color="auto"/>
        <w:left w:val="none" w:sz="0" w:space="0" w:color="auto"/>
        <w:bottom w:val="none" w:sz="0" w:space="0" w:color="auto"/>
        <w:right w:val="none" w:sz="0" w:space="0" w:color="auto"/>
      </w:divBdr>
    </w:div>
    <w:div w:id="2042121800">
      <w:bodyDiv w:val="1"/>
      <w:marLeft w:val="0"/>
      <w:marRight w:val="0"/>
      <w:marTop w:val="0"/>
      <w:marBottom w:val="0"/>
      <w:divBdr>
        <w:top w:val="none" w:sz="0" w:space="0" w:color="auto"/>
        <w:left w:val="none" w:sz="0" w:space="0" w:color="auto"/>
        <w:bottom w:val="none" w:sz="0" w:space="0" w:color="auto"/>
        <w:right w:val="none" w:sz="0" w:space="0" w:color="auto"/>
      </w:divBdr>
    </w:div>
    <w:div w:id="207168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creativecommons.org/licenses/by/3.0/au/deed.en" TargetMode="External"/><Relationship Id="rId39" Type="http://schemas.openxmlformats.org/officeDocument/2006/relationships/image" Target="media/image10.png"/><Relationship Id="rId21" Type="http://schemas.openxmlformats.org/officeDocument/2006/relationships/header" Target="header6.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emf"/><Relationship Id="rId68" Type="http://schemas.openxmlformats.org/officeDocument/2006/relationships/header" Target="header9.xml"/><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reativecommons.org/licenses/by/3.0/au/legalcode" TargetMode="External"/><Relationship Id="rId32" Type="http://schemas.openxmlformats.org/officeDocument/2006/relationships/image" Target="media/image3.em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image" Target="media/image37.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creativecommons.org/licenses/by/3.0/au/deed.en" TargetMode="External"/><Relationship Id="rId28" Type="http://schemas.openxmlformats.org/officeDocument/2006/relationships/hyperlink" Target="mailto:media@treasury.gov.au" TargetMode="External"/><Relationship Id="rId36" Type="http://schemas.openxmlformats.org/officeDocument/2006/relationships/image" Target="media/image7.png"/><Relationship Id="rId49" Type="http://schemas.openxmlformats.org/officeDocument/2006/relationships/image" Target="media/image20.emf"/><Relationship Id="rId57" Type="http://schemas.openxmlformats.org/officeDocument/2006/relationships/image" Target="media/image28.emf"/><Relationship Id="rId61" Type="http://schemas.openxmlformats.org/officeDocument/2006/relationships/image" Target="media/image32.emf"/><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image" Target="media/image15.png"/><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www.pmc.gov.au/government/commonwealth-coat-arms" TargetMode="External"/><Relationship Id="rId30" Type="http://schemas.openxmlformats.org/officeDocument/2006/relationships/header" Target="header8.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emf"/><Relationship Id="rId64" Type="http://schemas.openxmlformats.org/officeDocument/2006/relationships/image" Target="media/image35.png"/><Relationship Id="rId69" Type="http://schemas.openxmlformats.org/officeDocument/2006/relationships/header" Target="header10.xml"/><Relationship Id="rId8" Type="http://schemas.openxmlformats.org/officeDocument/2006/relationships/styles" Target="styles.xml"/><Relationship Id="rId51" Type="http://schemas.openxmlformats.org/officeDocument/2006/relationships/image" Target="media/image22.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2.wmf"/><Relationship Id="rId33" Type="http://schemas.openxmlformats.org/officeDocument/2006/relationships/image" Target="media/image4.emf"/><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hyperlink" Target="https://www.act.ipaa.org.au/pastevent_2021_GFC" TargetMode="External"/><Relationship Id="rId20" Type="http://schemas.openxmlformats.org/officeDocument/2006/relationships/header" Target="header5.xml"/><Relationship Id="rId41" Type="http://schemas.openxmlformats.org/officeDocument/2006/relationships/image" Target="media/image12.png"/><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ministers.treasury.gov.au/ministers/josh-frydenberg-2018/media-releases/jobkeeper-payment-and-income-support-extended" TargetMode="External"/><Relationship Id="rId13" Type="http://schemas.openxmlformats.org/officeDocument/2006/relationships/hyperlink" Target="https://www.google.com/url?sa=t&amp;rct=j&amp;q=&amp;esrc=s&amp;source=web&amp;cd=&amp;cad=rja&amp;uact=8&amp;ved=2ahUKEwj_uIfgh6jzAhUszTgGHbL-C00QFnoECAIQAQ&amp;url=https%3A%2F%2Fwww.sensis.com.au%2Fdespite-lockdown-victorian-businesses-more-positive-about-states-economy-says-sensis-survey&amp;usg=AOvVaw0adegW_5zKs_GJQi86NBv2" TargetMode="External"/><Relationship Id="rId18" Type="http://schemas.openxmlformats.org/officeDocument/2006/relationships/hyperlink" Target="https://www.ato.gov.au/law/view/pdf/pbr/lcr2020-001.pdf" TargetMode="External"/><Relationship Id="rId3" Type="http://schemas.openxmlformats.org/officeDocument/2006/relationships/hyperlink" Target="https://treasury.gov.au/speech/opening-statement-june-2020-senate-select-committee-covid-19" TargetMode="External"/><Relationship Id="rId7" Type="http://schemas.openxmlformats.org/officeDocument/2006/relationships/hyperlink" Target="https://www.ato.gov.au/law/view/pdf/pbr/lcr2020-001.pdf" TargetMode="External"/><Relationship Id="rId12" Type="http://schemas.openxmlformats.org/officeDocument/2006/relationships/hyperlink" Target="https://www.rba.gov.au/publications/fsr/2020/oct/box-b-business-failure-risk-in-the-covid-19-pandemic.html" TargetMode="External"/><Relationship Id="rId17" Type="http://schemas.openxmlformats.org/officeDocument/2006/relationships/hyperlink" Target="https://treasury.gov.au/sites/default/files/2021-09/p2021-203386.pdf" TargetMode="External"/><Relationship Id="rId2" Type="http://schemas.openxmlformats.org/officeDocument/2006/relationships/hyperlink" Target="https://ministers.treasury.gov.au/ministers/josh-frydenberg-2018/media-releases/130-billion-jobkeeper-payment-keep-australians-job" TargetMode="External"/><Relationship Id="rId16" Type="http://schemas.openxmlformats.org/officeDocument/2006/relationships/hyperlink" Target="https://www.rba.gov.au/publications/rdp/2005/2005-12.html" TargetMode="External"/><Relationship Id="rId20" Type="http://schemas.openxmlformats.org/officeDocument/2006/relationships/hyperlink" Target="https://www.act.ipaa.org.au/pastevent_2021_GFC" TargetMode="External"/><Relationship Id="rId1" Type="http://schemas.openxmlformats.org/officeDocument/2006/relationships/hyperlink" Target="https://treasury.gov.au/sites/default/files/2020-07/jobkeeper-review-2020_0.pdf" TargetMode="External"/><Relationship Id="rId6" Type="http://schemas.openxmlformats.org/officeDocument/2006/relationships/hyperlink" Target="https://www.health.gov.au/news/australian-health-protection-principal-committee-ahppc-coronavirus-covid-19-statement-on-17-march-2020-0" TargetMode="External"/><Relationship Id="rId11" Type="http://schemas.openxmlformats.org/officeDocument/2006/relationships/hyperlink" Target="https://doi.org/10.1787/2f6e7cb1-en" TargetMode="External"/><Relationship Id="rId5" Type="http://schemas.openxmlformats.org/officeDocument/2006/relationships/hyperlink" Target="https://ministers.treasury.gov.au/ministers/josh-frydenberg-2018/media-releases/supporting-australian-workers-and-business" TargetMode="External"/><Relationship Id="rId15" Type="http://schemas.openxmlformats.org/officeDocument/2006/relationships/hyperlink" Target="https://taxpolicy.crawford.anu.edu.au/sites/default/files/events/attachments/2017-12/breunig_aus_bunching_presentation.pdf" TargetMode="External"/><Relationship Id="rId10" Type="http://schemas.openxmlformats.org/officeDocument/2006/relationships/hyperlink" Target="https://treasury.gov.au/sites/default/files/2020-07/jobkeeper-review-2020_0.pdf" TargetMode="External"/><Relationship Id="rId19" Type="http://schemas.openxmlformats.org/officeDocument/2006/relationships/hyperlink" Target="https://www.ato.gov.au/General/JobKeeper-Payment/In-detail/Original-decline-in-turnover-test/?anchor=modifiedbasictest" TargetMode="External"/><Relationship Id="rId4" Type="http://schemas.openxmlformats.org/officeDocument/2006/relationships/hyperlink" Target="https://ministers.treasury.gov.au/ministers/josh-frydenberg-2018/media-releases/economic-stimulus-package" TargetMode="External"/><Relationship Id="rId9" Type="http://schemas.openxmlformats.org/officeDocument/2006/relationships/hyperlink" Target="https://www.anao.gov.au/work/performance-audit/the-australian-taxation-office-management-risks-related-to-the-rapid-implementation-covid-19" TargetMode="External"/><Relationship Id="rId14" Type="http://schemas.openxmlformats.org/officeDocument/2006/relationships/hyperlink" Target="https://nousgroup.com/wp-content/uploads/2020/09/MYOB-Business-Monitor-Budget-Edition_Final.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B0B2B725CB133046A824148AFBF7588D00FB86DB676D39E9448B5E55157D1D7E54" ma:contentTypeVersion="24574" ma:contentTypeDescription="" ma:contentTypeScope="" ma:versionID="9ed7925fa1096290c7dd46cdd95a8b70">
  <xsd:schema xmlns:xsd="http://www.w3.org/2001/XMLSchema" xmlns:xs="http://www.w3.org/2001/XMLSchema" xmlns:p="http://schemas.microsoft.com/office/2006/metadata/properties" xmlns:ns1="http://schemas.microsoft.com/sharepoint/v3" xmlns:ns2="0f563589-9cf9-4143-b1eb-fb0534803d38" xmlns:ns3="897d5b50-e2b5-48d2-af00-621a7a6336c9" xmlns:ns4="aed5e396-b62e-438f-bd6c-6d53d54e5cfc" targetNamespace="http://schemas.microsoft.com/office/2006/metadata/properties" ma:root="true" ma:fieldsID="9aa452f26d38f93fd07ddfaf265a1487" ns1:_="" ns2:_="" ns3:_="" ns4:_="">
    <xsd:import namespace="http://schemas.microsoft.com/sharepoint/v3"/>
    <xsd:import namespace="0f563589-9cf9-4143-b1eb-fb0534803d38"/>
    <xsd:import namespace="897d5b50-e2b5-48d2-af00-621a7a6336c9"/>
    <xsd:import namespace="aed5e396-b62e-438f-bd6c-6d53d54e5cfc"/>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2:TaxKeywordTaxHTField" minOccurs="0"/>
                <xsd:element ref="ns1:_dlc_Exempt" minOccurs="0"/>
                <xsd:element ref="ns4:To_x002f_From" minOccurs="0"/>
                <xsd:element ref="ns4:Work_x0020_stream" minOccurs="0"/>
                <xsd:element ref="ns3:e3aa2faa4c2c4fc69aa7703a0b9bba9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8ff8e001-7d25-479d-8b62-8006dc450e27}" ma:internalName="TaxCatchAll" ma:showField="CatchAllData" ma:web="897d5b50-e2b5-48d2-af00-621a7a6336c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ff8e001-7d25-479d-8b62-8006dc450e27}" ma:internalName="TaxCatchAllLabel" ma:readOnly="true" ma:showField="CatchAllDataLabel" ma:web="897d5b50-e2b5-48d2-af00-621a7a6336c9">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7d5b50-e2b5-48d2-af00-621a7a6336c9"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 ma:fieldId="{5b508a4d-c5e8-4436-a0fe-496b536466aa}" ma:sspId="77b7a547-5880-464f-83f8-cefe583c3af4" ma:termSetId="8c8a1de6-dea5-4e66-bd5a-b7b3daae0f37" ma:anchorId="72a33569-3b59-4b38-9058-021557895d12" ma:open="false" ma:isKeyword="false">
      <xsd:complexType>
        <xsd:sequence>
          <xsd:element ref="pc:Terms" minOccurs="0" maxOccurs="1"/>
        </xsd:sequence>
      </xsd:complexType>
    </xsd:element>
    <xsd:element name="e3aa2faa4c2c4fc69aa7703a0b9bba99" ma:index="20" nillable="true" ma:taxonomy="true" ma:internalName="e3aa2faa4c2c4fc69aa7703a0b9bba99" ma:taxonomyFieldName="TSYTopic" ma:displayName="TSY Topic" ma:default="" ma:fieldId="{e3aa2faa-4c2c-4fc6-9aa7-703a0b9bba99}"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d5e396-b62e-438f-bd6c-6d53d54e5cfc" elementFormDefault="qualified">
    <xsd:import namespace="http://schemas.microsoft.com/office/2006/documentManagement/types"/>
    <xsd:import namespace="http://schemas.microsoft.com/office/infopath/2007/PartnerControls"/>
    <xsd:element name="To_x002f_From" ma:index="18" nillable="true" ma:displayName="To/From" ma:format="Dropdown" ma:internalName="To_x002F_From">
      <xsd:simpleType>
        <xsd:restriction base="dms:Choice">
          <xsd:enumeration value="Internal working"/>
          <xsd:enumeration value="To: Internal"/>
          <xsd:enumeration value="To: Treasurer/PMO"/>
          <xsd:enumeration value="From: Internal"/>
          <xsd:enumeration value="From: External"/>
        </xsd:restriction>
      </xsd:simpleType>
    </xsd:element>
    <xsd:element name="Work_x0020_stream" ma:index="19" nillable="true" ma:displayName="Work stream" ma:format="Dropdown" ma:internalName="Work_x0020_stream">
      <xsd:simpleType>
        <xsd:restriction base="dms:Choice">
          <xsd:enumeration value="Daily updates"/>
          <xsd:enumeration value="Other briefing"/>
          <xsd:enumeration value="Response package"/>
          <xsd:enumeration value="External information/reports"/>
          <xsd:enumeration value="Communications"/>
          <xsd:enumeration value="Corresponde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Treasury Document Audit Policy</p:Name>
  <p:Description/>
  <p:Statement/>
  <p:PolicyItems>
    <p:PolicyItem featureId="Microsoft.Office.RecordsManagement.PolicyFeatures.PolicyAudit" staticId="0x010100B0B2B725CB133046A824148AFBF7588D|1757814118" UniqueId="ae7ec984-e6b3-49e5-9a50-daf04c2d54d3">
      <p:Name>Auditing</p:Name>
      <p:Description>Audits user actions on documents and list items to the Audit Log.</p:Description>
      <p:CustomData>
        <Audit>
          <Update/>
          <CheckInOut/>
          <MoveCopy/>
          <DeleteRestore/>
        </Audit>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TaxCatchAll xmlns="0f563589-9cf9-4143-b1eb-fb0534803d38"/>
    <TaxKeywordTaxHTField xmlns="0f563589-9cf9-4143-b1eb-fb0534803d38">
      <Terms xmlns="http://schemas.microsoft.com/office/infopath/2007/PartnerControls"/>
    </TaxKeywordTaxHTField>
    <_dlc_DocId xmlns="0f563589-9cf9-4143-b1eb-fb0534803d38">20215JXR4F37-906865816-10573</_dlc_DocId>
    <_dlc_DocIdUrl xmlns="0f563589-9cf9-4143-b1eb-fb0534803d38">
      <Url>http://tweb/sites/treasury/cvirus/_layouts/15/DocIdRedir.aspx?ID=20215JXR4F37-906865816-10573</Url>
      <Description>20215JXR4F37-906865816-10573</Description>
    </_dlc_DocIdUrl>
    <e3aa2faa4c2c4fc69aa7703a0b9bba99 xmlns="897d5b50-e2b5-48d2-af00-621a7a6336c9">
      <Terms xmlns="http://schemas.microsoft.com/office/infopath/2007/PartnerControls"/>
    </e3aa2faa4c2c4fc69aa7703a0b9bba99>
    <To_x002f_From xmlns="aed5e396-b62e-438f-bd6c-6d53d54e5cfc" xsi:nil="true"/>
    <lb508a4dc5e84436a0fe496b536466aa xmlns="897d5b50-e2b5-48d2-af00-621a7a6336c9">
      <Terms xmlns="http://schemas.microsoft.com/office/infopath/2007/PartnerControls"/>
    </lb508a4dc5e84436a0fe496b536466aa>
    <Work_x0020_stream xmlns="aed5e396-b62e-438f-bd6c-6d53d54e5cfc"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AE305-DA7F-4F38-8C11-C48EAB0C6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897d5b50-e2b5-48d2-af00-621a7a6336c9"/>
    <ds:schemaRef ds:uri="aed5e396-b62e-438f-bd6c-6d53d54e5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B7D288-5B2D-4879-A1D8-692521F65689}">
  <ds:schemaRefs>
    <ds:schemaRef ds:uri="http://schemas.microsoft.com/sharepoint/events"/>
  </ds:schemaRefs>
</ds:datastoreItem>
</file>

<file path=customXml/itemProps3.xml><?xml version="1.0" encoding="utf-8"?>
<ds:datastoreItem xmlns:ds="http://schemas.openxmlformats.org/officeDocument/2006/customXml" ds:itemID="{585006FF-B1B0-4670-8CAB-4FB24D2E45C1}">
  <ds:schemaRefs>
    <ds:schemaRef ds:uri="http://schemas.microsoft.com/sharepoint/v3/contenttype/forms"/>
  </ds:schemaRefs>
</ds:datastoreItem>
</file>

<file path=customXml/itemProps4.xml><?xml version="1.0" encoding="utf-8"?>
<ds:datastoreItem xmlns:ds="http://schemas.openxmlformats.org/officeDocument/2006/customXml" ds:itemID="{D8F51B87-C0F6-4CB2-B64F-04EBEF3AB326}">
  <ds:schemaRefs>
    <ds:schemaRef ds:uri="office.server.policy"/>
  </ds:schemaRefs>
</ds:datastoreItem>
</file>

<file path=customXml/itemProps5.xml><?xml version="1.0" encoding="utf-8"?>
<ds:datastoreItem xmlns:ds="http://schemas.openxmlformats.org/officeDocument/2006/customXml" ds:itemID="{570FB98C-1A55-4A93-916F-32C5DB665A55}">
  <ds:schemaRefs>
    <ds:schemaRef ds:uri="http://schemas.microsoft.com/office/2006/documentManagement/types"/>
    <ds:schemaRef ds:uri="0f563589-9cf9-4143-b1eb-fb0534803d38"/>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terms/"/>
    <ds:schemaRef ds:uri="897d5b50-e2b5-48d2-af00-621a7a6336c9"/>
    <ds:schemaRef ds:uri="aed5e396-b62e-438f-bd6c-6d53d54e5cfc"/>
    <ds:schemaRef ds:uri="http://www.w3.org/XML/1998/namespace"/>
    <ds:schemaRef ds:uri="http://purl.org/dc/dcmitype/"/>
  </ds:schemaRefs>
</ds:datastoreItem>
</file>

<file path=customXml/itemProps6.xml><?xml version="1.0" encoding="utf-8"?>
<ds:datastoreItem xmlns:ds="http://schemas.openxmlformats.org/officeDocument/2006/customXml" ds:itemID="{CB1E62EC-426B-438C-BC91-C435DD514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5</TotalTime>
  <Pages>69</Pages>
  <Words>20902</Words>
  <Characters>112849</Characters>
  <Application>Microsoft Office Word</Application>
  <DocSecurity>0</DocSecurity>
  <Lines>3550</Lines>
  <Paragraphs>2208</Paragraphs>
  <ScaleCrop>false</ScaleCrop>
  <HeadingPairs>
    <vt:vector size="2" baseType="variant">
      <vt:variant>
        <vt:lpstr>Title</vt:lpstr>
      </vt:variant>
      <vt:variant>
        <vt:i4>1</vt:i4>
      </vt:variant>
    </vt:vector>
  </HeadingPairs>
  <TitlesOfParts>
    <vt:vector size="1" baseType="lpstr">
      <vt:lpstr>Insights from the first six months of JobKeeper</vt:lpstr>
    </vt:vector>
  </TitlesOfParts>
  <Company>Australian Government - The Treasury</Company>
  <LinksUpToDate>false</LinksUpToDate>
  <CharactersWithSpaces>133048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Insights from the first six months of JobKeeper</dc:title>
  <dc:subject>JobKeeper</dc:subject>
  <dc:creator>Australian Government</dc:creator>
  <cp:keywords/>
  <dc:description/>
  <cp:lastModifiedBy>Hill, Christine</cp:lastModifiedBy>
  <cp:revision>5</cp:revision>
  <cp:lastPrinted>2021-10-11T01:57:00Z</cp:lastPrinted>
  <dcterms:created xsi:type="dcterms:W3CDTF">2021-10-11T01:18:00Z</dcterms:created>
  <dcterms:modified xsi:type="dcterms:W3CDTF">2021-10-11T02:08:00Z</dcterms:modified>
  <cp:category/>
</cp:coreProperties>
</file>