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206409104"/>
        <w:docPartObj>
          <w:docPartGallery w:val="Cover Pages"/>
          <w:docPartUnique/>
        </w:docPartObj>
      </w:sdtPr>
      <w:sdtEndPr/>
      <w:sdtContent>
        <w:p w14:paraId="775D0125"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26EC8A44" wp14:editId="48C3AC30">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4601E08D" w14:textId="77777777" w:rsidR="00A652B8" w:rsidRPr="006D0240" w:rsidRDefault="00A652B8" w:rsidP="001D4EAA">
          <w:pPr>
            <w:pStyle w:val="Header"/>
            <w:spacing w:after="1320"/>
            <w:jc w:val="left"/>
          </w:pPr>
        </w:p>
        <w:p w14:paraId="511061A8" w14:textId="782ACFFD" w:rsidR="00A652B8" w:rsidRPr="001D4EAA" w:rsidRDefault="00A8564F" w:rsidP="001D4EAA">
          <w:pPr>
            <w:pStyle w:val="Title"/>
          </w:pPr>
          <w:r>
            <w:t xml:space="preserve">Removal of the </w:t>
          </w:r>
          <w:r w:rsidR="003317A4">
            <w:t>stamping fee exemption</w:t>
          </w:r>
        </w:p>
        <w:p w14:paraId="7C7F3B1A" w14:textId="77777777" w:rsidR="00A652B8" w:rsidRPr="001D4EAA" w:rsidRDefault="00A652B8" w:rsidP="00082FC2">
          <w:pPr>
            <w:pStyle w:val="Subtitle"/>
            <w:spacing w:after="240"/>
          </w:pPr>
          <w:r>
            <w:t>Consultation paper</w:t>
          </w:r>
        </w:p>
        <w:p w14:paraId="380B42D1" w14:textId="022022FA" w:rsidR="00A652B8" w:rsidRDefault="007632B4" w:rsidP="001D4EAA">
          <w:pPr>
            <w:pStyle w:val="ReportDate"/>
            <w:rPr>
              <w:rFonts w:ascii="Rockwell" w:hAnsi="Rockwell"/>
              <w:sz w:val="24"/>
            </w:rPr>
          </w:pPr>
          <w:r w:rsidRPr="00E71F2B">
            <w:rPr>
              <w:rStyle w:val="ReportDateChar"/>
            </w:rPr>
            <w:t xml:space="preserve">28 </w:t>
          </w:r>
          <w:r w:rsidR="003317A4" w:rsidRPr="00E71F2B">
            <w:rPr>
              <w:rStyle w:val="ReportDateChar"/>
            </w:rPr>
            <w:t>June 2022</w:t>
          </w:r>
        </w:p>
        <w:p w14:paraId="7865DE51" w14:textId="77777777" w:rsidR="00A652B8" w:rsidRDefault="00A652B8" w:rsidP="00775702">
          <w:pPr>
            <w:spacing w:after="1640"/>
          </w:pPr>
        </w:p>
        <w:p w14:paraId="770ECA99" w14:textId="77777777" w:rsidR="00A652B8" w:rsidRDefault="00A652B8" w:rsidP="00775702">
          <w:pPr>
            <w:spacing w:after="1640"/>
          </w:pPr>
        </w:p>
        <w:p w14:paraId="68FF19EF" w14:textId="4A0F044F" w:rsidR="000E0B74" w:rsidRDefault="00A652B8" w:rsidP="00575159">
          <w:pPr>
            <w:spacing w:before="0" w:after="160" w:line="259" w:lineRule="auto"/>
            <w:sectPr w:rsidR="000E0B74" w:rsidSect="00555D14">
              <w:pgSz w:w="11906" w:h="16838" w:code="9"/>
              <w:pgMar w:top="1843" w:right="1418" w:bottom="1418" w:left="1418" w:header="709" w:footer="709" w:gutter="0"/>
              <w:pgNumType w:fmt="lowerRoman" w:start="0"/>
              <w:cols w:space="720"/>
              <w:titlePg/>
              <w:docGrid w:linePitch="299"/>
            </w:sectPr>
          </w:pPr>
          <w:r>
            <w:br w:type="page"/>
          </w:r>
        </w:p>
      </w:sdtContent>
    </w:sdt>
    <w:p w14:paraId="07D8B620" w14:textId="600E9713" w:rsidR="000E0B74" w:rsidRDefault="000E0B74" w:rsidP="00575159">
      <w:pPr>
        <w:spacing w:before="0" w:after="160" w:line="259" w:lineRule="auto"/>
      </w:pPr>
      <w:r w:rsidRPr="00661BF0">
        <w:lastRenderedPageBreak/>
        <w:t xml:space="preserve">© Commonwealth of Australia </w:t>
      </w:r>
      <w:r w:rsidRPr="00E71F2B">
        <w:t>20</w:t>
      </w:r>
      <w:r w:rsidR="00EF2FBF" w:rsidRPr="00E71F2B">
        <w:t>2</w:t>
      </w:r>
      <w:r w:rsidR="0008345F" w:rsidRPr="00E71F2B">
        <w:t>2</w:t>
      </w:r>
    </w:p>
    <w:p w14:paraId="1FCFA9D7" w14:textId="3BF119D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7CB36A21" w14:textId="77777777" w:rsidR="000E0B74" w:rsidRDefault="000E0B74" w:rsidP="000E0B74">
      <w:pPr>
        <w:pStyle w:val="ChartGraphic"/>
        <w:jc w:val="left"/>
      </w:pPr>
      <w:r w:rsidRPr="00E56DFB">
        <w:rPr>
          <w:noProof/>
          <w:lang w:eastAsia="zh-CN"/>
        </w:rPr>
        <w:drawing>
          <wp:inline distT="0" distB="0" distL="0" distR="0" wp14:anchorId="68372929" wp14:editId="27330228">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9FB69B4"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0D12DFA8" w14:textId="77777777" w:rsidR="000E0B74" w:rsidRPr="0031276E" w:rsidRDefault="000E0B74" w:rsidP="0031276E">
      <w:pPr>
        <w:spacing w:before="240"/>
        <w:rPr>
          <w:b/>
        </w:rPr>
      </w:pPr>
      <w:r w:rsidRPr="0031276E">
        <w:rPr>
          <w:b/>
        </w:rPr>
        <w:t>Treasury material used ‘as supplied’.</w:t>
      </w:r>
    </w:p>
    <w:p w14:paraId="281AEB87"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2BCA5610" w14:textId="16FBE835" w:rsidR="000E0B74" w:rsidRPr="00A13A11" w:rsidRDefault="000E0B74" w:rsidP="000E0B74">
      <w:pPr>
        <w:ind w:firstLine="720"/>
      </w:pPr>
      <w:r w:rsidRPr="002F1BC2">
        <w:rPr>
          <w:i/>
        </w:rPr>
        <w:t xml:space="preserve">Source: The </w:t>
      </w:r>
      <w:r w:rsidRPr="002F1BC2">
        <w:rPr>
          <w:i/>
          <w:iCs/>
        </w:rPr>
        <w:t>Australian Government the Treasury</w:t>
      </w:r>
      <w:r>
        <w:t>.</w:t>
      </w:r>
    </w:p>
    <w:p w14:paraId="0C546A40" w14:textId="77777777" w:rsidR="000E0B74" w:rsidRPr="006627B4" w:rsidRDefault="000E0B74" w:rsidP="000E0B74">
      <w:pPr>
        <w:spacing w:before="240"/>
      </w:pPr>
      <w:r w:rsidRPr="00CC63CC">
        <w:rPr>
          <w:b/>
        </w:rPr>
        <w:t>Derivative</w:t>
      </w:r>
      <w:r w:rsidRPr="006627B4">
        <w:t xml:space="preserve"> </w:t>
      </w:r>
      <w:r w:rsidRPr="00CC63CC">
        <w:rPr>
          <w:b/>
        </w:rPr>
        <w:t>material</w:t>
      </w:r>
    </w:p>
    <w:p w14:paraId="1D7CC2D6"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64B5E50" w14:textId="1E0126B1" w:rsidR="000E0B74" w:rsidRPr="006627B4" w:rsidRDefault="000E0B74" w:rsidP="000E0B74">
      <w:pPr>
        <w:ind w:firstLine="720"/>
      </w:pPr>
      <w:r w:rsidRPr="002F1BC2">
        <w:rPr>
          <w:i/>
        </w:rPr>
        <w:t>Based on The Australian Government the Treasury data</w:t>
      </w:r>
      <w:r>
        <w:t>.</w:t>
      </w:r>
    </w:p>
    <w:p w14:paraId="246E0359" w14:textId="77777777" w:rsidR="000E0B74" w:rsidRPr="006627B4" w:rsidRDefault="000E0B74" w:rsidP="000E0B74">
      <w:pPr>
        <w:spacing w:before="240"/>
        <w:rPr>
          <w:b/>
        </w:rPr>
      </w:pPr>
      <w:r w:rsidRPr="006627B4">
        <w:rPr>
          <w:b/>
        </w:rPr>
        <w:t>Use of the Coat of Arms</w:t>
      </w:r>
    </w:p>
    <w:p w14:paraId="2B833078"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0" w:history="1">
        <w:r w:rsidRPr="005A283B">
          <w:rPr>
            <w:rStyle w:val="Hyperlink"/>
          </w:rPr>
          <w:t>www.pmc.gov.au/government/commonwealth-coat-arm</w:t>
        </w:r>
      </w:hyperlink>
      <w:r w:rsidRPr="004A7BC2">
        <w:t>s).</w:t>
      </w:r>
    </w:p>
    <w:p w14:paraId="62E73BD7" w14:textId="77777777" w:rsidR="000E0B74" w:rsidRPr="006627B4" w:rsidRDefault="000E0B74" w:rsidP="000E0B74">
      <w:pPr>
        <w:spacing w:before="240"/>
        <w:rPr>
          <w:b/>
        </w:rPr>
      </w:pPr>
      <w:r>
        <w:rPr>
          <w:b/>
        </w:rPr>
        <w:t>Other u</w:t>
      </w:r>
      <w:r w:rsidRPr="006627B4">
        <w:rPr>
          <w:b/>
        </w:rPr>
        <w:t>ses</w:t>
      </w:r>
    </w:p>
    <w:p w14:paraId="5BEF958C" w14:textId="77777777" w:rsidR="000E0B74" w:rsidRPr="006627B4" w:rsidRDefault="000E0B74" w:rsidP="000E0B74">
      <w:r>
        <w:t>E</w:t>
      </w:r>
      <w:r w:rsidRPr="006627B4">
        <w:t>nquiries regarding this licence and any other use of this document are welcome at:</w:t>
      </w:r>
    </w:p>
    <w:p w14:paraId="11491206"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1" w:history="1">
        <w:r w:rsidR="004A077D" w:rsidRPr="000951A5">
          <w:rPr>
            <w:rStyle w:val="Hyperlink"/>
          </w:rPr>
          <w:t>media@treasury.gov.au</w:t>
        </w:r>
      </w:hyperlink>
      <w:r w:rsidR="004A077D">
        <w:t xml:space="preserve"> </w:t>
      </w:r>
    </w:p>
    <w:p w14:paraId="3B4534D1" w14:textId="77777777" w:rsidR="000E0B74" w:rsidRDefault="000E0B74" w:rsidP="000E0B74">
      <w:pPr>
        <w:pStyle w:val="SingleParagraph"/>
        <w:sectPr w:rsidR="000E0B74" w:rsidSect="008043EA">
          <w:headerReference w:type="even" r:id="rId22"/>
          <w:headerReference w:type="default" r:id="rId23"/>
          <w:footerReference w:type="even" r:id="rId24"/>
          <w:pgSz w:w="11906" w:h="16838" w:code="9"/>
          <w:pgMar w:top="1843" w:right="1418" w:bottom="1418" w:left="1418" w:header="709" w:footer="709" w:gutter="0"/>
          <w:pgNumType w:fmt="lowerRoman"/>
          <w:cols w:space="708"/>
          <w:titlePg/>
          <w:docGrid w:linePitch="360"/>
        </w:sectPr>
      </w:pPr>
    </w:p>
    <w:p w14:paraId="6907F816" w14:textId="77777777" w:rsidR="000E0B74" w:rsidRPr="00354FBB" w:rsidRDefault="000E0B74" w:rsidP="00354FBB">
      <w:pPr>
        <w:pStyle w:val="Heading1"/>
      </w:pPr>
      <w:bookmarkStart w:id="1" w:name="_Toc107225366"/>
      <w:r w:rsidRPr="00354FBB">
        <w:lastRenderedPageBreak/>
        <w:t>Contents</w:t>
      </w:r>
      <w:bookmarkEnd w:id="1"/>
    </w:p>
    <w:p w14:paraId="6EEC0454" w14:textId="0C786146" w:rsidR="007632B4"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07225366" w:history="1">
        <w:r w:rsidR="007632B4" w:rsidRPr="0054291F">
          <w:rPr>
            <w:rStyle w:val="Hyperlink"/>
          </w:rPr>
          <w:t>Contents</w:t>
        </w:r>
        <w:r w:rsidR="007632B4">
          <w:rPr>
            <w:webHidden/>
          </w:rPr>
          <w:tab/>
        </w:r>
        <w:r w:rsidR="007632B4">
          <w:rPr>
            <w:webHidden/>
          </w:rPr>
          <w:fldChar w:fldCharType="begin"/>
        </w:r>
        <w:r w:rsidR="007632B4">
          <w:rPr>
            <w:webHidden/>
          </w:rPr>
          <w:instrText xml:space="preserve"> PAGEREF _Toc107225366 \h </w:instrText>
        </w:r>
        <w:r w:rsidR="007632B4">
          <w:rPr>
            <w:webHidden/>
          </w:rPr>
        </w:r>
        <w:r w:rsidR="007632B4">
          <w:rPr>
            <w:webHidden/>
          </w:rPr>
          <w:fldChar w:fldCharType="separate"/>
        </w:r>
        <w:r w:rsidR="007632B4">
          <w:rPr>
            <w:webHidden/>
          </w:rPr>
          <w:t>ii</w:t>
        </w:r>
        <w:r w:rsidR="007632B4">
          <w:rPr>
            <w:webHidden/>
          </w:rPr>
          <w:fldChar w:fldCharType="end"/>
        </w:r>
      </w:hyperlink>
    </w:p>
    <w:p w14:paraId="6F6EEA59" w14:textId="6FE426E1" w:rsidR="007632B4" w:rsidRDefault="00B20635">
      <w:pPr>
        <w:pStyle w:val="TOC1"/>
        <w:rPr>
          <w:rFonts w:asciiTheme="minorHAnsi" w:eastAsiaTheme="minorEastAsia" w:hAnsiTheme="minorHAnsi" w:cstheme="minorBidi"/>
          <w:b w:val="0"/>
          <w:color w:val="auto"/>
        </w:rPr>
      </w:pPr>
      <w:hyperlink w:anchor="_Toc107225367" w:history="1">
        <w:r w:rsidR="007632B4" w:rsidRPr="0054291F">
          <w:rPr>
            <w:rStyle w:val="Hyperlink"/>
          </w:rPr>
          <w:t>Consultation Process</w:t>
        </w:r>
        <w:r w:rsidR="007632B4">
          <w:rPr>
            <w:webHidden/>
          </w:rPr>
          <w:tab/>
        </w:r>
        <w:r w:rsidR="007632B4">
          <w:rPr>
            <w:webHidden/>
          </w:rPr>
          <w:fldChar w:fldCharType="begin"/>
        </w:r>
        <w:r w:rsidR="007632B4">
          <w:rPr>
            <w:webHidden/>
          </w:rPr>
          <w:instrText xml:space="preserve"> PAGEREF _Toc107225367 \h </w:instrText>
        </w:r>
        <w:r w:rsidR="007632B4">
          <w:rPr>
            <w:webHidden/>
          </w:rPr>
        </w:r>
        <w:r w:rsidR="007632B4">
          <w:rPr>
            <w:webHidden/>
          </w:rPr>
          <w:fldChar w:fldCharType="separate"/>
        </w:r>
        <w:r w:rsidR="007632B4">
          <w:rPr>
            <w:webHidden/>
          </w:rPr>
          <w:t>3</w:t>
        </w:r>
        <w:r w:rsidR="007632B4">
          <w:rPr>
            <w:webHidden/>
          </w:rPr>
          <w:fldChar w:fldCharType="end"/>
        </w:r>
      </w:hyperlink>
    </w:p>
    <w:p w14:paraId="0D213E76" w14:textId="6F9D9DF9" w:rsidR="007632B4" w:rsidRDefault="00B20635">
      <w:pPr>
        <w:pStyle w:val="TOC2"/>
        <w:rPr>
          <w:rFonts w:asciiTheme="minorHAnsi" w:eastAsiaTheme="minorEastAsia" w:hAnsiTheme="minorHAnsi" w:cstheme="minorBidi"/>
          <w:color w:val="auto"/>
          <w:szCs w:val="22"/>
        </w:rPr>
      </w:pPr>
      <w:hyperlink w:anchor="_Toc107225368" w:history="1">
        <w:r w:rsidR="007632B4" w:rsidRPr="0054291F">
          <w:rPr>
            <w:rStyle w:val="Hyperlink"/>
          </w:rPr>
          <w:t>Request for feedback and comments</w:t>
        </w:r>
        <w:r w:rsidR="007632B4">
          <w:rPr>
            <w:webHidden/>
          </w:rPr>
          <w:tab/>
        </w:r>
        <w:r w:rsidR="007632B4">
          <w:rPr>
            <w:webHidden/>
          </w:rPr>
          <w:fldChar w:fldCharType="begin"/>
        </w:r>
        <w:r w:rsidR="007632B4">
          <w:rPr>
            <w:webHidden/>
          </w:rPr>
          <w:instrText xml:space="preserve"> PAGEREF _Toc107225368 \h </w:instrText>
        </w:r>
        <w:r w:rsidR="007632B4">
          <w:rPr>
            <w:webHidden/>
          </w:rPr>
        </w:r>
        <w:r w:rsidR="007632B4">
          <w:rPr>
            <w:webHidden/>
          </w:rPr>
          <w:fldChar w:fldCharType="separate"/>
        </w:r>
        <w:r w:rsidR="007632B4">
          <w:rPr>
            <w:webHidden/>
          </w:rPr>
          <w:t>3</w:t>
        </w:r>
        <w:r w:rsidR="007632B4">
          <w:rPr>
            <w:webHidden/>
          </w:rPr>
          <w:fldChar w:fldCharType="end"/>
        </w:r>
      </w:hyperlink>
    </w:p>
    <w:p w14:paraId="4F65FE85" w14:textId="471F18AD" w:rsidR="007632B4" w:rsidRDefault="00B20635">
      <w:pPr>
        <w:pStyle w:val="TOC1"/>
        <w:rPr>
          <w:rFonts w:asciiTheme="minorHAnsi" w:eastAsiaTheme="minorEastAsia" w:hAnsiTheme="minorHAnsi" w:cstheme="minorBidi"/>
          <w:b w:val="0"/>
          <w:color w:val="auto"/>
        </w:rPr>
      </w:pPr>
      <w:hyperlink w:anchor="_Toc107225369" w:history="1">
        <w:r w:rsidR="007632B4" w:rsidRPr="0054291F">
          <w:rPr>
            <w:rStyle w:val="Hyperlink"/>
          </w:rPr>
          <w:t>Removal of the stamping fee exemption</w:t>
        </w:r>
        <w:r w:rsidR="007632B4">
          <w:rPr>
            <w:webHidden/>
          </w:rPr>
          <w:tab/>
        </w:r>
        <w:r w:rsidR="007632B4">
          <w:rPr>
            <w:webHidden/>
          </w:rPr>
          <w:fldChar w:fldCharType="begin"/>
        </w:r>
        <w:r w:rsidR="007632B4">
          <w:rPr>
            <w:webHidden/>
          </w:rPr>
          <w:instrText xml:space="preserve"> PAGEREF _Toc107225369 \h </w:instrText>
        </w:r>
        <w:r w:rsidR="007632B4">
          <w:rPr>
            <w:webHidden/>
          </w:rPr>
        </w:r>
        <w:r w:rsidR="007632B4">
          <w:rPr>
            <w:webHidden/>
          </w:rPr>
          <w:fldChar w:fldCharType="separate"/>
        </w:r>
        <w:r w:rsidR="007632B4">
          <w:rPr>
            <w:webHidden/>
          </w:rPr>
          <w:t>4</w:t>
        </w:r>
        <w:r w:rsidR="007632B4">
          <w:rPr>
            <w:webHidden/>
          </w:rPr>
          <w:fldChar w:fldCharType="end"/>
        </w:r>
      </w:hyperlink>
    </w:p>
    <w:p w14:paraId="16E2235D" w14:textId="39000F59" w:rsidR="007632B4" w:rsidRDefault="00B20635">
      <w:pPr>
        <w:pStyle w:val="TOC2"/>
        <w:rPr>
          <w:rFonts w:asciiTheme="minorHAnsi" w:eastAsiaTheme="minorEastAsia" w:hAnsiTheme="minorHAnsi" w:cstheme="minorBidi"/>
          <w:color w:val="auto"/>
          <w:szCs w:val="22"/>
        </w:rPr>
      </w:pPr>
      <w:hyperlink w:anchor="_Toc107225370" w:history="1">
        <w:r w:rsidR="007632B4" w:rsidRPr="0054291F">
          <w:rPr>
            <w:rStyle w:val="Hyperlink"/>
          </w:rPr>
          <w:t>Introduction</w:t>
        </w:r>
        <w:r w:rsidR="007632B4">
          <w:rPr>
            <w:webHidden/>
          </w:rPr>
          <w:tab/>
        </w:r>
        <w:r w:rsidR="007632B4">
          <w:rPr>
            <w:webHidden/>
          </w:rPr>
          <w:fldChar w:fldCharType="begin"/>
        </w:r>
        <w:r w:rsidR="007632B4">
          <w:rPr>
            <w:webHidden/>
          </w:rPr>
          <w:instrText xml:space="preserve"> PAGEREF _Toc107225370 \h </w:instrText>
        </w:r>
        <w:r w:rsidR="007632B4">
          <w:rPr>
            <w:webHidden/>
          </w:rPr>
        </w:r>
        <w:r w:rsidR="007632B4">
          <w:rPr>
            <w:webHidden/>
          </w:rPr>
          <w:fldChar w:fldCharType="separate"/>
        </w:r>
        <w:r w:rsidR="007632B4">
          <w:rPr>
            <w:webHidden/>
          </w:rPr>
          <w:t>4</w:t>
        </w:r>
        <w:r w:rsidR="007632B4">
          <w:rPr>
            <w:webHidden/>
          </w:rPr>
          <w:fldChar w:fldCharType="end"/>
        </w:r>
      </w:hyperlink>
    </w:p>
    <w:p w14:paraId="7C73619A" w14:textId="7D5925AC" w:rsidR="007632B4" w:rsidRDefault="00B20635">
      <w:pPr>
        <w:pStyle w:val="TOC2"/>
        <w:rPr>
          <w:rFonts w:asciiTheme="minorHAnsi" w:eastAsiaTheme="minorEastAsia" w:hAnsiTheme="minorHAnsi" w:cstheme="minorBidi"/>
          <w:color w:val="auto"/>
          <w:szCs w:val="22"/>
        </w:rPr>
      </w:pPr>
      <w:hyperlink w:anchor="_Toc107225371" w:history="1">
        <w:r w:rsidR="007632B4" w:rsidRPr="0054291F">
          <w:rPr>
            <w:rStyle w:val="Hyperlink"/>
          </w:rPr>
          <w:t>Background</w:t>
        </w:r>
        <w:r w:rsidR="007632B4">
          <w:rPr>
            <w:webHidden/>
          </w:rPr>
          <w:tab/>
        </w:r>
        <w:r w:rsidR="007632B4">
          <w:rPr>
            <w:webHidden/>
          </w:rPr>
          <w:fldChar w:fldCharType="begin"/>
        </w:r>
        <w:r w:rsidR="007632B4">
          <w:rPr>
            <w:webHidden/>
          </w:rPr>
          <w:instrText xml:space="preserve"> PAGEREF _Toc107225371 \h </w:instrText>
        </w:r>
        <w:r w:rsidR="007632B4">
          <w:rPr>
            <w:webHidden/>
          </w:rPr>
        </w:r>
        <w:r w:rsidR="007632B4">
          <w:rPr>
            <w:webHidden/>
          </w:rPr>
          <w:fldChar w:fldCharType="separate"/>
        </w:r>
        <w:r w:rsidR="007632B4">
          <w:rPr>
            <w:webHidden/>
          </w:rPr>
          <w:t>4</w:t>
        </w:r>
        <w:r w:rsidR="007632B4">
          <w:rPr>
            <w:webHidden/>
          </w:rPr>
          <w:fldChar w:fldCharType="end"/>
        </w:r>
      </w:hyperlink>
    </w:p>
    <w:p w14:paraId="71744156" w14:textId="1E865288" w:rsidR="007632B4" w:rsidRDefault="00B20635">
      <w:pPr>
        <w:pStyle w:val="TOC2"/>
        <w:rPr>
          <w:rFonts w:asciiTheme="minorHAnsi" w:eastAsiaTheme="minorEastAsia" w:hAnsiTheme="minorHAnsi" w:cstheme="minorBidi"/>
          <w:color w:val="auto"/>
          <w:szCs w:val="22"/>
        </w:rPr>
      </w:pPr>
      <w:hyperlink w:anchor="_Toc107225372" w:history="1">
        <w:r w:rsidR="007632B4" w:rsidRPr="0054291F">
          <w:rPr>
            <w:rStyle w:val="Hyperlink"/>
          </w:rPr>
          <w:t>Policy objectives</w:t>
        </w:r>
        <w:r w:rsidR="007632B4">
          <w:rPr>
            <w:webHidden/>
          </w:rPr>
          <w:tab/>
        </w:r>
        <w:r w:rsidR="007632B4">
          <w:rPr>
            <w:webHidden/>
          </w:rPr>
          <w:fldChar w:fldCharType="begin"/>
        </w:r>
        <w:r w:rsidR="007632B4">
          <w:rPr>
            <w:webHidden/>
          </w:rPr>
          <w:instrText xml:space="preserve"> PAGEREF _Toc107225372 \h </w:instrText>
        </w:r>
        <w:r w:rsidR="007632B4">
          <w:rPr>
            <w:webHidden/>
          </w:rPr>
        </w:r>
        <w:r w:rsidR="007632B4">
          <w:rPr>
            <w:webHidden/>
          </w:rPr>
          <w:fldChar w:fldCharType="separate"/>
        </w:r>
        <w:r w:rsidR="007632B4">
          <w:rPr>
            <w:webHidden/>
          </w:rPr>
          <w:t>5</w:t>
        </w:r>
        <w:r w:rsidR="007632B4">
          <w:rPr>
            <w:webHidden/>
          </w:rPr>
          <w:fldChar w:fldCharType="end"/>
        </w:r>
      </w:hyperlink>
    </w:p>
    <w:p w14:paraId="13FB6BC4" w14:textId="0FA1C548" w:rsidR="007632B4" w:rsidRDefault="00B20635">
      <w:pPr>
        <w:pStyle w:val="TOC2"/>
        <w:rPr>
          <w:rFonts w:asciiTheme="minorHAnsi" w:eastAsiaTheme="minorEastAsia" w:hAnsiTheme="minorHAnsi" w:cstheme="minorBidi"/>
          <w:color w:val="auto"/>
          <w:szCs w:val="22"/>
        </w:rPr>
      </w:pPr>
      <w:hyperlink w:anchor="_Toc107225373" w:history="1">
        <w:r w:rsidR="007632B4" w:rsidRPr="0054291F">
          <w:rPr>
            <w:rStyle w:val="Hyperlink"/>
          </w:rPr>
          <w:t>Purpose</w:t>
        </w:r>
        <w:r w:rsidR="007632B4">
          <w:rPr>
            <w:webHidden/>
          </w:rPr>
          <w:tab/>
        </w:r>
        <w:r w:rsidR="007632B4">
          <w:rPr>
            <w:webHidden/>
          </w:rPr>
          <w:fldChar w:fldCharType="begin"/>
        </w:r>
        <w:r w:rsidR="007632B4">
          <w:rPr>
            <w:webHidden/>
          </w:rPr>
          <w:instrText xml:space="preserve"> PAGEREF _Toc107225373 \h </w:instrText>
        </w:r>
        <w:r w:rsidR="007632B4">
          <w:rPr>
            <w:webHidden/>
          </w:rPr>
        </w:r>
        <w:r w:rsidR="007632B4">
          <w:rPr>
            <w:webHidden/>
          </w:rPr>
          <w:fldChar w:fldCharType="separate"/>
        </w:r>
        <w:r w:rsidR="007632B4">
          <w:rPr>
            <w:webHidden/>
          </w:rPr>
          <w:t>5</w:t>
        </w:r>
        <w:r w:rsidR="007632B4">
          <w:rPr>
            <w:webHidden/>
          </w:rPr>
          <w:fldChar w:fldCharType="end"/>
        </w:r>
      </w:hyperlink>
    </w:p>
    <w:p w14:paraId="2F620ADB" w14:textId="1772375C" w:rsidR="007632B4" w:rsidRDefault="00B20635">
      <w:pPr>
        <w:pStyle w:val="TOC2"/>
        <w:rPr>
          <w:rFonts w:asciiTheme="minorHAnsi" w:eastAsiaTheme="minorEastAsia" w:hAnsiTheme="minorHAnsi" w:cstheme="minorBidi"/>
          <w:color w:val="auto"/>
          <w:szCs w:val="22"/>
        </w:rPr>
      </w:pPr>
      <w:hyperlink w:anchor="_Toc107225374" w:history="1">
        <w:r w:rsidR="007632B4" w:rsidRPr="0054291F">
          <w:rPr>
            <w:rStyle w:val="Hyperlink"/>
          </w:rPr>
          <w:t>Consultation questions</w:t>
        </w:r>
        <w:r w:rsidR="007632B4">
          <w:rPr>
            <w:webHidden/>
          </w:rPr>
          <w:tab/>
        </w:r>
        <w:r w:rsidR="007632B4">
          <w:rPr>
            <w:webHidden/>
          </w:rPr>
          <w:fldChar w:fldCharType="begin"/>
        </w:r>
        <w:r w:rsidR="007632B4">
          <w:rPr>
            <w:webHidden/>
          </w:rPr>
          <w:instrText xml:space="preserve"> PAGEREF _Toc107225374 \h </w:instrText>
        </w:r>
        <w:r w:rsidR="007632B4">
          <w:rPr>
            <w:webHidden/>
          </w:rPr>
        </w:r>
        <w:r w:rsidR="007632B4">
          <w:rPr>
            <w:webHidden/>
          </w:rPr>
          <w:fldChar w:fldCharType="separate"/>
        </w:r>
        <w:r w:rsidR="007632B4">
          <w:rPr>
            <w:webHidden/>
          </w:rPr>
          <w:t>5</w:t>
        </w:r>
        <w:r w:rsidR="007632B4">
          <w:rPr>
            <w:webHidden/>
          </w:rPr>
          <w:fldChar w:fldCharType="end"/>
        </w:r>
      </w:hyperlink>
    </w:p>
    <w:p w14:paraId="3648A98F" w14:textId="5F47466D" w:rsidR="000E0B74" w:rsidRDefault="00257AEE" w:rsidP="00656356">
      <w:pPr>
        <w:pStyle w:val="SingleParagraph"/>
        <w:tabs>
          <w:tab w:val="right" w:leader="dot" w:pos="9072"/>
        </w:tabs>
        <w:ind w:right="-2"/>
        <w:sectPr w:rsidR="000E0B74" w:rsidSect="008043EA">
          <w:footerReference w:type="default" r:id="rId25"/>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1C9DA12D" w14:textId="77777777" w:rsidR="000E0B74" w:rsidRDefault="000E0B74" w:rsidP="00354FBB">
      <w:pPr>
        <w:pStyle w:val="Heading1"/>
      </w:pPr>
      <w:bookmarkStart w:id="2" w:name="_Toc107225367"/>
      <w:bookmarkStart w:id="3" w:name="_Toc432067103"/>
      <w:r>
        <w:lastRenderedPageBreak/>
        <w:t>Consultation Process</w:t>
      </w:r>
      <w:bookmarkEnd w:id="2"/>
    </w:p>
    <w:p w14:paraId="663D0719" w14:textId="77777777" w:rsidR="000E0B74" w:rsidRDefault="000E0B74" w:rsidP="000E0B74">
      <w:pPr>
        <w:pStyle w:val="Heading2"/>
      </w:pPr>
      <w:bookmarkStart w:id="4" w:name="_Toc107225368"/>
      <w:r>
        <w:t>Request for feedback and comments</w:t>
      </w:r>
      <w:bookmarkEnd w:id="4"/>
    </w:p>
    <w:p w14:paraId="7F531100" w14:textId="5EF466CC" w:rsidR="009A20E4" w:rsidRPr="009A20E4" w:rsidRDefault="009A20E4" w:rsidP="009A20E4">
      <w:r>
        <w:t xml:space="preserve">Interested </w:t>
      </w:r>
      <w:r w:rsidRPr="009A20E4">
        <w:t xml:space="preserve">stakeholders are invited to comment on the issues raised in this </w:t>
      </w:r>
      <w:r w:rsidRPr="00E251A0">
        <w:t xml:space="preserve">paper by </w:t>
      </w:r>
      <w:r w:rsidR="00E251A0" w:rsidRPr="00DF1FD5">
        <w:t>10 July</w:t>
      </w:r>
      <w:r w:rsidRPr="00DF1FD5">
        <w:t xml:space="preserve"> 2022</w:t>
      </w:r>
      <w:r w:rsidRPr="00E251A0">
        <w:t xml:space="preserve">. Submissions may be lodged electronically or by post, however electronic lodgement is preferred via email to </w:t>
      </w:r>
      <w:r w:rsidR="00E251A0" w:rsidRPr="00E251A0">
        <w:t>mailto:FinancialAdvice@treasury.gov.au</w:t>
      </w:r>
      <w:r w:rsidRPr="00E251A0">
        <w:t>. For accessibility</w:t>
      </w:r>
      <w:r w:rsidRPr="009A20E4">
        <w:t xml:space="preserve"> reasons, please submit responses via email in a Word, RTF or PDF format.</w:t>
      </w:r>
    </w:p>
    <w:p w14:paraId="30C017C6" w14:textId="77777777" w:rsidR="009A20E4" w:rsidRPr="009A20E4" w:rsidRDefault="009A20E4" w:rsidP="009A20E4">
      <w:r w:rsidRPr="009A20E4">
        <w:t>Submissions will be shared with other Commonwealth agencies where necessary for the purposes of this review. All information (including name and address details) contained in submissions may be made publicly available on the Australian Treasury website unless you indicate that you would like all or part of your submission to remain in confidence. Automatically generated confidentiality statements in emails are not sufficient for this purpose.</w:t>
      </w:r>
    </w:p>
    <w:p w14:paraId="545CDAA0" w14:textId="77777777" w:rsidR="009A20E4" w:rsidRPr="009A20E4" w:rsidRDefault="009A20E4" w:rsidP="009A20E4">
      <w:r w:rsidRPr="009A20E4">
        <w:t>If you would like only part of your submission to remain confidential, please provide this information clearly marked as such in a separate attachment. Legal requirements, such as those imposed by the Freedom of Information Act 1982, may affect the confidentiality of your submission.</w:t>
      </w:r>
    </w:p>
    <w:p w14:paraId="7788DC1D" w14:textId="65490E6F" w:rsidR="000E0B74" w:rsidRDefault="000E0B74" w:rsidP="00257AEE">
      <w:pPr>
        <w:pStyle w:val="Heading3noTOC"/>
      </w:pPr>
      <w:r>
        <w:t xml:space="preserve">Closing date for submissions: </w:t>
      </w:r>
      <w:sdt>
        <w:sdtPr>
          <w:rPr>
            <w:rStyle w:val="Heading3Char"/>
          </w:rPr>
          <w:id w:val="1454836312"/>
          <w:placeholder>
            <w:docPart w:val="5FA7C5AB51A24FFC86B633751C078824"/>
          </w:placeholder>
          <w:date w:fullDate="2022-07-10T00:00:00Z">
            <w:dateFormat w:val="dd MMMM yyyy"/>
            <w:lid w:val="en-AU"/>
            <w:storeMappedDataAs w:val="dateTime"/>
            <w:calendar w:val="gregorian"/>
          </w:date>
        </w:sdtPr>
        <w:sdtEndPr>
          <w:rPr>
            <w:rStyle w:val="DefaultParagraphFont"/>
            <w:rFonts w:cs="Calibri"/>
            <w:b/>
          </w:rPr>
        </w:sdtEndPr>
        <w:sdtContent>
          <w:r w:rsidR="00E251A0">
            <w:rPr>
              <w:rStyle w:val="Heading3Char"/>
            </w:rPr>
            <w:t>10 July 2022</w:t>
          </w:r>
        </w:sdtContent>
      </w:sdt>
    </w:p>
    <w:tbl>
      <w:tblPr>
        <w:tblStyle w:val="TableGrid"/>
        <w:tblW w:w="0" w:type="auto"/>
        <w:tblLook w:val="04A0" w:firstRow="1" w:lastRow="0" w:firstColumn="1" w:lastColumn="0" w:noHBand="0" w:noVBand="1"/>
      </w:tblPr>
      <w:tblGrid>
        <w:gridCol w:w="1517"/>
        <w:gridCol w:w="7553"/>
      </w:tblGrid>
      <w:tr w:rsidR="000E0B74" w:rsidRPr="00B85F47" w14:paraId="4AFEB008" w14:textId="77777777" w:rsidTr="00FC083C">
        <w:trPr>
          <w:cnfStyle w:val="100000000000" w:firstRow="1" w:lastRow="0" w:firstColumn="0" w:lastColumn="0" w:oddVBand="0" w:evenVBand="0" w:oddHBand="0" w:evenHBand="0" w:firstRowFirstColumn="0" w:firstRowLastColumn="0" w:lastRowFirstColumn="0" w:lastRowLastColumn="0"/>
        </w:trPr>
        <w:tc>
          <w:tcPr>
            <w:tcW w:w="1517" w:type="dxa"/>
            <w:shd w:val="clear" w:color="auto" w:fill="auto"/>
          </w:tcPr>
          <w:p w14:paraId="58713F6B" w14:textId="77777777" w:rsidR="000E0B74" w:rsidRPr="00DF1FD5" w:rsidRDefault="000E0B74" w:rsidP="0017089D">
            <w:pPr>
              <w:spacing w:before="96" w:after="96"/>
              <w:rPr>
                <w:sz w:val="22"/>
                <w:szCs w:val="22"/>
              </w:rPr>
            </w:pPr>
            <w:r w:rsidRPr="00DF1FD5">
              <w:rPr>
                <w:sz w:val="22"/>
                <w:szCs w:val="22"/>
              </w:rPr>
              <w:t>Email</w:t>
            </w:r>
          </w:p>
        </w:tc>
        <w:tc>
          <w:tcPr>
            <w:tcW w:w="7553" w:type="dxa"/>
            <w:shd w:val="clear" w:color="auto" w:fill="auto"/>
          </w:tcPr>
          <w:p w14:paraId="0B9AC185" w14:textId="13C29A26" w:rsidR="000E0B74" w:rsidRPr="00B07382" w:rsidRDefault="00E251A0" w:rsidP="00516785">
            <w:pPr>
              <w:spacing w:before="96" w:after="96"/>
              <w:rPr>
                <w:b w:val="0"/>
                <w:bCs/>
                <w:color w:val="auto"/>
                <w:sz w:val="22"/>
                <w:szCs w:val="22"/>
              </w:rPr>
            </w:pPr>
            <w:r w:rsidRPr="00B07382">
              <w:rPr>
                <w:b w:val="0"/>
                <w:bCs/>
                <w:color w:val="auto"/>
                <w:sz w:val="22"/>
                <w:szCs w:val="22"/>
              </w:rPr>
              <w:t>F</w:t>
            </w:r>
            <w:r w:rsidR="00067F03" w:rsidRPr="00B07382">
              <w:rPr>
                <w:b w:val="0"/>
                <w:bCs/>
                <w:color w:val="auto"/>
                <w:sz w:val="22"/>
                <w:szCs w:val="22"/>
              </w:rPr>
              <w:t>inancial</w:t>
            </w:r>
            <w:r w:rsidRPr="00B07382">
              <w:rPr>
                <w:b w:val="0"/>
                <w:bCs/>
                <w:color w:val="auto"/>
                <w:sz w:val="22"/>
                <w:szCs w:val="22"/>
              </w:rPr>
              <w:t>A</w:t>
            </w:r>
            <w:r w:rsidR="00067F03" w:rsidRPr="00B07382">
              <w:rPr>
                <w:b w:val="0"/>
                <w:bCs/>
                <w:color w:val="auto"/>
                <w:sz w:val="22"/>
                <w:szCs w:val="22"/>
              </w:rPr>
              <w:t>dvice</w:t>
            </w:r>
            <w:r w:rsidR="00F53887" w:rsidRPr="00B07382">
              <w:rPr>
                <w:b w:val="0"/>
                <w:bCs/>
                <w:color w:val="auto"/>
                <w:sz w:val="22"/>
                <w:szCs w:val="22"/>
              </w:rPr>
              <w:t>@treasury.gov.au</w:t>
            </w:r>
            <w:r w:rsidR="00F53887" w:rsidRPr="00B07382">
              <w:rPr>
                <w:rFonts w:cs="Arial"/>
                <w:b w:val="0"/>
                <w:bCs/>
                <w:color w:val="auto"/>
                <w:sz w:val="22"/>
                <w:szCs w:val="22"/>
              </w:rPr>
              <w:t xml:space="preserve"> </w:t>
            </w:r>
          </w:p>
        </w:tc>
      </w:tr>
      <w:tr w:rsidR="000E0B74" w:rsidRPr="00B85F47" w14:paraId="739EAC23" w14:textId="77777777" w:rsidTr="00FC083C">
        <w:tc>
          <w:tcPr>
            <w:tcW w:w="1517" w:type="dxa"/>
          </w:tcPr>
          <w:p w14:paraId="27B3FCE6" w14:textId="09054284" w:rsidR="000E0B74" w:rsidRPr="00DF1FD5" w:rsidRDefault="000E0B74" w:rsidP="0017089D">
            <w:pPr>
              <w:rPr>
                <w:b/>
                <w:bCs/>
                <w:sz w:val="22"/>
                <w:szCs w:val="22"/>
              </w:rPr>
            </w:pPr>
            <w:r w:rsidRPr="00DF1FD5">
              <w:rPr>
                <w:b/>
                <w:bCs/>
                <w:sz w:val="22"/>
                <w:szCs w:val="22"/>
              </w:rPr>
              <w:t>Mail</w:t>
            </w:r>
          </w:p>
          <w:p w14:paraId="3EF9BCCD" w14:textId="29D577FA" w:rsidR="008D7F38" w:rsidRPr="00DF1FD5" w:rsidRDefault="008D7F38" w:rsidP="0017089D">
            <w:pPr>
              <w:rPr>
                <w:b/>
                <w:bCs/>
                <w:sz w:val="22"/>
                <w:szCs w:val="22"/>
              </w:rPr>
            </w:pPr>
          </w:p>
          <w:p w14:paraId="0DCCD5A0" w14:textId="77777777" w:rsidR="008D7F38" w:rsidRPr="00DF1FD5" w:rsidRDefault="008D7F38" w:rsidP="0017089D">
            <w:pPr>
              <w:rPr>
                <w:b/>
                <w:bCs/>
                <w:sz w:val="22"/>
                <w:szCs w:val="22"/>
              </w:rPr>
            </w:pPr>
          </w:p>
        </w:tc>
        <w:tc>
          <w:tcPr>
            <w:tcW w:w="7553" w:type="dxa"/>
          </w:tcPr>
          <w:p w14:paraId="60678ED4" w14:textId="77777777" w:rsidR="00DF1FD5" w:rsidRPr="00DF1FD5" w:rsidRDefault="00DF1FD5" w:rsidP="00DF1FD5">
            <w:pPr>
              <w:pStyle w:val="SingleParagraph"/>
              <w:rPr>
                <w:rFonts w:cs="Arial"/>
                <w:sz w:val="22"/>
                <w:szCs w:val="22"/>
              </w:rPr>
            </w:pPr>
            <w:r w:rsidRPr="00DF1FD5">
              <w:rPr>
                <w:rFonts w:cs="Arial"/>
                <w:sz w:val="22"/>
                <w:szCs w:val="22"/>
              </w:rPr>
              <w:t>Assistant Director</w:t>
            </w:r>
          </w:p>
          <w:p w14:paraId="7FDF4F60" w14:textId="77777777" w:rsidR="00DF1FD5" w:rsidRPr="00DF1FD5" w:rsidRDefault="00DF1FD5" w:rsidP="00DF1FD5">
            <w:pPr>
              <w:pStyle w:val="SingleParagraph"/>
              <w:rPr>
                <w:rFonts w:cs="Arial"/>
                <w:sz w:val="22"/>
                <w:szCs w:val="22"/>
              </w:rPr>
            </w:pPr>
            <w:r w:rsidRPr="00DF1FD5">
              <w:rPr>
                <w:rFonts w:cs="Arial"/>
                <w:sz w:val="22"/>
                <w:szCs w:val="22"/>
              </w:rPr>
              <w:t>Advice Unit</w:t>
            </w:r>
          </w:p>
          <w:p w14:paraId="34F51973" w14:textId="77777777" w:rsidR="00DF1FD5" w:rsidRPr="00DF1FD5" w:rsidRDefault="00DF1FD5" w:rsidP="00DF1FD5">
            <w:pPr>
              <w:pStyle w:val="SingleParagraph"/>
              <w:rPr>
                <w:rFonts w:cs="Arial"/>
                <w:sz w:val="22"/>
                <w:szCs w:val="22"/>
              </w:rPr>
            </w:pPr>
            <w:r w:rsidRPr="00DF1FD5">
              <w:rPr>
                <w:rFonts w:cs="Arial"/>
                <w:sz w:val="22"/>
                <w:szCs w:val="22"/>
              </w:rPr>
              <w:t>Retirement Advice and Investment Division</w:t>
            </w:r>
          </w:p>
          <w:p w14:paraId="39DE291E" w14:textId="77777777" w:rsidR="00DF1FD5" w:rsidRPr="00DF1FD5" w:rsidRDefault="00DF1FD5" w:rsidP="00DF1FD5">
            <w:pPr>
              <w:pStyle w:val="SingleParagraph"/>
              <w:rPr>
                <w:rFonts w:cs="Arial"/>
                <w:sz w:val="22"/>
                <w:szCs w:val="22"/>
              </w:rPr>
            </w:pPr>
            <w:r w:rsidRPr="00DF1FD5">
              <w:rPr>
                <w:rFonts w:cs="Arial"/>
                <w:sz w:val="22"/>
                <w:szCs w:val="22"/>
              </w:rPr>
              <w:t>Treasury</w:t>
            </w:r>
          </w:p>
          <w:p w14:paraId="1ADC43A9" w14:textId="77777777" w:rsidR="00DF1FD5" w:rsidRPr="00DF1FD5" w:rsidRDefault="00DF1FD5" w:rsidP="00DF1FD5">
            <w:pPr>
              <w:pStyle w:val="SingleParagraph"/>
              <w:rPr>
                <w:rFonts w:cs="Arial"/>
                <w:sz w:val="22"/>
                <w:szCs w:val="22"/>
              </w:rPr>
            </w:pPr>
            <w:r w:rsidRPr="00DF1FD5">
              <w:rPr>
                <w:rFonts w:cs="Arial"/>
                <w:sz w:val="22"/>
                <w:szCs w:val="22"/>
              </w:rPr>
              <w:t>Langton Cres</w:t>
            </w:r>
          </w:p>
          <w:p w14:paraId="335233EC" w14:textId="0F1C631E" w:rsidR="000E0B74" w:rsidRPr="00DF1FD5" w:rsidRDefault="00DF1FD5" w:rsidP="00DF1FD5">
            <w:pPr>
              <w:pStyle w:val="SingleParagraph"/>
              <w:rPr>
                <w:sz w:val="22"/>
                <w:szCs w:val="22"/>
              </w:rPr>
            </w:pPr>
            <w:r w:rsidRPr="00DF1FD5">
              <w:rPr>
                <w:rFonts w:cs="Arial"/>
                <w:sz w:val="22"/>
                <w:szCs w:val="22"/>
              </w:rPr>
              <w:t>Parkes ACT 2600</w:t>
            </w:r>
          </w:p>
        </w:tc>
      </w:tr>
      <w:tr w:rsidR="000E0B74" w:rsidRPr="00B85F47" w14:paraId="68FDBA97" w14:textId="77777777" w:rsidTr="00FC083C">
        <w:tc>
          <w:tcPr>
            <w:tcW w:w="1517" w:type="dxa"/>
          </w:tcPr>
          <w:p w14:paraId="293EBEE4" w14:textId="77777777" w:rsidR="000E0B74" w:rsidRPr="00DF1FD5" w:rsidRDefault="000E0B74" w:rsidP="0017089D">
            <w:pPr>
              <w:rPr>
                <w:b/>
                <w:bCs/>
                <w:sz w:val="22"/>
                <w:szCs w:val="22"/>
              </w:rPr>
            </w:pPr>
            <w:r w:rsidRPr="00DF1FD5">
              <w:rPr>
                <w:b/>
                <w:bCs/>
                <w:sz w:val="22"/>
                <w:szCs w:val="22"/>
              </w:rPr>
              <w:t>Enquiries</w:t>
            </w:r>
          </w:p>
        </w:tc>
        <w:tc>
          <w:tcPr>
            <w:tcW w:w="7553" w:type="dxa"/>
          </w:tcPr>
          <w:p w14:paraId="672DF430" w14:textId="1FABB198" w:rsidR="000E0B74" w:rsidRPr="00DF1FD5" w:rsidRDefault="000E0B74" w:rsidP="0017089D">
            <w:pPr>
              <w:rPr>
                <w:sz w:val="22"/>
                <w:szCs w:val="22"/>
              </w:rPr>
            </w:pPr>
            <w:r w:rsidRPr="00DF1FD5">
              <w:rPr>
                <w:rFonts w:cs="Arial"/>
                <w:sz w:val="22"/>
                <w:szCs w:val="22"/>
              </w:rPr>
              <w:t xml:space="preserve">Enquiries can be initially directed to </w:t>
            </w:r>
            <w:r w:rsidR="00E251A0" w:rsidRPr="00DF1FD5">
              <w:rPr>
                <w:sz w:val="22"/>
                <w:szCs w:val="22"/>
              </w:rPr>
              <w:t>F</w:t>
            </w:r>
            <w:r w:rsidR="00067F03" w:rsidRPr="00DF1FD5">
              <w:rPr>
                <w:sz w:val="22"/>
                <w:szCs w:val="22"/>
              </w:rPr>
              <w:t>inancial</w:t>
            </w:r>
            <w:r w:rsidR="00E251A0" w:rsidRPr="00DF1FD5">
              <w:rPr>
                <w:sz w:val="22"/>
                <w:szCs w:val="22"/>
              </w:rPr>
              <w:t>A</w:t>
            </w:r>
            <w:r w:rsidR="00067F03" w:rsidRPr="00DF1FD5">
              <w:rPr>
                <w:sz w:val="22"/>
                <w:szCs w:val="22"/>
              </w:rPr>
              <w:t>dvice</w:t>
            </w:r>
            <w:r w:rsidR="00FC083C" w:rsidRPr="00DF1FD5">
              <w:rPr>
                <w:sz w:val="22"/>
                <w:szCs w:val="22"/>
              </w:rPr>
              <w:t>@treasury.gov.au</w:t>
            </w:r>
            <w:r w:rsidR="00DF1FD5">
              <w:rPr>
                <w:sz w:val="22"/>
                <w:szCs w:val="22"/>
              </w:rPr>
              <w:t xml:space="preserve"> </w:t>
            </w:r>
          </w:p>
        </w:tc>
      </w:tr>
      <w:bookmarkEnd w:id="3"/>
    </w:tbl>
    <w:p w14:paraId="06350163" w14:textId="77777777" w:rsidR="00E10D39" w:rsidRDefault="00E10D39" w:rsidP="0007102C"/>
    <w:p w14:paraId="48232D81" w14:textId="77777777" w:rsidR="008D7F38" w:rsidRPr="008D7F38" w:rsidRDefault="008D7F38" w:rsidP="008D7F38"/>
    <w:p w14:paraId="0895769F" w14:textId="77777777" w:rsidR="00E10D39" w:rsidRDefault="00E10D39">
      <w:pPr>
        <w:spacing w:before="0" w:after="160" w:line="259" w:lineRule="auto"/>
        <w:rPr>
          <w:rFonts w:cs="Arial"/>
          <w:color w:val="004A7F"/>
          <w:kern w:val="32"/>
          <w:sz w:val="48"/>
          <w:szCs w:val="36"/>
        </w:rPr>
      </w:pPr>
      <w:r>
        <w:br w:type="page"/>
      </w:r>
    </w:p>
    <w:p w14:paraId="68F4738C" w14:textId="27EE8586" w:rsidR="000E0B74" w:rsidRDefault="00F54070" w:rsidP="00354FBB">
      <w:pPr>
        <w:pStyle w:val="Heading1"/>
      </w:pPr>
      <w:bookmarkStart w:id="5" w:name="_Toc107225369"/>
      <w:r>
        <w:lastRenderedPageBreak/>
        <w:t>Removal of the stamping fee exemption</w:t>
      </w:r>
      <w:bookmarkEnd w:id="5"/>
    </w:p>
    <w:p w14:paraId="0501AE22" w14:textId="47E029E6" w:rsidR="000E0B74" w:rsidRDefault="000E0B74" w:rsidP="008043EA">
      <w:pPr>
        <w:pStyle w:val="Heading2"/>
      </w:pPr>
      <w:bookmarkStart w:id="6" w:name="_Toc306887371"/>
      <w:bookmarkStart w:id="7" w:name="_Toc432064635"/>
      <w:bookmarkStart w:id="8" w:name="_Toc107225370"/>
      <w:r>
        <w:t>Introduction</w:t>
      </w:r>
      <w:bookmarkEnd w:id="6"/>
      <w:bookmarkEnd w:id="7"/>
      <w:bookmarkEnd w:id="8"/>
    </w:p>
    <w:p w14:paraId="52E10F72" w14:textId="615229B2" w:rsidR="00A01039" w:rsidRDefault="00A01039" w:rsidP="00A01039">
      <w:pPr>
        <w:spacing w:before="0" w:after="160" w:line="259" w:lineRule="auto"/>
      </w:pPr>
      <w:bookmarkStart w:id="9" w:name="_Hlk106973480"/>
      <w:bookmarkStart w:id="10" w:name="_Toc306887372"/>
      <w:bookmarkStart w:id="11" w:name="_Toc432064636"/>
      <w:r w:rsidRPr="004545C5">
        <w:t>On 21 May 2020, the former Treasurer, the Hon Josh Frydenberg MP, </w:t>
      </w:r>
      <w:hyperlink r:id="rId26" w:history="1">
        <w:r w:rsidRPr="004545C5">
          <w:t>announced</w:t>
        </w:r>
      </w:hyperlink>
      <w:r w:rsidRPr="004545C5">
        <w:t> </w:t>
      </w:r>
      <w:r>
        <w:t xml:space="preserve">that the ban </w:t>
      </w:r>
      <w:r w:rsidRPr="004545C5">
        <w:t xml:space="preserve">on conflicted remuneration </w:t>
      </w:r>
      <w:r>
        <w:t xml:space="preserve">would be extended </w:t>
      </w:r>
      <w:r w:rsidRPr="004545C5">
        <w:t xml:space="preserve">to listed investment companies </w:t>
      </w:r>
      <w:r w:rsidR="00CD2EB7">
        <w:t xml:space="preserve">(LICs) </w:t>
      </w:r>
      <w:r w:rsidRPr="004545C5">
        <w:t>and trusts (LI</w:t>
      </w:r>
      <w:r w:rsidR="00CD2EB7">
        <w:t>Ts</w:t>
      </w:r>
      <w:r w:rsidRPr="004545C5">
        <w:t xml:space="preserve">) </w:t>
      </w:r>
      <w:r>
        <w:t>from</w:t>
      </w:r>
      <w:r w:rsidRPr="004545C5">
        <w:t xml:space="preserve"> 1</w:t>
      </w:r>
      <w:r>
        <w:t> </w:t>
      </w:r>
      <w:r w:rsidRPr="004545C5">
        <w:t>July 2020.</w:t>
      </w:r>
      <w:r w:rsidR="007632B4">
        <w:t xml:space="preserve"> Removing conflicted remuneration was implemented to address potentially misaligned incentives between adviser and client,</w:t>
      </w:r>
      <w:r w:rsidR="007632B4" w:rsidRPr="0077506F">
        <w:t xml:space="preserve"> and</w:t>
      </w:r>
      <w:r w:rsidR="007632B4">
        <w:t xml:space="preserve"> to ensure</w:t>
      </w:r>
      <w:r w:rsidR="007632B4" w:rsidRPr="0077506F">
        <w:t xml:space="preserve"> capital markets remain efficient and globally competitive</w:t>
      </w:r>
      <w:r w:rsidR="00F2509C">
        <w:t>.</w:t>
      </w:r>
      <w:r w:rsidRPr="004545C5">
        <w:t xml:space="preserve"> </w:t>
      </w:r>
    </w:p>
    <w:p w14:paraId="0B6D6337" w14:textId="74D47A63" w:rsidR="00A01039" w:rsidRDefault="00A01039" w:rsidP="00A01039">
      <w:pPr>
        <w:spacing w:before="0" w:after="160" w:line="259" w:lineRule="auto"/>
      </w:pPr>
      <w:r>
        <w:t>The Office of Best Practice Regulation (OBPR) determined that the measure was</w:t>
      </w:r>
      <w:r w:rsidRPr="00A01039">
        <w:t xml:space="preserve"> </w:t>
      </w:r>
      <w:r w:rsidRPr="00A11AB6">
        <w:t>likely to have major impacts on affected businesses and individuals</w:t>
      </w:r>
      <w:r w:rsidR="00300460">
        <w:t xml:space="preserve"> and </w:t>
      </w:r>
      <w:r w:rsidRPr="00A11AB6">
        <w:t>a Regulation Impact Statement (RIS) was required to be prepared</w:t>
      </w:r>
      <w:r>
        <w:t xml:space="preserve">. However, a RIS was not completed prior to the final decision. As a result, Treasury is required to complete a post implementation review </w:t>
      </w:r>
      <w:r w:rsidR="00E251A0">
        <w:t xml:space="preserve">of the policy </w:t>
      </w:r>
      <w:r>
        <w:t>within two years</w:t>
      </w:r>
      <w:r w:rsidR="00E251A0">
        <w:t xml:space="preserve"> of implementation</w:t>
      </w:r>
      <w:r>
        <w:t xml:space="preserve">. </w:t>
      </w:r>
    </w:p>
    <w:p w14:paraId="3253D48F" w14:textId="692C6D2F" w:rsidR="00C64780" w:rsidRDefault="00D97D91" w:rsidP="00D97D91">
      <w:pPr>
        <w:pStyle w:val="Heading2"/>
      </w:pPr>
      <w:bookmarkStart w:id="12" w:name="_Toc107225371"/>
      <w:bookmarkEnd w:id="9"/>
      <w:r>
        <w:t>Background</w:t>
      </w:r>
      <w:bookmarkEnd w:id="12"/>
    </w:p>
    <w:p w14:paraId="0C82C1C6" w14:textId="0469B4F6" w:rsidR="00712556" w:rsidRPr="0077506F" w:rsidRDefault="00712556" w:rsidP="00712556">
      <w:pPr>
        <w:spacing w:before="0" w:after="160" w:line="259" w:lineRule="auto"/>
      </w:pPr>
      <w:r w:rsidRPr="0077506F">
        <w:t xml:space="preserve">Stamping fees are one-off volume-based payments made to Australian Financial Service </w:t>
      </w:r>
      <w:r w:rsidR="00300460">
        <w:t xml:space="preserve">(AFS) </w:t>
      </w:r>
      <w:r w:rsidRPr="0077506F">
        <w:t>licensees or their representatives</w:t>
      </w:r>
      <w:r w:rsidR="00C80577">
        <w:t>, like financial advisers,</w:t>
      </w:r>
      <w:r w:rsidRPr="0077506F">
        <w:t xml:space="preserve"> </w:t>
      </w:r>
      <w:r>
        <w:t>who secure</w:t>
      </w:r>
      <w:r w:rsidRPr="0077506F">
        <w:t xml:space="preserve"> investors for capital raising </w:t>
      </w:r>
      <w:r>
        <w:t>(</w:t>
      </w:r>
      <w:r w:rsidRPr="0077506F">
        <w:t>such as the initial public offerings of shares</w:t>
      </w:r>
      <w:r>
        <w:t>)</w:t>
      </w:r>
      <w:r w:rsidRPr="0077506F">
        <w:t>.</w:t>
      </w:r>
    </w:p>
    <w:p w14:paraId="48A1E191" w14:textId="2A7045BC" w:rsidR="00712556" w:rsidRPr="00712556" w:rsidRDefault="00CF5CE1" w:rsidP="002A16F3">
      <w:pPr>
        <w:spacing w:before="0" w:after="160" w:line="259" w:lineRule="auto"/>
      </w:pPr>
      <w:bookmarkStart w:id="13" w:name="_Hlk106975862"/>
      <w:r>
        <w:t xml:space="preserve">Stamping fees represent a form of conflicted remuneration. </w:t>
      </w:r>
      <w:r w:rsidR="00712556" w:rsidRPr="0077506F">
        <w:t xml:space="preserve">Conflicted remuneration is </w:t>
      </w:r>
      <w:r w:rsidR="002A16F3">
        <w:t>a</w:t>
      </w:r>
      <w:r w:rsidR="002A16F3" w:rsidRPr="0077506F">
        <w:t xml:space="preserve"> </w:t>
      </w:r>
      <w:r w:rsidR="00712556" w:rsidRPr="0077506F">
        <w:t xml:space="preserve">benefit given to an </w:t>
      </w:r>
      <w:r w:rsidR="00712556">
        <w:t>AFS</w:t>
      </w:r>
      <w:r w:rsidR="00712556" w:rsidRPr="0077506F">
        <w:t xml:space="preserve"> licensee or its representative </w:t>
      </w:r>
      <w:r w:rsidR="002A16F3">
        <w:t>which may influence the financial product advice given</w:t>
      </w:r>
      <w:r w:rsidR="002A16F3" w:rsidRPr="0077506F">
        <w:t xml:space="preserve"> </w:t>
      </w:r>
      <w:r w:rsidR="00712556" w:rsidRPr="0077506F">
        <w:t>to retail clients</w:t>
      </w:r>
      <w:r w:rsidR="002A16F3">
        <w:t>. The advice may be either general advice or personal advice.</w:t>
      </w:r>
      <w:r w:rsidR="00712556" w:rsidRPr="0077506F">
        <w:t xml:space="preserve"> </w:t>
      </w:r>
      <w:r w:rsidR="00712556">
        <w:t xml:space="preserve"> </w:t>
      </w:r>
    </w:p>
    <w:bookmarkEnd w:id="13"/>
    <w:p w14:paraId="14825AC6" w14:textId="11F2D53C" w:rsidR="00575159" w:rsidRPr="0077506F" w:rsidRDefault="00CF5CE1" w:rsidP="00575159">
      <w:pPr>
        <w:spacing w:before="0" w:after="160" w:line="259" w:lineRule="auto"/>
      </w:pPr>
      <w:r>
        <w:t>The</w:t>
      </w:r>
      <w:r w:rsidR="00575159" w:rsidRPr="0077506F">
        <w:t xml:space="preserve"> legislative treatment </w:t>
      </w:r>
      <w:r>
        <w:t xml:space="preserve">of stamping fees </w:t>
      </w:r>
      <w:r w:rsidR="00575159" w:rsidRPr="0077506F">
        <w:t>has changed over the last decade. The original 2012 Future of Financial Advice (FoFA) reforms included an exemption for stamping fees</w:t>
      </w:r>
      <w:r w:rsidR="00CB1259">
        <w:t>. However, the exemption</w:t>
      </w:r>
      <w:r w:rsidR="00575159" w:rsidRPr="0077506F">
        <w:t xml:space="preserve"> only relat</w:t>
      </w:r>
      <w:r w:rsidR="00CB1259">
        <w:t>ed</w:t>
      </w:r>
      <w:r w:rsidR="00575159" w:rsidRPr="0077506F">
        <w:t xml:space="preserve"> to interests in non-investment entities or infrastructure funds. The exemption was to ensure </w:t>
      </w:r>
      <w:r w:rsidR="00FB35B8" w:rsidRPr="0077506F">
        <w:t>real economy companies</w:t>
      </w:r>
      <w:r w:rsidR="00FB35B8">
        <w:t>’ capital raising</w:t>
      </w:r>
      <w:r>
        <w:t>s</w:t>
      </w:r>
      <w:r w:rsidR="00FB35B8" w:rsidRPr="0077506F">
        <w:t xml:space="preserve"> </w:t>
      </w:r>
      <w:r w:rsidR="00575159" w:rsidRPr="0077506F">
        <w:t xml:space="preserve">were not </w:t>
      </w:r>
      <w:r w:rsidR="00E300B1">
        <w:t xml:space="preserve">negatively </w:t>
      </w:r>
      <w:r w:rsidR="00575159" w:rsidRPr="0077506F">
        <w:t>impacted by the reforms.</w:t>
      </w:r>
      <w:r w:rsidR="00575159">
        <w:t xml:space="preserve"> </w:t>
      </w:r>
    </w:p>
    <w:p w14:paraId="67E10B7C" w14:textId="37101C4E" w:rsidR="00575159" w:rsidRPr="00EE1915" w:rsidRDefault="00575159" w:rsidP="00575159">
      <w:pPr>
        <w:spacing w:before="0" w:after="160" w:line="259" w:lineRule="auto"/>
      </w:pPr>
      <w:r w:rsidRPr="00EE1915">
        <w:t>The FoFA reforms were developed in response to the 2009 Parliamentary Joint Committee on Corporations and Financial Services Inquiry into Financial Products and Services in Australia which identified conflicted remuneration as the leading cause of poor financial advice provided to clients.</w:t>
      </w:r>
      <w:r w:rsidR="00942C4C">
        <w:t xml:space="preserve"> The purpose of banning conflicted remuneration was to remove the conflict between advisers and their clients’ interests that arises when advisers are provided with incentives (remuneration and other benefits) from the issuers of financial products. By removing this conflict, advisers would be free to act in the best interests of their clients and thereby provide better quality advice.</w:t>
      </w:r>
    </w:p>
    <w:p w14:paraId="252FA583" w14:textId="10C6DDF6" w:rsidR="00E776D9" w:rsidRPr="00E776D9" w:rsidRDefault="00575159" w:rsidP="00575159">
      <w:pPr>
        <w:spacing w:before="0" w:after="160" w:line="259" w:lineRule="auto"/>
      </w:pPr>
      <w:r w:rsidRPr="00EE1915">
        <w:t>In 2014, the stamping fee exemption was expanded to include listed investment entities</w:t>
      </w:r>
      <w:r w:rsidR="0008023A">
        <w:t xml:space="preserve">. Listed investment entities include </w:t>
      </w:r>
      <w:r w:rsidR="00CF5CE1">
        <w:t>LICs, LITs</w:t>
      </w:r>
      <w:r w:rsidRPr="00EE1915">
        <w:t xml:space="preserve"> and real estate investment trusts (REITs)</w:t>
      </w:r>
      <w:r w:rsidR="000D2B4E">
        <w:t xml:space="preserve">. </w:t>
      </w:r>
      <w:r w:rsidR="00CF5CE1">
        <w:t>Since</w:t>
      </w:r>
      <w:r w:rsidR="00E776D9">
        <w:t xml:space="preserve"> 1 July 2020, stamping fees paid in respect of LICs and LITs have been treated as conflicted remuneration and have been prohibited under the </w:t>
      </w:r>
      <w:r w:rsidR="00E776D9" w:rsidRPr="004545C5">
        <w:rPr>
          <w:i/>
          <w:iCs/>
        </w:rPr>
        <w:t>Corporations Act 2001</w:t>
      </w:r>
      <w:r w:rsidR="00E776D9">
        <w:t>.</w:t>
      </w:r>
      <w:r w:rsidR="00942C4C">
        <w:t xml:space="preserve"> </w:t>
      </w:r>
      <w:r w:rsidR="00971725">
        <w:t xml:space="preserve">Stamping fees paid in respect of </w:t>
      </w:r>
      <w:r w:rsidR="00942C4C">
        <w:t>REITs</w:t>
      </w:r>
      <w:r w:rsidR="00971725">
        <w:t xml:space="preserve"> remained exempt as part of the 2020 changes.</w:t>
      </w:r>
      <w:r w:rsidR="00E776D9">
        <w:t xml:space="preserve"> </w:t>
      </w:r>
    </w:p>
    <w:p w14:paraId="5CE9A030" w14:textId="23A43FCD" w:rsidR="00A76FD9" w:rsidRDefault="00575159" w:rsidP="00575159">
      <w:pPr>
        <w:spacing w:before="0" w:after="160" w:line="259" w:lineRule="auto"/>
      </w:pPr>
      <w:r w:rsidRPr="00EE1915">
        <w:t xml:space="preserve">Listed investment entities were included in the </w:t>
      </w:r>
      <w:r w:rsidR="00350B1D">
        <w:t>ban on conflicted remuneration</w:t>
      </w:r>
      <w:r w:rsidRPr="00EE1915">
        <w:t xml:space="preserve"> on the basis that the </w:t>
      </w:r>
      <w:r w:rsidR="007632B4">
        <w:t>2014</w:t>
      </w:r>
      <w:r w:rsidR="007632B4" w:rsidRPr="00EE1915">
        <w:t xml:space="preserve"> </w:t>
      </w:r>
      <w:r w:rsidRPr="00EE1915">
        <w:t>exemption created an inappropriate, market</w:t>
      </w:r>
      <w:r w:rsidR="00FF1549">
        <w:t>-</w:t>
      </w:r>
      <w:r w:rsidRPr="00EE1915">
        <w:t xml:space="preserve">distorting distinction between entities that are otherwise legitimately permitted to raise capital from retail investors. The exemption </w:t>
      </w:r>
      <w:r w:rsidR="00350B1D">
        <w:t xml:space="preserve">had </w:t>
      </w:r>
      <w:r w:rsidRPr="00EE1915">
        <w:t>allow</w:t>
      </w:r>
      <w:r w:rsidR="00B866E2">
        <w:t>ed</w:t>
      </w:r>
      <w:r w:rsidRPr="00EE1915">
        <w:t xml:space="preserve"> </w:t>
      </w:r>
      <w:r w:rsidRPr="00EE1915">
        <w:lastRenderedPageBreak/>
        <w:t xml:space="preserve">listed investment entities to pay </w:t>
      </w:r>
      <w:r w:rsidR="00971725">
        <w:t>AFS</w:t>
      </w:r>
      <w:r w:rsidR="00CF5CE1">
        <w:t xml:space="preserve"> licensee</w:t>
      </w:r>
      <w:r w:rsidR="00971725">
        <w:t>s</w:t>
      </w:r>
      <w:r w:rsidRPr="00EE1915">
        <w:t xml:space="preserve"> or their representatives a stamping fee for access to their retail investor distribution network.</w:t>
      </w:r>
    </w:p>
    <w:p w14:paraId="0D1D51C1" w14:textId="5B3C5FB9" w:rsidR="004C2073" w:rsidRDefault="00A84096" w:rsidP="00A84096">
      <w:pPr>
        <w:pStyle w:val="Heading2"/>
      </w:pPr>
      <w:bookmarkStart w:id="14" w:name="_Toc107225372"/>
      <w:r>
        <w:t>Policy objectives</w:t>
      </w:r>
      <w:bookmarkEnd w:id="14"/>
    </w:p>
    <w:p w14:paraId="276BD23A" w14:textId="096AD92D" w:rsidR="00E776D9" w:rsidRDefault="00E776D9" w:rsidP="004C2073">
      <w:r>
        <w:t xml:space="preserve">The changes to the treatment of stamping fees from 1 July 2020 was intended to remove the incentive for AFS licensees or their representatives to mis-sell products to retails clients in order to increase their remuneration, which would result in poorer consumer outcomes. </w:t>
      </w:r>
    </w:p>
    <w:p w14:paraId="3B96559B" w14:textId="038C6ACC" w:rsidR="00603D46" w:rsidRDefault="00E0311B" w:rsidP="004C2073">
      <w:bookmarkStart w:id="15" w:name="_Hlk106975233"/>
      <w:r>
        <w:t>Stamping fees</w:t>
      </w:r>
      <w:r w:rsidR="004C2073">
        <w:t xml:space="preserve"> </w:t>
      </w:r>
      <w:r w:rsidR="004E69FA">
        <w:t xml:space="preserve">can </w:t>
      </w:r>
      <w:r w:rsidR="004C2073">
        <w:t>also create a distortion in the funds management market that puts financial advice firms that use fees</w:t>
      </w:r>
      <w:r w:rsidR="00603D46">
        <w:t>-</w:t>
      </w:r>
      <w:r w:rsidR="004C2073">
        <w:t>for</w:t>
      </w:r>
      <w:r w:rsidR="00603D46">
        <w:t>-</w:t>
      </w:r>
      <w:r w:rsidR="004C2073">
        <w:t>service models at a competitive disadvantage</w:t>
      </w:r>
      <w:r>
        <w:t xml:space="preserve">. Firms </w:t>
      </w:r>
      <w:r w:rsidR="001261C5">
        <w:t>not</w:t>
      </w:r>
      <w:r>
        <w:t xml:space="preserve"> pay</w:t>
      </w:r>
      <w:r w:rsidR="001261C5">
        <w:t>ing</w:t>
      </w:r>
      <w:r>
        <w:t xml:space="preserve"> stamping fees were</w:t>
      </w:r>
      <w:r w:rsidR="004C2073">
        <w:t xml:space="preserve"> compet</w:t>
      </w:r>
      <w:r>
        <w:t>ing</w:t>
      </w:r>
      <w:r w:rsidR="004C2073">
        <w:t xml:space="preserve"> </w:t>
      </w:r>
      <w:r>
        <w:t>against</w:t>
      </w:r>
      <w:r w:rsidR="004C2073">
        <w:t xml:space="preserve"> firms that can offer discounted pricing by supplementing revenue through stamping fee earnings. Investment products such as exchange traded funds, exchange traded products and managed funds </w:t>
      </w:r>
      <w:r w:rsidR="001261C5">
        <w:t>were likewise disadvantaged by being unable to pay stamping fees</w:t>
      </w:r>
      <w:r w:rsidR="004C2073">
        <w:t>.</w:t>
      </w:r>
      <w:r w:rsidR="00380A7F" w:rsidRPr="00380A7F">
        <w:t xml:space="preserve"> </w:t>
      </w:r>
    </w:p>
    <w:bookmarkEnd w:id="15"/>
    <w:p w14:paraId="07F1465D" w14:textId="7B4604F1" w:rsidR="004C2073" w:rsidRDefault="00380A7F" w:rsidP="004C2073">
      <w:r>
        <w:t xml:space="preserve">Removing distortions </w:t>
      </w:r>
      <w:r w:rsidR="00603D46">
        <w:t xml:space="preserve">created by stamping fees </w:t>
      </w:r>
      <w:r w:rsidR="00CD2EB7">
        <w:t xml:space="preserve">was intended to improve </w:t>
      </w:r>
      <w:r>
        <w:t>competitive neutrality within the funds management industry and</w:t>
      </w:r>
      <w:r w:rsidR="004545C5">
        <w:t xml:space="preserve"> generate</w:t>
      </w:r>
      <w:r>
        <w:t xml:space="preserve"> </w:t>
      </w:r>
      <w:r w:rsidR="00C124D9">
        <w:t>better outcomes for</w:t>
      </w:r>
      <w:r w:rsidR="00603D46">
        <w:t xml:space="preserve"> consumer</w:t>
      </w:r>
      <w:r w:rsidR="00C124D9">
        <w:t>s</w:t>
      </w:r>
      <w:r>
        <w:t>.</w:t>
      </w:r>
    </w:p>
    <w:p w14:paraId="02A59D3C" w14:textId="5C935667" w:rsidR="00113C98" w:rsidRDefault="009B0E4D" w:rsidP="00113C98">
      <w:pPr>
        <w:pStyle w:val="Heading2"/>
      </w:pPr>
      <w:bookmarkStart w:id="16" w:name="_Toc107225373"/>
      <w:r>
        <w:t>Purpose</w:t>
      </w:r>
      <w:bookmarkEnd w:id="16"/>
    </w:p>
    <w:p w14:paraId="4A6888EC" w14:textId="3E8237C0" w:rsidR="009A0793" w:rsidRPr="00EE1915" w:rsidRDefault="009A0793" w:rsidP="00575159">
      <w:pPr>
        <w:spacing w:before="0" w:after="160" w:line="259" w:lineRule="auto"/>
      </w:pPr>
      <w:r>
        <w:t xml:space="preserve">This paper </w:t>
      </w:r>
      <w:bookmarkStart w:id="17" w:name="_Hlk106975369"/>
      <w:r w:rsidR="0086194F">
        <w:t>seeks</w:t>
      </w:r>
      <w:r w:rsidR="00977C58">
        <w:t xml:space="preserve"> feedback from industry on the regulatory impacts of the </w:t>
      </w:r>
      <w:r w:rsidR="0086194F">
        <w:t xml:space="preserve">2020 </w:t>
      </w:r>
      <w:r w:rsidR="007632B4">
        <w:t xml:space="preserve">policy </w:t>
      </w:r>
      <w:r w:rsidR="0086194F">
        <w:t xml:space="preserve">changes. </w:t>
      </w:r>
    </w:p>
    <w:p w14:paraId="52B8659B" w14:textId="7C225527" w:rsidR="000E0B74" w:rsidRDefault="0085513C" w:rsidP="000E0B74">
      <w:pPr>
        <w:pStyle w:val="Heading2"/>
      </w:pPr>
      <w:bookmarkStart w:id="18" w:name="_Toc107225374"/>
      <w:bookmarkEnd w:id="10"/>
      <w:bookmarkEnd w:id="11"/>
      <w:bookmarkEnd w:id="17"/>
      <w:r>
        <w:t>Consultation questions</w:t>
      </w:r>
      <w:bookmarkEnd w:id="18"/>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5513C" w14:paraId="25B87ECB" w14:textId="77777777" w:rsidTr="00FE3B8C">
        <w:trPr>
          <w:cnfStyle w:val="100000000000" w:firstRow="1" w:lastRow="0" w:firstColumn="0" w:lastColumn="0" w:oddVBand="0" w:evenVBand="0" w:oddHBand="0" w:evenHBand="0" w:firstRowFirstColumn="0" w:firstRowLastColumn="0" w:lastRowFirstColumn="0" w:lastRowLastColumn="0"/>
        </w:trPr>
        <w:tc>
          <w:tcPr>
            <w:tcW w:w="9060" w:type="dxa"/>
          </w:tcPr>
          <w:p w14:paraId="79C43D7E" w14:textId="5F02220F" w:rsidR="008329B8" w:rsidRPr="002E2EDF" w:rsidRDefault="003E2E45" w:rsidP="0085513C">
            <w:pPr>
              <w:pStyle w:val="OutlineNumbered1"/>
              <w:numPr>
                <w:ilvl w:val="0"/>
                <w:numId w:val="6"/>
              </w:numPr>
              <w:spacing w:before="96" w:after="96"/>
              <w:ind w:left="567" w:hanging="567"/>
              <w:rPr>
                <w:sz w:val="22"/>
                <w:szCs w:val="22"/>
                <w:lang w:val="en-US"/>
              </w:rPr>
            </w:pPr>
            <w:r>
              <w:rPr>
                <w:sz w:val="22"/>
                <w:szCs w:val="22"/>
                <w:lang w:val="en-US"/>
              </w:rPr>
              <w:t xml:space="preserve">What impact </w:t>
            </w:r>
            <w:r w:rsidR="002E2EDF">
              <w:rPr>
                <w:sz w:val="22"/>
                <w:szCs w:val="22"/>
                <w:lang w:val="en-US"/>
              </w:rPr>
              <w:t xml:space="preserve">has the policy </w:t>
            </w:r>
            <w:r w:rsidR="00AD0425">
              <w:rPr>
                <w:sz w:val="22"/>
                <w:szCs w:val="22"/>
                <w:lang w:val="en-US"/>
              </w:rPr>
              <w:t xml:space="preserve">change </w:t>
            </w:r>
            <w:r w:rsidR="002E2EDF">
              <w:rPr>
                <w:sz w:val="22"/>
                <w:szCs w:val="22"/>
                <w:lang w:val="en-US"/>
              </w:rPr>
              <w:t>had upon</w:t>
            </w:r>
            <w:r>
              <w:rPr>
                <w:sz w:val="22"/>
                <w:szCs w:val="22"/>
                <w:lang w:val="en-US"/>
              </w:rPr>
              <w:t xml:space="preserve"> retail investors</w:t>
            </w:r>
            <w:r w:rsidR="002E2EDF">
              <w:rPr>
                <w:sz w:val="22"/>
                <w:szCs w:val="22"/>
                <w:lang w:val="en-US"/>
              </w:rPr>
              <w:t>?</w:t>
            </w:r>
          </w:p>
          <w:p w14:paraId="5F6FD80A" w14:textId="12F4CE0B" w:rsidR="00F35759" w:rsidRPr="00FC08BA" w:rsidRDefault="008E4A40" w:rsidP="00F35759">
            <w:pPr>
              <w:pStyle w:val="OutlineNumbered1"/>
              <w:numPr>
                <w:ilvl w:val="0"/>
                <w:numId w:val="6"/>
              </w:numPr>
              <w:spacing w:before="96" w:after="96"/>
              <w:ind w:left="567" w:hanging="567"/>
              <w:rPr>
                <w:sz w:val="22"/>
                <w:szCs w:val="22"/>
                <w:lang w:val="en-US"/>
              </w:rPr>
            </w:pPr>
            <w:r>
              <w:rPr>
                <w:sz w:val="22"/>
                <w:szCs w:val="22"/>
                <w:lang w:val="en-US"/>
              </w:rPr>
              <w:t>How has the</w:t>
            </w:r>
            <w:r w:rsidR="002E2EDF">
              <w:rPr>
                <w:sz w:val="22"/>
                <w:szCs w:val="22"/>
                <w:lang w:val="en-US"/>
              </w:rPr>
              <w:t xml:space="preserve"> policy </w:t>
            </w:r>
            <w:r>
              <w:rPr>
                <w:sz w:val="22"/>
                <w:szCs w:val="22"/>
                <w:lang w:val="en-US"/>
              </w:rPr>
              <w:t>affected</w:t>
            </w:r>
            <w:r w:rsidR="002E2EDF">
              <w:rPr>
                <w:sz w:val="22"/>
                <w:szCs w:val="22"/>
                <w:lang w:val="en-US"/>
              </w:rPr>
              <w:t xml:space="preserve"> </w:t>
            </w:r>
            <w:r w:rsidR="009701F6">
              <w:rPr>
                <w:sz w:val="22"/>
                <w:szCs w:val="22"/>
                <w:lang w:val="en-US"/>
              </w:rPr>
              <w:t>stock</w:t>
            </w:r>
            <w:r w:rsidR="002E2EDF">
              <w:rPr>
                <w:sz w:val="22"/>
                <w:szCs w:val="22"/>
                <w:lang w:val="en-US"/>
              </w:rPr>
              <w:t xml:space="preserve">brokers </w:t>
            </w:r>
            <w:r w:rsidR="00F35759">
              <w:rPr>
                <w:sz w:val="22"/>
                <w:szCs w:val="22"/>
                <w:lang w:val="en-US"/>
              </w:rPr>
              <w:t>and financial advisers?</w:t>
            </w:r>
          </w:p>
          <w:p w14:paraId="4D1AAFD0" w14:textId="7C188291" w:rsidR="002E2EDF" w:rsidRPr="004D4C64" w:rsidRDefault="003F32E4" w:rsidP="00F35759">
            <w:pPr>
              <w:pStyle w:val="OutlineNumbered1"/>
              <w:numPr>
                <w:ilvl w:val="0"/>
                <w:numId w:val="6"/>
              </w:numPr>
              <w:spacing w:before="96" w:after="96"/>
              <w:ind w:left="567" w:hanging="567"/>
              <w:rPr>
                <w:sz w:val="22"/>
                <w:szCs w:val="22"/>
                <w:lang w:val="en-US"/>
              </w:rPr>
            </w:pPr>
            <w:r>
              <w:rPr>
                <w:sz w:val="22"/>
                <w:szCs w:val="22"/>
                <w:lang w:val="en-US"/>
              </w:rPr>
              <w:t>How have</w:t>
            </w:r>
            <w:r w:rsidR="00F35759">
              <w:rPr>
                <w:sz w:val="22"/>
                <w:szCs w:val="22"/>
                <w:lang w:val="en-US"/>
              </w:rPr>
              <w:t xml:space="preserve"> consumers’ investment choices been </w:t>
            </w:r>
            <w:r>
              <w:rPr>
                <w:sz w:val="22"/>
                <w:szCs w:val="22"/>
                <w:lang w:val="en-US"/>
              </w:rPr>
              <w:t>affected</w:t>
            </w:r>
            <w:r w:rsidR="00F35759">
              <w:rPr>
                <w:sz w:val="22"/>
                <w:szCs w:val="22"/>
                <w:lang w:val="en-US"/>
              </w:rPr>
              <w:t>?</w:t>
            </w:r>
          </w:p>
          <w:p w14:paraId="6F56EFC0" w14:textId="77777777" w:rsidR="004D4C64" w:rsidRPr="000D1927" w:rsidRDefault="00FC08BA" w:rsidP="00F04746">
            <w:pPr>
              <w:pStyle w:val="OutlineNumbered1"/>
              <w:numPr>
                <w:ilvl w:val="0"/>
                <w:numId w:val="6"/>
              </w:numPr>
              <w:spacing w:before="96" w:after="96"/>
              <w:ind w:left="567" w:hanging="567"/>
              <w:rPr>
                <w:sz w:val="22"/>
                <w:szCs w:val="22"/>
                <w:lang w:val="en-US"/>
              </w:rPr>
            </w:pPr>
            <w:r>
              <w:rPr>
                <w:sz w:val="22"/>
                <w:szCs w:val="22"/>
                <w:lang w:val="en-US"/>
              </w:rPr>
              <w:t xml:space="preserve">Has the policy beneficially changed </w:t>
            </w:r>
            <w:r w:rsidR="0020131C">
              <w:rPr>
                <w:sz w:val="22"/>
                <w:szCs w:val="22"/>
                <w:lang w:val="en-US"/>
              </w:rPr>
              <w:t>competition settings in the managed funds sector?</w:t>
            </w:r>
          </w:p>
          <w:p w14:paraId="17C618F7" w14:textId="120B7281" w:rsidR="000D1927" w:rsidRPr="00F04746" w:rsidRDefault="000D1927" w:rsidP="00F04746">
            <w:pPr>
              <w:pStyle w:val="OutlineNumbered1"/>
              <w:numPr>
                <w:ilvl w:val="0"/>
                <w:numId w:val="6"/>
              </w:numPr>
              <w:spacing w:before="96" w:after="96"/>
              <w:ind w:left="567" w:hanging="567"/>
              <w:rPr>
                <w:sz w:val="22"/>
                <w:szCs w:val="22"/>
                <w:lang w:val="en-US"/>
              </w:rPr>
            </w:pPr>
            <w:r>
              <w:rPr>
                <w:sz w:val="22"/>
                <w:szCs w:val="22"/>
                <w:lang w:val="en-US"/>
              </w:rPr>
              <w:t xml:space="preserve">Have there been </w:t>
            </w:r>
            <w:r w:rsidR="00B62458">
              <w:rPr>
                <w:sz w:val="22"/>
                <w:szCs w:val="22"/>
                <w:lang w:val="en-US"/>
              </w:rPr>
              <w:t>unintended consequences</w:t>
            </w:r>
            <w:r>
              <w:rPr>
                <w:sz w:val="22"/>
                <w:szCs w:val="22"/>
                <w:lang w:val="en-US"/>
              </w:rPr>
              <w:t xml:space="preserve"> resulting from </w:t>
            </w:r>
            <w:r w:rsidR="00754D6E">
              <w:rPr>
                <w:sz w:val="22"/>
                <w:szCs w:val="22"/>
                <w:lang w:val="en-US"/>
              </w:rPr>
              <w:t xml:space="preserve">the </w:t>
            </w:r>
            <w:r>
              <w:rPr>
                <w:sz w:val="22"/>
                <w:szCs w:val="22"/>
                <w:lang w:val="en-US"/>
              </w:rPr>
              <w:t xml:space="preserve">policy changes? </w:t>
            </w:r>
          </w:p>
        </w:tc>
      </w:tr>
    </w:tbl>
    <w:p w14:paraId="67AE5B2C" w14:textId="5DC32454" w:rsidR="00082FC2" w:rsidRDefault="00082FC2" w:rsidP="008361B4"/>
    <w:sectPr w:rsidR="00082FC2" w:rsidSect="009927E5">
      <w:headerReference w:type="even" r:id="rId27"/>
      <w:headerReference w:type="default" r:id="rId28"/>
      <w:footerReference w:type="even" r:id="rId29"/>
      <w:footerReference w:type="default" r:id="rId30"/>
      <w:headerReference w:type="first" r:id="rId31"/>
      <w:footerReference w:type="first" r:id="rId32"/>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9B464" w14:textId="77777777" w:rsidR="00A8564F" w:rsidRDefault="00A8564F">
      <w:pPr>
        <w:spacing w:before="0" w:after="0"/>
      </w:pPr>
      <w:r>
        <w:separator/>
      </w:r>
    </w:p>
  </w:endnote>
  <w:endnote w:type="continuationSeparator" w:id="0">
    <w:p w14:paraId="0D767AA8" w14:textId="77777777" w:rsidR="00A8564F" w:rsidRDefault="00A8564F">
      <w:pPr>
        <w:spacing w:before="0" w:after="0"/>
      </w:pPr>
      <w:r>
        <w:continuationSeparator/>
      </w:r>
    </w:p>
  </w:endnote>
  <w:endnote w:type="continuationNotice" w:id="1">
    <w:p w14:paraId="14EFE4B7" w14:textId="77777777" w:rsidR="00DF0397" w:rsidRDefault="00DF03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8A6F"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3756D" w14:textId="77777777" w:rsidR="009927E5" w:rsidRPr="008043EA" w:rsidRDefault="009927E5" w:rsidP="0009151A">
    <w:r w:rsidRPr="00742366">
      <w:rPr>
        <w:noProof/>
      </w:rPr>
      <w:drawing>
        <wp:anchor distT="0" distB="0" distL="114300" distR="114300" simplePos="0" relativeHeight="251658241" behindDoc="1" locked="1" layoutInCell="1" allowOverlap="1" wp14:anchorId="61DA0C4C" wp14:editId="0516AC09">
          <wp:simplePos x="0" y="0"/>
          <wp:positionH relativeFrom="margin">
            <wp:posOffset>5459095</wp:posOffset>
          </wp:positionH>
          <wp:positionV relativeFrom="page">
            <wp:posOffset>3280410</wp:posOffset>
          </wp:positionV>
          <wp:extent cx="7574280" cy="1043940"/>
          <wp:effectExtent l="762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51D28260" wp14:editId="13E0840E">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 STYLEREF  &quot;Heading 1&quot;  \* MERGEFORMAT ">
      <w:r w:rsidR="00A8564F">
        <w:rPr>
          <w:noProof/>
        </w:rPr>
        <w:t>Using Treasury templates</w:t>
      </w:r>
    </w:fldSimple>
    <w:r>
      <w:t xml:space="preserve"> | </w:t>
    </w:r>
    <w:r>
      <w:fldChar w:fldCharType="begin"/>
    </w:r>
    <w:r>
      <w:instrText xml:space="preserve"> PAGE   \* MERGEFORMAT </w:instrText>
    </w:r>
    <w:r>
      <w:fldChar w:fldCharType="separate"/>
    </w:r>
    <w:r>
      <w:t>1</w:t>
    </w:r>
    <w:r>
      <w:fldChar w:fldCharType="end"/>
    </w:r>
  </w:p>
  <w:p w14:paraId="60CC977C"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4FC0"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5030" w14:textId="60140E2B" w:rsidR="00E81A40" w:rsidRPr="00E13E90" w:rsidRDefault="00E81A40" w:rsidP="00E13E90">
    <w:pPr>
      <w:pStyle w:val="Footer"/>
    </w:pPr>
    <w:r w:rsidRPr="00742366">
      <w:drawing>
        <wp:anchor distT="0" distB="0" distL="114300" distR="114300" simplePos="0" relativeHeight="251658243" behindDoc="1" locked="1" layoutInCell="1" allowOverlap="1" wp14:anchorId="4E334944" wp14:editId="208E9AEF">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9DA8583" wp14:editId="6F40BF64">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 STYLEREF  &quot;Heading 1&quot;  \* MERGEFORMAT ">
      <w:r w:rsidR="00B20635">
        <w:t>Removal of the stamping fee exemption</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356C"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8062" w14:textId="77777777" w:rsidR="00A8564F" w:rsidRDefault="00A8564F">
      <w:pPr>
        <w:spacing w:before="0" w:after="0"/>
      </w:pPr>
      <w:r>
        <w:separator/>
      </w:r>
    </w:p>
  </w:footnote>
  <w:footnote w:type="continuationSeparator" w:id="0">
    <w:p w14:paraId="1007D920" w14:textId="77777777" w:rsidR="00A8564F" w:rsidRDefault="00A8564F">
      <w:pPr>
        <w:spacing w:before="0" w:after="0"/>
      </w:pPr>
      <w:r>
        <w:continuationSeparator/>
      </w:r>
    </w:p>
  </w:footnote>
  <w:footnote w:type="continuationNotice" w:id="1">
    <w:p w14:paraId="72696D4D" w14:textId="77777777" w:rsidR="00DF0397" w:rsidRDefault="00DF039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E30A5"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A4E21"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0738"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54443"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2736C522" wp14:editId="7B357E18">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CF179"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6EC8A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4pt;height:15.6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0D2021"/>
    <w:multiLevelType w:val="multilevel"/>
    <w:tmpl w:val="72F8140E"/>
    <w:numStyleLink w:val="OutlineList"/>
  </w:abstractNum>
  <w:abstractNum w:abstractNumId="10"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6"/>
  </w:num>
  <w:num w:numId="2">
    <w:abstractNumId w:val="0"/>
  </w:num>
  <w:num w:numId="3">
    <w:abstractNumId w:val="8"/>
  </w:num>
  <w:num w:numId="4">
    <w:abstractNumId w:val="2"/>
  </w:num>
  <w:num w:numId="5">
    <w:abstractNumId w:val="3"/>
  </w:num>
  <w:num w:numId="6">
    <w:abstractNumId w:val="9"/>
  </w:num>
  <w:num w:numId="7">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5"/>
  </w:num>
  <w:num w:numId="11">
    <w:abstractNumId w:val="11"/>
  </w:num>
  <w:num w:numId="12">
    <w:abstractNumId w:val="9"/>
  </w:num>
  <w:num w:numId="13">
    <w:abstractNumId w:val="5"/>
  </w:num>
  <w:num w:numId="14">
    <w:abstractNumId w:val="7"/>
  </w:num>
  <w:num w:numId="15">
    <w:abstractNumId w:val="5"/>
  </w:num>
  <w:num w:numId="1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6"/>
  </w:num>
  <w:num w:numId="20">
    <w:abstractNumId w:val="6"/>
  </w:num>
  <w:num w:numId="21">
    <w:abstractNumId w:val="6"/>
  </w:num>
  <w:num w:numId="22">
    <w:abstractNumId w:val="6"/>
  </w:num>
  <w:num w:numId="23">
    <w:abstractNumId w:val="6"/>
  </w:num>
  <w:num w:numId="24">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7"/>
  </w:num>
  <w:num w:numId="26">
    <w:abstractNumId w:val="4"/>
  </w:num>
  <w:num w:numId="27">
    <w:abstractNumId w:val="4"/>
  </w:num>
  <w:num w:numId="28">
    <w:abstractNumId w:val="4"/>
  </w:num>
  <w:num w:numId="29">
    <w:abstractNumId w:val="3"/>
  </w:num>
  <w:num w:numId="30">
    <w:abstractNumId w:val="8"/>
  </w:num>
  <w:num w:numId="31">
    <w:abstractNumId w:val="9"/>
  </w:num>
  <w:num w:numId="32">
    <w:abstractNumId w:val="9"/>
  </w:num>
  <w:num w:numId="33">
    <w:abstractNumId w:val="9"/>
  </w:num>
  <w:num w:numId="34">
    <w:abstractNumId w:val="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4F"/>
    <w:rsid w:val="00001E77"/>
    <w:rsid w:val="00011111"/>
    <w:rsid w:val="00011725"/>
    <w:rsid w:val="00012C62"/>
    <w:rsid w:val="00024281"/>
    <w:rsid w:val="0002544D"/>
    <w:rsid w:val="00032EA4"/>
    <w:rsid w:val="00036CFA"/>
    <w:rsid w:val="00041A8B"/>
    <w:rsid w:val="0004274D"/>
    <w:rsid w:val="00044C0A"/>
    <w:rsid w:val="00051D60"/>
    <w:rsid w:val="00056880"/>
    <w:rsid w:val="000602ED"/>
    <w:rsid w:val="000675D1"/>
    <w:rsid w:val="00067F03"/>
    <w:rsid w:val="0007102C"/>
    <w:rsid w:val="00072352"/>
    <w:rsid w:val="00073521"/>
    <w:rsid w:val="000775DE"/>
    <w:rsid w:val="0008023A"/>
    <w:rsid w:val="00082FC2"/>
    <w:rsid w:val="0008345F"/>
    <w:rsid w:val="000858F2"/>
    <w:rsid w:val="00087FAF"/>
    <w:rsid w:val="00090C0B"/>
    <w:rsid w:val="0009151A"/>
    <w:rsid w:val="000951DF"/>
    <w:rsid w:val="00096876"/>
    <w:rsid w:val="000A124E"/>
    <w:rsid w:val="000A7027"/>
    <w:rsid w:val="000B747C"/>
    <w:rsid w:val="000C03B4"/>
    <w:rsid w:val="000C5A47"/>
    <w:rsid w:val="000C5F40"/>
    <w:rsid w:val="000D1284"/>
    <w:rsid w:val="000D1927"/>
    <w:rsid w:val="000D2B4E"/>
    <w:rsid w:val="000E0B74"/>
    <w:rsid w:val="000F0767"/>
    <w:rsid w:val="000F0BF8"/>
    <w:rsid w:val="000F237F"/>
    <w:rsid w:val="000F2C6A"/>
    <w:rsid w:val="000F7517"/>
    <w:rsid w:val="00112612"/>
    <w:rsid w:val="00113C98"/>
    <w:rsid w:val="001261C5"/>
    <w:rsid w:val="0014091C"/>
    <w:rsid w:val="001463D4"/>
    <w:rsid w:val="001606CF"/>
    <w:rsid w:val="0016128D"/>
    <w:rsid w:val="001637FE"/>
    <w:rsid w:val="0017089D"/>
    <w:rsid w:val="00176C99"/>
    <w:rsid w:val="001861C3"/>
    <w:rsid w:val="0019101A"/>
    <w:rsid w:val="00191604"/>
    <w:rsid w:val="00195E50"/>
    <w:rsid w:val="001B5D10"/>
    <w:rsid w:val="001C358D"/>
    <w:rsid w:val="001C3E3F"/>
    <w:rsid w:val="001D040C"/>
    <w:rsid w:val="001D2AA1"/>
    <w:rsid w:val="001D4EAA"/>
    <w:rsid w:val="001D5D14"/>
    <w:rsid w:val="001E076A"/>
    <w:rsid w:val="001E52AC"/>
    <w:rsid w:val="001F3970"/>
    <w:rsid w:val="001F5CF6"/>
    <w:rsid w:val="00200703"/>
    <w:rsid w:val="0020131C"/>
    <w:rsid w:val="0022190E"/>
    <w:rsid w:val="00231049"/>
    <w:rsid w:val="002314D2"/>
    <w:rsid w:val="002372A6"/>
    <w:rsid w:val="00257AEE"/>
    <w:rsid w:val="00263B6C"/>
    <w:rsid w:val="00271C73"/>
    <w:rsid w:val="0027259D"/>
    <w:rsid w:val="0027263D"/>
    <w:rsid w:val="0027590B"/>
    <w:rsid w:val="002832FA"/>
    <w:rsid w:val="00285969"/>
    <w:rsid w:val="002915D3"/>
    <w:rsid w:val="002940EC"/>
    <w:rsid w:val="002A16F3"/>
    <w:rsid w:val="002B3829"/>
    <w:rsid w:val="002B3EE9"/>
    <w:rsid w:val="002B4D4D"/>
    <w:rsid w:val="002B5C39"/>
    <w:rsid w:val="002D1F90"/>
    <w:rsid w:val="002D488F"/>
    <w:rsid w:val="002E2EDF"/>
    <w:rsid w:val="002E7067"/>
    <w:rsid w:val="002F3106"/>
    <w:rsid w:val="002F617F"/>
    <w:rsid w:val="00300460"/>
    <w:rsid w:val="003122F4"/>
    <w:rsid w:val="0031276E"/>
    <w:rsid w:val="00313D74"/>
    <w:rsid w:val="003268D5"/>
    <w:rsid w:val="003317A4"/>
    <w:rsid w:val="00340141"/>
    <w:rsid w:val="00344779"/>
    <w:rsid w:val="00345877"/>
    <w:rsid w:val="00350B1D"/>
    <w:rsid w:val="003521ED"/>
    <w:rsid w:val="00354D27"/>
    <w:rsid w:val="00354FBB"/>
    <w:rsid w:val="00362CBB"/>
    <w:rsid w:val="0036572A"/>
    <w:rsid w:val="00380A7F"/>
    <w:rsid w:val="003839F0"/>
    <w:rsid w:val="003858A6"/>
    <w:rsid w:val="00392DCC"/>
    <w:rsid w:val="003A0853"/>
    <w:rsid w:val="003A199F"/>
    <w:rsid w:val="003C435F"/>
    <w:rsid w:val="003D225A"/>
    <w:rsid w:val="003D2BA3"/>
    <w:rsid w:val="003D396D"/>
    <w:rsid w:val="003E2E45"/>
    <w:rsid w:val="003E38B0"/>
    <w:rsid w:val="003E4D87"/>
    <w:rsid w:val="003E53AE"/>
    <w:rsid w:val="003F32E4"/>
    <w:rsid w:val="003F71F2"/>
    <w:rsid w:val="00416030"/>
    <w:rsid w:val="00416762"/>
    <w:rsid w:val="00421351"/>
    <w:rsid w:val="00434241"/>
    <w:rsid w:val="00445265"/>
    <w:rsid w:val="004529A0"/>
    <w:rsid w:val="0045375F"/>
    <w:rsid w:val="004545C5"/>
    <w:rsid w:val="004559CE"/>
    <w:rsid w:val="004563F0"/>
    <w:rsid w:val="00465436"/>
    <w:rsid w:val="00475B7B"/>
    <w:rsid w:val="00475F4D"/>
    <w:rsid w:val="00482AD1"/>
    <w:rsid w:val="00483049"/>
    <w:rsid w:val="00492FCB"/>
    <w:rsid w:val="004938D1"/>
    <w:rsid w:val="004951A8"/>
    <w:rsid w:val="004A077D"/>
    <w:rsid w:val="004A7BC2"/>
    <w:rsid w:val="004B37C0"/>
    <w:rsid w:val="004C06B7"/>
    <w:rsid w:val="004C1515"/>
    <w:rsid w:val="004C2073"/>
    <w:rsid w:val="004D4C64"/>
    <w:rsid w:val="004E03F8"/>
    <w:rsid w:val="004E0ABA"/>
    <w:rsid w:val="004E69FA"/>
    <w:rsid w:val="004F1164"/>
    <w:rsid w:val="004F521C"/>
    <w:rsid w:val="00516785"/>
    <w:rsid w:val="0052419D"/>
    <w:rsid w:val="005274F0"/>
    <w:rsid w:val="005301F8"/>
    <w:rsid w:val="005312FC"/>
    <w:rsid w:val="00534177"/>
    <w:rsid w:val="0053603D"/>
    <w:rsid w:val="00537262"/>
    <w:rsid w:val="00555D14"/>
    <w:rsid w:val="00560636"/>
    <w:rsid w:val="0057010C"/>
    <w:rsid w:val="00575159"/>
    <w:rsid w:val="005868DE"/>
    <w:rsid w:val="005A2671"/>
    <w:rsid w:val="005B3667"/>
    <w:rsid w:val="005C106A"/>
    <w:rsid w:val="005D76E2"/>
    <w:rsid w:val="005E366D"/>
    <w:rsid w:val="005F11C2"/>
    <w:rsid w:val="006016A6"/>
    <w:rsid w:val="00603D46"/>
    <w:rsid w:val="0060595B"/>
    <w:rsid w:val="00605AFD"/>
    <w:rsid w:val="00607C7C"/>
    <w:rsid w:val="006123D4"/>
    <w:rsid w:val="00624CED"/>
    <w:rsid w:val="00637BAB"/>
    <w:rsid w:val="00637C14"/>
    <w:rsid w:val="00645BBD"/>
    <w:rsid w:val="00650834"/>
    <w:rsid w:val="00656356"/>
    <w:rsid w:val="00666B28"/>
    <w:rsid w:val="006755BF"/>
    <w:rsid w:val="006800B5"/>
    <w:rsid w:val="00686165"/>
    <w:rsid w:val="00691CB5"/>
    <w:rsid w:val="006A6EE1"/>
    <w:rsid w:val="006B0FE1"/>
    <w:rsid w:val="006B5E7C"/>
    <w:rsid w:val="006C4A00"/>
    <w:rsid w:val="006C645D"/>
    <w:rsid w:val="006D42C7"/>
    <w:rsid w:val="006E0E3C"/>
    <w:rsid w:val="006E3CC3"/>
    <w:rsid w:val="006F2CAA"/>
    <w:rsid w:val="006F413C"/>
    <w:rsid w:val="006F656C"/>
    <w:rsid w:val="00707014"/>
    <w:rsid w:val="00710E13"/>
    <w:rsid w:val="00712556"/>
    <w:rsid w:val="00717DAC"/>
    <w:rsid w:val="00720BF2"/>
    <w:rsid w:val="00733F00"/>
    <w:rsid w:val="00737B4A"/>
    <w:rsid w:val="00745A87"/>
    <w:rsid w:val="00754D6E"/>
    <w:rsid w:val="0075663B"/>
    <w:rsid w:val="00757816"/>
    <w:rsid w:val="007632B4"/>
    <w:rsid w:val="007739DC"/>
    <w:rsid w:val="0077506F"/>
    <w:rsid w:val="00775702"/>
    <w:rsid w:val="00781538"/>
    <w:rsid w:val="0078509F"/>
    <w:rsid w:val="00794499"/>
    <w:rsid w:val="007A7FF8"/>
    <w:rsid w:val="007D5AA6"/>
    <w:rsid w:val="007D6BD9"/>
    <w:rsid w:val="007E140D"/>
    <w:rsid w:val="007E2AB9"/>
    <w:rsid w:val="007E6456"/>
    <w:rsid w:val="008043EA"/>
    <w:rsid w:val="008133B5"/>
    <w:rsid w:val="00823A66"/>
    <w:rsid w:val="008329B8"/>
    <w:rsid w:val="00834243"/>
    <w:rsid w:val="008361B4"/>
    <w:rsid w:val="00851754"/>
    <w:rsid w:val="0085513C"/>
    <w:rsid w:val="00855618"/>
    <w:rsid w:val="00857969"/>
    <w:rsid w:val="0086194F"/>
    <w:rsid w:val="008730C0"/>
    <w:rsid w:val="008A1187"/>
    <w:rsid w:val="008B1499"/>
    <w:rsid w:val="008B3684"/>
    <w:rsid w:val="008C5580"/>
    <w:rsid w:val="008D1705"/>
    <w:rsid w:val="008D339F"/>
    <w:rsid w:val="008D7F38"/>
    <w:rsid w:val="008E4A40"/>
    <w:rsid w:val="008E6292"/>
    <w:rsid w:val="008F5F84"/>
    <w:rsid w:val="00925AA5"/>
    <w:rsid w:val="009312E8"/>
    <w:rsid w:val="009323CB"/>
    <w:rsid w:val="0094019D"/>
    <w:rsid w:val="00942C11"/>
    <w:rsid w:val="00942C4C"/>
    <w:rsid w:val="00954AC4"/>
    <w:rsid w:val="0096081C"/>
    <w:rsid w:val="00963E8D"/>
    <w:rsid w:val="00966C48"/>
    <w:rsid w:val="009701F6"/>
    <w:rsid w:val="00971725"/>
    <w:rsid w:val="009732EC"/>
    <w:rsid w:val="00977C58"/>
    <w:rsid w:val="009821CE"/>
    <w:rsid w:val="009852CF"/>
    <w:rsid w:val="009927E5"/>
    <w:rsid w:val="009959A9"/>
    <w:rsid w:val="009A0793"/>
    <w:rsid w:val="009A20E4"/>
    <w:rsid w:val="009A658F"/>
    <w:rsid w:val="009A668A"/>
    <w:rsid w:val="009B0E4D"/>
    <w:rsid w:val="009B1A65"/>
    <w:rsid w:val="009B3B2C"/>
    <w:rsid w:val="009B7160"/>
    <w:rsid w:val="009C1BC6"/>
    <w:rsid w:val="009D01E3"/>
    <w:rsid w:val="009F10E0"/>
    <w:rsid w:val="009F53BF"/>
    <w:rsid w:val="00A01039"/>
    <w:rsid w:val="00A16E03"/>
    <w:rsid w:val="00A260CD"/>
    <w:rsid w:val="00A3749B"/>
    <w:rsid w:val="00A62E42"/>
    <w:rsid w:val="00A64A71"/>
    <w:rsid w:val="00A652B8"/>
    <w:rsid w:val="00A67A21"/>
    <w:rsid w:val="00A76FD9"/>
    <w:rsid w:val="00A84096"/>
    <w:rsid w:val="00A8564F"/>
    <w:rsid w:val="00AB3443"/>
    <w:rsid w:val="00AB6791"/>
    <w:rsid w:val="00AC33EB"/>
    <w:rsid w:val="00AC72D3"/>
    <w:rsid w:val="00AD0425"/>
    <w:rsid w:val="00AE0F0F"/>
    <w:rsid w:val="00AE2F90"/>
    <w:rsid w:val="00AE5A3B"/>
    <w:rsid w:val="00B07382"/>
    <w:rsid w:val="00B20397"/>
    <w:rsid w:val="00B20635"/>
    <w:rsid w:val="00B20AA0"/>
    <w:rsid w:val="00B212B2"/>
    <w:rsid w:val="00B3149D"/>
    <w:rsid w:val="00B36DC0"/>
    <w:rsid w:val="00B4470F"/>
    <w:rsid w:val="00B47692"/>
    <w:rsid w:val="00B50B6F"/>
    <w:rsid w:val="00B62458"/>
    <w:rsid w:val="00B73712"/>
    <w:rsid w:val="00B770FF"/>
    <w:rsid w:val="00B82EF9"/>
    <w:rsid w:val="00B85F47"/>
    <w:rsid w:val="00B866E2"/>
    <w:rsid w:val="00B87927"/>
    <w:rsid w:val="00B92619"/>
    <w:rsid w:val="00B96109"/>
    <w:rsid w:val="00BA7A11"/>
    <w:rsid w:val="00BC076F"/>
    <w:rsid w:val="00BC3FE6"/>
    <w:rsid w:val="00BC5420"/>
    <w:rsid w:val="00BC6938"/>
    <w:rsid w:val="00BD38BA"/>
    <w:rsid w:val="00BD5650"/>
    <w:rsid w:val="00BE296B"/>
    <w:rsid w:val="00BE64C4"/>
    <w:rsid w:val="00C012CB"/>
    <w:rsid w:val="00C124D9"/>
    <w:rsid w:val="00C125F4"/>
    <w:rsid w:val="00C30297"/>
    <w:rsid w:val="00C3471F"/>
    <w:rsid w:val="00C3539F"/>
    <w:rsid w:val="00C3552C"/>
    <w:rsid w:val="00C518BB"/>
    <w:rsid w:val="00C54E4E"/>
    <w:rsid w:val="00C64780"/>
    <w:rsid w:val="00C663AB"/>
    <w:rsid w:val="00C80577"/>
    <w:rsid w:val="00C85314"/>
    <w:rsid w:val="00C975C5"/>
    <w:rsid w:val="00CA3BD5"/>
    <w:rsid w:val="00CA46D6"/>
    <w:rsid w:val="00CA4BC0"/>
    <w:rsid w:val="00CA5243"/>
    <w:rsid w:val="00CB06A6"/>
    <w:rsid w:val="00CB1259"/>
    <w:rsid w:val="00CC559D"/>
    <w:rsid w:val="00CD2EB7"/>
    <w:rsid w:val="00CD654B"/>
    <w:rsid w:val="00CD6BD4"/>
    <w:rsid w:val="00CE223E"/>
    <w:rsid w:val="00CE5B0C"/>
    <w:rsid w:val="00CF5CE1"/>
    <w:rsid w:val="00D145F5"/>
    <w:rsid w:val="00D33BDD"/>
    <w:rsid w:val="00D355F0"/>
    <w:rsid w:val="00D45AF8"/>
    <w:rsid w:val="00D51C05"/>
    <w:rsid w:val="00D76B83"/>
    <w:rsid w:val="00D819B4"/>
    <w:rsid w:val="00D83BD9"/>
    <w:rsid w:val="00D95FB9"/>
    <w:rsid w:val="00D96A14"/>
    <w:rsid w:val="00D97D91"/>
    <w:rsid w:val="00DA5F43"/>
    <w:rsid w:val="00DA686B"/>
    <w:rsid w:val="00DB7F09"/>
    <w:rsid w:val="00DC00E8"/>
    <w:rsid w:val="00DD284B"/>
    <w:rsid w:val="00DF0397"/>
    <w:rsid w:val="00DF1FD5"/>
    <w:rsid w:val="00E0311B"/>
    <w:rsid w:val="00E10D39"/>
    <w:rsid w:val="00E1136B"/>
    <w:rsid w:val="00E125BC"/>
    <w:rsid w:val="00E13E90"/>
    <w:rsid w:val="00E22D51"/>
    <w:rsid w:val="00E24B1C"/>
    <w:rsid w:val="00E251A0"/>
    <w:rsid w:val="00E300B1"/>
    <w:rsid w:val="00E30819"/>
    <w:rsid w:val="00E35759"/>
    <w:rsid w:val="00E35FA1"/>
    <w:rsid w:val="00E50E7C"/>
    <w:rsid w:val="00E51545"/>
    <w:rsid w:val="00E55326"/>
    <w:rsid w:val="00E711D7"/>
    <w:rsid w:val="00E71F2B"/>
    <w:rsid w:val="00E776D9"/>
    <w:rsid w:val="00E81A40"/>
    <w:rsid w:val="00E902B0"/>
    <w:rsid w:val="00E902E8"/>
    <w:rsid w:val="00E933ED"/>
    <w:rsid w:val="00EB030F"/>
    <w:rsid w:val="00EB2BAE"/>
    <w:rsid w:val="00EC6B16"/>
    <w:rsid w:val="00ED14FB"/>
    <w:rsid w:val="00EE1915"/>
    <w:rsid w:val="00EE677F"/>
    <w:rsid w:val="00EF2FBF"/>
    <w:rsid w:val="00EF4AA5"/>
    <w:rsid w:val="00F0082D"/>
    <w:rsid w:val="00F04746"/>
    <w:rsid w:val="00F07C90"/>
    <w:rsid w:val="00F132DD"/>
    <w:rsid w:val="00F20469"/>
    <w:rsid w:val="00F2509C"/>
    <w:rsid w:val="00F347A4"/>
    <w:rsid w:val="00F35759"/>
    <w:rsid w:val="00F45678"/>
    <w:rsid w:val="00F52235"/>
    <w:rsid w:val="00F53887"/>
    <w:rsid w:val="00F54070"/>
    <w:rsid w:val="00F66B9F"/>
    <w:rsid w:val="00F71A0E"/>
    <w:rsid w:val="00F83608"/>
    <w:rsid w:val="00F92279"/>
    <w:rsid w:val="00FA2555"/>
    <w:rsid w:val="00FA7FB8"/>
    <w:rsid w:val="00FB35B8"/>
    <w:rsid w:val="00FB64AA"/>
    <w:rsid w:val="00FC083C"/>
    <w:rsid w:val="00FC08BA"/>
    <w:rsid w:val="00FC383B"/>
    <w:rsid w:val="00FC6ADA"/>
    <w:rsid w:val="00FF1549"/>
    <w:rsid w:val="00FF722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84C44"/>
  <w15:docId w15:val="{2EB50EAE-EE65-42AF-9938-87A089A5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17"/>
      </w:numPr>
      <w:tabs>
        <w:tab w:val="left" w:pos="720"/>
      </w:tabs>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34"/>
      </w:numPr>
      <w:tabs>
        <w:tab w:val="clear" w:pos="851"/>
        <w:tab w:val="num" w:pos="360"/>
      </w:tabs>
      <w:spacing w:before="0"/>
      <w:ind w:left="0" w:firstLine="0"/>
    </w:pPr>
  </w:style>
  <w:style w:type="paragraph" w:customStyle="1" w:styleId="OneLevelNumberedParagraph">
    <w:name w:val="One Level Numbered Paragraph"/>
    <w:basedOn w:val="Normal"/>
    <w:rsid w:val="008043EA"/>
    <w:pPr>
      <w:numPr>
        <w:numId w:val="3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34"/>
      </w:numPr>
      <w:spacing w:before="0"/>
    </w:pPr>
  </w:style>
  <w:style w:type="paragraph" w:customStyle="1" w:styleId="OutlineNumbered3">
    <w:name w:val="Outline Numbered 3"/>
    <w:basedOn w:val="Normal"/>
    <w:rsid w:val="008043EA"/>
    <w:pPr>
      <w:numPr>
        <w:ilvl w:val="2"/>
        <w:numId w:val="34"/>
      </w:numPr>
      <w:tabs>
        <w:tab w:val="clear" w:pos="1418"/>
        <w:tab w:val="num" w:pos="360"/>
      </w:tabs>
      <w:spacing w:before="0"/>
      <w:ind w:left="0" w:firstLin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8043EA"/>
    <w:rPr>
      <w:sz w:val="18"/>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styleId="NormalWeb">
    <w:name w:val="Normal (Web)"/>
    <w:basedOn w:val="Normal"/>
    <w:uiPriority w:val="99"/>
    <w:semiHidden/>
    <w:unhideWhenUsed/>
    <w:rsid w:val="009A20E4"/>
    <w:rPr>
      <w:rFonts w:ascii="Times New Roman" w:hAnsi="Times New Roman"/>
      <w:sz w:val="24"/>
      <w:szCs w:val="24"/>
    </w:rPr>
  </w:style>
  <w:style w:type="character" w:customStyle="1" w:styleId="OutlineNumbered1Char">
    <w:name w:val="Outline Numbered 1 Char"/>
    <w:basedOn w:val="DefaultParagraphFont"/>
    <w:link w:val="OutlineNumbered1"/>
    <w:rsid w:val="0085513C"/>
    <w:rPr>
      <w:rFonts w:ascii="Calibri Light" w:eastAsia="Times New Roman" w:hAnsi="Calibri Light" w:cs="Times New Roman"/>
      <w:szCs w:val="20"/>
      <w:lang w:eastAsia="en-AU"/>
    </w:rPr>
  </w:style>
  <w:style w:type="character" w:styleId="CommentReference">
    <w:name w:val="annotation reference"/>
    <w:basedOn w:val="DefaultParagraphFont"/>
    <w:uiPriority w:val="99"/>
    <w:semiHidden/>
    <w:unhideWhenUsed/>
    <w:rsid w:val="00CA5243"/>
    <w:rPr>
      <w:sz w:val="16"/>
      <w:szCs w:val="16"/>
    </w:rPr>
  </w:style>
  <w:style w:type="paragraph" w:styleId="CommentText">
    <w:name w:val="annotation text"/>
    <w:basedOn w:val="Normal"/>
    <w:link w:val="CommentTextChar"/>
    <w:uiPriority w:val="99"/>
    <w:semiHidden/>
    <w:unhideWhenUsed/>
    <w:rsid w:val="00CA5243"/>
    <w:rPr>
      <w:sz w:val="20"/>
    </w:rPr>
  </w:style>
  <w:style w:type="character" w:customStyle="1" w:styleId="CommentTextChar">
    <w:name w:val="Comment Text Char"/>
    <w:basedOn w:val="DefaultParagraphFont"/>
    <w:link w:val="CommentText"/>
    <w:uiPriority w:val="99"/>
    <w:semiHidden/>
    <w:rsid w:val="00CA5243"/>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A5243"/>
    <w:rPr>
      <w:b/>
      <w:bCs/>
    </w:rPr>
  </w:style>
  <w:style w:type="character" w:customStyle="1" w:styleId="CommentSubjectChar">
    <w:name w:val="Comment Subject Char"/>
    <w:basedOn w:val="CommentTextChar"/>
    <w:link w:val="CommentSubject"/>
    <w:uiPriority w:val="99"/>
    <w:semiHidden/>
    <w:rsid w:val="00CA5243"/>
    <w:rPr>
      <w:rFonts w:ascii="Calibri Light" w:eastAsia="Times New Roman" w:hAnsi="Calibri Light"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37668">
      <w:bodyDiv w:val="1"/>
      <w:marLeft w:val="0"/>
      <w:marRight w:val="0"/>
      <w:marTop w:val="0"/>
      <w:marBottom w:val="0"/>
      <w:divBdr>
        <w:top w:val="none" w:sz="0" w:space="0" w:color="auto"/>
        <w:left w:val="none" w:sz="0" w:space="0" w:color="auto"/>
        <w:bottom w:val="none" w:sz="0" w:space="0" w:color="auto"/>
        <w:right w:val="none" w:sz="0" w:space="0" w:color="auto"/>
      </w:divBdr>
    </w:div>
    <w:div w:id="367529656">
      <w:bodyDiv w:val="1"/>
      <w:marLeft w:val="0"/>
      <w:marRight w:val="0"/>
      <w:marTop w:val="0"/>
      <w:marBottom w:val="0"/>
      <w:divBdr>
        <w:top w:val="none" w:sz="0" w:space="0" w:color="auto"/>
        <w:left w:val="none" w:sz="0" w:space="0" w:color="auto"/>
        <w:bottom w:val="none" w:sz="0" w:space="0" w:color="auto"/>
        <w:right w:val="none" w:sz="0" w:space="0" w:color="auto"/>
      </w:divBdr>
    </w:div>
    <w:div w:id="638387535">
      <w:bodyDiv w:val="1"/>
      <w:marLeft w:val="0"/>
      <w:marRight w:val="0"/>
      <w:marTop w:val="0"/>
      <w:marBottom w:val="0"/>
      <w:divBdr>
        <w:top w:val="none" w:sz="0" w:space="0" w:color="auto"/>
        <w:left w:val="none" w:sz="0" w:space="0" w:color="auto"/>
        <w:bottom w:val="none" w:sz="0" w:space="0" w:color="auto"/>
        <w:right w:val="none" w:sz="0" w:space="0" w:color="auto"/>
      </w:divBdr>
    </w:div>
    <w:div w:id="749157925">
      <w:bodyDiv w:val="1"/>
      <w:marLeft w:val="0"/>
      <w:marRight w:val="0"/>
      <w:marTop w:val="0"/>
      <w:marBottom w:val="0"/>
      <w:divBdr>
        <w:top w:val="none" w:sz="0" w:space="0" w:color="auto"/>
        <w:left w:val="none" w:sz="0" w:space="0" w:color="auto"/>
        <w:bottom w:val="none" w:sz="0" w:space="0" w:color="auto"/>
        <w:right w:val="none" w:sz="0" w:space="0" w:color="auto"/>
      </w:divBdr>
    </w:div>
    <w:div w:id="1089736821">
      <w:bodyDiv w:val="1"/>
      <w:marLeft w:val="0"/>
      <w:marRight w:val="0"/>
      <w:marTop w:val="0"/>
      <w:marBottom w:val="0"/>
      <w:divBdr>
        <w:top w:val="none" w:sz="0" w:space="0" w:color="auto"/>
        <w:left w:val="none" w:sz="0" w:space="0" w:color="auto"/>
        <w:bottom w:val="none" w:sz="0" w:space="0" w:color="auto"/>
        <w:right w:val="none" w:sz="0" w:space="0" w:color="auto"/>
      </w:divBdr>
    </w:div>
    <w:div w:id="1322542064">
      <w:bodyDiv w:val="1"/>
      <w:marLeft w:val="0"/>
      <w:marRight w:val="0"/>
      <w:marTop w:val="0"/>
      <w:marBottom w:val="0"/>
      <w:divBdr>
        <w:top w:val="none" w:sz="0" w:space="0" w:color="auto"/>
        <w:left w:val="none" w:sz="0" w:space="0" w:color="auto"/>
        <w:bottom w:val="none" w:sz="0" w:space="0" w:color="auto"/>
        <w:right w:val="none" w:sz="0" w:space="0" w:color="auto"/>
      </w:divBdr>
    </w:div>
    <w:div w:id="1650864963">
      <w:bodyDiv w:val="1"/>
      <w:marLeft w:val="0"/>
      <w:marRight w:val="0"/>
      <w:marTop w:val="0"/>
      <w:marBottom w:val="0"/>
      <w:divBdr>
        <w:top w:val="none" w:sz="0" w:space="0" w:color="auto"/>
        <w:left w:val="none" w:sz="0" w:space="0" w:color="auto"/>
        <w:bottom w:val="none" w:sz="0" w:space="0" w:color="auto"/>
        <w:right w:val="none" w:sz="0" w:space="0" w:color="auto"/>
      </w:divBdr>
    </w:div>
    <w:div w:id="1672023818">
      <w:bodyDiv w:val="1"/>
      <w:marLeft w:val="0"/>
      <w:marRight w:val="0"/>
      <w:marTop w:val="0"/>
      <w:marBottom w:val="0"/>
      <w:divBdr>
        <w:top w:val="none" w:sz="0" w:space="0" w:color="auto"/>
        <w:left w:val="none" w:sz="0" w:space="0" w:color="auto"/>
        <w:bottom w:val="none" w:sz="0" w:space="0" w:color="auto"/>
        <w:right w:val="none" w:sz="0" w:space="0" w:color="auto"/>
      </w:divBdr>
    </w:div>
    <w:div w:id="192429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wmf"/><Relationship Id="rId26" Type="http://schemas.openxmlformats.org/officeDocument/2006/relationships/hyperlink" Target="https://ministers.treasury.gov.au/ministers/josh-frydenberg-2018/media-releases/government-response-treasury-consultation-stamping" TargetMode="External"/><Relationship Id="rId3" Type="http://schemas.openxmlformats.org/officeDocument/2006/relationships/customXml" Target="../customXml/item3.xml"/><Relationship Id="rId21" Type="http://schemas.openxmlformats.org/officeDocument/2006/relationships/hyperlink" Target="mailto:media@treasury.gov.au" TargetMode="Externa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creativecommons.org/licenses/by/3.0/au/legalcode"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www.pmc.gov.au/government/commonwealth-coat-ar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styles" Target="styles.xml"/><Relationship Id="rId19" Type="http://schemas.openxmlformats.org/officeDocument/2006/relationships/hyperlink" Target="http://creativecommons.org/licenses/by/3.0/au/deed.en"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A7C5AB51A24FFC86B633751C078824"/>
        <w:category>
          <w:name w:val="General"/>
          <w:gallery w:val="placeholder"/>
        </w:category>
        <w:types>
          <w:type w:val="bbPlcHdr"/>
        </w:types>
        <w:behaviors>
          <w:behavior w:val="content"/>
        </w:behaviors>
        <w:guid w:val="{4029EE45-ED79-409F-8736-A131905FCE95}"/>
      </w:docPartPr>
      <w:docPartBody>
        <w:p w:rsidR="004A68C8" w:rsidRDefault="004A68C8">
          <w:pPr>
            <w:pStyle w:val="5FA7C5AB51A24FFC86B633751C078824"/>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C8"/>
    <w:rsid w:val="000E665D"/>
    <w:rsid w:val="003B28C1"/>
    <w:rsid w:val="004A68C8"/>
    <w:rsid w:val="00AC09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FA7C5AB51A24FFC86B633751C078824">
    <w:name w:val="5FA7C5AB51A24FFC86B633751C078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2.3</TermName>
          <TermId xmlns="http://schemas.microsoft.com/office/infopath/2007/PartnerControls">4bdd30a5-fe4c-4039-86cf-cc86d2d8adcc</TermId>
        </TermInfo>
        <TermInfo xmlns="http://schemas.microsoft.com/office/infopath/2007/PartnerControls">
          <TermName xmlns="http://schemas.microsoft.com/office/infopath/2007/PartnerControls">RC 2.6</TermName>
          <TermId xmlns="http://schemas.microsoft.com/office/infopath/2007/PartnerControls">ea61e6e5-b08e-4b18-b9e4-a7190217e1a6</TermId>
        </TermInfo>
      </Terms>
    </mad6820d043c45bdbfaec06364038ba1>
    <IconOverlay xmlns="http://schemas.microsoft.com/sharepoint/v4" xsi:nil="true"/>
    <TaxCatchAll xmlns="0f563589-9cf9-4143-b1eb-fb0534803d38">
      <Value>11</Value>
      <Value>12</Value>
      <Value>4</Value>
    </TaxCatchAll>
    <TaxKeywordTaxHTField xmlns="0f563589-9cf9-4143-b1eb-fb0534803d38">
      <Terms xmlns="http://schemas.microsoft.com/office/infopath/2007/PartnerControls"/>
    </TaxKeywordTaxHTField>
    <_dlc_DocId xmlns="0f563589-9cf9-4143-b1eb-fb0534803d38">2022A6EXK24D-1848193575-2450</_dlc_DocId>
    <_dlc_DocIdUrl xmlns="0f563589-9cf9-4143-b1eb-fb0534803d38">
      <Url>http://tweb/sites/fsr/finadv/_layouts/15/DocIdRedir.aspx?ID=2022A6EXK24D-1848193575-2450</Url>
      <Description>2022A6EXK24D-1848193575-2450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2504224D64852D47879DB512A2E9FC80" ma:contentTypeVersion="28190" ma:contentTypeDescription="" ma:contentTypeScope="" ma:versionID="b6dd5c4f063bbc51103c30a1b5c3f4ec">
  <xsd:schema xmlns:xsd="http://www.w3.org/2001/XMLSchema" xmlns:xs="http://www.w3.org/2001/XMLSchema" xmlns:p="http://schemas.microsoft.com/office/2006/metadata/properties" xmlns:ns1="http://schemas.microsoft.com/sharepoint/v3" xmlns:ns2="0f563589-9cf9-4143-b1eb-fb0534803d38" xmlns:ns3="a3f3b895-a12d-40ed-bbf9-82c550ef3149" xmlns:ns4="http://schemas.microsoft.com/sharepoint/v4" targetNamespace="http://schemas.microsoft.com/office/2006/metadata/properties" ma:root="true" ma:fieldsID="65d039e865b547c70f68aade2e6598c0" ns1:_="" ns2:_="" ns3:_="" ns4:_="">
    <xsd:import namespace="http://schemas.microsoft.com/sharepoint/v3"/>
    <xsd:import namespace="0f563589-9cf9-4143-b1eb-fb0534803d38"/>
    <xsd:import namespace="a3f3b895-a12d-40ed-bbf9-82c550ef314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haredContentType xmlns="Microsoft.SharePoint.Taxonomy.ContentTypeSync" SourceId="77b7a547-5880-464f-83f8-cefe583c3af4" ContentTypeId="0x010100BCBF50F8A60B9C40BFC256C0F7AAB54B"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3AF9-E175-42D8-AF2B-9FB80C1B59A2}">
  <ds:schemaRefs>
    <ds:schemaRef ds:uri="office.server.policy"/>
  </ds:schemaRefs>
</ds:datastoreItem>
</file>

<file path=customXml/itemProps2.xml><?xml version="1.0" encoding="utf-8"?>
<ds:datastoreItem xmlns:ds="http://schemas.openxmlformats.org/officeDocument/2006/customXml" ds:itemID="{C29C5A2E-2159-4F71-994A-DC0E1DE8919B}">
  <ds:schemaRefs>
    <ds:schemaRef ds:uri="http://schemas.microsoft.com/sharepoint/events"/>
  </ds:schemaRefs>
</ds:datastoreItem>
</file>

<file path=customXml/itemProps3.xml><?xml version="1.0" encoding="utf-8"?>
<ds:datastoreItem xmlns:ds="http://schemas.openxmlformats.org/officeDocument/2006/customXml" ds:itemID="{2ED2FF88-9E9A-455A-B56D-1008E676F5EC}">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a3f3b895-a12d-40ed-bbf9-82c550ef3149"/>
    <ds:schemaRef ds:uri="http://www.w3.org/XML/1998/namespace"/>
    <ds:schemaRef ds:uri="http://purl.org/dc/dcmitype/"/>
  </ds:schemaRefs>
</ds:datastoreItem>
</file>

<file path=customXml/itemProps4.xml><?xml version="1.0" encoding="utf-8"?>
<ds:datastoreItem xmlns:ds="http://schemas.openxmlformats.org/officeDocument/2006/customXml" ds:itemID="{93DA8CAD-2B4C-4DF9-AE53-1395F37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6B77E3-3E3C-47B7-9C1B-2A8096CD50BE}">
  <ds:schemaRefs>
    <ds:schemaRef ds:uri="http://schemas.microsoft.com/sharepoint/v3/contenttype/forms"/>
  </ds:schemaRefs>
</ds:datastoreItem>
</file>

<file path=customXml/itemProps6.xml><?xml version="1.0" encoding="utf-8"?>
<ds:datastoreItem xmlns:ds="http://schemas.openxmlformats.org/officeDocument/2006/customXml" ds:itemID="{FD132014-C6B6-45C8-900E-64191EB67619}">
  <ds:schemaRefs>
    <ds:schemaRef ds:uri="http://schemas.microsoft.com/office/2006/metadata/customXsn"/>
  </ds:schemaRefs>
</ds:datastoreItem>
</file>

<file path=customXml/itemProps7.xml><?xml version="1.0" encoding="utf-8"?>
<ds:datastoreItem xmlns:ds="http://schemas.openxmlformats.org/officeDocument/2006/customXml" ds:itemID="{BC6F8BDE-F996-4569-99E4-E452BF7E2065}">
  <ds:schemaRefs>
    <ds:schemaRef ds:uri="Microsoft.SharePoint.Taxonomy.ContentTypeSync"/>
  </ds:schemaRefs>
</ds:datastoreItem>
</file>

<file path=customXml/itemProps8.xml><?xml version="1.0" encoding="utf-8"?>
<ds:datastoreItem xmlns:ds="http://schemas.openxmlformats.org/officeDocument/2006/customXml" ds:itemID="{432B493C-42B2-4F85-BBE1-EEB7711C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1910</TotalTime>
  <Pages>6</Pages>
  <Words>1171</Words>
  <Characters>6873</Characters>
  <Application>Microsoft Office Word</Application>
  <DocSecurity>0</DocSecurity>
  <Lines>140</Lines>
  <Paragraphs>67</Paragraphs>
  <ScaleCrop>false</ScaleCrop>
  <HeadingPairs>
    <vt:vector size="2" baseType="variant">
      <vt:variant>
        <vt:lpstr>Title</vt:lpstr>
      </vt:variant>
      <vt:variant>
        <vt:i4>1</vt:i4>
      </vt:variant>
    </vt:vector>
  </HeadingPairs>
  <TitlesOfParts>
    <vt:vector size="1" baseType="lpstr">
      <vt:lpstr>Consultation paper - Removal of the stamping fee exemption</vt:lpstr>
    </vt:vector>
  </TitlesOfParts>
  <Company>Australian Government - The Treasury</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 Removal of the stamping fee exemption</dc:title>
  <dc:subject/>
  <dc:creator>Treasury</dc:creator>
  <cp:keywords/>
  <dc:description/>
  <cp:lastModifiedBy>Hill, Christine</cp:lastModifiedBy>
  <cp:revision>166</cp:revision>
  <cp:lastPrinted>2022-01-25T01:38:00Z</cp:lastPrinted>
  <dcterms:created xsi:type="dcterms:W3CDTF">2022-05-24T01:37:00Z</dcterms:created>
  <dcterms:modified xsi:type="dcterms:W3CDTF">2022-06-27T07:19:00Z</dcterms:modified>
  <cp:category/>
</cp:coreProperties>
</file>