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4181" w14:textId="4568AC59"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C77289">
        <w:t>-2023</w:t>
      </w:r>
    </w:p>
    <w:p w14:paraId="2C73C9AE" w14:textId="77777777" w:rsidR="00E24AA1" w:rsidRDefault="00E24AA1" w:rsidP="00E24AA1">
      <w:pPr>
        <w:pStyle w:val="Baseparagraphcentred"/>
      </w:pPr>
    </w:p>
    <w:p w14:paraId="710CED8D" w14:textId="77777777" w:rsidR="00E24AA1" w:rsidRDefault="00E24AA1" w:rsidP="00E24AA1">
      <w:pPr>
        <w:pStyle w:val="Baseparagraphcentred"/>
      </w:pPr>
      <w:r>
        <w:t>THE PARLIAMENT OF THE COMMONWEALTH OF AUSTRALIA</w:t>
      </w:r>
    </w:p>
    <w:p w14:paraId="18023628" w14:textId="77777777" w:rsidR="00E24AA1" w:rsidRDefault="00E24AA1" w:rsidP="00E24AA1">
      <w:pPr>
        <w:pStyle w:val="Baseparagraphcentred"/>
      </w:pPr>
    </w:p>
    <w:p w14:paraId="27E460CB" w14:textId="77777777" w:rsidR="00E24AA1" w:rsidRDefault="00E24AA1" w:rsidP="00E24AA1">
      <w:pPr>
        <w:pStyle w:val="Baseparagraphcentred"/>
      </w:pPr>
    </w:p>
    <w:p w14:paraId="7F62116D" w14:textId="77777777" w:rsidR="00E24AA1" w:rsidRDefault="00E24AA1" w:rsidP="00E24AA1">
      <w:pPr>
        <w:pStyle w:val="Baseparagraphcentred"/>
      </w:pPr>
    </w:p>
    <w:p w14:paraId="70437FF3" w14:textId="04F24058" w:rsidR="00E24AA1" w:rsidRDefault="00A57E8F" w:rsidP="00E24AA1">
      <w:pPr>
        <w:pStyle w:val="Baseparagraphcentred"/>
      </w:pPr>
      <w:r>
        <w:t>HOUSE OF REPRESENTATIVES</w:t>
      </w:r>
    </w:p>
    <w:p w14:paraId="68908922" w14:textId="77777777" w:rsidR="00E24AA1" w:rsidRDefault="00E24AA1" w:rsidP="00E24AA1">
      <w:pPr>
        <w:pStyle w:val="Baseparagraphcentred"/>
      </w:pPr>
    </w:p>
    <w:p w14:paraId="0BE9C0EF" w14:textId="77777777" w:rsidR="00E24AA1" w:rsidRDefault="00E24AA1" w:rsidP="00E24AA1">
      <w:pPr>
        <w:pStyle w:val="Baseparagraphcentred"/>
      </w:pPr>
    </w:p>
    <w:p w14:paraId="219B53AA" w14:textId="77777777" w:rsidR="00E24AA1" w:rsidRDefault="00E24AA1" w:rsidP="00E24AA1">
      <w:pPr>
        <w:pStyle w:val="Baseparagraphcentred"/>
        <w:pBdr>
          <w:bottom w:val="single" w:sz="4" w:space="1" w:color="auto"/>
        </w:pBdr>
      </w:pPr>
    </w:p>
    <w:p w14:paraId="5EE55522" w14:textId="61D68DCB" w:rsidR="00E24AA1" w:rsidRPr="00E24AA1" w:rsidRDefault="00FD2FB9" w:rsidP="00E24AA1">
      <w:pPr>
        <w:pStyle w:val="BillName"/>
      </w:pPr>
      <w:bookmarkStart w:id="6" w:name="BillName"/>
      <w:bookmarkEnd w:id="6"/>
      <w:r w:rsidRPr="00FD2FB9">
        <w:t>Treasury Laws Amendment (Measures for Consultation) Bill 2023: Rationalisation of ending ASIC instruments (Tranche 2)</w:t>
      </w:r>
    </w:p>
    <w:p w14:paraId="1EFFD1EB" w14:textId="77777777" w:rsidR="00E24AA1" w:rsidRDefault="00E24AA1" w:rsidP="00E24AA1">
      <w:pPr>
        <w:pStyle w:val="Baseparagraphcentred"/>
        <w:pBdr>
          <w:top w:val="single" w:sz="4" w:space="1" w:color="auto"/>
        </w:pBdr>
      </w:pPr>
    </w:p>
    <w:p w14:paraId="5724F2AC" w14:textId="77777777" w:rsidR="00E24AA1" w:rsidRDefault="00E24AA1" w:rsidP="00E24AA1">
      <w:pPr>
        <w:pStyle w:val="Baseparagraphcentred"/>
      </w:pPr>
    </w:p>
    <w:p w14:paraId="3F7E8335" w14:textId="77777777" w:rsidR="00E24AA1" w:rsidRDefault="00E24AA1" w:rsidP="00E24AA1">
      <w:pPr>
        <w:pStyle w:val="Baseparagraphcentred"/>
      </w:pPr>
    </w:p>
    <w:p w14:paraId="737C501B" w14:textId="77777777" w:rsidR="00E24AA1" w:rsidRDefault="00E24AA1" w:rsidP="00E24AA1">
      <w:pPr>
        <w:pStyle w:val="Baseparagraphcentred"/>
      </w:pPr>
    </w:p>
    <w:p w14:paraId="1BECB2BE" w14:textId="77777777" w:rsidR="006E5163" w:rsidRDefault="006E5163" w:rsidP="00E24AA1">
      <w:pPr>
        <w:pStyle w:val="Baseparagraphcentred"/>
      </w:pPr>
      <w:r>
        <w:t>EXPOSURE DRAFT EXPLANATORY MATERIALS</w:t>
      </w:r>
    </w:p>
    <w:p w14:paraId="1CCE041C" w14:textId="4AF7B522" w:rsidR="00E24AA1" w:rsidRDefault="00E24AA1" w:rsidP="00E24AA1">
      <w:pPr>
        <w:pStyle w:val="Baseparagraphcentred"/>
      </w:pPr>
    </w:p>
    <w:p w14:paraId="26807527" w14:textId="77777777" w:rsidR="00E24AA1" w:rsidRDefault="00E24AA1" w:rsidP="00E24AA1">
      <w:pPr>
        <w:pStyle w:val="Baseparagraphcentred"/>
      </w:pPr>
    </w:p>
    <w:p w14:paraId="291B0E85" w14:textId="77777777" w:rsidR="00E24AA1" w:rsidRDefault="00E24AA1" w:rsidP="00E24AA1">
      <w:pPr>
        <w:pStyle w:val="ParaCentredNoSpacing"/>
      </w:pPr>
    </w:p>
    <w:p w14:paraId="0E08C462" w14:textId="77777777" w:rsidR="00E24AA1" w:rsidRPr="00967273" w:rsidRDefault="00E24AA1" w:rsidP="00E24AA1">
      <w:pPr>
        <w:pStyle w:val="Normalparatextnonumbers"/>
        <w:jc w:val="center"/>
        <w:rPr>
          <w:rFonts w:cs="Calibri"/>
          <w:color w:val="000000" w:themeColor="text1"/>
        </w:rPr>
      </w:pPr>
    </w:p>
    <w:p w14:paraId="400837E4" w14:textId="77777777" w:rsidR="00873094" w:rsidRDefault="00873094" w:rsidP="00873094">
      <w:pPr>
        <w:pStyle w:val="Normalparatextnonumbers"/>
      </w:pPr>
    </w:p>
    <w:p w14:paraId="16550CA2" w14:textId="77777777" w:rsidR="00E24AA1" w:rsidRPr="00020288" w:rsidRDefault="00E24AA1" w:rsidP="00873094">
      <w:pPr>
        <w:pStyle w:val="Normalparatextnonumbers"/>
      </w:pPr>
    </w:p>
    <w:p w14:paraId="57D269E2" w14:textId="77777777" w:rsidR="00873094" w:rsidRPr="00020288" w:rsidRDefault="00873094" w:rsidP="00873094">
      <w:pPr>
        <w:pStyle w:val="TOC1"/>
        <w:sectPr w:rsidR="00873094" w:rsidRPr="00020288" w:rsidSect="00000BFC">
          <w:headerReference w:type="first" r:id="rId11"/>
          <w:footerReference w:type="first" r:id="rId12"/>
          <w:type w:val="oddPage"/>
          <w:pgSz w:w="9979" w:h="14175" w:code="138"/>
          <w:pgMar w:top="567" w:right="1134" w:bottom="567" w:left="1134" w:header="709" w:footer="709" w:gutter="0"/>
          <w:cols w:space="708"/>
          <w:titlePg/>
          <w:docGrid w:linePitch="360"/>
        </w:sectPr>
      </w:pPr>
    </w:p>
    <w:p w14:paraId="3E34E46F"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05C320F9" w14:textId="5FBC688A" w:rsidR="006E5163" w:rsidRDefault="00873094" w:rsidP="006E5163">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6E5163">
        <w:rPr>
          <w:noProof/>
        </w:rPr>
        <w:t>Glossary</w:t>
      </w:r>
      <w:r w:rsidR="006E5163">
        <w:rPr>
          <w:noProof/>
        </w:rPr>
        <w:tab/>
      </w:r>
      <w:r w:rsidR="006E5163">
        <w:rPr>
          <w:noProof/>
        </w:rPr>
        <w:fldChar w:fldCharType="begin"/>
      </w:r>
      <w:r w:rsidR="006E5163">
        <w:rPr>
          <w:noProof/>
        </w:rPr>
        <w:instrText xml:space="preserve"> PAGEREF _Toc125100728 \h </w:instrText>
      </w:r>
      <w:r w:rsidR="006E5163">
        <w:rPr>
          <w:noProof/>
        </w:rPr>
      </w:r>
      <w:r w:rsidR="006E5163">
        <w:rPr>
          <w:noProof/>
        </w:rPr>
        <w:fldChar w:fldCharType="separate"/>
      </w:r>
      <w:r w:rsidR="006E5163">
        <w:rPr>
          <w:noProof/>
        </w:rPr>
        <w:t>iii</w:t>
      </w:r>
      <w:r w:rsidR="006E5163">
        <w:rPr>
          <w:noProof/>
        </w:rPr>
        <w:fldChar w:fldCharType="end"/>
      </w:r>
    </w:p>
    <w:p w14:paraId="29D4B23F" w14:textId="54A1E0B6" w:rsidR="006E5163" w:rsidRDefault="006E5163" w:rsidP="006E5163">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9A4614">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Rationalisation of ending ASIC instruments</w:t>
      </w:r>
      <w:r>
        <w:rPr>
          <w:noProof/>
        </w:rPr>
        <w:tab/>
      </w:r>
      <w:r>
        <w:rPr>
          <w:noProof/>
        </w:rPr>
        <w:fldChar w:fldCharType="begin"/>
      </w:r>
      <w:r>
        <w:rPr>
          <w:noProof/>
        </w:rPr>
        <w:instrText xml:space="preserve"> PAGEREF _Toc125100729 \h </w:instrText>
      </w:r>
      <w:r>
        <w:rPr>
          <w:noProof/>
        </w:rPr>
      </w:r>
      <w:r>
        <w:rPr>
          <w:noProof/>
        </w:rPr>
        <w:fldChar w:fldCharType="separate"/>
      </w:r>
      <w:r>
        <w:rPr>
          <w:noProof/>
        </w:rPr>
        <w:t>5</w:t>
      </w:r>
      <w:r>
        <w:rPr>
          <w:noProof/>
        </w:rPr>
        <w:fldChar w:fldCharType="end"/>
      </w:r>
    </w:p>
    <w:p w14:paraId="2819F84E" w14:textId="5FC6E0CB" w:rsidR="00873094" w:rsidRPr="00020288" w:rsidRDefault="00873094" w:rsidP="00BC2E4A">
      <w:pPr>
        <w:pStyle w:val="TOC1"/>
      </w:pPr>
      <w:r w:rsidRPr="00BC2E4A">
        <w:fldChar w:fldCharType="end"/>
      </w:r>
    </w:p>
    <w:p w14:paraId="59A2671A" w14:textId="77777777" w:rsidR="00873094" w:rsidRPr="00020288" w:rsidRDefault="00873094" w:rsidP="00873094"/>
    <w:p w14:paraId="465A2497" w14:textId="77777777" w:rsidR="00873094" w:rsidRPr="00020288" w:rsidRDefault="00873094" w:rsidP="00873094"/>
    <w:p w14:paraId="0B3A8E06" w14:textId="77777777" w:rsidR="00873094" w:rsidRPr="00020288" w:rsidRDefault="00873094" w:rsidP="00873094">
      <w:pPr>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60673580"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25100728"/>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27C479D"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66C34D81" w14:textId="77777777" w:rsidTr="002425D9">
        <w:tc>
          <w:tcPr>
            <w:tcW w:w="3776" w:type="dxa"/>
            <w:shd w:val="clear" w:color="auto" w:fill="auto"/>
          </w:tcPr>
          <w:p w14:paraId="24D44341"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7E24D9C5" w14:textId="77777777" w:rsidR="00873094" w:rsidRPr="002E7A73" w:rsidRDefault="00873094" w:rsidP="00B7393A">
            <w:pPr>
              <w:pStyle w:val="Tableheaderrowtext"/>
            </w:pPr>
            <w:r w:rsidRPr="002E7A73">
              <w:t>Definition</w:t>
            </w:r>
          </w:p>
        </w:tc>
      </w:tr>
      <w:tr w:rsidR="006D2364" w:rsidRPr="00020288" w14:paraId="3E3D9E22" w14:textId="77777777" w:rsidTr="002425D9">
        <w:tc>
          <w:tcPr>
            <w:tcW w:w="3776" w:type="dxa"/>
          </w:tcPr>
          <w:p w14:paraId="518CB478" w14:textId="5CED0FFE" w:rsidR="006D2364" w:rsidRPr="00945651" w:rsidRDefault="006D2364" w:rsidP="002425D9">
            <w:pPr>
              <w:pStyle w:val="Normalparatextnonumbers"/>
            </w:pPr>
            <w:r w:rsidRPr="00945651">
              <w:t>ASIC</w:t>
            </w:r>
          </w:p>
        </w:tc>
        <w:tc>
          <w:tcPr>
            <w:tcW w:w="3874" w:type="dxa"/>
          </w:tcPr>
          <w:p w14:paraId="1DF43FBB" w14:textId="3B065269" w:rsidR="006D2364" w:rsidRPr="00945651" w:rsidRDefault="006D2364" w:rsidP="002425D9">
            <w:pPr>
              <w:pStyle w:val="Normalparatextnonumbers"/>
            </w:pPr>
            <w:r w:rsidRPr="00945651">
              <w:t>Australian Securities and Investments Commission</w:t>
            </w:r>
          </w:p>
        </w:tc>
      </w:tr>
      <w:tr w:rsidR="00B825A1" w:rsidRPr="00020288" w14:paraId="5CC1E164" w14:textId="77777777" w:rsidTr="002425D9">
        <w:tc>
          <w:tcPr>
            <w:tcW w:w="3776" w:type="dxa"/>
          </w:tcPr>
          <w:p w14:paraId="32D29D00" w14:textId="52950AEE" w:rsidR="00B825A1" w:rsidRPr="00945651" w:rsidRDefault="00B825A1" w:rsidP="002425D9">
            <w:pPr>
              <w:pStyle w:val="Normalparatextnonumbers"/>
            </w:pPr>
            <w:r w:rsidRPr="00945651">
              <w:t>Bill</w:t>
            </w:r>
          </w:p>
        </w:tc>
        <w:tc>
          <w:tcPr>
            <w:tcW w:w="3874" w:type="dxa"/>
          </w:tcPr>
          <w:p w14:paraId="54DDD1AE" w14:textId="77371845" w:rsidR="00B825A1" w:rsidRPr="00FD2FB9" w:rsidRDefault="00FD2FB9" w:rsidP="002425D9">
            <w:pPr>
              <w:pStyle w:val="Normalparatextnonumbers"/>
            </w:pPr>
            <w:r w:rsidRPr="00FD2FB9">
              <w:t>Treasury Laws Amendment (Measures for Consultation) Bill 2023: Rationalisation of ending ASIC instruments (Tranche 2)</w:t>
            </w:r>
          </w:p>
        </w:tc>
      </w:tr>
      <w:tr w:rsidR="00873094" w:rsidRPr="00020288" w14:paraId="1810497E" w14:textId="77777777" w:rsidTr="002425D9">
        <w:tc>
          <w:tcPr>
            <w:tcW w:w="3776" w:type="dxa"/>
          </w:tcPr>
          <w:p w14:paraId="6D814047" w14:textId="0780E251" w:rsidR="00873094" w:rsidRPr="00020288" w:rsidRDefault="0006056D" w:rsidP="002425D9">
            <w:pPr>
              <w:pStyle w:val="Normalparatextnonumbers"/>
            </w:pPr>
            <w:r>
              <w:t>Corporations Act</w:t>
            </w:r>
          </w:p>
        </w:tc>
        <w:tc>
          <w:tcPr>
            <w:tcW w:w="3874" w:type="dxa"/>
          </w:tcPr>
          <w:p w14:paraId="128BCBA6" w14:textId="37B451CB" w:rsidR="00873094" w:rsidRPr="00DB2878" w:rsidRDefault="0006056D" w:rsidP="002425D9">
            <w:pPr>
              <w:pStyle w:val="Normalparatextnonumbers"/>
              <w:rPr>
                <w:i/>
                <w:iCs/>
              </w:rPr>
            </w:pPr>
            <w:r w:rsidRPr="00DB2878">
              <w:rPr>
                <w:i/>
                <w:iCs/>
              </w:rPr>
              <w:t>Corporations Act 2001</w:t>
            </w:r>
          </w:p>
        </w:tc>
      </w:tr>
      <w:tr w:rsidR="00873094" w:rsidRPr="00020288" w14:paraId="110C405E" w14:textId="77777777" w:rsidTr="002425D9">
        <w:tc>
          <w:tcPr>
            <w:tcW w:w="3776" w:type="dxa"/>
          </w:tcPr>
          <w:p w14:paraId="43E0245D" w14:textId="1BCC100C" w:rsidR="00873094" w:rsidRPr="00020288" w:rsidRDefault="00533525" w:rsidP="002425D9">
            <w:pPr>
              <w:pStyle w:val="Normalparatextnonumbers"/>
            </w:pPr>
            <w:r>
              <w:t>IPO</w:t>
            </w:r>
          </w:p>
        </w:tc>
        <w:tc>
          <w:tcPr>
            <w:tcW w:w="3874" w:type="dxa"/>
          </w:tcPr>
          <w:p w14:paraId="08DFE977" w14:textId="22681512" w:rsidR="00873094" w:rsidRPr="00020288" w:rsidRDefault="00533525" w:rsidP="002425D9">
            <w:pPr>
              <w:pStyle w:val="Normalparatextnonumbers"/>
            </w:pPr>
            <w:r>
              <w:t>Initial public offer</w:t>
            </w:r>
          </w:p>
        </w:tc>
      </w:tr>
      <w:tr w:rsidR="00873094" w:rsidRPr="00020288" w14:paraId="6D5E7574" w14:textId="77777777" w:rsidTr="002425D9">
        <w:tc>
          <w:tcPr>
            <w:tcW w:w="3776" w:type="dxa"/>
          </w:tcPr>
          <w:p w14:paraId="6D3AED58" w14:textId="40873FAD" w:rsidR="00873094" w:rsidRPr="00020288" w:rsidRDefault="008E4BAD" w:rsidP="002425D9">
            <w:pPr>
              <w:pStyle w:val="Normalparatextnonumbers"/>
            </w:pPr>
            <w:r>
              <w:t>National Credit Code</w:t>
            </w:r>
          </w:p>
        </w:tc>
        <w:tc>
          <w:tcPr>
            <w:tcW w:w="3874" w:type="dxa"/>
          </w:tcPr>
          <w:p w14:paraId="08B04547" w14:textId="5C866BA1" w:rsidR="00873094" w:rsidRPr="00020288" w:rsidRDefault="008E4BAD" w:rsidP="002425D9">
            <w:pPr>
              <w:pStyle w:val="Normalparatextnonumbers"/>
            </w:pPr>
            <w:r>
              <w:t xml:space="preserve">Schedule 1 </w:t>
            </w:r>
            <w:r w:rsidR="00776794">
              <w:t>to</w:t>
            </w:r>
            <w:r>
              <w:t xml:space="preserve"> the </w:t>
            </w:r>
            <w:r w:rsidRPr="00463A8F">
              <w:rPr>
                <w:i/>
                <w:iCs/>
              </w:rPr>
              <w:t>National Consumer Credit Protection Act 2009</w:t>
            </w:r>
          </w:p>
        </w:tc>
      </w:tr>
    </w:tbl>
    <w:p w14:paraId="4FEF6E58" w14:textId="77777777" w:rsidR="00873094" w:rsidRPr="00020288" w:rsidRDefault="00873094" w:rsidP="00873094"/>
    <w:p w14:paraId="4CF82A25" w14:textId="77777777" w:rsidR="00873094" w:rsidRPr="00020288" w:rsidRDefault="00873094" w:rsidP="00873094"/>
    <w:p w14:paraId="6775ADB9"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56F0E73" w14:textId="7CFF85F6" w:rsidR="00873094" w:rsidRPr="0073326A" w:rsidRDefault="00774C40" w:rsidP="00777A92">
      <w:pPr>
        <w:pStyle w:val="Chapterheading"/>
        <w:rPr>
          <w:rFonts w:hint="eastAsia"/>
        </w:rPr>
      </w:pPr>
      <w:bookmarkStart w:id="40" w:name="_Toc125100729"/>
      <w:bookmarkEnd w:id="26"/>
      <w:bookmarkEnd w:id="27"/>
      <w:bookmarkEnd w:id="28"/>
      <w:bookmarkEnd w:id="30"/>
      <w:bookmarkEnd w:id="31"/>
      <w:bookmarkEnd w:id="32"/>
      <w:bookmarkEnd w:id="33"/>
      <w:bookmarkEnd w:id="34"/>
      <w:bookmarkEnd w:id="35"/>
      <w:bookmarkEnd w:id="36"/>
      <w:bookmarkEnd w:id="37"/>
      <w:bookmarkEnd w:id="38"/>
      <w:bookmarkEnd w:id="39"/>
      <w:r>
        <w:lastRenderedPageBreak/>
        <w:t>Rationalisation of ending ASIC instruments</w:t>
      </w:r>
      <w:bookmarkEnd w:id="40"/>
    </w:p>
    <w:p w14:paraId="03DFAE39" w14:textId="18D1323F" w:rsidR="00873094" w:rsidRDefault="00223E82" w:rsidP="00873094">
      <w:pPr>
        <w:rPr>
          <w:rFonts w:ascii="Helvitica" w:hAnsi="Helvitica"/>
          <w:sz w:val="40"/>
        </w:rPr>
      </w:pPr>
      <w:bookmarkStart w:id="41" w:name="Chapter1"/>
      <w:r>
        <w:rPr>
          <w:rFonts w:ascii="Helvitica" w:hAnsi="Helvitica"/>
          <w:sz w:val="40"/>
        </w:rPr>
        <w:t xml:space="preserve">Table of Contents: </w:t>
      </w:r>
    </w:p>
    <w:p w14:paraId="40814539" w14:textId="7356DC59" w:rsidR="006E5163" w:rsidRDefault="00223E82">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6E5163">
        <w:t>Outline of chapter</w:t>
      </w:r>
      <w:r w:rsidR="006E5163">
        <w:rPr>
          <w:webHidden/>
        </w:rPr>
        <w:tab/>
      </w:r>
      <w:r w:rsidR="006E5163">
        <w:rPr>
          <w:webHidden/>
        </w:rPr>
        <w:fldChar w:fldCharType="begin"/>
      </w:r>
      <w:r w:rsidR="006E5163">
        <w:rPr>
          <w:webHidden/>
        </w:rPr>
        <w:instrText xml:space="preserve"> PAGEREF _Toc125100730 \h </w:instrText>
      </w:r>
      <w:r w:rsidR="006E5163">
        <w:rPr>
          <w:webHidden/>
        </w:rPr>
      </w:r>
      <w:r w:rsidR="006E5163">
        <w:rPr>
          <w:webHidden/>
        </w:rPr>
        <w:fldChar w:fldCharType="separate"/>
      </w:r>
      <w:r w:rsidR="00A57E8F">
        <w:rPr>
          <w:webHidden/>
        </w:rPr>
        <w:t>5</w:t>
      </w:r>
      <w:r w:rsidR="006E5163">
        <w:rPr>
          <w:webHidden/>
        </w:rPr>
        <w:fldChar w:fldCharType="end"/>
      </w:r>
    </w:p>
    <w:p w14:paraId="3A496583" w14:textId="2D15D5F9" w:rsidR="006E5163" w:rsidRDefault="006E5163">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_Toc125100731 \h </w:instrText>
      </w:r>
      <w:r>
        <w:rPr>
          <w:webHidden/>
        </w:rPr>
      </w:r>
      <w:r>
        <w:rPr>
          <w:webHidden/>
        </w:rPr>
        <w:fldChar w:fldCharType="separate"/>
      </w:r>
      <w:r w:rsidR="00A57E8F">
        <w:rPr>
          <w:webHidden/>
        </w:rPr>
        <w:t>6</w:t>
      </w:r>
      <w:r>
        <w:rPr>
          <w:webHidden/>
        </w:rPr>
        <w:fldChar w:fldCharType="end"/>
      </w:r>
    </w:p>
    <w:p w14:paraId="2CC82935" w14:textId="5C0CEA23" w:rsidR="006E5163" w:rsidRDefault="006E5163">
      <w:pPr>
        <w:pStyle w:val="TOC2"/>
        <w:rPr>
          <w:rFonts w:asciiTheme="minorHAnsi" w:eastAsiaTheme="minorEastAsia" w:hAnsiTheme="minorHAnsi"/>
          <w:sz w:val="22"/>
          <w:lang w:eastAsia="en-AU"/>
        </w:rPr>
      </w:pPr>
      <w:r>
        <w:t>Relevant interests, voting power and exceptions to the general prohibition (ASIC Class Order [CO 13/520])</w:t>
      </w:r>
      <w:r>
        <w:rPr>
          <w:webHidden/>
        </w:rPr>
        <w:tab/>
      </w:r>
      <w:r>
        <w:rPr>
          <w:webHidden/>
        </w:rPr>
        <w:fldChar w:fldCharType="begin"/>
      </w:r>
      <w:r>
        <w:rPr>
          <w:webHidden/>
        </w:rPr>
        <w:instrText xml:space="preserve"> PAGEREF _Toc125100732 \h </w:instrText>
      </w:r>
      <w:r>
        <w:rPr>
          <w:webHidden/>
        </w:rPr>
      </w:r>
      <w:r>
        <w:rPr>
          <w:webHidden/>
        </w:rPr>
        <w:fldChar w:fldCharType="separate"/>
      </w:r>
      <w:r w:rsidR="00A57E8F">
        <w:rPr>
          <w:webHidden/>
        </w:rPr>
        <w:t>7</w:t>
      </w:r>
      <w:r>
        <w:rPr>
          <w:webHidden/>
        </w:rPr>
        <w:fldChar w:fldCharType="end"/>
      </w:r>
    </w:p>
    <w:p w14:paraId="40227859" w14:textId="05FC61D2" w:rsidR="006E5163" w:rsidRDefault="006E5163">
      <w:pPr>
        <w:pStyle w:val="TOC2"/>
        <w:rPr>
          <w:rFonts w:asciiTheme="minorHAnsi" w:eastAsiaTheme="minorEastAsia" w:hAnsiTheme="minorHAnsi"/>
          <w:sz w:val="22"/>
          <w:lang w:eastAsia="en-AU"/>
        </w:rPr>
      </w:pPr>
      <w:r>
        <w:t>Satisfying the requirement for Registered Schemes to make adequate provision for acquiring interests in and withdrawing from the scheme, in the Scheme constitution (ASIC Class Order [13/655] and ASIC Class Order [13/657])</w:t>
      </w:r>
      <w:r>
        <w:rPr>
          <w:webHidden/>
        </w:rPr>
        <w:tab/>
      </w:r>
      <w:r>
        <w:rPr>
          <w:webHidden/>
        </w:rPr>
        <w:fldChar w:fldCharType="begin"/>
      </w:r>
      <w:r>
        <w:rPr>
          <w:webHidden/>
        </w:rPr>
        <w:instrText xml:space="preserve"> PAGEREF _Toc125100738 \h </w:instrText>
      </w:r>
      <w:r>
        <w:rPr>
          <w:webHidden/>
        </w:rPr>
      </w:r>
      <w:r>
        <w:rPr>
          <w:webHidden/>
        </w:rPr>
        <w:fldChar w:fldCharType="separate"/>
      </w:r>
      <w:r w:rsidR="00A57E8F">
        <w:rPr>
          <w:webHidden/>
        </w:rPr>
        <w:t>15</w:t>
      </w:r>
      <w:r>
        <w:rPr>
          <w:webHidden/>
        </w:rPr>
        <w:fldChar w:fldCharType="end"/>
      </w:r>
    </w:p>
    <w:p w14:paraId="7476BF02" w14:textId="6F376F0B" w:rsidR="006E5163" w:rsidRDefault="006E5163">
      <w:pPr>
        <w:pStyle w:val="TOC2"/>
        <w:rPr>
          <w:rFonts w:asciiTheme="minorHAnsi" w:eastAsiaTheme="minorEastAsia" w:hAnsiTheme="minorHAnsi"/>
          <w:sz w:val="22"/>
          <w:lang w:eastAsia="en-AU"/>
        </w:rPr>
      </w:pPr>
      <w:r>
        <w:t>ASIC Corporations (Superannuation and Schemes: Underlying Investments) Instrument 2016/378</w:t>
      </w:r>
      <w:r>
        <w:rPr>
          <w:webHidden/>
        </w:rPr>
        <w:tab/>
      </w:r>
      <w:r>
        <w:rPr>
          <w:webHidden/>
        </w:rPr>
        <w:fldChar w:fldCharType="begin"/>
      </w:r>
      <w:r>
        <w:rPr>
          <w:webHidden/>
        </w:rPr>
        <w:instrText xml:space="preserve"> PAGEREF _Toc125100744 \h </w:instrText>
      </w:r>
      <w:r>
        <w:rPr>
          <w:webHidden/>
        </w:rPr>
      </w:r>
      <w:r>
        <w:rPr>
          <w:webHidden/>
        </w:rPr>
        <w:fldChar w:fldCharType="separate"/>
      </w:r>
      <w:r w:rsidR="00A57E8F">
        <w:rPr>
          <w:webHidden/>
        </w:rPr>
        <w:t>23</w:t>
      </w:r>
      <w:r>
        <w:rPr>
          <w:webHidden/>
        </w:rPr>
        <w:fldChar w:fldCharType="end"/>
      </w:r>
    </w:p>
    <w:p w14:paraId="7ACABD9C" w14:textId="2B8136EA" w:rsidR="006E5163" w:rsidRDefault="006E5163">
      <w:pPr>
        <w:pStyle w:val="TOC2"/>
        <w:rPr>
          <w:rFonts w:asciiTheme="minorHAnsi" w:eastAsiaTheme="minorEastAsia" w:hAnsiTheme="minorHAnsi"/>
          <w:sz w:val="22"/>
          <w:lang w:eastAsia="en-AU"/>
        </w:rPr>
      </w:pPr>
      <w:r>
        <w:t>ASIC Credit (Electronic Precontractual Disclosure) Instrument 2020/835</w:t>
      </w:r>
      <w:r>
        <w:rPr>
          <w:webHidden/>
        </w:rPr>
        <w:tab/>
      </w:r>
      <w:r>
        <w:rPr>
          <w:webHidden/>
        </w:rPr>
        <w:fldChar w:fldCharType="begin"/>
      </w:r>
      <w:r>
        <w:rPr>
          <w:webHidden/>
        </w:rPr>
        <w:instrText xml:space="preserve"> PAGEREF _Toc125100747 \h </w:instrText>
      </w:r>
      <w:r>
        <w:rPr>
          <w:webHidden/>
        </w:rPr>
      </w:r>
      <w:r>
        <w:rPr>
          <w:webHidden/>
        </w:rPr>
        <w:fldChar w:fldCharType="separate"/>
      </w:r>
      <w:r w:rsidR="00A57E8F">
        <w:rPr>
          <w:webHidden/>
        </w:rPr>
        <w:t>26</w:t>
      </w:r>
      <w:r>
        <w:rPr>
          <w:webHidden/>
        </w:rPr>
        <w:fldChar w:fldCharType="end"/>
      </w:r>
    </w:p>
    <w:p w14:paraId="2C815449" w14:textId="5AE7595D" w:rsidR="00223E82" w:rsidRPr="00020288" w:rsidRDefault="00223E82" w:rsidP="00223E82">
      <w:r>
        <w:fldChar w:fldCharType="end"/>
      </w:r>
    </w:p>
    <w:p w14:paraId="4BF283DC" w14:textId="3CF5EC74" w:rsidR="00873094" w:rsidRPr="00020288" w:rsidRDefault="00873094" w:rsidP="005D0844">
      <w:pPr>
        <w:pStyle w:val="Heading2"/>
        <w:rPr>
          <w:rFonts w:hint="eastAsia"/>
        </w:rPr>
      </w:pPr>
      <w:bookmarkStart w:id="42" w:name="_Toc125100730"/>
      <w:r w:rsidRPr="00020288">
        <w:t xml:space="preserve">Outline </w:t>
      </w:r>
      <w:r w:rsidRPr="005D0844">
        <w:t>of</w:t>
      </w:r>
      <w:r w:rsidRPr="00020288">
        <w:t xml:space="preserve"> chapter</w:t>
      </w:r>
      <w:bookmarkEnd w:id="42"/>
    </w:p>
    <w:p w14:paraId="2DCED458" w14:textId="47D6183C" w:rsidR="003B6B93" w:rsidRDefault="00774C40" w:rsidP="000E521B">
      <w:pPr>
        <w:pStyle w:val="Normalparatextwithnumbers"/>
      </w:pPr>
      <w:r>
        <w:t xml:space="preserve">Schedule 1 </w:t>
      </w:r>
      <w:r w:rsidR="00B76CA4">
        <w:t xml:space="preserve">to </w:t>
      </w:r>
      <w:r w:rsidR="00597DC0">
        <w:t xml:space="preserve">the Bill </w:t>
      </w:r>
      <w:r>
        <w:t>make</w:t>
      </w:r>
      <w:r w:rsidR="006362EE">
        <w:t>s</w:t>
      </w:r>
      <w:r>
        <w:t xml:space="preserve"> amendments to laws in the Treasury portfolio to move matters currently in ASIC legislative instruments into the primary law. </w:t>
      </w:r>
      <w:r w:rsidRPr="00F825B8">
        <w:t xml:space="preserve">Amendments to the Corporations Act </w:t>
      </w:r>
      <w:r w:rsidR="00CD3D14" w:rsidRPr="00F825B8">
        <w:t>incorporate the following instruments</w:t>
      </w:r>
      <w:r w:rsidR="003B6B93">
        <w:t>:</w:t>
      </w:r>
    </w:p>
    <w:p w14:paraId="31B9629E" w14:textId="45F7B96D" w:rsidR="00873094" w:rsidRPr="000E521B" w:rsidRDefault="00547D0B" w:rsidP="00547D0B">
      <w:pPr>
        <w:pStyle w:val="Dotpoint1"/>
      </w:pPr>
      <w:bookmarkStart w:id="43" w:name="tempbookmark"/>
      <w:bookmarkEnd w:id="43"/>
      <w:r>
        <w:t>ASIC Class Order [CO 13/520]</w:t>
      </w:r>
      <w:r w:rsidR="00DE74BF">
        <w:t xml:space="preserve"> (Part 1</w:t>
      </w:r>
      <w:proofErr w:type="gramStart"/>
      <w:r w:rsidR="00DE74BF">
        <w:t>)</w:t>
      </w:r>
      <w:r>
        <w:t>;</w:t>
      </w:r>
      <w:proofErr w:type="gramEnd"/>
    </w:p>
    <w:p w14:paraId="66220F4F" w14:textId="0E1CA732" w:rsidR="00547D0B" w:rsidRDefault="00547D0B" w:rsidP="00547D0B">
      <w:pPr>
        <w:pStyle w:val="Dotpoint1"/>
      </w:pPr>
      <w:r>
        <w:t xml:space="preserve">ASIC Class Order </w:t>
      </w:r>
      <w:r w:rsidR="00362D8B">
        <w:t>[CO 13/655]</w:t>
      </w:r>
      <w:r w:rsidR="00DE74BF">
        <w:t xml:space="preserve"> (Part </w:t>
      </w:r>
      <w:proofErr w:type="gramStart"/>
      <w:r w:rsidR="00DE74BF">
        <w:t>2</w:t>
      </w:r>
      <w:r w:rsidR="00362D8B">
        <w:t>;</w:t>
      </w:r>
      <w:proofErr w:type="gramEnd"/>
    </w:p>
    <w:p w14:paraId="0599CB1B" w14:textId="07822F1E" w:rsidR="00362D8B" w:rsidRDefault="00362D8B" w:rsidP="00547D0B">
      <w:pPr>
        <w:pStyle w:val="Dotpoint1"/>
      </w:pPr>
      <w:r>
        <w:t>ASIC Class Order [CO 13/657]</w:t>
      </w:r>
      <w:r w:rsidR="000D53BD">
        <w:t xml:space="preserve"> (Part 2)</w:t>
      </w:r>
      <w:r>
        <w:t>; and</w:t>
      </w:r>
    </w:p>
    <w:p w14:paraId="5E904CCE" w14:textId="2D450C85" w:rsidR="00362D8B" w:rsidRDefault="00362D8B" w:rsidP="00547D0B">
      <w:pPr>
        <w:pStyle w:val="Dotpoint1"/>
      </w:pPr>
      <w:r>
        <w:t>section 6 of ASIC Corporations (Superannuation and Schemes; Underlying Investments) Instrument 2016/378</w:t>
      </w:r>
      <w:r w:rsidR="000D53BD">
        <w:t xml:space="preserve"> (Part 3)</w:t>
      </w:r>
      <w:r>
        <w:t>.</w:t>
      </w:r>
    </w:p>
    <w:p w14:paraId="04BA84CF" w14:textId="340E9F9B" w:rsidR="00362D8B" w:rsidRPr="000E521B" w:rsidRDefault="00362D8B" w:rsidP="00362D8B">
      <w:pPr>
        <w:pStyle w:val="Normalparatextwithnumbers"/>
        <w:numPr>
          <w:ilvl w:val="1"/>
          <w:numId w:val="24"/>
        </w:numPr>
      </w:pPr>
      <w:r>
        <w:t xml:space="preserve">Amendments </w:t>
      </w:r>
      <w:r w:rsidR="000D53BD">
        <w:t xml:space="preserve">in Part 4 </w:t>
      </w:r>
      <w:r>
        <w:t xml:space="preserve">to the </w:t>
      </w:r>
      <w:r w:rsidRPr="00362D8B">
        <w:rPr>
          <w:i/>
          <w:iCs/>
        </w:rPr>
        <w:t>National Consumer Credit Protection Act 2009</w:t>
      </w:r>
      <w:r>
        <w:t xml:space="preserve"> </w:t>
      </w:r>
      <w:r w:rsidR="0065523E">
        <w:t xml:space="preserve">insert regulation-making powers to support the </w:t>
      </w:r>
      <w:r>
        <w:t>in</w:t>
      </w:r>
      <w:r w:rsidR="00BA2917">
        <w:t>corporat</w:t>
      </w:r>
      <w:r w:rsidR="0065523E">
        <w:t>ion of</w:t>
      </w:r>
      <w:r w:rsidR="00BA2917">
        <w:t xml:space="preserve"> </w:t>
      </w:r>
      <w:r w:rsidR="00BA2917" w:rsidRPr="00F825B8">
        <w:t>ASIC Credit (Electronic Precontractual Disclosure) Instrument 2020/835</w:t>
      </w:r>
      <w:r w:rsidR="0065523E">
        <w:t xml:space="preserve"> into the </w:t>
      </w:r>
      <w:r w:rsidR="0065523E" w:rsidRPr="00F825B8">
        <w:rPr>
          <w:i/>
          <w:iCs/>
        </w:rPr>
        <w:t>National Consumer Credit Protection Regulations 2010</w:t>
      </w:r>
      <w:r w:rsidR="00BA2917">
        <w:t>.</w:t>
      </w:r>
      <w:r w:rsidR="00D079EC">
        <w:t xml:space="preserve"> Exposure draft regulations are being consulted on alongside the exposure draft of this bill. </w:t>
      </w:r>
    </w:p>
    <w:p w14:paraId="36F48EB5" w14:textId="1AEAF7AC" w:rsidR="00873094" w:rsidRPr="00020288" w:rsidRDefault="00873094" w:rsidP="005D0844">
      <w:pPr>
        <w:pStyle w:val="Heading2"/>
        <w:rPr>
          <w:rFonts w:hint="eastAsia"/>
        </w:rPr>
      </w:pPr>
      <w:bookmarkStart w:id="44" w:name="_Toc125100731"/>
      <w:r w:rsidRPr="00020288">
        <w:lastRenderedPageBreak/>
        <w:t xml:space="preserve">Context of </w:t>
      </w:r>
      <w:r w:rsidRPr="005D0844">
        <w:t>amendments</w:t>
      </w:r>
      <w:bookmarkEnd w:id="44"/>
    </w:p>
    <w:p w14:paraId="5F1393A3" w14:textId="121F8B86" w:rsidR="00873094" w:rsidRDefault="00434A68" w:rsidP="001F377F">
      <w:pPr>
        <w:pStyle w:val="Normalparatextwithnumbers"/>
        <w:numPr>
          <w:ilvl w:val="1"/>
          <w:numId w:val="3"/>
        </w:numPr>
      </w:pPr>
      <w:r>
        <w:t xml:space="preserve">These amendments incorporate longstanding and accepted matters currently contained in ASIC-made legislation into the primary law. This is part of the </w:t>
      </w:r>
      <w:r w:rsidR="00894DCD">
        <w:t xml:space="preserve">regular </w:t>
      </w:r>
      <w:r>
        <w:t>care and maintenance of Treasury portfolio legislation and provides industry and consumers with greater certainty and clarity when interacting with Treasury laws.</w:t>
      </w:r>
    </w:p>
    <w:p w14:paraId="0ECD64C7" w14:textId="39606B1E" w:rsidR="00434A68" w:rsidRDefault="00434A68" w:rsidP="00873094">
      <w:pPr>
        <w:pStyle w:val="Normalparatextwithnumbers"/>
        <w:numPr>
          <w:ilvl w:val="1"/>
          <w:numId w:val="3"/>
        </w:numPr>
      </w:pPr>
      <w:r>
        <w:t>Class orders and legislative instruments that notionally amend the primary law or regulations</w:t>
      </w:r>
      <w:r w:rsidR="00621610">
        <w:t xml:space="preserve"> may</w:t>
      </w:r>
      <w:r>
        <w:t xml:space="preserve"> cause complexity in the law and undermine accessibility. This</w:t>
      </w:r>
      <w:r w:rsidR="006D2364">
        <w:t> </w:t>
      </w:r>
      <w:r w:rsidR="00522CB1">
        <w:t>may make</w:t>
      </w:r>
      <w:r>
        <w:t xml:space="preserve"> it difficul</w:t>
      </w:r>
      <w:r w:rsidR="00A31AE3">
        <w:t>t</w:t>
      </w:r>
      <w:r>
        <w:t xml:space="preserve"> for entities</w:t>
      </w:r>
      <w:r w:rsidR="00A31AE3">
        <w:t xml:space="preserve"> to identify and understand the law as it applies to them. Moving notional amendments and other matters out of ASIC</w:t>
      </w:r>
      <w:r w:rsidR="006D2364">
        <w:noBreakHyphen/>
      </w:r>
      <w:r w:rsidR="00A31AE3">
        <w:t xml:space="preserve">made legislation through this package goes towards addressing these concerns. </w:t>
      </w:r>
    </w:p>
    <w:p w14:paraId="7DD3AA86" w14:textId="77777777" w:rsidR="00272FB0" w:rsidRDefault="00272FB0">
      <w:pPr>
        <w:spacing w:before="0" w:after="160" w:line="259" w:lineRule="auto"/>
        <w:rPr>
          <w:rFonts w:ascii="Helvitica" w:eastAsiaTheme="majorEastAsia" w:hAnsi="Helvitica" w:cstheme="majorBidi" w:hint="eastAsia"/>
          <w:sz w:val="36"/>
          <w:szCs w:val="26"/>
        </w:rPr>
      </w:pPr>
      <w:bookmarkStart w:id="45" w:name="_Toc117505569"/>
      <w:r>
        <w:rPr>
          <w:rFonts w:hint="eastAsia"/>
        </w:rPr>
        <w:br w:type="page"/>
      </w:r>
    </w:p>
    <w:p w14:paraId="644D7739" w14:textId="712AE50C" w:rsidR="00D821FD" w:rsidRDefault="003B6B93" w:rsidP="005D0844">
      <w:pPr>
        <w:pStyle w:val="Heading2"/>
        <w:rPr>
          <w:rFonts w:hint="eastAsia"/>
        </w:rPr>
      </w:pPr>
      <w:bookmarkStart w:id="46" w:name="_Toc125100732"/>
      <w:r>
        <w:lastRenderedPageBreak/>
        <w:t>Relevant interests, voting power and exceptions to the general prohibition</w:t>
      </w:r>
      <w:r w:rsidR="00D821FD">
        <w:t xml:space="preserve"> (</w:t>
      </w:r>
      <w:r w:rsidR="00D821FD" w:rsidRPr="007A15B3">
        <w:t>ASIC Class Order [CO</w:t>
      </w:r>
      <w:r w:rsidR="00D821FD" w:rsidRPr="007A15B3">
        <w:rPr>
          <w:rFonts w:hint="eastAsia"/>
        </w:rPr>
        <w:t> </w:t>
      </w:r>
      <w:r w:rsidR="00D821FD" w:rsidRPr="007A15B3">
        <w:t>13/520]</w:t>
      </w:r>
      <w:r w:rsidR="00D821FD">
        <w:t>)</w:t>
      </w:r>
      <w:bookmarkEnd w:id="45"/>
      <w:bookmarkEnd w:id="46"/>
    </w:p>
    <w:p w14:paraId="75BD60BF" w14:textId="581ADACB" w:rsidR="00F91F7F" w:rsidRPr="003B0902" w:rsidRDefault="003B0902" w:rsidP="00F325C6">
      <w:pPr>
        <w:pStyle w:val="Heading3"/>
        <w:rPr>
          <w:rFonts w:hint="eastAsia"/>
        </w:rPr>
      </w:pPr>
      <w:bookmarkStart w:id="47" w:name="_Toc125099998"/>
      <w:bookmarkStart w:id="48" w:name="_Toc125100733"/>
      <w:r>
        <w:t>Context of amendments</w:t>
      </w:r>
      <w:bookmarkEnd w:id="47"/>
      <w:bookmarkEnd w:id="48"/>
    </w:p>
    <w:p w14:paraId="09D91071" w14:textId="6886FA24" w:rsidR="00806671" w:rsidRDefault="00806671" w:rsidP="00806671">
      <w:pPr>
        <w:pStyle w:val="Normalparatextwithnumbers"/>
      </w:pPr>
      <w:r>
        <w:t>Chapter 6 of the Corporations Act relates to takeovers. It regulates the acquisition of substantial interests in listed companies and bodies, listed registered managed investment schemes and unlisted companies with more than 50 members, by:</w:t>
      </w:r>
    </w:p>
    <w:p w14:paraId="67587346" w14:textId="48929CFE" w:rsidR="00806671" w:rsidRDefault="00806671" w:rsidP="00B74AB3">
      <w:pPr>
        <w:pStyle w:val="Dotpoint1"/>
      </w:pPr>
      <w:r>
        <w:t xml:space="preserve">imposing a general prohibition relating to the acquisition of </w:t>
      </w:r>
      <w:r w:rsidR="00BD35E2">
        <w:t>relevant</w:t>
      </w:r>
      <w:r>
        <w:t xml:space="preserve"> interests by, or on behalf of a person resulting in an increase of a persons’ voting power in a regulated entity to, or from, a point above 20</w:t>
      </w:r>
      <w:r w:rsidR="00D079EC">
        <w:t xml:space="preserve"> per cent </w:t>
      </w:r>
      <w:r>
        <w:t>(</w:t>
      </w:r>
      <w:r w:rsidR="005106BF">
        <w:t>the g</w:t>
      </w:r>
      <w:r w:rsidRPr="005106BF">
        <w:t xml:space="preserve">eneral </w:t>
      </w:r>
      <w:r w:rsidR="005106BF">
        <w:t>p</w:t>
      </w:r>
      <w:r w:rsidRPr="005106BF">
        <w:t>rohibition</w:t>
      </w:r>
      <w:r>
        <w:t xml:space="preserve">) (section 606 of the </w:t>
      </w:r>
      <w:r w:rsidRPr="00305785">
        <w:t>Corporations Act</w:t>
      </w:r>
      <w:r>
        <w:t>); and</w:t>
      </w:r>
    </w:p>
    <w:p w14:paraId="474B356C" w14:textId="4680BBBD" w:rsidR="00806671" w:rsidRDefault="00806671" w:rsidP="00B74AB3">
      <w:pPr>
        <w:pStyle w:val="Dotpoint1"/>
      </w:pPr>
      <w:r>
        <w:t xml:space="preserve">providing for </w:t>
      </w:r>
      <w:proofErr w:type="gramStart"/>
      <w:r>
        <w:t>a number of</w:t>
      </w:r>
      <w:proofErr w:type="gramEnd"/>
      <w:r>
        <w:t xml:space="preserve"> exceptions to the general prohibition under which otherwise prohibited acquisitions may be made (including</w:t>
      </w:r>
      <w:r w:rsidR="005106BF">
        <w:t>,</w:t>
      </w:r>
      <w:r>
        <w:t xml:space="preserve"> for example</w:t>
      </w:r>
      <w:r w:rsidR="005106BF">
        <w:t>,</w:t>
      </w:r>
      <w:r>
        <w:t xml:space="preserve"> acquisitions under a takeover bid) (section 611 of the </w:t>
      </w:r>
      <w:r w:rsidRPr="00305785">
        <w:t>Corporations Act</w:t>
      </w:r>
      <w:r>
        <w:t>).</w:t>
      </w:r>
    </w:p>
    <w:p w14:paraId="4D04313F" w14:textId="697CBBA9" w:rsidR="00517FC8" w:rsidRPr="00F04C05" w:rsidRDefault="00B948C0" w:rsidP="00517FC8">
      <w:pPr>
        <w:pStyle w:val="Normalparatextwithnumbers"/>
      </w:pPr>
      <w:r>
        <w:t xml:space="preserve">Section 608 of the Corporations Act sets out the basic rule of when a person will have a relevant interest in securities. </w:t>
      </w:r>
      <w:r w:rsidR="00517FC8" w:rsidRPr="00F04C05">
        <w:t>Broadly, a person</w:t>
      </w:r>
      <w:r w:rsidR="00613C00">
        <w:t>’s</w:t>
      </w:r>
      <w:r w:rsidR="00517FC8" w:rsidRPr="00F04C05">
        <w:t xml:space="preserve"> </w:t>
      </w:r>
      <w:r w:rsidR="00613C00">
        <w:t xml:space="preserve">interest in securities will be </w:t>
      </w:r>
      <w:r w:rsidR="00517FC8" w:rsidRPr="00F04C05">
        <w:t xml:space="preserve">a ‘relevant interest’ </w:t>
      </w:r>
      <w:r w:rsidR="00613C00">
        <w:t xml:space="preserve">and </w:t>
      </w:r>
      <w:r w:rsidR="00517FC8" w:rsidRPr="00F04C05">
        <w:t>regulated by the takeovers provisions if the person holds</w:t>
      </w:r>
      <w:r w:rsidR="00613C00">
        <w:t xml:space="preserve"> the </w:t>
      </w:r>
      <w:proofErr w:type="gramStart"/>
      <w:r w:rsidR="00613C00">
        <w:t>securities</w:t>
      </w:r>
      <w:r w:rsidR="00517FC8" w:rsidRPr="00F04C05">
        <w:t>, or</w:t>
      </w:r>
      <w:proofErr w:type="gramEnd"/>
      <w:r w:rsidR="00517FC8" w:rsidRPr="00F04C05">
        <w:t xml:space="preserve"> has the power to control voting or </w:t>
      </w:r>
      <w:r w:rsidR="00A201DC">
        <w:t xml:space="preserve">the </w:t>
      </w:r>
      <w:r w:rsidR="00517FC8" w:rsidRPr="00F04C05">
        <w:t>disposal of the security.</w:t>
      </w:r>
      <w:r>
        <w:t xml:space="preserve"> Section 609 of the Corporations Act sets out </w:t>
      </w:r>
      <w:proofErr w:type="gramStart"/>
      <w:r>
        <w:t>a number of</w:t>
      </w:r>
      <w:proofErr w:type="gramEnd"/>
      <w:r>
        <w:t xml:space="preserve"> situations that will not give rise to a relevant interest in securities. </w:t>
      </w:r>
    </w:p>
    <w:p w14:paraId="7F22D25F" w14:textId="77777777" w:rsidR="005106BF" w:rsidRDefault="00EC0483" w:rsidP="00EC0483">
      <w:pPr>
        <w:pStyle w:val="Normalparatextwithnumbers"/>
      </w:pPr>
      <w:bookmarkStart w:id="49" w:name="_Hlk125027347"/>
      <w:r w:rsidRPr="00EC0483">
        <w:t xml:space="preserve">ASIC Class Order [CO 13/520] </w:t>
      </w:r>
      <w:bookmarkEnd w:id="49"/>
      <w:r w:rsidR="00E214FA">
        <w:t xml:space="preserve">makes </w:t>
      </w:r>
      <w:proofErr w:type="gramStart"/>
      <w:r w:rsidR="00E214FA">
        <w:t>a number of</w:t>
      </w:r>
      <w:proofErr w:type="gramEnd"/>
      <w:r w:rsidR="00E214FA">
        <w:t xml:space="preserve"> modifications to Chapter 6 of the Corporations Act in relation to</w:t>
      </w:r>
      <w:r w:rsidR="005106BF">
        <w:t>:</w:t>
      </w:r>
    </w:p>
    <w:p w14:paraId="5D1CD732" w14:textId="11C0A371" w:rsidR="005106BF" w:rsidRDefault="00E214FA" w:rsidP="00803969">
      <w:pPr>
        <w:pStyle w:val="Dotpoint1"/>
      </w:pPr>
      <w:r>
        <w:t xml:space="preserve">situations that will not give rise to a relevant interest under section </w:t>
      </w:r>
      <w:r w:rsidR="00B948C0">
        <w:t>609</w:t>
      </w:r>
      <w:r>
        <w:t xml:space="preserve"> of the Corporations </w:t>
      </w:r>
      <w:proofErr w:type="gramStart"/>
      <w:r>
        <w:t>Act</w:t>
      </w:r>
      <w:r w:rsidR="005106BF">
        <w:t>;</w:t>
      </w:r>
      <w:proofErr w:type="gramEnd"/>
      <w:r>
        <w:t xml:space="preserve"> </w:t>
      </w:r>
    </w:p>
    <w:p w14:paraId="7984B4E1" w14:textId="77777777" w:rsidR="005106BF" w:rsidRDefault="00E214FA" w:rsidP="00803969">
      <w:pPr>
        <w:pStyle w:val="Dotpoint1"/>
      </w:pPr>
      <w:r>
        <w:t>securities that are the subject of an acceptance facility</w:t>
      </w:r>
      <w:r w:rsidR="005106BF">
        <w:t>;</w:t>
      </w:r>
      <w:r w:rsidR="00C91579">
        <w:t xml:space="preserve"> and </w:t>
      </w:r>
    </w:p>
    <w:p w14:paraId="68BFCE75" w14:textId="6A40DCAC" w:rsidR="005106BF" w:rsidRDefault="00C91579" w:rsidP="00803969">
      <w:pPr>
        <w:pStyle w:val="Dotpoint1"/>
      </w:pPr>
      <w:r>
        <w:t xml:space="preserve">exceptions to the </w:t>
      </w:r>
      <w:r w:rsidR="00803969">
        <w:t>g</w:t>
      </w:r>
      <w:r>
        <w:t xml:space="preserve">eneral </w:t>
      </w:r>
      <w:r w:rsidR="00803969">
        <w:t>p</w:t>
      </w:r>
      <w:r>
        <w:t xml:space="preserve">rohibition. </w:t>
      </w:r>
    </w:p>
    <w:p w14:paraId="7041E67D" w14:textId="3FB6F1CB" w:rsidR="00B74AB3" w:rsidRPr="00517FC8" w:rsidRDefault="00692DC7" w:rsidP="00EC0483">
      <w:pPr>
        <w:pStyle w:val="Normalparatextwithnumbers"/>
      </w:pPr>
      <w:r>
        <w:t xml:space="preserve">The </w:t>
      </w:r>
      <w:r w:rsidR="00B52230">
        <w:t xml:space="preserve">modifications </w:t>
      </w:r>
      <w:r w:rsidR="00A619A9">
        <w:t xml:space="preserve">in </w:t>
      </w:r>
      <w:r>
        <w:t xml:space="preserve">ASIC Class Order [CO 13/520] relate to similar themes and modify similar parts of the Corporations Act, however the </w:t>
      </w:r>
      <w:r w:rsidR="00A619A9">
        <w:t xml:space="preserve">provisions </w:t>
      </w:r>
      <w:r>
        <w:t>generally operate independently of each other.</w:t>
      </w:r>
      <w:r w:rsidR="00744D74">
        <w:rPr>
          <w:rStyle w:val="FootnoteReference"/>
        </w:rPr>
        <w:footnoteReference w:id="2"/>
      </w:r>
    </w:p>
    <w:p w14:paraId="694C49BB" w14:textId="30E40D00" w:rsidR="00873094" w:rsidRPr="00020288" w:rsidRDefault="00873094" w:rsidP="000678F5">
      <w:pPr>
        <w:pStyle w:val="Heading3"/>
        <w:rPr>
          <w:rFonts w:hint="eastAsia"/>
        </w:rPr>
      </w:pPr>
      <w:bookmarkStart w:id="50" w:name="_Toc125099999"/>
      <w:bookmarkStart w:id="51" w:name="_Toc125100734"/>
      <w:r w:rsidRPr="00AF50CE">
        <w:lastRenderedPageBreak/>
        <w:t>Comparison</w:t>
      </w:r>
      <w:r w:rsidRPr="00020288">
        <w:t xml:space="preserve"> of key features of new law and current law</w:t>
      </w:r>
      <w:bookmarkEnd w:id="50"/>
      <w:bookmarkEnd w:id="51"/>
    </w:p>
    <w:p w14:paraId="60AF5444"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DF5D133"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41408D0B"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646FBEC1"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344AC58F" w14:textId="77777777" w:rsidTr="002425D9">
        <w:tc>
          <w:tcPr>
            <w:tcW w:w="3776" w:type="dxa"/>
          </w:tcPr>
          <w:p w14:paraId="4A675842" w14:textId="3A6DA1F7" w:rsidR="00873094" w:rsidRPr="00020288" w:rsidRDefault="00034E7E" w:rsidP="002425D9">
            <w:pPr>
              <w:pStyle w:val="Tabletext"/>
            </w:pPr>
            <w:r>
              <w:t xml:space="preserve">The definition of convertible securities </w:t>
            </w:r>
            <w:r w:rsidR="00E24635">
              <w:t xml:space="preserve">in ASIC Class Order [CO 13/520] </w:t>
            </w:r>
            <w:r>
              <w:t xml:space="preserve">is </w:t>
            </w:r>
            <w:r w:rsidR="00E24635">
              <w:t xml:space="preserve">included </w:t>
            </w:r>
            <w:r>
              <w:t xml:space="preserve">in section 9 of the Corporations Act. </w:t>
            </w:r>
          </w:p>
        </w:tc>
        <w:tc>
          <w:tcPr>
            <w:tcW w:w="3874" w:type="dxa"/>
          </w:tcPr>
          <w:p w14:paraId="79B1C7CC" w14:textId="4E60CE5A" w:rsidR="00873094" w:rsidRPr="00020288" w:rsidRDefault="00620B2A" w:rsidP="002425D9">
            <w:pPr>
              <w:pStyle w:val="Tabletext"/>
            </w:pPr>
            <w:r>
              <w:t xml:space="preserve">ASIC Class Order [CO 13/520] </w:t>
            </w:r>
            <w:r w:rsidR="00E461DB">
              <w:t xml:space="preserve">substitutes </w:t>
            </w:r>
            <w:r>
              <w:t>a</w:t>
            </w:r>
            <w:r w:rsidR="00E461DB">
              <w:t xml:space="preserve">n alternative </w:t>
            </w:r>
            <w:r>
              <w:t xml:space="preserve">definition of </w:t>
            </w:r>
            <w:r w:rsidR="00034E7E">
              <w:t xml:space="preserve">convertible securities into the Corporations Act. </w:t>
            </w:r>
          </w:p>
        </w:tc>
      </w:tr>
      <w:tr w:rsidR="00873094" w:rsidRPr="00020288" w14:paraId="488791AB" w14:textId="77777777" w:rsidTr="002425D9">
        <w:tc>
          <w:tcPr>
            <w:tcW w:w="3776" w:type="dxa"/>
          </w:tcPr>
          <w:p w14:paraId="3389E0E2" w14:textId="385BE370" w:rsidR="00873094" w:rsidRPr="00020288" w:rsidRDefault="004D1835" w:rsidP="002425D9">
            <w:pPr>
              <w:pStyle w:val="Tabletext"/>
            </w:pPr>
            <w:r>
              <w:t xml:space="preserve">Situations that will not give rise to a relevant interest in securities are </w:t>
            </w:r>
            <w:r w:rsidR="00617440">
              <w:t xml:space="preserve">directly </w:t>
            </w:r>
            <w:r>
              <w:t xml:space="preserve">set out in section 609 of the Corporations Act. </w:t>
            </w:r>
          </w:p>
        </w:tc>
        <w:tc>
          <w:tcPr>
            <w:tcW w:w="3874" w:type="dxa"/>
          </w:tcPr>
          <w:p w14:paraId="4B850116" w14:textId="63FD73F3" w:rsidR="00873094" w:rsidRPr="00020288" w:rsidRDefault="004D1835" w:rsidP="002425D9">
            <w:pPr>
              <w:pStyle w:val="Tabletext"/>
            </w:pPr>
            <w:r>
              <w:t xml:space="preserve">Section 609 of the Corporations Act sets out </w:t>
            </w:r>
            <w:proofErr w:type="gramStart"/>
            <w:r>
              <w:t>a number of</w:t>
            </w:r>
            <w:proofErr w:type="gramEnd"/>
            <w:r>
              <w:t xml:space="preserve"> situations that will not give rise to a relevant interest in securities. </w:t>
            </w:r>
            <w:proofErr w:type="gramStart"/>
            <w:r>
              <w:t>A number of</w:t>
            </w:r>
            <w:proofErr w:type="gramEnd"/>
            <w:r>
              <w:t xml:space="preserve"> modifications to these situations</w:t>
            </w:r>
            <w:r w:rsidR="00811BC8">
              <w:t xml:space="preserve"> and</w:t>
            </w:r>
            <w:r>
              <w:t xml:space="preserve"> additional situations, are set out in ASIC Class Order [CO 13/520]</w:t>
            </w:r>
          </w:p>
        </w:tc>
      </w:tr>
      <w:tr w:rsidR="00873094" w:rsidRPr="00020288" w14:paraId="7D9E39E8" w14:textId="77777777" w:rsidTr="002425D9">
        <w:tc>
          <w:tcPr>
            <w:tcW w:w="3776" w:type="dxa"/>
          </w:tcPr>
          <w:p w14:paraId="13EC1D72" w14:textId="0D561443" w:rsidR="00873094" w:rsidRPr="00020288" w:rsidRDefault="00BA2902" w:rsidP="002425D9">
            <w:pPr>
              <w:pStyle w:val="Tabletext"/>
            </w:pPr>
            <w:r>
              <w:t xml:space="preserve">Exemptions from the general prohibition are </w:t>
            </w:r>
            <w:r w:rsidR="004F3D7A">
              <w:t xml:space="preserve">included </w:t>
            </w:r>
            <w:r>
              <w:t xml:space="preserve">in the table in section 611 of the Corporations Act. </w:t>
            </w:r>
          </w:p>
        </w:tc>
        <w:tc>
          <w:tcPr>
            <w:tcW w:w="3874" w:type="dxa"/>
          </w:tcPr>
          <w:p w14:paraId="64326D76" w14:textId="3A53FFCB" w:rsidR="00873094" w:rsidRPr="00020288" w:rsidRDefault="00BA2902" w:rsidP="002425D9">
            <w:pPr>
              <w:pStyle w:val="Tabletext"/>
            </w:pPr>
            <w:r>
              <w:t>Section 606 of the</w:t>
            </w:r>
            <w:r w:rsidR="004D1835">
              <w:t xml:space="preserve"> Corporations Act </w:t>
            </w:r>
            <w:r>
              <w:t xml:space="preserve">imposes a general prohibition relating to the acquisition of interests. Section 611 </w:t>
            </w:r>
            <w:r>
              <w:rPr>
                <w:color w:val="000000"/>
                <w:shd w:val="clear" w:color="auto" w:fill="FFFFFF"/>
              </w:rPr>
              <w:t xml:space="preserve">sets out relevant exemptions from this general prohibition. ASIC Class Order [CO 13/520] makes </w:t>
            </w:r>
            <w:proofErr w:type="gramStart"/>
            <w:r>
              <w:rPr>
                <w:color w:val="000000"/>
                <w:shd w:val="clear" w:color="auto" w:fill="FFFFFF"/>
              </w:rPr>
              <w:t>a number of</w:t>
            </w:r>
            <w:proofErr w:type="gramEnd"/>
            <w:r>
              <w:rPr>
                <w:color w:val="000000"/>
                <w:shd w:val="clear" w:color="auto" w:fill="FFFFFF"/>
              </w:rPr>
              <w:t xml:space="preserve"> modifications to the table items in section 611.</w:t>
            </w:r>
          </w:p>
        </w:tc>
      </w:tr>
      <w:tr w:rsidR="00873094" w:rsidRPr="00020288" w14:paraId="42145D80" w14:textId="77777777" w:rsidTr="002425D9">
        <w:tc>
          <w:tcPr>
            <w:tcW w:w="3776" w:type="dxa"/>
          </w:tcPr>
          <w:p w14:paraId="3A2064A7" w14:textId="4388E417" w:rsidR="00873094" w:rsidRPr="00020288" w:rsidRDefault="00811BC8" w:rsidP="00803969">
            <w:pPr>
              <w:pStyle w:val="Tabletext"/>
            </w:pPr>
            <w:r>
              <w:t>S</w:t>
            </w:r>
            <w:r w:rsidR="00620B2A">
              <w:t xml:space="preserve">ection 615 of the Corporations Act </w:t>
            </w:r>
            <w:r w:rsidR="00620B2A">
              <w:rPr>
                <w:color w:val="000000"/>
                <w:shd w:val="clear" w:color="auto" w:fill="FFFFFF"/>
              </w:rPr>
              <w:t>provides that the exception in item 10 of the table in section 611 (which relates to rights issues) applies to foreign holders of a company’s securities that are specified in offers even when the conditions set out in item 10 are not satisfied in certain circumstances.</w:t>
            </w:r>
          </w:p>
        </w:tc>
        <w:tc>
          <w:tcPr>
            <w:tcW w:w="3874" w:type="dxa"/>
          </w:tcPr>
          <w:p w14:paraId="407518E7" w14:textId="77777777" w:rsidR="00263913" w:rsidRDefault="00620B2A" w:rsidP="00803969">
            <w:pPr>
              <w:pStyle w:val="Tabletext"/>
              <w:rPr>
                <w:color w:val="000000"/>
                <w:shd w:val="clear" w:color="auto" w:fill="FFFFFF"/>
              </w:rPr>
            </w:pPr>
            <w:r>
              <w:rPr>
                <w:color w:val="000000"/>
                <w:shd w:val="clear" w:color="auto" w:fill="FFFFFF"/>
              </w:rPr>
              <w:t>Section 615 of the Corporations Act sets out</w:t>
            </w:r>
            <w:r w:rsidR="00263913">
              <w:rPr>
                <w:color w:val="000000"/>
                <w:shd w:val="clear" w:color="auto" w:fill="FFFFFF"/>
              </w:rPr>
              <w:t>:</w:t>
            </w:r>
            <w:r>
              <w:rPr>
                <w:color w:val="000000"/>
                <w:shd w:val="clear" w:color="auto" w:fill="FFFFFF"/>
              </w:rPr>
              <w:t xml:space="preserve"> </w:t>
            </w:r>
          </w:p>
          <w:p w14:paraId="34EEBD27" w14:textId="77777777" w:rsidR="00263913" w:rsidRDefault="00620B2A" w:rsidP="00803969">
            <w:pPr>
              <w:pStyle w:val="Tabledotpoint1"/>
              <w:rPr>
                <w:shd w:val="clear" w:color="auto" w:fill="FFFFFF"/>
              </w:rPr>
            </w:pPr>
            <w:r>
              <w:rPr>
                <w:shd w:val="clear" w:color="auto" w:fill="FFFFFF"/>
              </w:rPr>
              <w:t>a procedure that allows foreign holders to participate in the benefits flowing from a rights issue that has control implications</w:t>
            </w:r>
            <w:r w:rsidR="00263913">
              <w:rPr>
                <w:shd w:val="clear" w:color="auto" w:fill="FFFFFF"/>
              </w:rPr>
              <w:t>;</w:t>
            </w:r>
            <w:r>
              <w:rPr>
                <w:shd w:val="clear" w:color="auto" w:fill="FFFFFF"/>
              </w:rPr>
              <w:t xml:space="preserve"> and </w:t>
            </w:r>
          </w:p>
          <w:p w14:paraId="52E9D92D" w14:textId="77777777" w:rsidR="00263913" w:rsidRDefault="00620B2A" w:rsidP="00803969">
            <w:pPr>
              <w:pStyle w:val="Tabledotpoint1"/>
              <w:rPr>
                <w:shd w:val="clear" w:color="auto" w:fill="FFFFFF"/>
              </w:rPr>
            </w:pPr>
            <w:r>
              <w:rPr>
                <w:shd w:val="clear" w:color="auto" w:fill="FFFFFF"/>
              </w:rPr>
              <w:t xml:space="preserve">seeks to minimise those control effects, </w:t>
            </w:r>
          </w:p>
          <w:p w14:paraId="2CBDA22D" w14:textId="77777777" w:rsidR="00263913" w:rsidRDefault="00620B2A" w:rsidP="00803969">
            <w:pPr>
              <w:pStyle w:val="Tabletext"/>
              <w:rPr>
                <w:color w:val="000000"/>
                <w:shd w:val="clear" w:color="auto" w:fill="FFFFFF"/>
              </w:rPr>
            </w:pPr>
            <w:r>
              <w:rPr>
                <w:color w:val="000000"/>
                <w:shd w:val="clear" w:color="auto" w:fill="FFFFFF"/>
              </w:rPr>
              <w:t>while permitting non-foreign holders to rely on the relevant exceptions in section 611.</w:t>
            </w:r>
          </w:p>
          <w:p w14:paraId="07C23FC0" w14:textId="5407114F" w:rsidR="00873094" w:rsidRPr="00020288" w:rsidRDefault="00620B2A" w:rsidP="00803969">
            <w:pPr>
              <w:pStyle w:val="Tabletext"/>
            </w:pPr>
            <w:r>
              <w:rPr>
                <w:color w:val="000000"/>
                <w:shd w:val="clear" w:color="auto" w:fill="FFFFFF"/>
              </w:rPr>
              <w:t>ASIC Class Order [CO 13/520] provides that the exception in item 10 of the table in section 611 (which relates to rights issues) applies to foreign holders of a company’s securities that are specified in offers even when the conditions set out in item 10 are not satisfied in certain circumstances.</w:t>
            </w:r>
          </w:p>
        </w:tc>
      </w:tr>
    </w:tbl>
    <w:p w14:paraId="48FD3D52" w14:textId="593B8DB1" w:rsidR="00873094" w:rsidRPr="00020288" w:rsidRDefault="00873094" w:rsidP="00803969">
      <w:pPr>
        <w:pStyle w:val="Heading3"/>
        <w:rPr>
          <w:rFonts w:hint="eastAsia"/>
        </w:rPr>
      </w:pPr>
      <w:bookmarkStart w:id="52" w:name="_Toc125100000"/>
      <w:bookmarkStart w:id="53" w:name="_Toc125100735"/>
      <w:r w:rsidRPr="00020288">
        <w:t>Detailed explanation of new law</w:t>
      </w:r>
      <w:bookmarkEnd w:id="52"/>
      <w:bookmarkEnd w:id="53"/>
    </w:p>
    <w:p w14:paraId="74AE4D3D" w14:textId="29538D6A" w:rsidR="00665937" w:rsidRPr="00665937" w:rsidRDefault="00665937" w:rsidP="00665937">
      <w:pPr>
        <w:pStyle w:val="Heading4"/>
      </w:pPr>
      <w:r>
        <w:t>Definitions</w:t>
      </w:r>
    </w:p>
    <w:p w14:paraId="7A9D54C3" w14:textId="2536B8A1" w:rsidR="00252AA8" w:rsidRDefault="00442B70" w:rsidP="00873094">
      <w:pPr>
        <w:pStyle w:val="Normalparatextwithnumbers"/>
        <w:numPr>
          <w:ilvl w:val="1"/>
          <w:numId w:val="3"/>
        </w:numPr>
      </w:pPr>
      <w:r>
        <w:t xml:space="preserve">The Bill amends </w:t>
      </w:r>
      <w:proofErr w:type="gramStart"/>
      <w:r>
        <w:t>a number of</w:t>
      </w:r>
      <w:proofErr w:type="gramEnd"/>
      <w:r>
        <w:t xml:space="preserve"> definitions in the </w:t>
      </w:r>
      <w:r w:rsidR="0000218F">
        <w:t>Corporations Act</w:t>
      </w:r>
      <w:r>
        <w:t>.</w:t>
      </w:r>
      <w:r w:rsidR="0000218F">
        <w:t xml:space="preserve"> </w:t>
      </w:r>
    </w:p>
    <w:p w14:paraId="3626601C" w14:textId="2E5A206A" w:rsidR="00873094" w:rsidRDefault="00252AA8" w:rsidP="00873094">
      <w:pPr>
        <w:pStyle w:val="Normalparatextwithnumbers"/>
        <w:numPr>
          <w:ilvl w:val="1"/>
          <w:numId w:val="3"/>
        </w:numPr>
      </w:pPr>
      <w:r>
        <w:lastRenderedPageBreak/>
        <w:t>T</w:t>
      </w:r>
      <w:r w:rsidR="009E0CF8">
        <w:t xml:space="preserve">he definition of </w:t>
      </w:r>
      <w:r w:rsidR="009E0CF8" w:rsidRPr="005809CB">
        <w:rPr>
          <w:b/>
          <w:bCs/>
          <w:i/>
          <w:iCs/>
        </w:rPr>
        <w:t>convertible securities</w:t>
      </w:r>
      <w:r w:rsidR="009E0CF8">
        <w:t xml:space="preserve"> </w:t>
      </w:r>
      <w:r>
        <w:t xml:space="preserve">is repealed </w:t>
      </w:r>
      <w:r w:rsidR="009E0CF8">
        <w:t xml:space="preserve">and </w:t>
      </w:r>
      <w:r w:rsidR="0000218F">
        <w:t>replace</w:t>
      </w:r>
      <w:r>
        <w:t>d</w:t>
      </w:r>
      <w:r w:rsidR="0000218F">
        <w:t xml:space="preserve"> with a new definition that provides that </w:t>
      </w:r>
      <w:r w:rsidR="003105BB">
        <w:t>securities are convertible into another class of securities if the holder may, by the exercise of rights attached to those securities</w:t>
      </w:r>
      <w:r w:rsidR="00B825A1">
        <w:t>,</w:t>
      </w:r>
      <w:r w:rsidR="003105BB">
        <w:t xml:space="preserve"> have the other class of securities issued to them or have the securities transform into securities of that other class. The definition also states that an option may be a convertible security even if it is non-renounceable. </w:t>
      </w:r>
      <w:r>
        <w:br/>
      </w:r>
      <w:r w:rsidR="00BE76D3" w:rsidRPr="64DDBA4A">
        <w:rPr>
          <w:rStyle w:val="References"/>
        </w:rPr>
        <w:t xml:space="preserve">[Schedule </w:t>
      </w:r>
      <w:r w:rsidR="008027A3">
        <w:rPr>
          <w:rStyle w:val="References"/>
        </w:rPr>
        <w:t>1</w:t>
      </w:r>
      <w:r w:rsidR="008C68F0">
        <w:rPr>
          <w:rStyle w:val="References"/>
        </w:rPr>
        <w:t>, Part 1</w:t>
      </w:r>
      <w:r w:rsidR="00BE76D3" w:rsidRPr="64DDBA4A">
        <w:rPr>
          <w:rStyle w:val="References"/>
        </w:rPr>
        <w:t xml:space="preserve">, item </w:t>
      </w:r>
      <w:r w:rsidR="16831A86" w:rsidRPr="64DDBA4A">
        <w:rPr>
          <w:rStyle w:val="References"/>
        </w:rPr>
        <w:t>1</w:t>
      </w:r>
      <w:r w:rsidR="00BE76D3" w:rsidRPr="64DDBA4A">
        <w:rPr>
          <w:rStyle w:val="References"/>
        </w:rPr>
        <w:t xml:space="preserve">, section 9 of the Corporations Act] </w:t>
      </w:r>
    </w:p>
    <w:p w14:paraId="729A2DCA" w14:textId="49323638" w:rsidR="00BA6802" w:rsidRDefault="00252AA8" w:rsidP="00873094">
      <w:pPr>
        <w:pStyle w:val="Normalparatextwithnumbers"/>
        <w:numPr>
          <w:ilvl w:val="1"/>
          <w:numId w:val="3"/>
        </w:numPr>
      </w:pPr>
      <w:r>
        <w:t>T</w:t>
      </w:r>
      <w:r w:rsidR="006547BB">
        <w:t xml:space="preserve">he definition of </w:t>
      </w:r>
      <w:r w:rsidR="006547BB" w:rsidRPr="005809CB">
        <w:rPr>
          <w:b/>
          <w:bCs/>
          <w:i/>
          <w:iCs/>
        </w:rPr>
        <w:t>substantial holding</w:t>
      </w:r>
      <w:r w:rsidR="006547BB">
        <w:t xml:space="preserve"> in section 9 of the Corporations Act </w:t>
      </w:r>
      <w:r>
        <w:t xml:space="preserve">is amended </w:t>
      </w:r>
      <w:r w:rsidR="006547BB">
        <w:t xml:space="preserve">to </w:t>
      </w:r>
      <w:r w:rsidR="00BA6802">
        <w:t xml:space="preserve">include a reference to </w:t>
      </w:r>
      <w:r w:rsidR="00BA6802">
        <w:rPr>
          <w:color w:val="000000"/>
          <w:shd w:val="clear" w:color="auto" w:fill="FFFFFF"/>
        </w:rPr>
        <w:t>subsection 609(</w:t>
      </w:r>
      <w:r w:rsidR="00D10FF5">
        <w:rPr>
          <w:color w:val="000000"/>
          <w:shd w:val="clear" w:color="auto" w:fill="FFFFFF"/>
        </w:rPr>
        <w:t>6) (market traded options), subsection 609(7) (conditional agreements), subsection 609(</w:t>
      </w:r>
      <w:r w:rsidR="004668EA">
        <w:rPr>
          <w:color w:val="000000"/>
          <w:shd w:val="clear" w:color="auto" w:fill="FFFFFF"/>
        </w:rPr>
        <w:t>9B</w:t>
      </w:r>
      <w:r w:rsidR="00BA6802">
        <w:rPr>
          <w:color w:val="000000"/>
          <w:shd w:val="clear" w:color="auto" w:fill="FFFFFF"/>
        </w:rPr>
        <w:t>) (</w:t>
      </w:r>
      <w:r w:rsidR="00B119B5">
        <w:rPr>
          <w:color w:val="000000"/>
          <w:shd w:val="clear" w:color="auto" w:fill="FFFFFF"/>
        </w:rPr>
        <w:t>securities escrowed under listing rules</w:t>
      </w:r>
      <w:r w:rsidR="00BA6802">
        <w:rPr>
          <w:color w:val="000000"/>
          <w:shd w:val="clear" w:color="auto" w:fill="FFFFFF"/>
        </w:rPr>
        <w:t xml:space="preserve">) or </w:t>
      </w:r>
      <w:r w:rsidR="00D10FF5">
        <w:rPr>
          <w:color w:val="000000"/>
          <w:shd w:val="clear" w:color="auto" w:fill="FFFFFF"/>
        </w:rPr>
        <w:t>subsections 609</w:t>
      </w:r>
      <w:r w:rsidR="00614934">
        <w:rPr>
          <w:color w:val="000000"/>
          <w:shd w:val="clear" w:color="auto" w:fill="FFFFFF"/>
        </w:rPr>
        <w:t>9B</w:t>
      </w:r>
      <w:r w:rsidR="00BA6802">
        <w:rPr>
          <w:color w:val="000000"/>
          <w:shd w:val="clear" w:color="auto" w:fill="FFFFFF"/>
        </w:rPr>
        <w:t xml:space="preserve"> (securities subject to escrow</w:t>
      </w:r>
      <w:r w:rsidR="00D10FF5">
        <w:rPr>
          <w:color w:val="000000"/>
          <w:shd w:val="clear" w:color="auto" w:fill="FFFFFF"/>
        </w:rPr>
        <w:t> </w:t>
      </w:r>
      <w:r w:rsidR="00BA6802">
        <w:rPr>
          <w:color w:val="000000"/>
          <w:shd w:val="clear" w:color="auto" w:fill="FFFFFF"/>
        </w:rPr>
        <w:t>agreement</w:t>
      </w:r>
      <w:r w:rsidR="00D10FF5">
        <w:rPr>
          <w:color w:val="000000"/>
          <w:shd w:val="clear" w:color="auto" w:fill="FFFFFF"/>
        </w:rPr>
        <w:t>).</w:t>
      </w:r>
      <w:r w:rsidR="00E55379">
        <w:rPr>
          <w:color w:val="000000"/>
          <w:shd w:val="clear" w:color="auto" w:fill="FFFFFF"/>
        </w:rPr>
        <w:t xml:space="preserve"> </w:t>
      </w:r>
      <w:r w:rsidR="00E55379">
        <w:t>The Bill makes identical amendments to subsection</w:t>
      </w:r>
      <w:r w:rsidR="00130340">
        <w:t> </w:t>
      </w:r>
      <w:r w:rsidR="00E55379">
        <w:t>671</w:t>
      </w:r>
      <w:proofErr w:type="gramStart"/>
      <w:r w:rsidR="00E55379">
        <w:t>B(</w:t>
      </w:r>
      <w:proofErr w:type="gramEnd"/>
      <w:r w:rsidR="00E55379">
        <w:t>7) in relation to when a person will have a relevant interest in securities for the purpose of exchange traded options</w:t>
      </w:r>
      <w:r w:rsidR="00D10FF5">
        <w:t xml:space="preserve">, </w:t>
      </w:r>
      <w:r w:rsidR="00E55379">
        <w:t>conditional agreements</w:t>
      </w:r>
      <w:r w:rsidR="00D10FF5">
        <w:t>, companies that issue restricted securities and securities that are subject to escrow agreement</w:t>
      </w:r>
      <w:r w:rsidR="00E55379">
        <w:t>.</w:t>
      </w:r>
      <w:r w:rsidR="00BE76D3">
        <w:br/>
      </w:r>
      <w:r w:rsidR="00BE76D3" w:rsidRPr="00BE76D3">
        <w:rPr>
          <w:rStyle w:val="References"/>
        </w:rPr>
        <w:t>[</w:t>
      </w:r>
      <w:r w:rsidR="00594B8A" w:rsidRPr="64DDBA4A">
        <w:rPr>
          <w:rStyle w:val="References"/>
        </w:rPr>
        <w:t xml:space="preserve">Schedule </w:t>
      </w:r>
      <w:r w:rsidR="00594B8A">
        <w:rPr>
          <w:rStyle w:val="References"/>
        </w:rPr>
        <w:t>1, Part 1</w:t>
      </w:r>
      <w:r w:rsidR="00594B8A" w:rsidRPr="64DDBA4A">
        <w:rPr>
          <w:rStyle w:val="References"/>
        </w:rPr>
        <w:t>,</w:t>
      </w:r>
      <w:r w:rsidR="00BE76D3" w:rsidRPr="00BE76D3">
        <w:rPr>
          <w:rStyle w:val="References"/>
        </w:rPr>
        <w:t xml:space="preserve"> items </w:t>
      </w:r>
      <w:r w:rsidR="00BE76D3">
        <w:rPr>
          <w:rStyle w:val="References"/>
        </w:rPr>
        <w:t xml:space="preserve">3 and </w:t>
      </w:r>
      <w:r w:rsidR="78C636C7">
        <w:rPr>
          <w:rStyle w:val="References"/>
        </w:rPr>
        <w:t>18</w:t>
      </w:r>
      <w:r w:rsidR="00BE76D3" w:rsidRPr="00BE76D3">
        <w:rPr>
          <w:rStyle w:val="References"/>
        </w:rPr>
        <w:t xml:space="preserve">, </w:t>
      </w:r>
      <w:r w:rsidR="00BE76D3">
        <w:rPr>
          <w:rStyle w:val="References"/>
        </w:rPr>
        <w:t>section</w:t>
      </w:r>
      <w:r w:rsidR="00594B8A">
        <w:rPr>
          <w:rStyle w:val="References"/>
        </w:rPr>
        <w:t>s</w:t>
      </w:r>
      <w:r w:rsidR="00BE76D3">
        <w:rPr>
          <w:rStyle w:val="References"/>
        </w:rPr>
        <w:t xml:space="preserve"> 9 and 671B of the Corporations Act</w:t>
      </w:r>
      <w:r w:rsidR="00BE76D3" w:rsidRPr="00BE76D3">
        <w:rPr>
          <w:rStyle w:val="References"/>
        </w:rPr>
        <w:t xml:space="preserve">] </w:t>
      </w:r>
    </w:p>
    <w:p w14:paraId="7C8F63F9" w14:textId="02D3C912" w:rsidR="003105BB" w:rsidRDefault="00BA6802" w:rsidP="00873094">
      <w:pPr>
        <w:pStyle w:val="Normalparatextwithnumbers"/>
        <w:numPr>
          <w:ilvl w:val="1"/>
          <w:numId w:val="3"/>
        </w:numPr>
      </w:pPr>
      <w:r w:rsidRPr="00BA6802">
        <w:t xml:space="preserve">When calculating a person’s voting power and when determining if a person has a substantial holding in a listed entity, it is necessary to consider the relevant interests both a person and any associates have in securities of the body. </w:t>
      </w:r>
      <w:r>
        <w:t>Section 12 of the Corporations Act provides the definition of associate for the purpose of Chapter 6 of the Corporations Act</w:t>
      </w:r>
      <w:r w:rsidR="00D560C5">
        <w:t xml:space="preserve"> and</w:t>
      </w:r>
      <w:r>
        <w:t xml:space="preserve"> </w:t>
      </w:r>
      <w:r w:rsidR="00D560C5">
        <w:t>s</w:t>
      </w:r>
      <w:r>
        <w:t>ubsection 12(2) specifies when a second person is an associate to a primary person, in relation to a designated body. The Bill amends the definition of associate to provide that a second person is not an associate of a primary person merely because they have entered into a relevant agreement and one</w:t>
      </w:r>
      <w:r w:rsidR="00252AA8">
        <w:t xml:space="preserve"> of the persons</w:t>
      </w:r>
      <w:r>
        <w:t xml:space="preserve"> has or will have a right under that agreement to dispose of securities</w:t>
      </w:r>
      <w:r w:rsidR="00E55379">
        <w:t xml:space="preserve"> in the designated body.</w:t>
      </w:r>
      <w:r w:rsidR="006547BB">
        <w:t xml:space="preserve"> </w:t>
      </w:r>
      <w:r w:rsidR="00BE76D3">
        <w:br/>
      </w:r>
      <w:r w:rsidR="00BE76D3" w:rsidRPr="00BE76D3">
        <w:rPr>
          <w:rStyle w:val="References"/>
        </w:rPr>
        <w:t>[</w:t>
      </w:r>
      <w:r w:rsidR="007F0561" w:rsidRPr="64DDBA4A">
        <w:rPr>
          <w:rStyle w:val="References"/>
        </w:rPr>
        <w:t xml:space="preserve">Schedule </w:t>
      </w:r>
      <w:r w:rsidR="007F0561">
        <w:rPr>
          <w:rStyle w:val="References"/>
        </w:rPr>
        <w:t>1, Part 1</w:t>
      </w:r>
      <w:r w:rsidR="00BE76D3" w:rsidRPr="00BE76D3">
        <w:rPr>
          <w:rStyle w:val="References"/>
        </w:rPr>
        <w:t>, item</w:t>
      </w:r>
      <w:r w:rsidR="004F5E5D">
        <w:rPr>
          <w:rStyle w:val="References"/>
        </w:rPr>
        <w:t>s</w:t>
      </w:r>
      <w:r w:rsidR="00BE76D3" w:rsidRPr="00BE76D3">
        <w:rPr>
          <w:rStyle w:val="References"/>
        </w:rPr>
        <w:t xml:space="preserve"> </w:t>
      </w:r>
      <w:r w:rsidR="00287164">
        <w:rPr>
          <w:rStyle w:val="References"/>
        </w:rPr>
        <w:t xml:space="preserve">4 and </w:t>
      </w:r>
      <w:r w:rsidR="00BE76D3">
        <w:rPr>
          <w:rStyle w:val="References"/>
        </w:rPr>
        <w:t>5</w:t>
      </w:r>
      <w:r w:rsidR="00BE76D3" w:rsidRPr="00BE76D3">
        <w:rPr>
          <w:rStyle w:val="References"/>
        </w:rPr>
        <w:t xml:space="preserve">, </w:t>
      </w:r>
      <w:r w:rsidR="00BE76D3">
        <w:rPr>
          <w:rStyle w:val="References"/>
        </w:rPr>
        <w:t>section 12</w:t>
      </w:r>
      <w:r w:rsidR="00BE76D3" w:rsidRPr="00BE76D3">
        <w:rPr>
          <w:rStyle w:val="References"/>
        </w:rPr>
        <w:t xml:space="preserve"> of </w:t>
      </w:r>
      <w:r w:rsidR="00BE76D3">
        <w:rPr>
          <w:rStyle w:val="References"/>
        </w:rPr>
        <w:t xml:space="preserve">the Corporations </w:t>
      </w:r>
      <w:r w:rsidR="00BE76D3" w:rsidRPr="00BE76D3">
        <w:rPr>
          <w:rStyle w:val="References"/>
        </w:rPr>
        <w:t xml:space="preserve">Act] </w:t>
      </w:r>
    </w:p>
    <w:p w14:paraId="7297A3E2" w14:textId="6C5C461C" w:rsidR="00776FE0" w:rsidRDefault="00776FE0" w:rsidP="00803969">
      <w:pPr>
        <w:pStyle w:val="Heading4"/>
      </w:pPr>
      <w:bookmarkStart w:id="54" w:name="_Hlk122010405"/>
      <w:r>
        <w:t>Situations not giving rise to relevant interests</w:t>
      </w:r>
    </w:p>
    <w:bookmarkEnd w:id="54"/>
    <w:p w14:paraId="2D89695F" w14:textId="424CCFA4" w:rsidR="00CA6D7D" w:rsidRDefault="00BE550C" w:rsidP="00873094">
      <w:pPr>
        <w:pStyle w:val="Normalparatextwithnumbers"/>
        <w:numPr>
          <w:ilvl w:val="1"/>
          <w:numId w:val="3"/>
        </w:numPr>
      </w:pPr>
      <w:r>
        <w:t xml:space="preserve">Section 608 of the Corporations Act sets out when a person will have a relevant interest in securities. </w:t>
      </w:r>
      <w:r w:rsidR="00CA6D7D">
        <w:t xml:space="preserve">Section 609 of the Corporations Act </w:t>
      </w:r>
      <w:r w:rsidR="0006159D">
        <w:t xml:space="preserve">sets out situations that do not give rise to a relevant interest in securities. </w:t>
      </w:r>
      <w:r w:rsidR="002E5C3C">
        <w:rPr>
          <w:color w:val="000000"/>
          <w:shd w:val="clear" w:color="auto" w:fill="FFFFFF"/>
        </w:rPr>
        <w:t>Subsection</w:t>
      </w:r>
      <w:r w:rsidR="00252AA8">
        <w:rPr>
          <w:color w:val="000000"/>
          <w:shd w:val="clear" w:color="auto" w:fill="FFFFFF"/>
        </w:rPr>
        <w:t> </w:t>
      </w:r>
      <w:r w:rsidR="002E5C3C">
        <w:rPr>
          <w:color w:val="000000"/>
          <w:shd w:val="clear" w:color="auto" w:fill="FFFFFF"/>
        </w:rPr>
        <w:t>609(1) relates to situations involving money lending and financial accommodation. Under the exception security interests taken or acquired in the ordinary course of a non-associated person’s business of providing financial accommodation on ordinary commercial terms do not give rise to a relevant interest.</w:t>
      </w:r>
    </w:p>
    <w:p w14:paraId="5A0309C4" w14:textId="7C283F4C" w:rsidR="009E0CF8" w:rsidRDefault="0031022E" w:rsidP="00873094">
      <w:pPr>
        <w:pStyle w:val="Normalparatextwithnumbers"/>
        <w:numPr>
          <w:ilvl w:val="1"/>
          <w:numId w:val="3"/>
        </w:numPr>
      </w:pPr>
      <w:r>
        <w:t xml:space="preserve">The Bill repeals and replaces subsection 609(1) to extend the exemption </w:t>
      </w:r>
      <w:r w:rsidR="008A39B5">
        <w:t>where</w:t>
      </w:r>
      <w:r>
        <w:t>:</w:t>
      </w:r>
    </w:p>
    <w:p w14:paraId="05400D3A" w14:textId="7259FFD1" w:rsidR="0031022E" w:rsidRDefault="008A39B5" w:rsidP="0031022E">
      <w:pPr>
        <w:pStyle w:val="Dotpoint1"/>
      </w:pPr>
      <w:r>
        <w:lastRenderedPageBreak/>
        <w:t>the security interest is acquired in the ordinary course of the person’s business of the provision of financial accommodation by any means and on ordinary commercial terms; or</w:t>
      </w:r>
    </w:p>
    <w:p w14:paraId="4614D8A7" w14:textId="62659A6C" w:rsidR="008A39B5" w:rsidRDefault="00BF6CDE" w:rsidP="0031022E">
      <w:pPr>
        <w:pStyle w:val="Dotpoint1"/>
      </w:pPr>
      <w:r>
        <w:t xml:space="preserve">the interest was acquired for the benefit of one or more persons in relation to financial accommodation provided by them in the ordinary course of their business of the provision of financial accommodation by any means and on ordinary commercial terms; </w:t>
      </w:r>
      <w:r w:rsidR="008A39B5">
        <w:t>and</w:t>
      </w:r>
    </w:p>
    <w:p w14:paraId="10FBE736" w14:textId="77777777" w:rsidR="0015707B" w:rsidRDefault="008A39B5" w:rsidP="0031022E">
      <w:pPr>
        <w:pStyle w:val="Dotpoint1"/>
        <w:numPr>
          <w:ilvl w:val="0"/>
          <w:numId w:val="8"/>
        </w:numPr>
        <w:ind w:left="1418" w:hanging="709"/>
      </w:pPr>
      <w:r>
        <w:t>the person whose property is subject to the security in</w:t>
      </w:r>
      <w:r w:rsidR="00BF6CDE">
        <w:t>terest is not an associate of any other person mentioned in this subsection</w:t>
      </w:r>
      <w:r>
        <w:t xml:space="preserve">. </w:t>
      </w:r>
    </w:p>
    <w:p w14:paraId="5230180B" w14:textId="7EE6C7F0" w:rsidR="008A39B5" w:rsidRDefault="0015707B" w:rsidP="0015707B">
      <w:pPr>
        <w:pStyle w:val="Referenceafterdotpoint"/>
      </w:pPr>
      <w:r>
        <w:t>[</w:t>
      </w:r>
      <w:r w:rsidR="00954F12" w:rsidRPr="00954F12">
        <w:t>Schedule 1, Part 1</w:t>
      </w:r>
      <w:r>
        <w:t xml:space="preserve">, item </w:t>
      </w:r>
      <w:r w:rsidR="7BF72EA8">
        <w:t>7</w:t>
      </w:r>
      <w:r>
        <w:t xml:space="preserve">, </w:t>
      </w:r>
      <w:bookmarkStart w:id="55" w:name="_Hlk120634799"/>
      <w:r>
        <w:t>subsection 609(1) of the Corporations Act</w:t>
      </w:r>
      <w:bookmarkEnd w:id="55"/>
      <w:r>
        <w:t xml:space="preserve">] </w:t>
      </w:r>
    </w:p>
    <w:p w14:paraId="6185BEA2" w14:textId="48D50B77" w:rsidR="00514572" w:rsidRPr="00514572" w:rsidRDefault="00E85C20" w:rsidP="00514572">
      <w:pPr>
        <w:pStyle w:val="Normalparatextwithnumbers"/>
        <w:rPr>
          <w:b/>
          <w:i/>
          <w:noProof/>
        </w:rPr>
      </w:pPr>
      <w:r>
        <w:t xml:space="preserve">The Bill also </w:t>
      </w:r>
      <w:r w:rsidR="002338CA">
        <w:t xml:space="preserve">clarifies that </w:t>
      </w:r>
      <w:r w:rsidR="00F75B16">
        <w:t xml:space="preserve">a reference to a security interest includes a reference to a negative pledge. </w:t>
      </w:r>
      <w:r w:rsidR="00514572">
        <w:br/>
      </w:r>
      <w:r w:rsidR="00514572" w:rsidRPr="00514572">
        <w:rPr>
          <w:b/>
          <w:i/>
          <w:noProof/>
        </w:rPr>
        <w:t xml:space="preserve">[Schedule 1, Part 1, item 7, subsection 609(1) of the Corporations Act] </w:t>
      </w:r>
    </w:p>
    <w:p w14:paraId="1A0BC82A" w14:textId="74DD5950" w:rsidR="00F75B16" w:rsidRDefault="00080C63" w:rsidP="00803969">
      <w:pPr>
        <w:pStyle w:val="Normalparatextwithnumbers"/>
        <w:keepLines/>
      </w:pPr>
      <w:r>
        <w:t xml:space="preserve">Subsection 609(3) of the Corporations Act relates to situations where a financial services licensee does not have a relevant interest in securities merely because they hold securities on behalf of someone else in the ordinary course of their financial services business. </w:t>
      </w:r>
      <w:r w:rsidR="00F75B16">
        <w:t>The Bill repeals and replaces</w:t>
      </w:r>
      <w:r>
        <w:t xml:space="preserve"> subsection</w:t>
      </w:r>
      <w:r w:rsidR="00B825A1">
        <w:t> </w:t>
      </w:r>
      <w:r>
        <w:t xml:space="preserve">609(3) </w:t>
      </w:r>
      <w:r w:rsidR="00C200FF">
        <w:t>to provide</w:t>
      </w:r>
      <w:r w:rsidR="00BF6FD1">
        <w:t xml:space="preserve"> that a financial services licensee does not have a relevant interest </w:t>
      </w:r>
      <w:r w:rsidR="00905A80">
        <w:t xml:space="preserve">in </w:t>
      </w:r>
      <w:r w:rsidR="00533525">
        <w:t xml:space="preserve">the </w:t>
      </w:r>
      <w:r w:rsidR="00905A80">
        <w:t xml:space="preserve">securities of their clients merely because they are instructed to dispose of the securities on the person’s behalf or </w:t>
      </w:r>
      <w:proofErr w:type="gramStart"/>
      <w:r w:rsidR="00905A80">
        <w:t>enter into</w:t>
      </w:r>
      <w:proofErr w:type="gramEnd"/>
      <w:r w:rsidR="00905A80">
        <w:t xml:space="preserve"> a </w:t>
      </w:r>
      <w:proofErr w:type="spellStart"/>
      <w:r w:rsidR="00C200FF">
        <w:t>sold</w:t>
      </w:r>
      <w:proofErr w:type="spellEnd"/>
      <w:r w:rsidR="00C200FF">
        <w:t xml:space="preserve"> </w:t>
      </w:r>
      <w:r w:rsidR="00905A80">
        <w:t>position</w:t>
      </w:r>
      <w:r w:rsidR="00C200FF">
        <w:t xml:space="preserve"> in relation to the securities. </w:t>
      </w:r>
      <w:r>
        <w:br/>
      </w:r>
      <w:r w:rsidR="0015707B" w:rsidRPr="64DDBA4A">
        <w:rPr>
          <w:rStyle w:val="References"/>
        </w:rPr>
        <w:t>[</w:t>
      </w:r>
      <w:r w:rsidR="00F3576C" w:rsidRPr="00F3576C">
        <w:rPr>
          <w:b/>
          <w:bCs/>
          <w:i/>
          <w:iCs/>
        </w:rPr>
        <w:t>Schedule 1, Part 1</w:t>
      </w:r>
      <w:r w:rsidR="0015707B" w:rsidRPr="64DDBA4A">
        <w:rPr>
          <w:rStyle w:val="References"/>
        </w:rPr>
        <w:t xml:space="preserve">, item </w:t>
      </w:r>
      <w:r w:rsidR="2A62F053" w:rsidRPr="64DDBA4A">
        <w:rPr>
          <w:rStyle w:val="References"/>
        </w:rPr>
        <w:t>8</w:t>
      </w:r>
      <w:r w:rsidR="0015707B" w:rsidRPr="64DDBA4A">
        <w:rPr>
          <w:rStyle w:val="References"/>
        </w:rPr>
        <w:t xml:space="preserve">, subsection 609(3) of the Corporations Act] </w:t>
      </w:r>
    </w:p>
    <w:p w14:paraId="4AAC4327" w14:textId="3D21A1E6" w:rsidR="00585596" w:rsidRDefault="00585596" w:rsidP="00BF6CDE">
      <w:pPr>
        <w:pStyle w:val="Normalparatextwithnumbers"/>
      </w:pPr>
      <w:r>
        <w:t>The Bill inserts another</w:t>
      </w:r>
      <w:r w:rsidR="00877012">
        <w:t xml:space="preserve"> situation that will not give rise to a relevant interest in securities in relation to securities escrowed under listing rules. </w:t>
      </w:r>
      <w:r w:rsidR="00A6172B">
        <w:t>This provides that a listed company does not have a relevant interest in securities merely because the company must apply restrictions on the disposal of the securities as part of a listing rule escrow under the listing rules of a prescribed financial market.</w:t>
      </w:r>
      <w:r>
        <w:br/>
      </w:r>
      <w:r w:rsidR="0015707B" w:rsidRPr="64DDBA4A">
        <w:rPr>
          <w:rStyle w:val="References"/>
        </w:rPr>
        <w:t>[</w:t>
      </w:r>
      <w:r w:rsidR="004A644F" w:rsidRPr="004A644F">
        <w:rPr>
          <w:b/>
          <w:bCs/>
          <w:i/>
          <w:iCs/>
        </w:rPr>
        <w:t>Schedule 1, Part 1</w:t>
      </w:r>
      <w:r w:rsidR="0015707B" w:rsidRPr="64DDBA4A">
        <w:rPr>
          <w:rStyle w:val="References"/>
        </w:rPr>
        <w:t xml:space="preserve">, item </w:t>
      </w:r>
      <w:r w:rsidR="28E337E1" w:rsidRPr="64DDBA4A">
        <w:rPr>
          <w:rStyle w:val="References"/>
        </w:rPr>
        <w:t>9</w:t>
      </w:r>
      <w:r w:rsidR="0015707B" w:rsidRPr="64DDBA4A">
        <w:rPr>
          <w:rStyle w:val="References"/>
        </w:rPr>
        <w:t xml:space="preserve">, subsection 609(9B) of the Corporations Act] </w:t>
      </w:r>
    </w:p>
    <w:p w14:paraId="56A0BAB5" w14:textId="753D5759" w:rsidR="00A6172B" w:rsidRDefault="00A6172B" w:rsidP="00BF6CDE">
      <w:pPr>
        <w:pStyle w:val="Normalparatextwithnumbers"/>
      </w:pPr>
      <w:r>
        <w:t>Additionally, the Bill provides that that an operator of a prescribed financial market does not have a relevant interest merely because it has the power to control the disposal of securities that are the subject of a listing rule escrow.</w:t>
      </w:r>
      <w:r>
        <w:br/>
      </w:r>
      <w:r w:rsidR="0015707B" w:rsidRPr="64DDBA4A">
        <w:rPr>
          <w:rStyle w:val="References"/>
        </w:rPr>
        <w:t>[</w:t>
      </w:r>
      <w:r w:rsidR="004A644F" w:rsidRPr="004A644F">
        <w:rPr>
          <w:b/>
          <w:bCs/>
          <w:i/>
          <w:iCs/>
        </w:rPr>
        <w:t>Schedule 1, Part 1</w:t>
      </w:r>
      <w:r w:rsidR="0015707B" w:rsidRPr="64DDBA4A">
        <w:rPr>
          <w:rStyle w:val="References"/>
        </w:rPr>
        <w:t xml:space="preserve">, item </w:t>
      </w:r>
      <w:r w:rsidR="35622B1B" w:rsidRPr="64DDBA4A">
        <w:rPr>
          <w:rStyle w:val="References"/>
        </w:rPr>
        <w:t>9</w:t>
      </w:r>
      <w:r w:rsidR="0015707B" w:rsidRPr="64DDBA4A">
        <w:rPr>
          <w:rStyle w:val="References"/>
        </w:rPr>
        <w:t xml:space="preserve">, subsection 609(9C) of the Corporations Act] </w:t>
      </w:r>
    </w:p>
    <w:p w14:paraId="5D776C0E" w14:textId="557237D6" w:rsidR="00A6172B" w:rsidRDefault="00A6172B" w:rsidP="00DB2878">
      <w:pPr>
        <w:pStyle w:val="Heading4"/>
      </w:pPr>
      <w:bookmarkStart w:id="56" w:name="_Hlk120171215"/>
      <w:r>
        <w:t>Securities the subject of an acceptance facility</w:t>
      </w:r>
      <w:bookmarkEnd w:id="56"/>
    </w:p>
    <w:p w14:paraId="78F214A4" w14:textId="694EB28D" w:rsidR="00A6172B" w:rsidRDefault="00671F62" w:rsidP="00BF6CDE">
      <w:pPr>
        <w:pStyle w:val="Normalparatextwithnumbers"/>
      </w:pPr>
      <w:r>
        <w:t>An acceptance facility allows holders of target securities to provide a third</w:t>
      </w:r>
      <w:r w:rsidR="00533525">
        <w:noBreakHyphen/>
      </w:r>
      <w:r>
        <w:t>party facility agent with completed acceptance documents</w:t>
      </w:r>
      <w:r w:rsidR="00A6172B">
        <w:t>.</w:t>
      </w:r>
      <w:r>
        <w:t xml:space="preserve"> The facility agent</w:t>
      </w:r>
      <w:r w:rsidR="00A6172B">
        <w:t xml:space="preserve"> </w:t>
      </w:r>
      <w:r>
        <w:t>is then able to release the acceptances once a particular level of support has been achieved</w:t>
      </w:r>
      <w:r w:rsidR="004556EF">
        <w:t xml:space="preserve"> or once the bidder declares the bid free of all conditions or states they will do so no later than the time all facility acceptances are processed</w:t>
      </w:r>
      <w:r>
        <w:t xml:space="preserve">. </w:t>
      </w:r>
      <w:r w:rsidR="00E30CED">
        <w:t>The Bill provides that a bidder for a takeover bid will not have a relevant interest in bid class securities merely because those securities are the subject of an a</w:t>
      </w:r>
      <w:r w:rsidR="00136528">
        <w:t xml:space="preserve">cceptance, in relation to a facility, that is given to the operator of the facility in certain circumstances. </w:t>
      </w:r>
      <w:r w:rsidR="008C03C0">
        <w:t>This includes that:</w:t>
      </w:r>
    </w:p>
    <w:p w14:paraId="0F917F64" w14:textId="42DE4242" w:rsidR="008C03C0" w:rsidRDefault="008C03C0" w:rsidP="008C03C0">
      <w:pPr>
        <w:pStyle w:val="Dotpoint1"/>
      </w:pPr>
      <w:r>
        <w:lastRenderedPageBreak/>
        <w:t xml:space="preserve">the offer under the takeover bid for those securities has not been </w:t>
      </w:r>
      <w:proofErr w:type="gramStart"/>
      <w:r>
        <w:t>accepted;</w:t>
      </w:r>
      <w:proofErr w:type="gramEnd"/>
    </w:p>
    <w:p w14:paraId="63A0C17B" w14:textId="547C3734" w:rsidR="008C03C0" w:rsidRDefault="008C03C0" w:rsidP="008C03C0">
      <w:pPr>
        <w:pStyle w:val="Dotpoint1"/>
      </w:pPr>
      <w:r>
        <w:t xml:space="preserve">in the case where bid class securities are quoted on a prescribed financial market—for every movement of at least </w:t>
      </w:r>
      <w:r w:rsidR="005809CB">
        <w:t>one</w:t>
      </w:r>
      <w:r w:rsidR="00533525">
        <w:t> per cent</w:t>
      </w:r>
      <w:r>
        <w:t xml:space="preserve"> in the aggregate level of the bidder’s voting power and the votes attached to bid class securities the subject of acceptances in relation to the facility, the bidder provides to the relevant market operator, by 9.30</w:t>
      </w:r>
      <w:r w:rsidR="00533525">
        <w:t xml:space="preserve"> </w:t>
      </w:r>
      <w:r>
        <w:t>am on the next trading day after the movement, a notice that meets the relevant notice requirements; and</w:t>
      </w:r>
    </w:p>
    <w:p w14:paraId="3E22662E" w14:textId="48658F67" w:rsidR="0015707B" w:rsidRDefault="008C03C0" w:rsidP="008C03C0">
      <w:pPr>
        <w:pStyle w:val="Dotpoint1"/>
        <w:numPr>
          <w:ilvl w:val="0"/>
          <w:numId w:val="8"/>
        </w:numPr>
        <w:ind w:left="1418" w:hanging="709"/>
      </w:pPr>
      <w:r>
        <w:t xml:space="preserve">in the case where bid class securities are not on a prescribed financial market—the bidder lodges with ASIC a notice within </w:t>
      </w:r>
      <w:r w:rsidR="00533525">
        <w:t>two </w:t>
      </w:r>
      <w:r>
        <w:t>business days after the aggregate level of the bidder’s voting power and the votes attached to bid class securities the subject of acceptances in relation to the facility rise or fall above or below a percentage listed in subsection 654</w:t>
      </w:r>
      <w:proofErr w:type="gramStart"/>
      <w:r>
        <w:t>C(</w:t>
      </w:r>
      <w:proofErr w:type="gramEnd"/>
      <w:r>
        <w:t>1).</w:t>
      </w:r>
    </w:p>
    <w:p w14:paraId="268B75CA" w14:textId="1852F5E1" w:rsidR="008C03C0" w:rsidRDefault="0015707B" w:rsidP="0015707B">
      <w:pPr>
        <w:pStyle w:val="Referenceafterdotpoint"/>
      </w:pPr>
      <w:r>
        <w:t>[</w:t>
      </w:r>
      <w:r w:rsidR="00FA290D" w:rsidRPr="00FA290D">
        <w:t>Schedule 1, Part 1</w:t>
      </w:r>
      <w:r>
        <w:t>, item</w:t>
      </w:r>
      <w:r w:rsidR="0D4EFC0F">
        <w:t xml:space="preserve"> </w:t>
      </w:r>
      <w:r w:rsidR="4926BA1E">
        <w:t>10</w:t>
      </w:r>
      <w:r>
        <w:t xml:space="preserve">, subsection 609A(1) of the Corporations Act] </w:t>
      </w:r>
    </w:p>
    <w:p w14:paraId="1B2DBC6B" w14:textId="4838A925" w:rsidR="008C03C0" w:rsidRDefault="008C03C0" w:rsidP="008C03C0">
      <w:pPr>
        <w:pStyle w:val="Normalparatextwithnumbers"/>
      </w:pPr>
      <w:r>
        <w:t>The relief will only be available to acceptance facilities that meet specific requirements set out in subsection 609</w:t>
      </w:r>
      <w:proofErr w:type="gramStart"/>
      <w:r>
        <w:t>A(</w:t>
      </w:r>
      <w:proofErr w:type="gramEnd"/>
      <w:r>
        <w:t>2), including that:</w:t>
      </w:r>
    </w:p>
    <w:p w14:paraId="40BDD093" w14:textId="71A64B74" w:rsidR="008C03C0" w:rsidRDefault="008C03C0" w:rsidP="008C03C0">
      <w:pPr>
        <w:pStyle w:val="Dotpoint1"/>
      </w:pPr>
      <w:r>
        <w:t xml:space="preserve">it is the only facility </w:t>
      </w:r>
      <w:r w:rsidR="009835BE">
        <w:t xml:space="preserve">in relation to the bid </w:t>
      </w:r>
      <w:proofErr w:type="gramStart"/>
      <w:r w:rsidR="009835BE">
        <w:t>class</w:t>
      </w:r>
      <w:r w:rsidR="00394C9E">
        <w:t>;</w:t>
      </w:r>
      <w:proofErr w:type="gramEnd"/>
    </w:p>
    <w:p w14:paraId="1180BC4D" w14:textId="52950749" w:rsidR="00394C9E" w:rsidRDefault="00394C9E" w:rsidP="008C03C0">
      <w:pPr>
        <w:pStyle w:val="Dotpoint1"/>
      </w:pPr>
      <w:r>
        <w:t xml:space="preserve">the operator of the facility is a third party and is not the bidder or an associate of the </w:t>
      </w:r>
      <w:proofErr w:type="gramStart"/>
      <w:r>
        <w:t>bidder;</w:t>
      </w:r>
      <w:proofErr w:type="gramEnd"/>
    </w:p>
    <w:p w14:paraId="3A455F40" w14:textId="7482DDAF" w:rsidR="00394C9E" w:rsidRDefault="00394C9E" w:rsidP="008C03C0">
      <w:pPr>
        <w:pStyle w:val="Dotpoint1"/>
      </w:pPr>
      <w:r>
        <w:t xml:space="preserve">a participant in the facility may give the operator acceptances in relation to the </w:t>
      </w:r>
      <w:proofErr w:type="gramStart"/>
      <w:r>
        <w:t>facility;</w:t>
      </w:r>
      <w:proofErr w:type="gramEnd"/>
    </w:p>
    <w:p w14:paraId="5B7F7B22" w14:textId="6E649F7C" w:rsidR="00394C9E" w:rsidRDefault="00394C9E" w:rsidP="008C03C0">
      <w:pPr>
        <w:pStyle w:val="Dotpoint1"/>
      </w:pPr>
      <w:r>
        <w:t xml:space="preserve">the terms permit the operator to maintain custody of an acceptance until it is withdrawn by the </w:t>
      </w:r>
      <w:proofErr w:type="gramStart"/>
      <w:r>
        <w:t>participant</w:t>
      </w:r>
      <w:proofErr w:type="gramEnd"/>
      <w:r>
        <w:t xml:space="preserve"> or the triggering conditions are satisfied;</w:t>
      </w:r>
    </w:p>
    <w:p w14:paraId="25473E40" w14:textId="57452EF4" w:rsidR="00394C9E" w:rsidRDefault="00394C9E" w:rsidP="008C03C0">
      <w:pPr>
        <w:pStyle w:val="Dotpoint1"/>
      </w:pPr>
      <w:r>
        <w:t>the terms provide that the facility must be made available to all holders of bid class securities for unconditional bids</w:t>
      </w:r>
      <w:r w:rsidR="009835BE">
        <w:t xml:space="preserve"> or</w:t>
      </w:r>
      <w:r>
        <w:t xml:space="preserve"> otherwise available to all or specified holders of bid class </w:t>
      </w:r>
      <w:proofErr w:type="gramStart"/>
      <w:r w:rsidR="009835BE">
        <w:t>securities</w:t>
      </w:r>
      <w:r>
        <w:t>;</w:t>
      </w:r>
      <w:proofErr w:type="gramEnd"/>
    </w:p>
    <w:p w14:paraId="7688B9DF" w14:textId="52C753DE" w:rsidR="00394C9E" w:rsidRDefault="00C81C64" w:rsidP="008C03C0">
      <w:pPr>
        <w:pStyle w:val="Dotpoint1"/>
      </w:pPr>
      <w:r>
        <w:t>the terms of the facility provide that the operator of the facility must provide information about acceptances in relation to the facility to the bidder sufficiently regularly to allow the bidder to comply with relevant reporting requirements; and</w:t>
      </w:r>
    </w:p>
    <w:p w14:paraId="31DF7ADC" w14:textId="77777777" w:rsidR="0015707B" w:rsidRDefault="00C81C64" w:rsidP="008C03C0">
      <w:pPr>
        <w:pStyle w:val="Dotpoint1"/>
        <w:numPr>
          <w:ilvl w:val="0"/>
          <w:numId w:val="8"/>
        </w:numPr>
        <w:ind w:left="1418" w:hanging="709"/>
      </w:pPr>
      <w:r>
        <w:t xml:space="preserve">the terms of the facility provide that all participants in the facility participate in the facility on the same terms. </w:t>
      </w:r>
    </w:p>
    <w:p w14:paraId="43E93E4B" w14:textId="19971C60" w:rsidR="00C81C64" w:rsidRDefault="0015707B" w:rsidP="0015707B">
      <w:pPr>
        <w:pStyle w:val="Referenceafterdotpoint"/>
      </w:pPr>
      <w:r>
        <w:t>[</w:t>
      </w:r>
      <w:r w:rsidR="00C836CB" w:rsidRPr="00C836CB">
        <w:t>Schedule 1, Part 1</w:t>
      </w:r>
      <w:r>
        <w:t xml:space="preserve">, item </w:t>
      </w:r>
      <w:r w:rsidR="1C169A08">
        <w:t>10</w:t>
      </w:r>
      <w:r>
        <w:t xml:space="preserve">, subsection 609A(2) of the Corporations Act] </w:t>
      </w:r>
    </w:p>
    <w:p w14:paraId="001E5A9B" w14:textId="086E9B5E" w:rsidR="00345FE5" w:rsidRPr="00D076CF" w:rsidRDefault="00345FE5" w:rsidP="00345FE5">
      <w:pPr>
        <w:pStyle w:val="Normalparatextwithnumbers"/>
        <w:rPr>
          <w:rStyle w:val="References"/>
          <w:b w:val="0"/>
          <w:bCs w:val="0"/>
          <w:i w:val="0"/>
          <w:iCs w:val="0"/>
        </w:rPr>
      </w:pPr>
      <w:r>
        <w:t xml:space="preserve">The Bill sets out the definition of triggering conditions, </w:t>
      </w:r>
      <w:proofErr w:type="gramStart"/>
      <w:r>
        <w:t>acceptance</w:t>
      </w:r>
      <w:proofErr w:type="gramEnd"/>
      <w:r>
        <w:t xml:space="preserve"> and participant. The Bill also sets out the notice requirements</w:t>
      </w:r>
      <w:r w:rsidR="003105BB">
        <w:t xml:space="preserve"> for the notice provided by the bidder to the relevant market operator in relation to circumstances where bid class securities are quoted on a prescribed financial market.</w:t>
      </w:r>
      <w:r>
        <w:br/>
      </w:r>
      <w:r w:rsidR="007C0D00" w:rsidRPr="64DDBA4A">
        <w:rPr>
          <w:rStyle w:val="References"/>
        </w:rPr>
        <w:lastRenderedPageBreak/>
        <w:t>[</w:t>
      </w:r>
      <w:r w:rsidR="00B96C51" w:rsidRPr="00B96C51">
        <w:rPr>
          <w:b/>
          <w:bCs/>
          <w:i/>
          <w:iCs/>
        </w:rPr>
        <w:t>Schedule 1, Part 1</w:t>
      </w:r>
      <w:r w:rsidR="007C0D00" w:rsidRPr="64DDBA4A">
        <w:rPr>
          <w:rStyle w:val="References"/>
        </w:rPr>
        <w:t xml:space="preserve">, item </w:t>
      </w:r>
      <w:r w:rsidR="5742BB45" w:rsidRPr="64DDBA4A">
        <w:rPr>
          <w:rStyle w:val="References"/>
        </w:rPr>
        <w:t>10</w:t>
      </w:r>
      <w:r w:rsidR="007C0D00" w:rsidRPr="64DDBA4A">
        <w:rPr>
          <w:rStyle w:val="References"/>
        </w:rPr>
        <w:t>, subsections 609</w:t>
      </w:r>
      <w:proofErr w:type="gramStart"/>
      <w:r w:rsidR="007C0D00" w:rsidRPr="64DDBA4A">
        <w:rPr>
          <w:rStyle w:val="References"/>
        </w:rPr>
        <w:t>A(</w:t>
      </w:r>
      <w:proofErr w:type="gramEnd"/>
      <w:r w:rsidR="007C0D00" w:rsidRPr="64DDBA4A">
        <w:rPr>
          <w:rStyle w:val="References"/>
        </w:rPr>
        <w:t xml:space="preserve">3) and (4) of the Corporations Act] </w:t>
      </w:r>
    </w:p>
    <w:p w14:paraId="2520BC2D" w14:textId="70568322" w:rsidR="007B6D09" w:rsidRDefault="007B6D09" w:rsidP="00803969">
      <w:pPr>
        <w:pStyle w:val="Heading4"/>
      </w:pPr>
      <w:r>
        <w:t xml:space="preserve">Escrow agreement </w:t>
      </w:r>
      <w:proofErr w:type="gramStart"/>
      <w:r>
        <w:t>entered into</w:t>
      </w:r>
      <w:proofErr w:type="gramEnd"/>
      <w:r>
        <w:t xml:space="preserve"> by body corporate in connection with initial public offer</w:t>
      </w:r>
    </w:p>
    <w:p w14:paraId="41F196AE" w14:textId="6AA768DC" w:rsidR="007B6D09" w:rsidRDefault="007B6D09" w:rsidP="007B6D09">
      <w:pPr>
        <w:pStyle w:val="Normalparatextwithnumbers"/>
      </w:pPr>
      <w:r>
        <w:t xml:space="preserve">The Bill inserts </w:t>
      </w:r>
      <w:r w:rsidR="009A4F3A">
        <w:t xml:space="preserve">another situation that will not give rise to relevant interests in relation to securities subject to escrow agreement in connection with </w:t>
      </w:r>
      <w:r w:rsidR="00533525">
        <w:t>an IPO</w:t>
      </w:r>
      <w:r w:rsidR="009A4F3A">
        <w:t xml:space="preserve">. </w:t>
      </w:r>
    </w:p>
    <w:p w14:paraId="13C00143" w14:textId="33A1D8C9" w:rsidR="00E5519B" w:rsidRDefault="00BB5742" w:rsidP="007B6D09">
      <w:pPr>
        <w:pStyle w:val="Normalparatextwithnumbers"/>
      </w:pPr>
      <w:r>
        <w:t>When undertaking an IPO, a lead manager and an underwriter</w:t>
      </w:r>
      <w:r w:rsidR="00877385">
        <w:t xml:space="preserve"> are often engaged to</w:t>
      </w:r>
      <w:r>
        <w:t xml:space="preserve"> coordinate the process and manage the </w:t>
      </w:r>
      <w:r w:rsidR="00BA6017">
        <w:t xml:space="preserve">offer to ensure the success of the IPO. This can include the underwriter acquiring any securities which are not taken up. </w:t>
      </w:r>
      <w:r w:rsidR="00877385">
        <w:t xml:space="preserve">Under section 608 of the Corporations Act, a person who </w:t>
      </w:r>
      <w:proofErr w:type="gramStart"/>
      <w:r w:rsidR="00877385">
        <w:t>enters into</w:t>
      </w:r>
      <w:proofErr w:type="gramEnd"/>
      <w:r w:rsidR="00877385">
        <w:t xml:space="preserve"> an escrow arrangement with a security holder will have a relevant interest in those securities as they have the power to control the disposal of the securities. </w:t>
      </w:r>
      <w:r w:rsidR="00BA6017">
        <w:t>The Bill therefore provides that</w:t>
      </w:r>
      <w:r w:rsidR="00E5519B">
        <w:t xml:space="preserve"> a</w:t>
      </w:r>
      <w:r w:rsidR="00877385">
        <w:t xml:space="preserve"> body corporate,</w:t>
      </w:r>
      <w:r w:rsidR="00896FA5">
        <w:t xml:space="preserve"> or</w:t>
      </w:r>
      <w:r w:rsidR="00877385">
        <w:t xml:space="preserve"> a</w:t>
      </w:r>
      <w:r w:rsidR="00E5519B">
        <w:t>n underwriter, lead manager or joint lead manager will not have a relevant interest in securities merely because</w:t>
      </w:r>
      <w:r w:rsidR="00896FA5">
        <w:t xml:space="preserve"> they enter into an agreement in connection with an initial public offer. This relief only applies where the escrow securities are in the same class of securities as those that are covered by the IPO and the agreement satisfies certain conditions.</w:t>
      </w:r>
      <w:r>
        <w:br/>
      </w:r>
      <w:r w:rsidR="007C0D00" w:rsidRPr="64DDBA4A">
        <w:rPr>
          <w:rStyle w:val="References"/>
        </w:rPr>
        <w:t>[</w:t>
      </w:r>
      <w:r w:rsidR="00B96C51" w:rsidRPr="00B96C51">
        <w:rPr>
          <w:b/>
          <w:bCs/>
          <w:i/>
          <w:iCs/>
        </w:rPr>
        <w:t>Schedule 1, Part 1</w:t>
      </w:r>
      <w:r w:rsidR="007C0D00" w:rsidRPr="64DDBA4A">
        <w:rPr>
          <w:rStyle w:val="References"/>
        </w:rPr>
        <w:t>, item</w:t>
      </w:r>
      <w:r w:rsidR="006A3D78" w:rsidRPr="64DDBA4A">
        <w:rPr>
          <w:rStyle w:val="References"/>
        </w:rPr>
        <w:t xml:space="preserve"> </w:t>
      </w:r>
      <w:r w:rsidR="2ABF86DD" w:rsidRPr="64DDBA4A">
        <w:rPr>
          <w:rStyle w:val="References"/>
        </w:rPr>
        <w:t>10</w:t>
      </w:r>
      <w:r w:rsidR="007C0D00" w:rsidRPr="64DDBA4A">
        <w:rPr>
          <w:rStyle w:val="References"/>
        </w:rPr>
        <w:t>, subsection 609</w:t>
      </w:r>
      <w:proofErr w:type="gramStart"/>
      <w:r w:rsidR="007C0D00" w:rsidRPr="64DDBA4A">
        <w:rPr>
          <w:rStyle w:val="References"/>
        </w:rPr>
        <w:t>B(</w:t>
      </w:r>
      <w:proofErr w:type="gramEnd"/>
      <w:r w:rsidR="007C0D00" w:rsidRPr="64DDBA4A">
        <w:rPr>
          <w:rStyle w:val="References"/>
        </w:rPr>
        <w:t>1)</w:t>
      </w:r>
      <w:r w:rsidR="006A3D78" w:rsidRPr="64DDBA4A">
        <w:rPr>
          <w:rStyle w:val="References"/>
        </w:rPr>
        <w:t xml:space="preserve"> and (2)</w:t>
      </w:r>
      <w:r w:rsidR="007C0D00" w:rsidRPr="64DDBA4A">
        <w:rPr>
          <w:rStyle w:val="References"/>
        </w:rPr>
        <w:t xml:space="preserve"> of the Corporations Act] </w:t>
      </w:r>
    </w:p>
    <w:p w14:paraId="7CBD6243" w14:textId="77777777" w:rsidR="00410CCE" w:rsidRDefault="00896FA5" w:rsidP="007B6D09">
      <w:pPr>
        <w:pStyle w:val="Normalparatextwithnumbers"/>
      </w:pPr>
      <w:r>
        <w:t xml:space="preserve">The </w:t>
      </w:r>
      <w:r w:rsidR="00410CCE">
        <w:t>conditions include:</w:t>
      </w:r>
    </w:p>
    <w:p w14:paraId="26EBA394" w14:textId="2702C42C" w:rsidR="00896FA5" w:rsidRDefault="00410CCE" w:rsidP="00410CCE">
      <w:pPr>
        <w:pStyle w:val="Dotpoint1"/>
      </w:pPr>
      <w:r>
        <w:t xml:space="preserve">that the agreement does not restrict the exercise of voting rights attaching to the escrow </w:t>
      </w:r>
      <w:proofErr w:type="gramStart"/>
      <w:r>
        <w:t>securities;</w:t>
      </w:r>
      <w:proofErr w:type="gramEnd"/>
    </w:p>
    <w:p w14:paraId="21DBE32C" w14:textId="4CBAD381" w:rsidR="00721196" w:rsidRDefault="00D23253" w:rsidP="00410CCE">
      <w:pPr>
        <w:pStyle w:val="Dotpoint1"/>
      </w:pPr>
      <w:r>
        <w:t xml:space="preserve">that </w:t>
      </w:r>
      <w:r w:rsidR="00410CCE">
        <w:t xml:space="preserve">in relation to a takeover bid, the agreement allows holders of the escrow to accept into </w:t>
      </w:r>
      <w:r w:rsidR="00721196">
        <w:t xml:space="preserve">a successful takeover bid and allow the securities to be transferred or cancelled as part of a merger by way of a compromise or scheme of </w:t>
      </w:r>
      <w:proofErr w:type="gramStart"/>
      <w:r w:rsidR="00721196">
        <w:t>arrangement;</w:t>
      </w:r>
      <w:proofErr w:type="gramEnd"/>
    </w:p>
    <w:p w14:paraId="0A659938" w14:textId="7FD635D5" w:rsidR="00721196" w:rsidRDefault="00D23253" w:rsidP="00410CCE">
      <w:pPr>
        <w:pStyle w:val="Dotpoint1"/>
      </w:pPr>
      <w:r>
        <w:t xml:space="preserve">that </w:t>
      </w:r>
      <w:r w:rsidR="00721196">
        <w:t xml:space="preserve">the agreement terminates in relation to a body corporate 2 years after it is entered into or otherwise 1 year after it is entered </w:t>
      </w:r>
      <w:proofErr w:type="gramStart"/>
      <w:r w:rsidR="00721196">
        <w:t>into;</w:t>
      </w:r>
      <w:proofErr w:type="gramEnd"/>
    </w:p>
    <w:p w14:paraId="18812A0C" w14:textId="68C1FE59" w:rsidR="00265AF5" w:rsidRDefault="00721196" w:rsidP="00410CCE">
      <w:pPr>
        <w:pStyle w:val="Dotpoint1"/>
      </w:pPr>
      <w:r>
        <w:t xml:space="preserve">that if the agreement permits the holder to create a </w:t>
      </w:r>
      <w:r w:rsidR="00265AF5">
        <w:t>security interest in some or all of the escrow securities in favour of a person who does not have a relevant interest in the escrow securities because of subsection</w:t>
      </w:r>
      <w:r w:rsidR="00803969">
        <w:t> </w:t>
      </w:r>
      <w:r w:rsidR="00265AF5">
        <w:t>609(1)</w:t>
      </w:r>
      <w:r w:rsidR="00803969">
        <w:t xml:space="preserve"> – </w:t>
      </w:r>
      <w:r w:rsidR="00265AF5">
        <w:t>the agreement requires that the holder must not create a security interest in favour of the person unless the person has agreed in writing to take or acquire the security interest in the escrow securities subject to the terms of the agreement; and</w:t>
      </w:r>
    </w:p>
    <w:p w14:paraId="06FFA54E" w14:textId="77777777" w:rsidR="006A3D78" w:rsidRDefault="00265AF5" w:rsidP="00410CCE">
      <w:pPr>
        <w:pStyle w:val="Dotpoint1"/>
        <w:numPr>
          <w:ilvl w:val="0"/>
          <w:numId w:val="8"/>
        </w:numPr>
        <w:ind w:left="1418" w:hanging="709"/>
      </w:pPr>
      <w:r>
        <w:t>if the agreement permits the holder to transfer their interests in the escrow securities to another person, it requires that they must not do so if that would result in a change in the beneficial ownership of the securities, an extension in the period of the agreement or if the transferee does not agree to be subject to the same restrictions on disposal of the escrow securities.</w:t>
      </w:r>
    </w:p>
    <w:p w14:paraId="302C9770" w14:textId="1EE0E135" w:rsidR="00410CCE" w:rsidRDefault="006A3D78" w:rsidP="006A3D78">
      <w:pPr>
        <w:pStyle w:val="Referenceafterdotpoint"/>
      </w:pPr>
      <w:r>
        <w:lastRenderedPageBreak/>
        <w:t>[</w:t>
      </w:r>
      <w:r w:rsidR="00E01CA5" w:rsidRPr="00E01CA5">
        <w:t>Schedule 1, Part 1</w:t>
      </w:r>
      <w:r>
        <w:t xml:space="preserve">, item </w:t>
      </w:r>
      <w:r w:rsidR="0B952D73">
        <w:t>10</w:t>
      </w:r>
      <w:r>
        <w:t xml:space="preserve">, subsection 609B(3) of the Corporations Act] </w:t>
      </w:r>
    </w:p>
    <w:p w14:paraId="5092B8CA" w14:textId="7D90CAA5" w:rsidR="002F0FA5" w:rsidRDefault="002F0FA5" w:rsidP="002F0FA5">
      <w:pPr>
        <w:pStyle w:val="Normalparatextwithnumbers"/>
      </w:pPr>
      <w:r>
        <w:t xml:space="preserve">Consequential amendments to </w:t>
      </w:r>
      <w:r w:rsidR="00940586">
        <w:t xml:space="preserve">the definition of </w:t>
      </w:r>
      <w:r w:rsidR="00940586" w:rsidRPr="00D076CF">
        <w:rPr>
          <w:b/>
          <w:bCs/>
          <w:i/>
          <w:iCs/>
        </w:rPr>
        <w:t>relevant interest</w:t>
      </w:r>
      <w:r w:rsidR="00101C9E">
        <w:t xml:space="preserve"> and</w:t>
      </w:r>
      <w:r w:rsidR="006473D6">
        <w:t xml:space="preserve"> a note to </w:t>
      </w:r>
      <w:r w:rsidR="0082137B">
        <w:t>sub</w:t>
      </w:r>
      <w:r w:rsidR="006473D6">
        <w:t>s</w:t>
      </w:r>
      <w:r w:rsidR="0082137B">
        <w:t>ection 606(1)</w:t>
      </w:r>
      <w:r>
        <w:t xml:space="preserve"> ensure that new sections 609A and 609B are appropriately incorporated</w:t>
      </w:r>
      <w:r w:rsidR="00101C9E">
        <w:t xml:space="preserve"> into other provisions of the Corporations Act </w:t>
      </w:r>
      <w:r w:rsidR="00D61E40">
        <w:t>that refer to a relevant interest</w:t>
      </w:r>
      <w:r>
        <w:t>.</w:t>
      </w:r>
      <w:r>
        <w:br/>
      </w:r>
      <w:r w:rsidRPr="64DDBA4A">
        <w:rPr>
          <w:rStyle w:val="References"/>
        </w:rPr>
        <w:t>[</w:t>
      </w:r>
      <w:r w:rsidRPr="009B6E6F">
        <w:rPr>
          <w:b/>
          <w:bCs/>
          <w:i/>
          <w:iCs/>
        </w:rPr>
        <w:t>Schedule 1, Part 1</w:t>
      </w:r>
      <w:r w:rsidRPr="64DDBA4A">
        <w:rPr>
          <w:rStyle w:val="References"/>
        </w:rPr>
        <w:t>, item</w:t>
      </w:r>
      <w:r w:rsidR="00940586">
        <w:rPr>
          <w:rStyle w:val="References"/>
        </w:rPr>
        <w:t>s</w:t>
      </w:r>
      <w:r w:rsidRPr="64DDBA4A">
        <w:rPr>
          <w:rStyle w:val="References"/>
        </w:rPr>
        <w:t xml:space="preserve"> </w:t>
      </w:r>
      <w:r w:rsidR="00940586">
        <w:rPr>
          <w:rStyle w:val="References"/>
        </w:rPr>
        <w:t>2</w:t>
      </w:r>
      <w:r w:rsidR="00D61E40">
        <w:rPr>
          <w:rStyle w:val="References"/>
        </w:rPr>
        <w:t xml:space="preserve"> and 6</w:t>
      </w:r>
      <w:r w:rsidRPr="64DDBA4A">
        <w:rPr>
          <w:rStyle w:val="References"/>
        </w:rPr>
        <w:t xml:space="preserve">, </w:t>
      </w:r>
      <w:r w:rsidR="00D61E40">
        <w:rPr>
          <w:rStyle w:val="References"/>
        </w:rPr>
        <w:t xml:space="preserve">the definition of relevant interest in section 9 and </w:t>
      </w:r>
      <w:r w:rsidR="00E70F87">
        <w:rPr>
          <w:rStyle w:val="References"/>
        </w:rPr>
        <w:t xml:space="preserve">note 2 to section 606 </w:t>
      </w:r>
      <w:r w:rsidRPr="64DDBA4A">
        <w:rPr>
          <w:rStyle w:val="References"/>
        </w:rPr>
        <w:t xml:space="preserve">of the Corporations Act] </w:t>
      </w:r>
    </w:p>
    <w:p w14:paraId="6D06F9F5" w14:textId="0DFE2EE3" w:rsidR="008469A1" w:rsidRPr="000F0032" w:rsidRDefault="008469A1" w:rsidP="008469A1">
      <w:pPr>
        <w:pStyle w:val="Normalparatextwithnumbers"/>
      </w:pPr>
      <w:r>
        <w:t xml:space="preserve">Subsection 610(3) of the Corporations Act provides that a person’s voting power may be taken to have increased when acquiring securities in which they did not already have a relevant interest, from an associate. The Bill inserts subsection 610(3A) to provide </w:t>
      </w:r>
      <w:r>
        <w:rPr>
          <w:color w:val="000000"/>
          <w:shd w:val="clear" w:color="auto" w:fill="FFFFFF"/>
        </w:rPr>
        <w:t xml:space="preserve">that a subsidiary that acquires securities from its holding company is not taken to have increased its voting power </w:t>
      </w:r>
      <w:proofErr w:type="gramStart"/>
      <w:r>
        <w:rPr>
          <w:color w:val="000000"/>
          <w:shd w:val="clear" w:color="auto" w:fill="FFFFFF"/>
        </w:rPr>
        <w:t>as a result of</w:t>
      </w:r>
      <w:proofErr w:type="gramEnd"/>
      <w:r>
        <w:rPr>
          <w:color w:val="000000"/>
          <w:shd w:val="clear" w:color="auto" w:fill="FFFFFF"/>
        </w:rPr>
        <w:t xml:space="preserve"> the acquisition. </w:t>
      </w:r>
      <w:proofErr w:type="gramStart"/>
      <w:r w:rsidR="00832D22">
        <w:rPr>
          <w:color w:val="000000"/>
          <w:shd w:val="clear" w:color="auto" w:fill="FFFFFF"/>
        </w:rPr>
        <w:t>However</w:t>
      </w:r>
      <w:proofErr w:type="gramEnd"/>
      <w:r w:rsidR="00832D22">
        <w:rPr>
          <w:color w:val="000000"/>
          <w:shd w:val="clear" w:color="auto" w:fill="FFFFFF"/>
        </w:rPr>
        <w:t xml:space="preserve"> this will not apply if the acquisition results in an increase of another person’s voting power in a designated body and that person is not a subsidiary of the ultimate holding company of the body corporate that issued those shares. </w:t>
      </w:r>
      <w:r w:rsidR="006A3D78">
        <w:rPr>
          <w:color w:val="000000"/>
          <w:shd w:val="clear" w:color="auto" w:fill="FFFFFF"/>
        </w:rPr>
        <w:br/>
      </w:r>
      <w:r w:rsidR="006A3D78" w:rsidRPr="006A3D78">
        <w:rPr>
          <w:rStyle w:val="References"/>
        </w:rPr>
        <w:t>[</w:t>
      </w:r>
      <w:r w:rsidR="00D56567" w:rsidRPr="00954F12">
        <w:t>Schedule 1, Part 1</w:t>
      </w:r>
      <w:r w:rsidR="006A3D78" w:rsidRPr="006A3D78">
        <w:rPr>
          <w:rStyle w:val="References"/>
        </w:rPr>
        <w:t xml:space="preserve">, item </w:t>
      </w:r>
      <w:r w:rsidR="006A3D78">
        <w:rPr>
          <w:rStyle w:val="References"/>
        </w:rPr>
        <w:t>1</w:t>
      </w:r>
      <w:r w:rsidR="76AF8661">
        <w:rPr>
          <w:rStyle w:val="References"/>
        </w:rPr>
        <w:t>1</w:t>
      </w:r>
      <w:r w:rsidR="006A3D78" w:rsidRPr="006A3D78">
        <w:rPr>
          <w:rStyle w:val="References"/>
        </w:rPr>
        <w:t xml:space="preserve">, </w:t>
      </w:r>
      <w:r w:rsidR="006A3D78">
        <w:rPr>
          <w:rStyle w:val="References"/>
        </w:rPr>
        <w:t>subsection 610(3</w:t>
      </w:r>
      <w:r w:rsidR="00D56567">
        <w:rPr>
          <w:rStyle w:val="References"/>
        </w:rPr>
        <w:t>A</w:t>
      </w:r>
      <w:r w:rsidR="006A3D78">
        <w:rPr>
          <w:rStyle w:val="References"/>
        </w:rPr>
        <w:t>) of the Corporations Act</w:t>
      </w:r>
      <w:r w:rsidR="006A3D78" w:rsidRPr="006A3D78">
        <w:rPr>
          <w:rStyle w:val="References"/>
        </w:rPr>
        <w:t xml:space="preserve">] </w:t>
      </w:r>
    </w:p>
    <w:p w14:paraId="229B2F98" w14:textId="19E0CA59" w:rsidR="000F0032" w:rsidRPr="003E3577" w:rsidRDefault="000F0032" w:rsidP="00803969">
      <w:pPr>
        <w:pStyle w:val="Heading4"/>
      </w:pPr>
      <w:r>
        <w:t xml:space="preserve">Amendments to </w:t>
      </w:r>
      <w:r w:rsidR="00487CD8">
        <w:t>exceptions to the General Prohibition</w:t>
      </w:r>
    </w:p>
    <w:p w14:paraId="5ABA2CFB" w14:textId="19C27B03" w:rsidR="00D23253" w:rsidRPr="00D23253" w:rsidRDefault="00D23253" w:rsidP="008469A1">
      <w:pPr>
        <w:pStyle w:val="Normalparatextwithnumbers"/>
      </w:pPr>
      <w:r>
        <w:t>Section 606 of the Corporations Act imposes a general prohibition relating to the acquisition of interests by, or on behalf of a person resulting in an increase of a persons’ voting power in a regulated entity to, or from, a point above 20</w:t>
      </w:r>
      <w:r w:rsidR="00B76C0A">
        <w:t> per cent</w:t>
      </w:r>
      <w:r>
        <w:t xml:space="preserve"> (the </w:t>
      </w:r>
      <w:r w:rsidR="00B76C0A">
        <w:t>g</w:t>
      </w:r>
      <w:r>
        <w:t xml:space="preserve">eneral </w:t>
      </w:r>
      <w:r w:rsidR="00B76C0A">
        <w:t>p</w:t>
      </w:r>
      <w:r>
        <w:t>rohibition).</w:t>
      </w:r>
    </w:p>
    <w:p w14:paraId="0D42FA19" w14:textId="32F5D2D5" w:rsidR="003E3577" w:rsidRPr="002F32AE" w:rsidRDefault="003E3577" w:rsidP="008469A1">
      <w:pPr>
        <w:pStyle w:val="Normalparatextwithnumbers"/>
      </w:pPr>
      <w:r>
        <w:rPr>
          <w:color w:val="000000"/>
          <w:shd w:val="clear" w:color="auto" w:fill="FFFFFF"/>
        </w:rPr>
        <w:t xml:space="preserve">Section 611 of the Corporations Act sets out in table form the acquisitions of relevant exemptions from the </w:t>
      </w:r>
      <w:r w:rsidR="00B76C0A">
        <w:rPr>
          <w:color w:val="000000"/>
          <w:shd w:val="clear" w:color="auto" w:fill="FFFFFF"/>
        </w:rPr>
        <w:t>g</w:t>
      </w:r>
      <w:r>
        <w:rPr>
          <w:color w:val="000000"/>
          <w:shd w:val="clear" w:color="auto" w:fill="FFFFFF"/>
        </w:rPr>
        <w:t xml:space="preserve">eneral </w:t>
      </w:r>
      <w:r w:rsidR="00B76C0A">
        <w:rPr>
          <w:color w:val="000000"/>
          <w:shd w:val="clear" w:color="auto" w:fill="FFFFFF"/>
        </w:rPr>
        <w:t>p</w:t>
      </w:r>
      <w:r>
        <w:rPr>
          <w:color w:val="000000"/>
          <w:shd w:val="clear" w:color="auto" w:fill="FFFFFF"/>
        </w:rPr>
        <w:t xml:space="preserve">rohibition as set out in section 606 of the Corporations Act. </w:t>
      </w:r>
      <w:r w:rsidR="006A455A">
        <w:rPr>
          <w:color w:val="000000"/>
          <w:shd w:val="clear" w:color="auto" w:fill="FFFFFF"/>
        </w:rPr>
        <w:t xml:space="preserve">The </w:t>
      </w:r>
      <w:r w:rsidR="004879D4">
        <w:rPr>
          <w:color w:val="000000"/>
          <w:shd w:val="clear" w:color="auto" w:fill="FFFFFF"/>
        </w:rPr>
        <w:t>B</w:t>
      </w:r>
      <w:r w:rsidR="006A455A">
        <w:rPr>
          <w:color w:val="000000"/>
          <w:shd w:val="clear" w:color="auto" w:fill="FFFFFF"/>
        </w:rPr>
        <w:t xml:space="preserve">ill makes </w:t>
      </w:r>
      <w:proofErr w:type="gramStart"/>
      <w:r w:rsidR="006A455A">
        <w:rPr>
          <w:color w:val="000000"/>
          <w:shd w:val="clear" w:color="auto" w:fill="FFFFFF"/>
        </w:rPr>
        <w:t>a number of</w:t>
      </w:r>
      <w:proofErr w:type="gramEnd"/>
      <w:r w:rsidR="006A455A">
        <w:rPr>
          <w:color w:val="000000"/>
          <w:shd w:val="clear" w:color="auto" w:fill="FFFFFF"/>
        </w:rPr>
        <w:t xml:space="preserve"> amendments to items in the table. </w:t>
      </w:r>
      <w:r w:rsidR="004879D4">
        <w:rPr>
          <w:color w:val="000000"/>
          <w:shd w:val="clear" w:color="auto" w:fill="FFFFFF"/>
        </w:rPr>
        <w:t xml:space="preserve">Items 2 and 3 of the table relate to on-market purchases during the currency of a bid. The Bill amends items 2 and 3 to clarify that </w:t>
      </w:r>
      <w:r w:rsidR="00637F0C">
        <w:rPr>
          <w:color w:val="000000"/>
          <w:shd w:val="clear" w:color="auto" w:fill="FFFFFF"/>
        </w:rPr>
        <w:t>the acquisition of bid class securities will only occur</w:t>
      </w:r>
      <w:r w:rsidR="009835BE">
        <w:rPr>
          <w:color w:val="000000"/>
          <w:shd w:val="clear" w:color="auto" w:fill="FFFFFF"/>
        </w:rPr>
        <w:t xml:space="preserve"> under item 2 or 3</w:t>
      </w:r>
      <w:r w:rsidR="00637F0C">
        <w:rPr>
          <w:color w:val="000000"/>
          <w:shd w:val="clear" w:color="auto" w:fill="FFFFFF"/>
        </w:rPr>
        <w:t xml:space="preserve"> if </w:t>
      </w:r>
      <w:r w:rsidR="005C2BE3">
        <w:rPr>
          <w:color w:val="000000"/>
          <w:shd w:val="clear" w:color="auto" w:fill="FFFFFF"/>
        </w:rPr>
        <w:t xml:space="preserve">the bid is subject only to the condition that an event </w:t>
      </w:r>
      <w:r w:rsidR="00487CD8">
        <w:rPr>
          <w:color w:val="000000"/>
          <w:shd w:val="clear" w:color="auto" w:fill="FFFFFF"/>
        </w:rPr>
        <w:t>which,</w:t>
      </w:r>
      <w:r w:rsidR="005C2BE3">
        <w:rPr>
          <w:color w:val="000000"/>
          <w:shd w:val="clear" w:color="auto" w:fill="FFFFFF"/>
        </w:rPr>
        <w:t xml:space="preserve"> if it occurs, permits a bidder under a market bid to withdraw their offers under subsection 652C(1) or (2); or is subject only to the statutory condition set out in paragraph 625(3)(c).</w:t>
      </w:r>
      <w:r w:rsidR="006A3D78">
        <w:rPr>
          <w:color w:val="000000"/>
          <w:shd w:val="clear" w:color="auto" w:fill="FFFFFF"/>
        </w:rPr>
        <w:br/>
      </w:r>
      <w:r w:rsidR="006A3D78" w:rsidRPr="006A3D78">
        <w:rPr>
          <w:rStyle w:val="References"/>
        </w:rPr>
        <w:t>[</w:t>
      </w:r>
      <w:r w:rsidR="009E616E" w:rsidRPr="009E616E">
        <w:rPr>
          <w:b/>
          <w:bCs/>
          <w:i/>
          <w:iCs/>
        </w:rPr>
        <w:t>Schedule 1, Part 1</w:t>
      </w:r>
      <w:r w:rsidR="006A3D78" w:rsidRPr="006A3D78">
        <w:rPr>
          <w:rStyle w:val="References"/>
        </w:rPr>
        <w:t xml:space="preserve">, item </w:t>
      </w:r>
      <w:r w:rsidR="006A3D78">
        <w:rPr>
          <w:rStyle w:val="References"/>
        </w:rPr>
        <w:t>1</w:t>
      </w:r>
      <w:r w:rsidR="56ADEB39">
        <w:rPr>
          <w:rStyle w:val="References"/>
        </w:rPr>
        <w:t>2</w:t>
      </w:r>
      <w:r w:rsidR="006A3D78" w:rsidRPr="006A3D78">
        <w:rPr>
          <w:rStyle w:val="References"/>
        </w:rPr>
        <w:t xml:space="preserve">, </w:t>
      </w:r>
      <w:r w:rsidR="006A3D78">
        <w:rPr>
          <w:rStyle w:val="References"/>
        </w:rPr>
        <w:t>table items 2 and 3 of section 611 of the Corporations Act</w:t>
      </w:r>
      <w:r w:rsidR="006A3D78" w:rsidRPr="006A3D78">
        <w:rPr>
          <w:rStyle w:val="References"/>
        </w:rPr>
        <w:t xml:space="preserve">] </w:t>
      </w:r>
    </w:p>
    <w:p w14:paraId="52B54BFD" w14:textId="3CD32257" w:rsidR="002F32AE" w:rsidRPr="00487CD8" w:rsidRDefault="002F32AE" w:rsidP="008469A1">
      <w:pPr>
        <w:pStyle w:val="Normalparatextwithnumbers"/>
      </w:pPr>
      <w:r>
        <w:rPr>
          <w:color w:val="000000"/>
          <w:shd w:val="clear" w:color="auto" w:fill="FFFFFF"/>
        </w:rPr>
        <w:t xml:space="preserve">Item 6 of the table contains an exception to the </w:t>
      </w:r>
      <w:r w:rsidR="00B76C0A">
        <w:rPr>
          <w:color w:val="000000"/>
          <w:shd w:val="clear" w:color="auto" w:fill="FFFFFF"/>
        </w:rPr>
        <w:t>g</w:t>
      </w:r>
      <w:r>
        <w:rPr>
          <w:color w:val="000000"/>
          <w:shd w:val="clear" w:color="auto" w:fill="FFFFFF"/>
        </w:rPr>
        <w:t xml:space="preserve">eneral </w:t>
      </w:r>
      <w:r w:rsidR="00B76C0A">
        <w:rPr>
          <w:color w:val="000000"/>
          <w:shd w:val="clear" w:color="auto" w:fill="FFFFFF"/>
        </w:rPr>
        <w:t>p</w:t>
      </w:r>
      <w:r>
        <w:rPr>
          <w:color w:val="000000"/>
          <w:shd w:val="clear" w:color="auto" w:fill="FFFFFF"/>
        </w:rPr>
        <w:t xml:space="preserve">rohibition which permits an acquisition that results from an exercise of power, or appointment as receiver, or receiver and manager, under an instrument or agreement creating or giving rise to a security interest. The Bill </w:t>
      </w:r>
      <w:r w:rsidR="000C1780">
        <w:rPr>
          <w:color w:val="000000"/>
          <w:shd w:val="clear" w:color="auto" w:fill="FFFFFF"/>
        </w:rPr>
        <w:t xml:space="preserve">replaces </w:t>
      </w:r>
      <w:r w:rsidR="002B1EEE" w:rsidRPr="64DDBA4A">
        <w:rPr>
          <w:color w:val="000000" w:themeColor="text1"/>
        </w:rPr>
        <w:t>i</w:t>
      </w:r>
      <w:r w:rsidR="000C1780">
        <w:rPr>
          <w:color w:val="000000"/>
          <w:shd w:val="clear" w:color="auto" w:fill="FFFFFF"/>
        </w:rPr>
        <w:t xml:space="preserve">tem 6 of the table </w:t>
      </w:r>
      <w:r w:rsidR="000F0032">
        <w:rPr>
          <w:color w:val="000000"/>
          <w:shd w:val="clear" w:color="auto" w:fill="FFFFFF"/>
        </w:rPr>
        <w:t>to</w:t>
      </w:r>
      <w:r w:rsidR="000C1780">
        <w:rPr>
          <w:color w:val="000000"/>
          <w:shd w:val="clear" w:color="auto" w:fill="FFFFFF"/>
        </w:rPr>
        <w:t xml:space="preserve"> provide that an acquisition will be exempt from the </w:t>
      </w:r>
      <w:r w:rsidR="00B76C0A">
        <w:rPr>
          <w:color w:val="000000"/>
          <w:shd w:val="clear" w:color="auto" w:fill="FFFFFF"/>
        </w:rPr>
        <w:t>g</w:t>
      </w:r>
      <w:r w:rsidR="000C1780">
        <w:rPr>
          <w:color w:val="000000"/>
          <w:shd w:val="clear" w:color="auto" w:fill="FFFFFF"/>
        </w:rPr>
        <w:t xml:space="preserve">eneral </w:t>
      </w:r>
      <w:r w:rsidR="00B76C0A">
        <w:rPr>
          <w:color w:val="000000"/>
          <w:shd w:val="clear" w:color="auto" w:fill="FFFFFF"/>
        </w:rPr>
        <w:t>p</w:t>
      </w:r>
      <w:r w:rsidR="000C1780">
        <w:rPr>
          <w:color w:val="000000"/>
          <w:shd w:val="clear" w:color="auto" w:fill="FFFFFF"/>
        </w:rPr>
        <w:t>rohibition if</w:t>
      </w:r>
      <w:r w:rsidR="000F0032">
        <w:rPr>
          <w:color w:val="000000"/>
          <w:shd w:val="clear" w:color="auto" w:fill="FFFFFF"/>
        </w:rPr>
        <w:t xml:space="preserve"> it results from the exercise of a power, or appointment of a receiver, </w:t>
      </w:r>
      <w:r w:rsidR="000F0032">
        <w:t>under an instrument or agreement creating or giving rise to a security interest in certain circumstances. The Bill also clarifies, for consistency with the amendments to subsection 609(1) outlined above, that the exception applies to security trustees and that a security interest includes a negative pledge.</w:t>
      </w:r>
      <w:r w:rsidR="006A3D78">
        <w:rPr>
          <w:color w:val="000000"/>
          <w:shd w:val="clear" w:color="auto" w:fill="FFFFFF"/>
        </w:rPr>
        <w:br/>
      </w:r>
      <w:r w:rsidR="006A3D78" w:rsidRPr="006A3D78">
        <w:rPr>
          <w:rStyle w:val="References"/>
        </w:rPr>
        <w:lastRenderedPageBreak/>
        <w:t>[</w:t>
      </w:r>
      <w:r w:rsidR="00690785" w:rsidRPr="00690785">
        <w:rPr>
          <w:b/>
          <w:bCs/>
          <w:i/>
          <w:iCs/>
        </w:rPr>
        <w:t>Schedule 1, Part 1</w:t>
      </w:r>
      <w:r w:rsidR="006A3D78" w:rsidRPr="006A3D78">
        <w:rPr>
          <w:rStyle w:val="References"/>
        </w:rPr>
        <w:t xml:space="preserve">, item </w:t>
      </w:r>
      <w:r w:rsidR="006A3D78">
        <w:rPr>
          <w:rStyle w:val="References"/>
        </w:rPr>
        <w:t>1</w:t>
      </w:r>
      <w:r w:rsidR="16C43C1D">
        <w:rPr>
          <w:rStyle w:val="References"/>
        </w:rPr>
        <w:t>3</w:t>
      </w:r>
      <w:r w:rsidR="006A3D78" w:rsidRPr="006A3D78">
        <w:rPr>
          <w:rStyle w:val="References"/>
        </w:rPr>
        <w:t xml:space="preserve">, </w:t>
      </w:r>
      <w:r w:rsidR="006A3D78">
        <w:rPr>
          <w:rStyle w:val="References"/>
        </w:rPr>
        <w:t>table item 6 of section 611 of the Corporations Act</w:t>
      </w:r>
      <w:r w:rsidR="006A3D78" w:rsidRPr="006A3D78">
        <w:rPr>
          <w:rStyle w:val="References"/>
        </w:rPr>
        <w:t xml:space="preserve">] </w:t>
      </w:r>
    </w:p>
    <w:p w14:paraId="53E03D98" w14:textId="52FC14D4" w:rsidR="00487CD8" w:rsidRPr="00B037C5" w:rsidRDefault="00487CD8" w:rsidP="008469A1">
      <w:pPr>
        <w:pStyle w:val="Normalparatextwithnumbers"/>
      </w:pPr>
      <w:r>
        <w:rPr>
          <w:color w:val="000000"/>
          <w:shd w:val="clear" w:color="auto" w:fill="FFFFFF"/>
        </w:rPr>
        <w:t xml:space="preserve">Item 14 of the table provides that an acquisition will be exempt from the </w:t>
      </w:r>
      <w:r w:rsidR="004E5B35">
        <w:rPr>
          <w:color w:val="000000"/>
          <w:shd w:val="clear" w:color="auto" w:fill="FFFFFF"/>
        </w:rPr>
        <w:t>g</w:t>
      </w:r>
      <w:r>
        <w:rPr>
          <w:color w:val="000000"/>
          <w:shd w:val="clear" w:color="auto" w:fill="FFFFFF"/>
        </w:rPr>
        <w:t xml:space="preserve">eneral </w:t>
      </w:r>
      <w:r w:rsidR="004E5B35">
        <w:rPr>
          <w:color w:val="000000"/>
          <w:shd w:val="clear" w:color="auto" w:fill="FFFFFF"/>
        </w:rPr>
        <w:t>p</w:t>
      </w:r>
      <w:r>
        <w:rPr>
          <w:color w:val="000000"/>
          <w:shd w:val="clear" w:color="auto" w:fill="FFFFFF"/>
        </w:rPr>
        <w:t xml:space="preserve">rohibition where it results from another acquisition of relevant interests in voting shares in a body corporate that is included in the </w:t>
      </w:r>
      <w:r w:rsidR="00B037C5">
        <w:rPr>
          <w:color w:val="000000"/>
          <w:shd w:val="clear" w:color="auto" w:fill="FFFFFF"/>
        </w:rPr>
        <w:t xml:space="preserve">official </w:t>
      </w:r>
      <w:r>
        <w:rPr>
          <w:color w:val="000000"/>
          <w:shd w:val="clear" w:color="auto" w:fill="FFFFFF"/>
        </w:rPr>
        <w:t xml:space="preserve">list of a prescribed financial market, or a foreign body </w:t>
      </w:r>
      <w:r w:rsidR="009835BE">
        <w:rPr>
          <w:color w:val="000000"/>
          <w:shd w:val="clear" w:color="auto" w:fill="FFFFFF"/>
        </w:rPr>
        <w:t xml:space="preserve">conducting a financial market </w:t>
      </w:r>
      <w:r>
        <w:rPr>
          <w:color w:val="000000"/>
          <w:shd w:val="clear" w:color="auto" w:fill="FFFFFF"/>
        </w:rPr>
        <w:t xml:space="preserve">approved by ASIC. </w:t>
      </w:r>
      <w:r w:rsidR="00B037C5">
        <w:rPr>
          <w:color w:val="000000"/>
          <w:shd w:val="clear" w:color="auto" w:fill="FFFFFF"/>
        </w:rPr>
        <w:t xml:space="preserve">The Bill modifies item 14 </w:t>
      </w:r>
      <w:r w:rsidR="00B26DF2">
        <w:rPr>
          <w:color w:val="000000"/>
          <w:shd w:val="clear" w:color="auto" w:fill="FFFFFF"/>
        </w:rPr>
        <w:t xml:space="preserve">of the table </w:t>
      </w:r>
      <w:r w:rsidR="00B037C5">
        <w:rPr>
          <w:color w:val="000000"/>
          <w:shd w:val="clear" w:color="auto" w:fill="FFFFFF"/>
        </w:rPr>
        <w:t>to provide that the exemption only applies to primary listings on official lists.</w:t>
      </w:r>
      <w:r w:rsidR="006A3D78">
        <w:rPr>
          <w:color w:val="000000"/>
          <w:shd w:val="clear" w:color="auto" w:fill="FFFFFF"/>
        </w:rPr>
        <w:br/>
      </w:r>
      <w:r w:rsidR="006A3D78" w:rsidRPr="006A3D78">
        <w:rPr>
          <w:rStyle w:val="References"/>
        </w:rPr>
        <w:t>[</w:t>
      </w:r>
      <w:r w:rsidR="00B85E41" w:rsidRPr="00B85E41">
        <w:rPr>
          <w:b/>
          <w:bCs/>
          <w:i/>
          <w:iCs/>
        </w:rPr>
        <w:t>Schedule 1, Part 1</w:t>
      </w:r>
      <w:r w:rsidR="006A3D78" w:rsidRPr="006A3D78">
        <w:rPr>
          <w:rStyle w:val="References"/>
        </w:rPr>
        <w:t xml:space="preserve">, item </w:t>
      </w:r>
      <w:r w:rsidR="006A3D78">
        <w:rPr>
          <w:rStyle w:val="References"/>
        </w:rPr>
        <w:t>1</w:t>
      </w:r>
      <w:r w:rsidR="2DF9D3F3">
        <w:rPr>
          <w:rStyle w:val="References"/>
        </w:rPr>
        <w:t>4</w:t>
      </w:r>
      <w:r w:rsidR="006A3D78" w:rsidRPr="006A3D78">
        <w:rPr>
          <w:rStyle w:val="References"/>
        </w:rPr>
        <w:t xml:space="preserve">, </w:t>
      </w:r>
      <w:r w:rsidR="006A3D78">
        <w:rPr>
          <w:rStyle w:val="References"/>
        </w:rPr>
        <w:t>table item 14 of section 611 of the Corporations Act</w:t>
      </w:r>
      <w:r w:rsidR="006A3D78" w:rsidRPr="006A3D78">
        <w:rPr>
          <w:rStyle w:val="References"/>
        </w:rPr>
        <w:t xml:space="preserve">] </w:t>
      </w:r>
    </w:p>
    <w:p w14:paraId="5758E5AE" w14:textId="5DF36A0D" w:rsidR="007E2AF0" w:rsidRPr="007B6D09" w:rsidRDefault="00B037C5" w:rsidP="007E2AF0">
      <w:pPr>
        <w:pStyle w:val="Normalparatextwithnumbers"/>
      </w:pPr>
      <w:r>
        <w:rPr>
          <w:color w:val="000000"/>
          <w:shd w:val="clear" w:color="auto" w:fill="FFFFFF"/>
        </w:rPr>
        <w:t>Section 615 of the Corporations Act sets out a procedure that allows foreign holders to participate in the benefits flowing from a rights issue that has control implications and seeks to minimise those control effects, while permitting non</w:t>
      </w:r>
      <w:r w:rsidR="00B26DF2">
        <w:rPr>
          <w:color w:val="000000"/>
          <w:shd w:val="clear" w:color="auto" w:fill="FFFFFF"/>
        </w:rPr>
        <w:noBreakHyphen/>
      </w:r>
      <w:r>
        <w:rPr>
          <w:color w:val="000000"/>
          <w:shd w:val="clear" w:color="auto" w:fill="FFFFFF"/>
        </w:rPr>
        <w:t xml:space="preserve">foreign holders to rely on the relevant exceptions to the </w:t>
      </w:r>
      <w:r w:rsidR="00B26DF2">
        <w:rPr>
          <w:color w:val="000000"/>
          <w:shd w:val="clear" w:color="auto" w:fill="FFFFFF"/>
        </w:rPr>
        <w:t>g</w:t>
      </w:r>
      <w:r>
        <w:rPr>
          <w:color w:val="000000"/>
          <w:shd w:val="clear" w:color="auto" w:fill="FFFFFF"/>
        </w:rPr>
        <w:t xml:space="preserve">eneral </w:t>
      </w:r>
      <w:r w:rsidR="00B26DF2">
        <w:rPr>
          <w:color w:val="000000"/>
          <w:shd w:val="clear" w:color="auto" w:fill="FFFFFF"/>
        </w:rPr>
        <w:t>p</w:t>
      </w:r>
      <w:r>
        <w:rPr>
          <w:color w:val="000000"/>
          <w:shd w:val="clear" w:color="auto" w:fill="FFFFFF"/>
        </w:rPr>
        <w:t>rohibition notwithstanding foreign holders do not receive offers. The Bill inserts subsection 615(2) to provide that the exception in item 10 of the table in section 611 (which relates to rights issues)</w:t>
      </w:r>
      <w:r w:rsidR="00027BF2">
        <w:rPr>
          <w:color w:val="000000"/>
          <w:shd w:val="clear" w:color="auto" w:fill="FFFFFF"/>
        </w:rPr>
        <w:t xml:space="preserve"> applies to foreign holders of a company’s securities that are specified in offers even when the conditions set out in item 10 are not satisfied in certain circumstances. This includes that under the terms of the offer the company appoints a nominee for the specified foreign holders that is approved by ASIC and the company </w:t>
      </w:r>
      <w:r w:rsidR="009835BE">
        <w:rPr>
          <w:color w:val="000000"/>
          <w:shd w:val="clear" w:color="auto" w:fill="FFFFFF"/>
        </w:rPr>
        <w:t>issues to the nominee the</w:t>
      </w:r>
      <w:r w:rsidR="00027BF2">
        <w:rPr>
          <w:color w:val="000000"/>
          <w:shd w:val="clear" w:color="auto" w:fill="FFFFFF"/>
        </w:rPr>
        <w:t xml:space="preserve"> securities that would otherwise be issued to the specified foreign holders. The nominee must, under the terms of the offer, sell the securities and distribute to the specified foreign holders the relevant proportion of the proceeds of the sale net of expenses.</w:t>
      </w:r>
      <w:r w:rsidR="006A3D78">
        <w:rPr>
          <w:color w:val="000000"/>
          <w:shd w:val="clear" w:color="auto" w:fill="FFFFFF"/>
        </w:rPr>
        <w:br/>
      </w:r>
      <w:r w:rsidR="006A3D78" w:rsidRPr="006A3D78">
        <w:rPr>
          <w:rStyle w:val="References"/>
        </w:rPr>
        <w:t>[</w:t>
      </w:r>
      <w:r w:rsidR="00B85E41" w:rsidRPr="00B85E41">
        <w:rPr>
          <w:b/>
          <w:bCs/>
          <w:i/>
          <w:iCs/>
        </w:rPr>
        <w:t>Schedule 1, Part 1</w:t>
      </w:r>
      <w:r w:rsidR="006A3D78" w:rsidRPr="006A3D78">
        <w:rPr>
          <w:rStyle w:val="References"/>
        </w:rPr>
        <w:t>, item</w:t>
      </w:r>
      <w:r w:rsidR="00B85E41">
        <w:rPr>
          <w:rStyle w:val="References"/>
        </w:rPr>
        <w:t>s 15 to</w:t>
      </w:r>
      <w:r w:rsidR="006A3D78" w:rsidRPr="006A3D78">
        <w:rPr>
          <w:rStyle w:val="References"/>
        </w:rPr>
        <w:t xml:space="preserve"> </w:t>
      </w:r>
      <w:r w:rsidR="006A3D78">
        <w:rPr>
          <w:rStyle w:val="References"/>
        </w:rPr>
        <w:t>1</w:t>
      </w:r>
      <w:r w:rsidR="7BCC9BC1">
        <w:rPr>
          <w:rStyle w:val="References"/>
        </w:rPr>
        <w:t>7</w:t>
      </w:r>
      <w:r w:rsidR="006A3D78" w:rsidRPr="006A3D78">
        <w:rPr>
          <w:rStyle w:val="References"/>
        </w:rPr>
        <w:t xml:space="preserve">, </w:t>
      </w:r>
      <w:r w:rsidR="006A3D78">
        <w:rPr>
          <w:rStyle w:val="References"/>
        </w:rPr>
        <w:t>section 615 of the Corporations Act</w:t>
      </w:r>
      <w:r w:rsidR="006A3D78" w:rsidRPr="006A3D78">
        <w:rPr>
          <w:rStyle w:val="References"/>
        </w:rPr>
        <w:t xml:space="preserve">] </w:t>
      </w:r>
    </w:p>
    <w:p w14:paraId="6EDA7520" w14:textId="77777777" w:rsidR="00873094" w:rsidRPr="00020288" w:rsidRDefault="00873094" w:rsidP="00803969">
      <w:pPr>
        <w:pStyle w:val="Heading3"/>
        <w:rPr>
          <w:rFonts w:hint="eastAsia"/>
        </w:rPr>
      </w:pPr>
      <w:bookmarkStart w:id="57" w:name="_Toc125100001"/>
      <w:bookmarkStart w:id="58" w:name="_Toc125100736"/>
      <w:bookmarkStart w:id="59" w:name="_Toc78193246"/>
      <w:bookmarkStart w:id="60" w:name="_Toc78193403"/>
      <w:bookmarkStart w:id="61" w:name="_Toc78548476"/>
      <w:bookmarkStart w:id="62" w:name="_Toc78549747"/>
      <w:bookmarkStart w:id="63" w:name="_Toc78549791"/>
      <w:r w:rsidRPr="005D0844">
        <w:t>Consequential</w:t>
      </w:r>
      <w:r w:rsidRPr="00020288">
        <w:t xml:space="preserve"> amendments</w:t>
      </w:r>
      <w:bookmarkEnd w:id="57"/>
      <w:bookmarkEnd w:id="58"/>
    </w:p>
    <w:p w14:paraId="4DCC5059" w14:textId="40EAD3CE" w:rsidR="00873094" w:rsidRPr="00020288" w:rsidRDefault="00832D22" w:rsidP="00873094">
      <w:pPr>
        <w:pStyle w:val="Normalparatextwithnumbers"/>
        <w:numPr>
          <w:ilvl w:val="1"/>
          <w:numId w:val="3"/>
        </w:numPr>
      </w:pPr>
      <w:r>
        <w:t xml:space="preserve">The Bill repeals Class Order [CO 13/520] as it is no longer required. </w:t>
      </w:r>
      <w:r>
        <w:br/>
      </w:r>
      <w:r w:rsidR="006A3D78" w:rsidRPr="64DDBA4A">
        <w:rPr>
          <w:rStyle w:val="References"/>
        </w:rPr>
        <w:t>[</w:t>
      </w:r>
      <w:r w:rsidR="002D1FEE" w:rsidRPr="002D1FEE">
        <w:rPr>
          <w:b/>
          <w:bCs/>
          <w:i/>
          <w:iCs/>
        </w:rPr>
        <w:t>Schedule 1, Part 1</w:t>
      </w:r>
      <w:r w:rsidR="006A3D78" w:rsidRPr="64DDBA4A">
        <w:rPr>
          <w:rStyle w:val="References"/>
        </w:rPr>
        <w:t>, item 1</w:t>
      </w:r>
      <w:r w:rsidR="76FAF3DF" w:rsidRPr="64DDBA4A">
        <w:rPr>
          <w:rStyle w:val="References"/>
        </w:rPr>
        <w:t>9</w:t>
      </w:r>
      <w:r w:rsidR="006A3D78" w:rsidRPr="64DDBA4A">
        <w:rPr>
          <w:rStyle w:val="References"/>
        </w:rPr>
        <w:t xml:space="preserve">] </w:t>
      </w:r>
    </w:p>
    <w:p w14:paraId="33DC5777" w14:textId="77777777" w:rsidR="00873094" w:rsidRPr="00020288" w:rsidRDefault="00873094" w:rsidP="00803969">
      <w:pPr>
        <w:pStyle w:val="Heading3"/>
        <w:rPr>
          <w:rFonts w:hint="eastAsia"/>
        </w:rPr>
      </w:pPr>
      <w:bookmarkStart w:id="64" w:name="_Toc125100002"/>
      <w:bookmarkStart w:id="65" w:name="_Toc125100737"/>
      <w:r w:rsidRPr="00020288">
        <w:t xml:space="preserve">Commencement, </w:t>
      </w:r>
      <w:r w:rsidRPr="00AF50CE">
        <w:t>application</w:t>
      </w:r>
      <w:r w:rsidRPr="00020288">
        <w:t>, and transitional provisions</w:t>
      </w:r>
      <w:bookmarkEnd w:id="64"/>
      <w:bookmarkEnd w:id="65"/>
    </w:p>
    <w:p w14:paraId="011DC817" w14:textId="698E8D62" w:rsidR="001C0D6A" w:rsidRPr="00023062" w:rsidRDefault="00832D22" w:rsidP="00023062">
      <w:pPr>
        <w:pStyle w:val="Normalparatextwithnumbers"/>
      </w:pPr>
      <w:r w:rsidRPr="00023062">
        <w:t>The amendments commence on the day after Royal Assent.</w:t>
      </w:r>
      <w:r w:rsidR="00023062" w:rsidRPr="00023062">
        <w:t xml:space="preserve"> </w:t>
      </w:r>
      <w:bookmarkStart w:id="66" w:name="_Hlk83390738"/>
      <w:r w:rsidR="001C0D6A" w:rsidRPr="00023062">
        <w:br w:type="page"/>
      </w:r>
    </w:p>
    <w:p w14:paraId="617B8741" w14:textId="77777777" w:rsidR="00525CDD" w:rsidRPr="00020288" w:rsidRDefault="00525CDD" w:rsidP="00023062">
      <w:pPr>
        <w:pStyle w:val="Heading2"/>
        <w:rPr>
          <w:rFonts w:hint="eastAsia"/>
        </w:rPr>
      </w:pPr>
      <w:bookmarkStart w:id="67" w:name="_Toc125100738"/>
      <w:r>
        <w:lastRenderedPageBreak/>
        <w:t>Satisfying the requirement for Registered Schemes to make adequate provision for acquiring interests in and withdrawing from the scheme, in the Scheme constitution (ASIC Class Order [13/655] and ASIC Class Order [13/657])</w:t>
      </w:r>
      <w:bookmarkEnd w:id="67"/>
    </w:p>
    <w:p w14:paraId="5B00B88E" w14:textId="77777777" w:rsidR="00525CDD" w:rsidRPr="00020288" w:rsidRDefault="00525CDD" w:rsidP="000678F5">
      <w:pPr>
        <w:pStyle w:val="Heading3"/>
        <w:rPr>
          <w:rFonts w:hint="eastAsia"/>
        </w:rPr>
      </w:pPr>
      <w:bookmarkStart w:id="68" w:name="_Toc125100004"/>
      <w:bookmarkStart w:id="69" w:name="_Toc125100739"/>
      <w:r w:rsidRPr="00020288">
        <w:t xml:space="preserve">Context of </w:t>
      </w:r>
      <w:r w:rsidRPr="005D0844">
        <w:t>amendments</w:t>
      </w:r>
      <w:bookmarkEnd w:id="68"/>
      <w:bookmarkEnd w:id="69"/>
    </w:p>
    <w:p w14:paraId="45B507A9" w14:textId="6AC07387" w:rsidR="00525CDD" w:rsidRDefault="00525CDD" w:rsidP="00525CDD">
      <w:pPr>
        <w:pStyle w:val="Normalparatextwithnumbers"/>
        <w:numPr>
          <w:ilvl w:val="1"/>
          <w:numId w:val="24"/>
        </w:numPr>
      </w:pPr>
      <w:r>
        <w:t xml:space="preserve">Part 5C.3 of the </w:t>
      </w:r>
      <w:r w:rsidR="0065523E">
        <w:t>Corporations Act</w:t>
      </w:r>
      <w:r>
        <w:t xml:space="preserve"> sets out the constitutional requirements of a registered scheme (</w:t>
      </w:r>
      <w:r w:rsidR="00187079">
        <w:t>that is,</w:t>
      </w:r>
      <w:r>
        <w:t xml:space="preserve"> a </w:t>
      </w:r>
      <w:r w:rsidR="00187079">
        <w:t>m</w:t>
      </w:r>
      <w:r>
        <w:t xml:space="preserve">anaged </w:t>
      </w:r>
      <w:r w:rsidR="00187079">
        <w:t>i</w:t>
      </w:r>
      <w:r>
        <w:t xml:space="preserve">nvestment </w:t>
      </w:r>
      <w:r w:rsidR="00187079">
        <w:t>s</w:t>
      </w:r>
      <w:r>
        <w:t>cheme that is registered with ASIC and subject to the legal requirements of a registered scheme).</w:t>
      </w:r>
    </w:p>
    <w:p w14:paraId="4CF3C3B2" w14:textId="77777777" w:rsidR="00525CDD" w:rsidRDefault="00525CDD" w:rsidP="00525CDD">
      <w:pPr>
        <w:pStyle w:val="Normalparatextwithnumbers"/>
        <w:numPr>
          <w:ilvl w:val="1"/>
          <w:numId w:val="24"/>
        </w:numPr>
      </w:pPr>
      <w:r>
        <w:t xml:space="preserve">Paragraph 601GA(1)(a) requires the constitution of a registered scheme to make adequate provision for the consideration to be paid </w:t>
      </w:r>
      <w:proofErr w:type="gramStart"/>
      <w:r>
        <w:t>in order to</w:t>
      </w:r>
      <w:proofErr w:type="gramEnd"/>
      <w:r>
        <w:t xml:space="preserve"> acquire an interest in the scheme.</w:t>
      </w:r>
    </w:p>
    <w:p w14:paraId="3EA773AF" w14:textId="77777777" w:rsidR="00525CDD" w:rsidRDefault="00525CDD" w:rsidP="00525CDD">
      <w:pPr>
        <w:pStyle w:val="Normalparatextwithnumbers"/>
        <w:numPr>
          <w:ilvl w:val="1"/>
          <w:numId w:val="24"/>
        </w:numPr>
      </w:pPr>
      <w:r>
        <w:t>Subsection 601</w:t>
      </w:r>
      <w:proofErr w:type="gramStart"/>
      <w:r>
        <w:t>GA(</w:t>
      </w:r>
      <w:proofErr w:type="gramEnd"/>
      <w:r>
        <w:t>4) requires the constitution of a registered scheme to specify the right (if there is a right) to withdraw from the scheme, as well as set out adequate procedures for making and dealing with withdrawal requests.</w:t>
      </w:r>
    </w:p>
    <w:p w14:paraId="390DC941" w14:textId="77680CC5" w:rsidR="00525CDD" w:rsidRDefault="00525CDD" w:rsidP="00525CDD">
      <w:pPr>
        <w:pStyle w:val="Normalparatextwithnumbers"/>
        <w:numPr>
          <w:ilvl w:val="1"/>
          <w:numId w:val="24"/>
        </w:numPr>
      </w:pPr>
      <w:r>
        <w:t xml:space="preserve">ASIC Class Order [CO 13/655] and ASIC Class Order [CO 13/657] were created to </w:t>
      </w:r>
      <w:r w:rsidR="00A750FF">
        <w:t>mitigate</w:t>
      </w:r>
      <w:r>
        <w:t xml:space="preserve"> any perceived uncertainty </w:t>
      </w:r>
      <w:proofErr w:type="gramStart"/>
      <w:r>
        <w:t>with regard to</w:t>
      </w:r>
      <w:proofErr w:type="gramEnd"/>
      <w:r>
        <w:t xml:space="preserve"> what constitutes ‘adequate provision’ and ‘adequate procedures’, by providing a </w:t>
      </w:r>
      <w:r w:rsidR="00187079">
        <w:t xml:space="preserve">prescribed </w:t>
      </w:r>
      <w:r>
        <w:t xml:space="preserve">means </w:t>
      </w:r>
      <w:r w:rsidR="00187079">
        <w:t xml:space="preserve">to </w:t>
      </w:r>
      <w:r>
        <w:t>satisfy the requirements.</w:t>
      </w:r>
    </w:p>
    <w:p w14:paraId="58ABA0AE" w14:textId="77777777" w:rsidR="00525CDD" w:rsidRPr="00020288" w:rsidRDefault="00525CDD" w:rsidP="000678F5">
      <w:pPr>
        <w:pStyle w:val="Heading3"/>
        <w:rPr>
          <w:rFonts w:hint="eastAsia"/>
        </w:rPr>
      </w:pPr>
      <w:bookmarkStart w:id="70" w:name="_Toc125100005"/>
      <w:bookmarkStart w:id="71" w:name="_Toc125100740"/>
      <w:r w:rsidRPr="00AF50CE">
        <w:t>Comparison</w:t>
      </w:r>
      <w:r w:rsidRPr="00020288">
        <w:t xml:space="preserve"> of key features of new law and current law</w:t>
      </w:r>
      <w:bookmarkEnd w:id="70"/>
      <w:bookmarkEnd w:id="71"/>
    </w:p>
    <w:p w14:paraId="2694D535" w14:textId="0920C09E" w:rsidR="00525CDD" w:rsidRPr="002D3B91" w:rsidRDefault="00525CDD" w:rsidP="00525CDD">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525CDD" w:rsidRPr="00020288" w14:paraId="63B18213" w14:textId="77777777" w:rsidTr="39773BC2">
        <w:trPr>
          <w:cnfStyle w:val="100000000000" w:firstRow="1" w:lastRow="0" w:firstColumn="0" w:lastColumn="0" w:oddVBand="0" w:evenVBand="0" w:oddHBand="0" w:evenHBand="0" w:firstRowFirstColumn="0" w:firstRowLastColumn="0" w:lastRowFirstColumn="0" w:lastRowLastColumn="0"/>
        </w:trPr>
        <w:tc>
          <w:tcPr>
            <w:tcW w:w="3776" w:type="dxa"/>
          </w:tcPr>
          <w:p w14:paraId="36C40C53" w14:textId="77777777" w:rsidR="00525CDD" w:rsidRPr="00A61FE9" w:rsidRDefault="00525CDD" w:rsidP="00625C86">
            <w:pPr>
              <w:pStyle w:val="Tableheaderrowtext"/>
              <w:numPr>
                <w:ilvl w:val="3"/>
                <w:numId w:val="2"/>
              </w:numPr>
              <w:ind w:left="1701" w:hanging="1701"/>
            </w:pPr>
            <w:r w:rsidRPr="00A61FE9">
              <w:t>New law</w:t>
            </w:r>
          </w:p>
        </w:tc>
        <w:tc>
          <w:tcPr>
            <w:tcW w:w="3874" w:type="dxa"/>
          </w:tcPr>
          <w:p w14:paraId="1A199D3A" w14:textId="77777777" w:rsidR="00525CDD" w:rsidRPr="00A61FE9" w:rsidRDefault="00525CDD" w:rsidP="00625C86">
            <w:pPr>
              <w:pStyle w:val="Tableheaderrowtext"/>
              <w:numPr>
                <w:ilvl w:val="3"/>
                <w:numId w:val="2"/>
              </w:numPr>
              <w:ind w:left="1701" w:hanging="1701"/>
            </w:pPr>
            <w:r w:rsidRPr="00A61FE9">
              <w:t>Current law</w:t>
            </w:r>
          </w:p>
        </w:tc>
      </w:tr>
      <w:tr w:rsidR="00525CDD" w:rsidRPr="00020288" w14:paraId="0E573631" w14:textId="77777777" w:rsidTr="39773BC2">
        <w:tc>
          <w:tcPr>
            <w:tcW w:w="3776" w:type="dxa"/>
          </w:tcPr>
          <w:p w14:paraId="511372E5" w14:textId="77777777" w:rsidR="00525CDD" w:rsidRPr="00423207" w:rsidRDefault="00525CDD" w:rsidP="00DB2878">
            <w:pPr>
              <w:pStyle w:val="Tabletext"/>
            </w:pPr>
            <w:r w:rsidRPr="00423207">
              <w:t>No change</w:t>
            </w:r>
            <w:r w:rsidR="000678F5">
              <w:t xml:space="preserve">. Notional section 601GAD </w:t>
            </w:r>
            <w:r w:rsidR="00C76895">
              <w:t>has not been incorporated</w:t>
            </w:r>
            <w:r w:rsidR="00207971">
              <w:t>.</w:t>
            </w:r>
          </w:p>
        </w:tc>
        <w:tc>
          <w:tcPr>
            <w:tcW w:w="3874" w:type="dxa"/>
          </w:tcPr>
          <w:p w14:paraId="722B9DF2" w14:textId="7F176D52" w:rsidR="00525CDD" w:rsidRPr="00423207" w:rsidRDefault="00525CDD" w:rsidP="00DB2878">
            <w:pPr>
              <w:pStyle w:val="Tabletext"/>
            </w:pPr>
            <w:r w:rsidRPr="00423207">
              <w:t xml:space="preserve">ASIC Class Order [CO 13/655] inserts notional section 601GAD into the </w:t>
            </w:r>
            <w:r w:rsidR="0065523E" w:rsidRPr="00423207">
              <w:t>Corporations Act</w:t>
            </w:r>
            <w:r w:rsidRPr="00423207">
              <w:t xml:space="preserve"> which exempts the constitution from making adequate provision for acquisition price in certain circumstances, if provisions are included that enable the responsible entity to set the acquisition price.</w:t>
            </w:r>
          </w:p>
        </w:tc>
      </w:tr>
      <w:tr w:rsidR="00525CDD" w:rsidRPr="00020288" w14:paraId="42CC2EB0" w14:textId="77777777" w:rsidTr="39773BC2">
        <w:tc>
          <w:tcPr>
            <w:tcW w:w="3776" w:type="dxa"/>
          </w:tcPr>
          <w:p w14:paraId="68B460E1" w14:textId="42A71878" w:rsidR="000678F5" w:rsidRDefault="000803CA">
            <w:pPr>
              <w:pStyle w:val="Tabletext"/>
            </w:pPr>
            <w:r>
              <w:t>The provisions are incorporated without any operative change.</w:t>
            </w:r>
          </w:p>
          <w:p w14:paraId="75D869CE" w14:textId="4FEBD9A2" w:rsidR="00525CDD" w:rsidRDefault="00BE2B81">
            <w:pPr>
              <w:pStyle w:val="Tabletext"/>
            </w:pPr>
            <w:r>
              <w:lastRenderedPageBreak/>
              <w:t>S</w:t>
            </w:r>
            <w:r w:rsidR="00525CDD">
              <w:t>ections 601GD</w:t>
            </w:r>
            <w:r>
              <w:t xml:space="preserve"> </w:t>
            </w:r>
            <w:r w:rsidR="00525CDD">
              <w:t xml:space="preserve">and 601GE </w:t>
            </w:r>
            <w:r w:rsidR="00525CDD" w:rsidRPr="00D65B12">
              <w:t>allow a scheme</w:t>
            </w:r>
            <w:r w:rsidR="00525CDD">
              <w:t xml:space="preserve"> to satisfy its obligations under paragraph</w:t>
            </w:r>
            <w:r w:rsidR="00187079">
              <w:t> </w:t>
            </w:r>
            <w:r w:rsidR="00525CDD">
              <w:t>601GA(1)(a) and subsection</w:t>
            </w:r>
            <w:r w:rsidR="00CD3DFB">
              <w:t> </w:t>
            </w:r>
            <w:r w:rsidR="00525CDD">
              <w:t>601</w:t>
            </w:r>
            <w:proofErr w:type="gramStart"/>
            <w:r w:rsidR="00525CDD">
              <w:t>GA(</w:t>
            </w:r>
            <w:proofErr w:type="gramEnd"/>
            <w:r w:rsidR="00525CDD">
              <w:t xml:space="preserve">4) by </w:t>
            </w:r>
            <w:r w:rsidR="00525CDD" w:rsidRPr="00D65B12">
              <w:t>provid</w:t>
            </w:r>
            <w:r w:rsidR="00525CDD">
              <w:t>ing in its constitution</w:t>
            </w:r>
            <w:r w:rsidR="00525CDD" w:rsidRPr="00D65B12">
              <w:t xml:space="preserve"> a formula or method to determine the amount of consideration to acquire interests</w:t>
            </w:r>
            <w:r w:rsidR="00525CDD">
              <w:t xml:space="preserve"> in the scheme</w:t>
            </w:r>
            <w:r w:rsidR="00525CDD" w:rsidRPr="00D65B12">
              <w:t xml:space="preserve"> or the amount to be paid on a withdrawal</w:t>
            </w:r>
            <w:r w:rsidR="00525CDD">
              <w:t xml:space="preserve"> from a scheme</w:t>
            </w:r>
            <w:r w:rsidR="00525CDD" w:rsidRPr="00D65B12">
              <w:t xml:space="preserve">. </w:t>
            </w:r>
          </w:p>
          <w:p w14:paraId="1D23AC70" w14:textId="77777777" w:rsidR="00525CDD" w:rsidRDefault="00525CDD">
            <w:pPr>
              <w:pStyle w:val="Tabletext"/>
            </w:pPr>
            <w:r w:rsidRPr="00D65B12">
              <w:t>The constitution can also provide responsible entities with the discretion to decide certain matters relating to the formula or method</w:t>
            </w:r>
            <w:r>
              <w:t xml:space="preserve"> provided for in the constitution.</w:t>
            </w:r>
          </w:p>
          <w:p w14:paraId="63B2EC73" w14:textId="6405B15D" w:rsidR="00525CDD" w:rsidRPr="00020288" w:rsidRDefault="00525CDD">
            <w:pPr>
              <w:pStyle w:val="Tabletext"/>
            </w:pPr>
            <w:r w:rsidRPr="007D45E5">
              <w:t xml:space="preserve">Responsible entities are not mandated to follow the constitutional requirements set out in </w:t>
            </w:r>
            <w:r>
              <w:t>sections 601GD and 601GE</w:t>
            </w:r>
            <w:r w:rsidRPr="007D45E5">
              <w:t xml:space="preserve"> and may make ‘adequate provision</w:t>
            </w:r>
            <w:r w:rsidR="00D163DE">
              <w:t xml:space="preserve">’ or set out ‘adequate procedures’ </w:t>
            </w:r>
            <w:r w:rsidRPr="007D45E5">
              <w:t>by alternate means if they choose to do so</w:t>
            </w:r>
            <w:r>
              <w:t>.</w:t>
            </w:r>
          </w:p>
        </w:tc>
        <w:tc>
          <w:tcPr>
            <w:tcW w:w="3874" w:type="dxa"/>
          </w:tcPr>
          <w:p w14:paraId="6225DFB3" w14:textId="0E869544" w:rsidR="00525CDD" w:rsidRDefault="00525CDD">
            <w:pPr>
              <w:pStyle w:val="Tabletext"/>
            </w:pPr>
            <w:r>
              <w:lastRenderedPageBreak/>
              <w:t>ASIC Class Order [CO 13/655] inserts n</w:t>
            </w:r>
            <w:r w:rsidRPr="00D65B12">
              <w:t xml:space="preserve">otional </w:t>
            </w:r>
            <w:r>
              <w:t>sub</w:t>
            </w:r>
            <w:r w:rsidRPr="00D65B12">
              <w:t>sections 601</w:t>
            </w:r>
            <w:proofErr w:type="gramStart"/>
            <w:r w:rsidRPr="00D65B12">
              <w:t>GAE</w:t>
            </w:r>
            <w:r>
              <w:t>(</w:t>
            </w:r>
            <w:proofErr w:type="gramEnd"/>
            <w:r>
              <w:t>1)</w:t>
            </w:r>
            <w:r w:rsidRPr="00D65B12">
              <w:t xml:space="preserve"> and </w:t>
            </w:r>
            <w:r w:rsidRPr="00D65B12">
              <w:lastRenderedPageBreak/>
              <w:t>601GAF</w:t>
            </w:r>
            <w:r>
              <w:t xml:space="preserve">(1) into the </w:t>
            </w:r>
            <w:r w:rsidR="0065523E" w:rsidRPr="00423207">
              <w:t>Corporations Act</w:t>
            </w:r>
            <w:r w:rsidRPr="00D65B12">
              <w:t xml:space="preserve"> </w:t>
            </w:r>
            <w:r>
              <w:t xml:space="preserve">which </w:t>
            </w:r>
            <w:r w:rsidRPr="00D65B12">
              <w:t>allow a scheme</w:t>
            </w:r>
            <w:r>
              <w:t xml:space="preserve"> to satisfy its obligations under paragraph 601GA(1)(a) and subsection 601GA(4) by </w:t>
            </w:r>
            <w:r w:rsidRPr="00D65B12">
              <w:t>provid</w:t>
            </w:r>
            <w:r>
              <w:t>ing in its constitution</w:t>
            </w:r>
            <w:r w:rsidRPr="00D65B12">
              <w:t xml:space="preserve"> a formula or method to determine the amount of consideration to acquire interests</w:t>
            </w:r>
            <w:r>
              <w:t xml:space="preserve"> in the scheme</w:t>
            </w:r>
            <w:r w:rsidRPr="00D65B12">
              <w:t xml:space="preserve"> or the amount to be paid on a withdrawal</w:t>
            </w:r>
            <w:r>
              <w:t xml:space="preserve"> from a scheme</w:t>
            </w:r>
            <w:r w:rsidRPr="00D65B12">
              <w:t xml:space="preserve">. </w:t>
            </w:r>
          </w:p>
          <w:p w14:paraId="47DF8B5F" w14:textId="77777777" w:rsidR="00525CDD" w:rsidRDefault="00525CDD">
            <w:pPr>
              <w:pStyle w:val="Tabletext"/>
            </w:pPr>
            <w:r w:rsidRPr="00D65B12">
              <w:t>The constitution can also provide responsible entities with the discretion to decide certain matters relating to the formula or method</w:t>
            </w:r>
            <w:r>
              <w:t xml:space="preserve"> provided for in the constitution.</w:t>
            </w:r>
          </w:p>
          <w:p w14:paraId="29692C10" w14:textId="77777777" w:rsidR="00525CDD" w:rsidRPr="00020288" w:rsidRDefault="00525CDD">
            <w:pPr>
              <w:pStyle w:val="Tabletext"/>
            </w:pPr>
            <w:r w:rsidRPr="007D45E5">
              <w:t>Responsible entities are not mandated to follow the constitutional requirements set out in ASIC Class Order [CO 13/655] and may make ‘adequate provision’ by alternate means if they choose to do so</w:t>
            </w:r>
            <w:r>
              <w:t>.</w:t>
            </w:r>
          </w:p>
        </w:tc>
      </w:tr>
      <w:tr w:rsidR="00525CDD" w:rsidRPr="00020288" w14:paraId="06FF7094" w14:textId="77777777" w:rsidTr="39773BC2">
        <w:tc>
          <w:tcPr>
            <w:tcW w:w="3776" w:type="dxa"/>
          </w:tcPr>
          <w:p w14:paraId="2E27FDB7" w14:textId="41DA4C8F" w:rsidR="00525CDD" w:rsidRPr="002167AA" w:rsidRDefault="00525CDD" w:rsidP="0052578A">
            <w:pPr>
              <w:pStyle w:val="Tabletext"/>
            </w:pPr>
            <w:r w:rsidRPr="002167AA">
              <w:lastRenderedPageBreak/>
              <w:t xml:space="preserve">Responsible entities have </w:t>
            </w:r>
            <w:r w:rsidR="00FA3FDF" w:rsidRPr="002167AA">
              <w:t>a</w:t>
            </w:r>
            <w:r w:rsidRPr="002167AA">
              <w:t xml:space="preserve"> duty to not exercise a discretion </w:t>
            </w:r>
            <w:proofErr w:type="gramStart"/>
            <w:r w:rsidRPr="002167AA">
              <w:t>in order to</w:t>
            </w:r>
            <w:proofErr w:type="gramEnd"/>
            <w:r w:rsidRPr="002167AA">
              <w:t xml:space="preserve"> set a particular acquisition price</w:t>
            </w:r>
            <w:r w:rsidR="00D163DE" w:rsidRPr="002167AA">
              <w:t xml:space="preserve"> or withdrawal payment</w:t>
            </w:r>
            <w:r w:rsidRPr="002167AA">
              <w:t xml:space="preserve"> </w:t>
            </w:r>
            <w:r w:rsidR="00D163DE" w:rsidRPr="002167AA">
              <w:t>amount</w:t>
            </w:r>
            <w:r w:rsidRPr="002167AA">
              <w:t>.</w:t>
            </w:r>
          </w:p>
          <w:p w14:paraId="4ABFA833" w14:textId="1DCD6386" w:rsidR="00525CDD" w:rsidRPr="0052578A" w:rsidRDefault="00D163DE" w:rsidP="002167AA">
            <w:pPr>
              <w:pStyle w:val="Tabletext"/>
            </w:pPr>
            <w:r w:rsidRPr="002167AA">
              <w:t>Responsible entities that contravene this duty contravene a civil penalty provision</w:t>
            </w:r>
            <w:r w:rsidR="00525CDD" w:rsidRPr="002167AA">
              <w:t>.</w:t>
            </w:r>
          </w:p>
        </w:tc>
        <w:tc>
          <w:tcPr>
            <w:tcW w:w="3874" w:type="dxa"/>
          </w:tcPr>
          <w:p w14:paraId="35A49BF2" w14:textId="719878B3" w:rsidR="00525CDD" w:rsidRPr="0052578A" w:rsidRDefault="00525CDD" w:rsidP="0052578A">
            <w:pPr>
              <w:pStyle w:val="Tabletext"/>
            </w:pPr>
            <w:r w:rsidRPr="002167AA">
              <w:t xml:space="preserve">Responsible entities </w:t>
            </w:r>
            <w:r w:rsidR="000678F5" w:rsidRPr="002167AA">
              <w:t>have a duty to</w:t>
            </w:r>
            <w:r w:rsidRPr="002167AA">
              <w:t xml:space="preserve"> exercise a discretion in order to set a particular acquisition price </w:t>
            </w:r>
            <w:r w:rsidR="00D163DE" w:rsidRPr="002167AA">
              <w:t xml:space="preserve">or withdrawal payment amount </w:t>
            </w:r>
            <w:r w:rsidRPr="002167AA">
              <w:t>(Notional subsection 601</w:t>
            </w:r>
            <w:proofErr w:type="gramStart"/>
            <w:r w:rsidRPr="002167AA">
              <w:t>GAE(</w:t>
            </w:r>
            <w:proofErr w:type="gramEnd"/>
            <w:r w:rsidRPr="002167AA">
              <w:t>3) in ASIC Class Order [CO 13/655]</w:t>
            </w:r>
            <w:r w:rsidR="007D352F" w:rsidRPr="002167AA">
              <w:t>)</w:t>
            </w:r>
            <w:r w:rsidRPr="002167AA">
              <w:t>.</w:t>
            </w:r>
          </w:p>
        </w:tc>
      </w:tr>
      <w:tr w:rsidR="00525CDD" w:rsidRPr="00020288" w14:paraId="7D15FB2F" w14:textId="77777777" w:rsidTr="39773BC2">
        <w:tc>
          <w:tcPr>
            <w:tcW w:w="3776" w:type="dxa"/>
          </w:tcPr>
          <w:p w14:paraId="50BDD2DC" w14:textId="27030792" w:rsidR="001E564A" w:rsidRPr="002167AA" w:rsidRDefault="00A04D5D" w:rsidP="002167AA">
            <w:pPr>
              <w:pStyle w:val="Tabletext"/>
            </w:pPr>
            <w:r w:rsidRPr="002167AA">
              <w:t>T</w:t>
            </w:r>
            <w:r w:rsidR="001E564A" w:rsidRPr="002167AA">
              <w:t xml:space="preserve">he formula or method </w:t>
            </w:r>
            <w:r w:rsidR="00F9765F" w:rsidRPr="002167AA">
              <w:t>used to determine the</w:t>
            </w:r>
            <w:r w:rsidR="001E564A" w:rsidRPr="002167AA">
              <w:t>:</w:t>
            </w:r>
          </w:p>
          <w:p w14:paraId="1D4F2D4C" w14:textId="6B6FDE9F" w:rsidR="001E564A" w:rsidRPr="002167AA" w:rsidRDefault="001E564A" w:rsidP="002167AA">
            <w:pPr>
              <w:pStyle w:val="Tabledotpoint1"/>
            </w:pPr>
            <w:r w:rsidRPr="002167AA">
              <w:t xml:space="preserve">acquisition price for interests that are not traded on a financial </w:t>
            </w:r>
            <w:proofErr w:type="gramStart"/>
            <w:r w:rsidRPr="002167AA">
              <w:t>market;</w:t>
            </w:r>
            <w:proofErr w:type="gramEnd"/>
            <w:r w:rsidRPr="002167AA">
              <w:t xml:space="preserve"> </w:t>
            </w:r>
          </w:p>
          <w:p w14:paraId="01897B41" w14:textId="13E48C4A" w:rsidR="001E564A" w:rsidRPr="002167AA" w:rsidRDefault="001E564A" w:rsidP="002167AA">
            <w:pPr>
              <w:pStyle w:val="Tabledotpoint1"/>
            </w:pPr>
            <w:r w:rsidRPr="002167AA">
              <w:t xml:space="preserve">acquisition price for interests that are able to be traded on an ASX Ltd or Chi-X Limited financial </w:t>
            </w:r>
            <w:proofErr w:type="gramStart"/>
            <w:r w:rsidRPr="002167AA">
              <w:t>market</w:t>
            </w:r>
            <w:proofErr w:type="gramEnd"/>
            <w:r w:rsidRPr="002167AA">
              <w:t xml:space="preserve"> but the scheme is not </w:t>
            </w:r>
            <w:r w:rsidR="00BA3964" w:rsidRPr="002167AA">
              <w:t>listed</w:t>
            </w:r>
            <w:r w:rsidRPr="002167AA">
              <w:t xml:space="preserve"> on those markets; or</w:t>
            </w:r>
          </w:p>
          <w:p w14:paraId="27F945E5" w14:textId="57838302" w:rsidR="00525CDD" w:rsidRPr="002167AA" w:rsidRDefault="00C47668" w:rsidP="0052578A">
            <w:pPr>
              <w:pStyle w:val="Tabledotpoint1"/>
            </w:pPr>
            <w:r w:rsidRPr="002167AA">
              <w:t>w</w:t>
            </w:r>
            <w:r w:rsidR="001E564A" w:rsidRPr="002167AA">
              <w:t xml:space="preserve">ithdrawal price </w:t>
            </w:r>
          </w:p>
          <w:p w14:paraId="6367F00F" w14:textId="3F3C3330" w:rsidR="00F9765F" w:rsidRPr="002167AA" w:rsidRDefault="0001028B" w:rsidP="002167AA">
            <w:pPr>
              <w:pStyle w:val="Tabletext"/>
            </w:pPr>
            <w:r w:rsidRPr="002167AA">
              <w:t>m</w:t>
            </w:r>
            <w:r w:rsidR="00F9765F" w:rsidRPr="002167AA">
              <w:t>ust</w:t>
            </w:r>
            <w:r w:rsidR="00A04D5D" w:rsidRPr="002167AA">
              <w:t>, excluding the application of any discretions,</w:t>
            </w:r>
            <w:r w:rsidR="00F9765F" w:rsidRPr="002167AA">
              <w:t xml:space="preserve"> equal the value of scheme property less any liabilities, divided by the number of interests.</w:t>
            </w:r>
          </w:p>
          <w:p w14:paraId="108E9331" w14:textId="6504AC10" w:rsidR="00042E5D" w:rsidRPr="002167AA" w:rsidRDefault="0009682C" w:rsidP="002167AA">
            <w:pPr>
              <w:pStyle w:val="Tabletext"/>
            </w:pPr>
            <w:r w:rsidRPr="002167AA">
              <w:t xml:space="preserve">Adjustments allowed by discretions are disregarded </w:t>
            </w:r>
            <w:r w:rsidR="00581DC8" w:rsidRPr="002167AA">
              <w:t xml:space="preserve">in </w:t>
            </w:r>
            <w:r w:rsidRPr="002167AA">
              <w:t>determin</w:t>
            </w:r>
            <w:r w:rsidR="00581DC8" w:rsidRPr="002167AA">
              <w:t>ing</w:t>
            </w:r>
            <w:r w:rsidRPr="002167AA">
              <w:t xml:space="preserve"> whether the formula or method meets </w:t>
            </w:r>
            <w:r w:rsidR="00581DC8" w:rsidRPr="002167AA">
              <w:t xml:space="preserve">the </w:t>
            </w:r>
            <w:r w:rsidRPr="002167AA">
              <w:t>requirement</w:t>
            </w:r>
            <w:r w:rsidR="00C47668" w:rsidRPr="002167AA">
              <w:t xml:space="preserve">. This ensures </w:t>
            </w:r>
            <w:r w:rsidR="00581DC8" w:rsidRPr="002167AA">
              <w:t xml:space="preserve">that </w:t>
            </w:r>
            <w:r w:rsidR="00A15AA0" w:rsidRPr="002167AA">
              <w:t xml:space="preserve">the </w:t>
            </w:r>
            <w:r w:rsidR="00C47668" w:rsidRPr="002167AA">
              <w:t xml:space="preserve">acquisition or withdrawal </w:t>
            </w:r>
            <w:r w:rsidR="00A15AA0" w:rsidRPr="002167AA">
              <w:t xml:space="preserve">amount has a basis in the </w:t>
            </w:r>
            <w:r w:rsidR="009F79E5" w:rsidRPr="002167AA">
              <w:lastRenderedPageBreak/>
              <w:t xml:space="preserve">underlying </w:t>
            </w:r>
            <w:r w:rsidR="008F5BE3" w:rsidRPr="002167AA">
              <w:t>value of each interest</w:t>
            </w:r>
            <w:r w:rsidR="00A02868" w:rsidRPr="002167AA">
              <w:t xml:space="preserve"> before any discretion is exercised</w:t>
            </w:r>
            <w:r w:rsidR="00E2006C" w:rsidRPr="002167AA">
              <w:t>.</w:t>
            </w:r>
            <w:r w:rsidR="002E7E72" w:rsidRPr="002167AA">
              <w:t xml:space="preserve"> </w:t>
            </w:r>
          </w:p>
        </w:tc>
        <w:tc>
          <w:tcPr>
            <w:tcW w:w="3874" w:type="dxa"/>
          </w:tcPr>
          <w:p w14:paraId="48B185D5" w14:textId="08BE3AB4" w:rsidR="00525CDD" w:rsidRPr="002167AA" w:rsidRDefault="00525CDD" w:rsidP="002167AA">
            <w:pPr>
              <w:pStyle w:val="Tabletext"/>
            </w:pPr>
            <w:r w:rsidRPr="002167AA">
              <w:lastRenderedPageBreak/>
              <w:t xml:space="preserve">The formula or method </w:t>
            </w:r>
            <w:r w:rsidR="007D352F" w:rsidRPr="002167AA">
              <w:t xml:space="preserve">set out in the constitution </w:t>
            </w:r>
            <w:r w:rsidRPr="002167AA">
              <w:t>must be based on the value of scheme property less any liabilities, divided by the number of interests, when used to determine:</w:t>
            </w:r>
          </w:p>
          <w:p w14:paraId="5D681DB6" w14:textId="2B3A547A" w:rsidR="00525CDD" w:rsidRPr="002167AA" w:rsidRDefault="00525CDD" w:rsidP="002167AA">
            <w:pPr>
              <w:pStyle w:val="Tabledotpoint1"/>
            </w:pPr>
            <w:r w:rsidRPr="002167AA">
              <w:t>acquisition price for interests that are not traded on a financial market (notional subsection 601</w:t>
            </w:r>
            <w:proofErr w:type="gramStart"/>
            <w:r w:rsidRPr="002167AA">
              <w:t>GAE(</w:t>
            </w:r>
            <w:proofErr w:type="gramEnd"/>
            <w:r w:rsidRPr="002167AA">
              <w:t xml:space="preserve">2) inserted by ASIC Class Order </w:t>
            </w:r>
            <w:r w:rsidR="00BA3964" w:rsidRPr="002167AA">
              <w:t>[</w:t>
            </w:r>
            <w:r w:rsidRPr="002167AA">
              <w:t>CO</w:t>
            </w:r>
            <w:r w:rsidR="007D352F" w:rsidRPr="002167AA">
              <w:t> </w:t>
            </w:r>
            <w:r w:rsidRPr="002167AA">
              <w:t>13/655]); or</w:t>
            </w:r>
          </w:p>
          <w:p w14:paraId="598DC181" w14:textId="094C4CBA" w:rsidR="00BA3964" w:rsidRPr="002167AA" w:rsidRDefault="00525CDD" w:rsidP="002167AA">
            <w:pPr>
              <w:pStyle w:val="Tabledotpoint1"/>
            </w:pPr>
            <w:r w:rsidRPr="002167AA">
              <w:t xml:space="preserve">acquisition price for interests that are able to be traded on an ASX </w:t>
            </w:r>
            <w:r w:rsidR="001E564A" w:rsidRPr="002167AA">
              <w:t xml:space="preserve">Ltd </w:t>
            </w:r>
            <w:r w:rsidRPr="002167AA">
              <w:t>or Chi</w:t>
            </w:r>
            <w:r w:rsidR="007D352F" w:rsidRPr="002167AA">
              <w:noBreakHyphen/>
            </w:r>
            <w:r w:rsidRPr="002167AA">
              <w:t xml:space="preserve">X Limited financial </w:t>
            </w:r>
            <w:proofErr w:type="gramStart"/>
            <w:r w:rsidRPr="002167AA">
              <w:t>market</w:t>
            </w:r>
            <w:proofErr w:type="gramEnd"/>
            <w:r w:rsidRPr="002167AA">
              <w:t xml:space="preserve"> but the scheme</w:t>
            </w:r>
            <w:r w:rsidR="00BA3964" w:rsidRPr="002167AA">
              <w:t xml:space="preserve"> satisfies all of the following requirements:</w:t>
            </w:r>
          </w:p>
          <w:p w14:paraId="75B48218" w14:textId="77777777" w:rsidR="00BA3964" w:rsidRPr="002167AA" w:rsidRDefault="00BA3964" w:rsidP="002167AA">
            <w:pPr>
              <w:pStyle w:val="Tabledotpoint2"/>
            </w:pPr>
            <w:r w:rsidRPr="002167AA">
              <w:t xml:space="preserve">it </w:t>
            </w:r>
            <w:r w:rsidR="00525CDD" w:rsidRPr="002167AA">
              <w:t xml:space="preserve">is not </w:t>
            </w:r>
            <w:r w:rsidRPr="002167AA">
              <w:t>listed</w:t>
            </w:r>
            <w:r w:rsidR="00525CDD" w:rsidRPr="002167AA">
              <w:t xml:space="preserve"> on those </w:t>
            </w:r>
            <w:proofErr w:type="gramStart"/>
            <w:r w:rsidR="00525CDD" w:rsidRPr="002167AA">
              <w:t>markets</w:t>
            </w:r>
            <w:r w:rsidRPr="002167AA">
              <w:t>;</w:t>
            </w:r>
            <w:proofErr w:type="gramEnd"/>
          </w:p>
          <w:p w14:paraId="6CEE07A8" w14:textId="4336FC49" w:rsidR="00BA3964" w:rsidRPr="002167AA" w:rsidRDefault="00212EDD" w:rsidP="002167AA">
            <w:pPr>
              <w:pStyle w:val="Tabledotpoint2"/>
            </w:pPr>
            <w:r w:rsidRPr="002167AA">
              <w:t xml:space="preserve">on any day those interests are able to be traded, </w:t>
            </w:r>
            <w:r w:rsidR="00BA3964" w:rsidRPr="002167AA">
              <w:t xml:space="preserve">the responsible entity </w:t>
            </w:r>
            <w:r w:rsidRPr="002167AA">
              <w:t>can</w:t>
            </w:r>
            <w:r w:rsidR="00BA3964" w:rsidRPr="002167AA">
              <w:t xml:space="preserve"> issue </w:t>
            </w:r>
            <w:r w:rsidRPr="002167AA">
              <w:t xml:space="preserve">those </w:t>
            </w:r>
            <w:r w:rsidR="00BA3964" w:rsidRPr="002167AA">
              <w:t xml:space="preserve">interests </w:t>
            </w:r>
            <w:r w:rsidRPr="002167AA">
              <w:t xml:space="preserve">and </w:t>
            </w:r>
            <w:r w:rsidRPr="002167AA">
              <w:lastRenderedPageBreak/>
              <w:t xml:space="preserve">allows applications for and redemptions of those </w:t>
            </w:r>
            <w:proofErr w:type="gramStart"/>
            <w:r w:rsidRPr="002167AA">
              <w:t>interests;</w:t>
            </w:r>
            <w:proofErr w:type="gramEnd"/>
          </w:p>
          <w:p w14:paraId="3488BF0C" w14:textId="4994A64D" w:rsidR="00525CDD" w:rsidRPr="002167AA" w:rsidRDefault="00212EDD" w:rsidP="002167AA">
            <w:pPr>
              <w:pStyle w:val="Tabledotpoint1"/>
            </w:pPr>
            <w:r w:rsidRPr="002167AA">
              <w:t>the price or value of anything the scheme invests in is continuously disclosed or can be immediately ascertained (notional subsection 601</w:t>
            </w:r>
            <w:proofErr w:type="gramStart"/>
            <w:r w:rsidRPr="002167AA">
              <w:t>GAE(</w:t>
            </w:r>
            <w:proofErr w:type="gramEnd"/>
            <w:r w:rsidRPr="002167AA">
              <w:t>2) inserted by ASIC Class Order [CO 13/655].</w:t>
            </w:r>
          </w:p>
        </w:tc>
      </w:tr>
      <w:tr w:rsidR="00525CDD" w:rsidRPr="00020288" w14:paraId="0F188B8E" w14:textId="77777777" w:rsidTr="39773BC2">
        <w:tc>
          <w:tcPr>
            <w:tcW w:w="3776" w:type="dxa"/>
          </w:tcPr>
          <w:p w14:paraId="4F523362" w14:textId="41B7236E" w:rsidR="00525CDD" w:rsidRPr="00020288" w:rsidRDefault="00235F1C">
            <w:pPr>
              <w:pStyle w:val="Tabletext"/>
            </w:pPr>
            <w:r>
              <w:lastRenderedPageBreak/>
              <w:t>There is no requirement for r</w:t>
            </w:r>
            <w:r w:rsidR="00525CDD">
              <w:t>esponsible entities to publish and maintain on their website a notice that they will rely upon the ‘formula or method’ means of satisfying their constitutional obligations.</w:t>
            </w:r>
          </w:p>
        </w:tc>
        <w:tc>
          <w:tcPr>
            <w:tcW w:w="3874" w:type="dxa"/>
          </w:tcPr>
          <w:p w14:paraId="1F8A1371" w14:textId="77777777" w:rsidR="00525CDD" w:rsidRDefault="00525CDD" w:rsidP="00DB2878">
            <w:pPr>
              <w:pStyle w:val="Tabletext"/>
            </w:pPr>
            <w:r>
              <w:t>A responsible entity may only rely upon the ‘formula or method’ means of satisfying its constitutional obligations as set out in ASIC Class Order [CO 13/655], if it publishes and maintains on its website a notice that it will do so.</w:t>
            </w:r>
          </w:p>
        </w:tc>
      </w:tr>
      <w:tr w:rsidR="00525CDD" w:rsidRPr="00020288" w14:paraId="3F9D7976" w14:textId="77777777" w:rsidTr="39773BC2">
        <w:tc>
          <w:tcPr>
            <w:tcW w:w="3776" w:type="dxa"/>
          </w:tcPr>
          <w:p w14:paraId="64425B27" w14:textId="0C5C10BA" w:rsidR="00FE756A" w:rsidRDefault="00525CDD" w:rsidP="00FE756A">
            <w:pPr>
              <w:pStyle w:val="Tabletext"/>
              <w:rPr>
                <w:color w:val="000000"/>
                <w:shd w:val="clear" w:color="auto" w:fill="FFFFFF"/>
              </w:rPr>
            </w:pPr>
            <w:r>
              <w:t>A responsible entity must ensure a discretion that affects the acquisition or withdrawal price is exercised, as far as practicable, consistent with ordinary commercial practice and with producing a reasonably current price</w:t>
            </w:r>
            <w:r w:rsidR="004F5FC5">
              <w:t xml:space="preserve">. The discretion must also </w:t>
            </w:r>
            <w:r w:rsidR="009A1E22">
              <w:t xml:space="preserve">not be exercised in a way that would </w:t>
            </w:r>
            <w:r w:rsidR="004D2854">
              <w:t xml:space="preserve">pre-determine the </w:t>
            </w:r>
            <w:r w:rsidR="009A1E22">
              <w:t xml:space="preserve">amount </w:t>
            </w:r>
            <w:r w:rsidR="004D2854">
              <w:t>set as the</w:t>
            </w:r>
            <w:r w:rsidR="00FE756A">
              <w:t xml:space="preserve"> </w:t>
            </w:r>
            <w:r w:rsidR="00913F50">
              <w:t xml:space="preserve">acquisition or withdrawal </w:t>
            </w:r>
            <w:r w:rsidR="00FE756A">
              <w:t>amount.</w:t>
            </w:r>
          </w:p>
          <w:p w14:paraId="546AD8B6" w14:textId="6F5E2256" w:rsidR="00525CDD" w:rsidRPr="008D20F6" w:rsidRDefault="00D163DE" w:rsidP="00FE756A">
            <w:pPr>
              <w:pStyle w:val="Tabletext"/>
              <w:rPr>
                <w:color w:val="000000"/>
                <w:shd w:val="clear" w:color="auto" w:fill="FFFFFF"/>
              </w:rPr>
            </w:pPr>
            <w:r>
              <w:rPr>
                <w:color w:val="000000"/>
                <w:shd w:val="clear" w:color="auto" w:fill="FFFFFF"/>
              </w:rPr>
              <w:t xml:space="preserve">Responsible entities that contravene </w:t>
            </w:r>
            <w:r w:rsidR="0087516B">
              <w:rPr>
                <w:color w:val="000000"/>
                <w:shd w:val="clear" w:color="auto" w:fill="FFFFFF"/>
              </w:rPr>
              <w:t xml:space="preserve">these </w:t>
            </w:r>
            <w:r>
              <w:rPr>
                <w:color w:val="000000"/>
                <w:shd w:val="clear" w:color="auto" w:fill="FFFFFF"/>
              </w:rPr>
              <w:t>dut</w:t>
            </w:r>
            <w:r w:rsidR="0087516B">
              <w:rPr>
                <w:color w:val="000000"/>
                <w:shd w:val="clear" w:color="auto" w:fill="FFFFFF"/>
              </w:rPr>
              <w:t>ies</w:t>
            </w:r>
            <w:r>
              <w:rPr>
                <w:color w:val="000000"/>
                <w:shd w:val="clear" w:color="auto" w:fill="FFFFFF"/>
              </w:rPr>
              <w:t xml:space="preserve"> contravene a civil penalty provision.</w:t>
            </w:r>
          </w:p>
        </w:tc>
        <w:tc>
          <w:tcPr>
            <w:tcW w:w="3874" w:type="dxa"/>
          </w:tcPr>
          <w:p w14:paraId="22089DE1" w14:textId="1545E677" w:rsidR="007D352F" w:rsidRDefault="00525CDD" w:rsidP="00DB2878">
            <w:pPr>
              <w:pStyle w:val="Tabletext"/>
            </w:pPr>
            <w:r>
              <w:t xml:space="preserve">A responsible entity must ensure a discretion that affects the acquisition or withdrawal price is exercised, as far as practicable, consistently with ordinary commercial practice and with producing a reasonably current price (Subsection 601FC(1A) as inserted by ASIC Class Order </w:t>
            </w:r>
            <w:r w:rsidR="006030CB">
              <w:t>[</w:t>
            </w:r>
            <w:r>
              <w:t>CO 13/657].</w:t>
            </w:r>
          </w:p>
        </w:tc>
      </w:tr>
      <w:tr w:rsidR="00525CDD" w:rsidRPr="00020288" w14:paraId="201997F1" w14:textId="77777777" w:rsidTr="39773BC2">
        <w:tc>
          <w:tcPr>
            <w:tcW w:w="3776" w:type="dxa"/>
          </w:tcPr>
          <w:p w14:paraId="17496A9A" w14:textId="56261102" w:rsidR="00525CDD" w:rsidRDefault="00525CDD">
            <w:pPr>
              <w:pStyle w:val="Tabletext"/>
            </w:pPr>
            <w:r>
              <w:t xml:space="preserve">Responsible entities are not required to document the exercise of </w:t>
            </w:r>
            <w:r w:rsidR="00FB081D">
              <w:t xml:space="preserve">a </w:t>
            </w:r>
            <w:r>
              <w:t>discretion.</w:t>
            </w:r>
          </w:p>
        </w:tc>
        <w:tc>
          <w:tcPr>
            <w:tcW w:w="3874" w:type="dxa"/>
          </w:tcPr>
          <w:p w14:paraId="768B5B67" w14:textId="6B45B8C5" w:rsidR="00525CDD" w:rsidRDefault="00525CDD" w:rsidP="00DB2878">
            <w:pPr>
              <w:pStyle w:val="Tabletext"/>
            </w:pPr>
            <w:r>
              <w:t>When a discretion that affects the acquisition or withdrawal price is exercised, the responsible entity must document the exercise of that discretion (subsections</w:t>
            </w:r>
            <w:r w:rsidR="00F12BC6">
              <w:t> </w:t>
            </w:r>
            <w:r>
              <w:t>601FC(1B) and (1C) as inserted by ASIC Class Order CO [13/657]).</w:t>
            </w:r>
          </w:p>
          <w:p w14:paraId="096C7037" w14:textId="75FC3A21" w:rsidR="00525CDD" w:rsidRDefault="00525CDD" w:rsidP="00DB2878">
            <w:pPr>
              <w:pStyle w:val="Tabletext"/>
            </w:pPr>
            <w:r>
              <w:t>The records kept must be identifiable, retained for seven years after they cease to be current, and made available to members of the scheme and Product Disclosure Statement holders on request at no charge (subsections 601FC(1D) and (1E) and notional section 1013DAA as inserted by ASIC Class Order CO [13/657]).</w:t>
            </w:r>
          </w:p>
        </w:tc>
      </w:tr>
    </w:tbl>
    <w:p w14:paraId="5878A09B" w14:textId="33C1E0B5" w:rsidR="39773BC2" w:rsidRDefault="39773BC2"/>
    <w:p w14:paraId="10E6C79A" w14:textId="77777777" w:rsidR="00525CDD" w:rsidRPr="00020288" w:rsidRDefault="00525CDD" w:rsidP="000803CA">
      <w:pPr>
        <w:pStyle w:val="Heading3"/>
        <w:rPr>
          <w:rFonts w:hint="eastAsia"/>
        </w:rPr>
      </w:pPr>
      <w:bookmarkStart w:id="72" w:name="_Toc125100006"/>
      <w:bookmarkStart w:id="73" w:name="_Toc125100741"/>
      <w:r w:rsidRPr="00020288">
        <w:lastRenderedPageBreak/>
        <w:t>Detailed explanation of new law</w:t>
      </w:r>
      <w:bookmarkEnd w:id="72"/>
      <w:bookmarkEnd w:id="73"/>
    </w:p>
    <w:p w14:paraId="00842AA1" w14:textId="77777777" w:rsidR="00525CDD" w:rsidRDefault="00525CDD" w:rsidP="000803CA">
      <w:pPr>
        <w:pStyle w:val="Heading4"/>
      </w:pPr>
      <w:r>
        <w:t xml:space="preserve">Means of making adequate provision in a registered scheme constitution for the acquisition price of interests </w:t>
      </w:r>
    </w:p>
    <w:p w14:paraId="3C8C5A5B" w14:textId="185D128F" w:rsidR="00525CDD" w:rsidRDefault="00525CDD" w:rsidP="00DB2878">
      <w:pPr>
        <w:pStyle w:val="Normalparatextwithnumbers"/>
      </w:pPr>
      <w:r>
        <w:t>New section 601GD sets out a means for responsible entities to meet the requirement</w:t>
      </w:r>
      <w:r w:rsidR="003533F5">
        <w:t xml:space="preserve"> </w:t>
      </w:r>
      <w:r w:rsidR="00F26CCE">
        <w:t xml:space="preserve">for the constitution of their registered scheme </w:t>
      </w:r>
      <w:r>
        <w:t xml:space="preserve">to </w:t>
      </w:r>
      <w:r w:rsidR="003533F5">
        <w:t xml:space="preserve">make </w:t>
      </w:r>
      <w:r w:rsidR="00EB5E58">
        <w:t>“</w:t>
      </w:r>
      <w:r>
        <w:t>adequate provision</w:t>
      </w:r>
      <w:r w:rsidR="00EB5E58">
        <w:t>”</w:t>
      </w:r>
      <w:r>
        <w:t xml:space="preserve"> </w:t>
      </w:r>
      <w:r w:rsidR="003533F5">
        <w:t xml:space="preserve">for </w:t>
      </w:r>
      <w:r>
        <w:t>the acquisition price of interests</w:t>
      </w:r>
      <w:r w:rsidR="003C63FB">
        <w:t xml:space="preserve"> in the scheme</w:t>
      </w:r>
      <w:r w:rsidR="00B93225">
        <w:t>. This</w:t>
      </w:r>
      <w:r w:rsidR="00207971">
        <w:t xml:space="preserve"> provide</w:t>
      </w:r>
      <w:r w:rsidR="00B93225">
        <w:t>s</w:t>
      </w:r>
      <w:r w:rsidR="00207971">
        <w:t xml:space="preserve"> certain</w:t>
      </w:r>
      <w:r w:rsidR="00B93225">
        <w:t>ty</w:t>
      </w:r>
      <w:r w:rsidR="00207971">
        <w:t xml:space="preserve"> </w:t>
      </w:r>
      <w:r w:rsidR="00B93225">
        <w:t xml:space="preserve">by </w:t>
      </w:r>
      <w:r w:rsidR="00207971">
        <w:t>prescrib</w:t>
      </w:r>
      <w:r w:rsidR="00B93225">
        <w:t>ing</w:t>
      </w:r>
      <w:r w:rsidR="00207971">
        <w:t xml:space="preserve"> requirements for registered schemes </w:t>
      </w:r>
      <w:r w:rsidR="00B93225">
        <w:t>where that may not otherwise have been clear</w:t>
      </w:r>
      <w:r w:rsidR="00207971">
        <w:t>.</w:t>
      </w:r>
      <w:r>
        <w:br/>
      </w:r>
      <w:r w:rsidRPr="4944D135">
        <w:rPr>
          <w:rStyle w:val="References"/>
        </w:rPr>
        <w:t>[</w:t>
      </w:r>
      <w:bookmarkStart w:id="74" w:name="_Hlk124935785"/>
      <w:r w:rsidRPr="4944D135">
        <w:rPr>
          <w:rStyle w:val="References"/>
        </w:rPr>
        <w:t xml:space="preserve">Schedule </w:t>
      </w:r>
      <w:r w:rsidR="00BB7948">
        <w:rPr>
          <w:rStyle w:val="References"/>
        </w:rPr>
        <w:t>1</w:t>
      </w:r>
      <w:r w:rsidRPr="4944D135">
        <w:rPr>
          <w:rStyle w:val="References"/>
        </w:rPr>
        <w:t xml:space="preserve">, </w:t>
      </w:r>
      <w:r w:rsidR="00BB7948">
        <w:rPr>
          <w:rStyle w:val="References"/>
        </w:rPr>
        <w:t>Part 2</w:t>
      </w:r>
      <w:bookmarkEnd w:id="74"/>
      <w:r w:rsidR="00BB7948">
        <w:rPr>
          <w:rStyle w:val="References"/>
        </w:rPr>
        <w:t xml:space="preserve">, </w:t>
      </w:r>
      <w:r w:rsidRPr="4944D135">
        <w:rPr>
          <w:rStyle w:val="References"/>
        </w:rPr>
        <w:t xml:space="preserve">item </w:t>
      </w:r>
      <w:r w:rsidR="002C7842">
        <w:rPr>
          <w:rStyle w:val="References"/>
        </w:rPr>
        <w:t>22</w:t>
      </w:r>
      <w:r w:rsidRPr="4944D135">
        <w:rPr>
          <w:rStyle w:val="References"/>
        </w:rPr>
        <w:t xml:space="preserve">, </w:t>
      </w:r>
      <w:r w:rsidR="00B84BE6">
        <w:rPr>
          <w:rStyle w:val="References"/>
        </w:rPr>
        <w:t>s</w:t>
      </w:r>
      <w:r w:rsidRPr="4944D135">
        <w:rPr>
          <w:rStyle w:val="References"/>
        </w:rPr>
        <w:t xml:space="preserve">ection 601GD of the </w:t>
      </w:r>
      <w:r w:rsidR="0065523E" w:rsidRPr="4944D135">
        <w:rPr>
          <w:rStyle w:val="References"/>
        </w:rPr>
        <w:t>Corporations Act</w:t>
      </w:r>
      <w:r w:rsidRPr="4944D135">
        <w:rPr>
          <w:rStyle w:val="References"/>
        </w:rPr>
        <w:t>]</w:t>
      </w:r>
    </w:p>
    <w:p w14:paraId="31B85545" w14:textId="4CCEE5E2" w:rsidR="00525CDD" w:rsidRPr="001F377F" w:rsidRDefault="47FD2FC4" w:rsidP="3624B126">
      <w:pPr>
        <w:pStyle w:val="Normalparatextwithnumbers"/>
        <w:numPr>
          <w:ilvl w:val="1"/>
          <w:numId w:val="3"/>
        </w:numPr>
        <w:rPr>
          <w:rStyle w:val="References"/>
          <w:b w:val="0"/>
          <w:bCs w:val="0"/>
          <w:i w:val="0"/>
          <w:iCs w:val="0"/>
        </w:rPr>
      </w:pPr>
      <w:r>
        <w:t xml:space="preserve">The constitution will </w:t>
      </w:r>
      <w:r w:rsidR="30EFDDB8">
        <w:t xml:space="preserve">satisfy the constitutional requirements </w:t>
      </w:r>
      <w:r>
        <w:t>i</w:t>
      </w:r>
      <w:r w:rsidR="62A7BCBE">
        <w:t>f it</w:t>
      </w:r>
      <w:r>
        <w:t xml:space="preserve"> </w:t>
      </w:r>
      <w:r w:rsidR="30EFDDB8">
        <w:t>provide</w:t>
      </w:r>
      <w:r>
        <w:t>s</w:t>
      </w:r>
      <w:r w:rsidR="30EFDDB8">
        <w:t xml:space="preserve"> a formula or method that is to be used to determine the acquisition price of interests in the scheme</w:t>
      </w:r>
      <w:r w:rsidR="4DE8D5CE">
        <w:t xml:space="preserve"> and the formula or method </w:t>
      </w:r>
      <w:r w:rsidR="623C40A6">
        <w:t xml:space="preserve">meets </w:t>
      </w:r>
      <w:r w:rsidR="00BE34FB">
        <w:t xml:space="preserve">certain </w:t>
      </w:r>
      <w:r w:rsidR="623C40A6">
        <w:t xml:space="preserve">requirements, subject </w:t>
      </w:r>
      <w:r w:rsidR="220934D0">
        <w:t>to any discretion able to be exercised by the responsible entity</w:t>
      </w:r>
      <w:r w:rsidR="30EFDDB8">
        <w:t>.</w:t>
      </w:r>
      <w:r w:rsidR="210606ED">
        <w:br/>
      </w:r>
      <w:r w:rsidR="30EFDDB8" w:rsidRPr="3624B126">
        <w:rPr>
          <w:rStyle w:val="References"/>
        </w:rPr>
        <w:t>[</w:t>
      </w:r>
      <w:r w:rsidR="003E6F4C" w:rsidRPr="4944D135">
        <w:rPr>
          <w:rStyle w:val="References"/>
        </w:rPr>
        <w:t xml:space="preserve">Schedule </w:t>
      </w:r>
      <w:r w:rsidR="003E6F4C">
        <w:rPr>
          <w:rStyle w:val="References"/>
        </w:rPr>
        <w:t>1</w:t>
      </w:r>
      <w:r w:rsidR="003E6F4C" w:rsidRPr="4944D135">
        <w:rPr>
          <w:rStyle w:val="References"/>
        </w:rPr>
        <w:t xml:space="preserve">, </w:t>
      </w:r>
      <w:r w:rsidR="003E6F4C">
        <w:rPr>
          <w:rStyle w:val="References"/>
        </w:rPr>
        <w:t>Part 2</w:t>
      </w:r>
      <w:r w:rsidR="30EFDDB8" w:rsidRPr="3624B126">
        <w:rPr>
          <w:rStyle w:val="References"/>
        </w:rPr>
        <w:t xml:space="preserve">, item </w:t>
      </w:r>
      <w:r w:rsidR="002C7842">
        <w:rPr>
          <w:rStyle w:val="References"/>
        </w:rPr>
        <w:t>22</w:t>
      </w:r>
      <w:r w:rsidR="30EFDDB8" w:rsidRPr="3624B126">
        <w:rPr>
          <w:rStyle w:val="References"/>
        </w:rPr>
        <w:t xml:space="preserve">, </w:t>
      </w:r>
      <w:r w:rsidR="00B84BE6">
        <w:rPr>
          <w:rStyle w:val="References"/>
        </w:rPr>
        <w:t>section</w:t>
      </w:r>
      <w:r w:rsidR="002906D8">
        <w:rPr>
          <w:rStyle w:val="References"/>
        </w:rPr>
        <w:t xml:space="preserve"> </w:t>
      </w:r>
      <w:r w:rsidR="30EFDDB8" w:rsidRPr="3624B126">
        <w:rPr>
          <w:rStyle w:val="References"/>
        </w:rPr>
        <w:t>601GD</w:t>
      </w:r>
      <w:r w:rsidR="00BE34FB">
        <w:rPr>
          <w:rStyle w:val="References"/>
        </w:rPr>
        <w:t xml:space="preserve"> </w:t>
      </w:r>
      <w:r w:rsidR="30EFDDB8" w:rsidRPr="3624B126">
        <w:rPr>
          <w:rStyle w:val="References"/>
        </w:rPr>
        <w:t xml:space="preserve">of the </w:t>
      </w:r>
      <w:r w:rsidR="6553AD5C" w:rsidRPr="3624B126">
        <w:rPr>
          <w:rStyle w:val="References"/>
        </w:rPr>
        <w:t>Corporations Act</w:t>
      </w:r>
      <w:r w:rsidR="30EFDDB8" w:rsidRPr="3624B126">
        <w:rPr>
          <w:rStyle w:val="References"/>
        </w:rPr>
        <w:t>]</w:t>
      </w:r>
    </w:p>
    <w:p w14:paraId="6D99D593" w14:textId="50EAAD56" w:rsidR="00525CDD" w:rsidRPr="001F377F" w:rsidRDefault="70078508" w:rsidP="4944D135">
      <w:pPr>
        <w:pStyle w:val="Normalparatextwithnumbers"/>
        <w:numPr>
          <w:ilvl w:val="1"/>
          <w:numId w:val="3"/>
        </w:numPr>
        <w:rPr>
          <w:rStyle w:val="References"/>
          <w:b w:val="0"/>
          <w:bCs w:val="0"/>
          <w:i w:val="0"/>
          <w:iCs w:val="0"/>
        </w:rPr>
      </w:pPr>
      <w:r w:rsidRPr="3624B126">
        <w:rPr>
          <w:rStyle w:val="References"/>
          <w:b w:val="0"/>
          <w:bCs w:val="0"/>
          <w:i w:val="0"/>
          <w:iCs w:val="0"/>
        </w:rPr>
        <w:t>However, t</w:t>
      </w:r>
      <w:r w:rsidR="1302CC21" w:rsidRPr="3624B126">
        <w:rPr>
          <w:rStyle w:val="References"/>
          <w:b w:val="0"/>
          <w:bCs w:val="0"/>
          <w:i w:val="0"/>
          <w:iCs w:val="0"/>
        </w:rPr>
        <w:t>he formula or method approach is not the only way a registered scheme can meet its constitutional requirements.</w:t>
      </w:r>
      <w:r w:rsidR="6553AD5C" w:rsidRPr="3624B126">
        <w:rPr>
          <w:rStyle w:val="References"/>
          <w:b w:val="0"/>
          <w:bCs w:val="0"/>
          <w:i w:val="0"/>
          <w:iCs w:val="0"/>
        </w:rPr>
        <w:t xml:space="preserve"> </w:t>
      </w:r>
      <w:r w:rsidR="1302CC21" w:rsidRPr="3624B126">
        <w:rPr>
          <w:rStyle w:val="References"/>
          <w:b w:val="0"/>
          <w:bCs w:val="0"/>
          <w:i w:val="0"/>
          <w:iCs w:val="0"/>
        </w:rPr>
        <w:t>Registered schemes can make adequate provision via alternative means if they so choose.</w:t>
      </w:r>
      <w:r w:rsidR="003C63FB">
        <w:br/>
      </w:r>
      <w:r w:rsidR="1302CC21" w:rsidRPr="3624B126">
        <w:rPr>
          <w:rStyle w:val="References"/>
        </w:rPr>
        <w:t>[</w:t>
      </w:r>
      <w:r w:rsidR="00D3073C" w:rsidRPr="4944D135">
        <w:rPr>
          <w:rStyle w:val="References"/>
        </w:rPr>
        <w:t xml:space="preserve">Schedule </w:t>
      </w:r>
      <w:r w:rsidR="00D3073C">
        <w:rPr>
          <w:rStyle w:val="References"/>
        </w:rPr>
        <w:t>1</w:t>
      </w:r>
      <w:r w:rsidR="00D3073C" w:rsidRPr="4944D135">
        <w:rPr>
          <w:rStyle w:val="References"/>
        </w:rPr>
        <w:t xml:space="preserve">, </w:t>
      </w:r>
      <w:r w:rsidR="00D3073C">
        <w:rPr>
          <w:rStyle w:val="References"/>
        </w:rPr>
        <w:t>Part 2</w:t>
      </w:r>
      <w:r w:rsidR="1302CC21" w:rsidRPr="3624B126">
        <w:rPr>
          <w:rStyle w:val="References"/>
        </w:rPr>
        <w:t xml:space="preserve">, item </w:t>
      </w:r>
      <w:r w:rsidR="002C7842">
        <w:rPr>
          <w:rStyle w:val="References"/>
        </w:rPr>
        <w:t>22</w:t>
      </w:r>
      <w:r w:rsidR="1302CC21" w:rsidRPr="3624B126">
        <w:rPr>
          <w:rStyle w:val="References"/>
        </w:rPr>
        <w:t>, subsection 601</w:t>
      </w:r>
      <w:proofErr w:type="gramStart"/>
      <w:r w:rsidR="1302CC21" w:rsidRPr="3624B126">
        <w:rPr>
          <w:rStyle w:val="References"/>
        </w:rPr>
        <w:t>GD(</w:t>
      </w:r>
      <w:proofErr w:type="gramEnd"/>
      <w:r w:rsidR="0A070A08" w:rsidRPr="3624B126">
        <w:rPr>
          <w:rStyle w:val="References"/>
        </w:rPr>
        <w:t>2</w:t>
      </w:r>
      <w:r w:rsidR="1302CC21" w:rsidRPr="3624B126">
        <w:rPr>
          <w:rStyle w:val="References"/>
        </w:rPr>
        <w:t xml:space="preserve">) of the </w:t>
      </w:r>
      <w:r w:rsidR="6553AD5C" w:rsidRPr="3624B126">
        <w:rPr>
          <w:rStyle w:val="References"/>
        </w:rPr>
        <w:t>Corporations Act</w:t>
      </w:r>
      <w:r w:rsidR="1302CC21" w:rsidRPr="3624B126">
        <w:rPr>
          <w:rStyle w:val="References"/>
        </w:rPr>
        <w:t>]</w:t>
      </w:r>
    </w:p>
    <w:p w14:paraId="4BA1167A" w14:textId="24807DA3" w:rsidR="00805829" w:rsidRPr="001F377F" w:rsidRDefault="2D73E3B9" w:rsidP="4B78704C">
      <w:pPr>
        <w:pStyle w:val="Normalparatextwithnumbers"/>
        <w:numPr>
          <w:ilvl w:val="1"/>
          <w:numId w:val="3"/>
        </w:numPr>
        <w:rPr>
          <w:rStyle w:val="References"/>
          <w:b w:val="0"/>
          <w:bCs w:val="0"/>
          <w:i w:val="0"/>
          <w:iCs w:val="0"/>
        </w:rPr>
      </w:pPr>
      <w:r w:rsidRPr="3624B126">
        <w:rPr>
          <w:rStyle w:val="References"/>
          <w:b w:val="0"/>
          <w:bCs w:val="0"/>
          <w:i w:val="0"/>
          <w:iCs w:val="0"/>
        </w:rPr>
        <w:t xml:space="preserve">The </w:t>
      </w:r>
      <w:r w:rsidR="00406D58">
        <w:rPr>
          <w:rStyle w:val="References"/>
          <w:b w:val="0"/>
          <w:bCs w:val="0"/>
          <w:i w:val="0"/>
          <w:iCs w:val="0"/>
        </w:rPr>
        <w:t xml:space="preserve">basis </w:t>
      </w:r>
      <w:r w:rsidR="6163F148" w:rsidRPr="3624B126">
        <w:rPr>
          <w:rStyle w:val="References"/>
          <w:b w:val="0"/>
          <w:bCs w:val="0"/>
          <w:i w:val="0"/>
          <w:iCs w:val="0"/>
        </w:rPr>
        <w:t>of the</w:t>
      </w:r>
      <w:r w:rsidR="6ECB2481" w:rsidRPr="3624B126">
        <w:rPr>
          <w:rStyle w:val="References"/>
          <w:b w:val="0"/>
          <w:bCs w:val="0"/>
          <w:i w:val="0"/>
          <w:iCs w:val="0"/>
        </w:rPr>
        <w:t xml:space="preserve"> </w:t>
      </w:r>
      <w:r w:rsidRPr="3624B126">
        <w:rPr>
          <w:rStyle w:val="References"/>
          <w:b w:val="0"/>
          <w:bCs w:val="0"/>
          <w:i w:val="0"/>
          <w:iCs w:val="0"/>
        </w:rPr>
        <w:t xml:space="preserve">formula or method depends on whether the class of interests </w:t>
      </w:r>
      <w:proofErr w:type="gramStart"/>
      <w:r w:rsidRPr="3624B126">
        <w:rPr>
          <w:rStyle w:val="References"/>
          <w:b w:val="0"/>
          <w:bCs w:val="0"/>
          <w:i w:val="0"/>
          <w:iCs w:val="0"/>
        </w:rPr>
        <w:t>are able to</w:t>
      </w:r>
      <w:proofErr w:type="gramEnd"/>
      <w:r w:rsidRPr="3624B126">
        <w:rPr>
          <w:rStyle w:val="References"/>
          <w:b w:val="0"/>
          <w:bCs w:val="0"/>
          <w:i w:val="0"/>
          <w:iCs w:val="0"/>
        </w:rPr>
        <w:t xml:space="preserve"> be traded on a financial market and whether the registered scheme is listed on a financial market.</w:t>
      </w:r>
      <w:r w:rsidR="2492732D" w:rsidRPr="3624B126">
        <w:rPr>
          <w:rStyle w:val="References"/>
          <w:b w:val="0"/>
          <w:bCs w:val="0"/>
          <w:i w:val="0"/>
          <w:iCs w:val="0"/>
        </w:rPr>
        <w:t xml:space="preserve"> The formula or method </w:t>
      </w:r>
      <w:r w:rsidR="003231B8">
        <w:rPr>
          <w:rStyle w:val="References"/>
          <w:b w:val="0"/>
          <w:bCs w:val="0"/>
          <w:i w:val="0"/>
          <w:iCs w:val="0"/>
        </w:rPr>
        <w:t xml:space="preserve">can also </w:t>
      </w:r>
      <w:r w:rsidR="00FB2BA9">
        <w:rPr>
          <w:rStyle w:val="References"/>
          <w:b w:val="0"/>
          <w:bCs w:val="0"/>
          <w:i w:val="0"/>
          <w:iCs w:val="0"/>
        </w:rPr>
        <w:t xml:space="preserve">allow </w:t>
      </w:r>
      <w:r w:rsidR="00832A84">
        <w:rPr>
          <w:rStyle w:val="References"/>
          <w:b w:val="0"/>
          <w:bCs w:val="0"/>
          <w:i w:val="0"/>
          <w:iCs w:val="0"/>
        </w:rPr>
        <w:t xml:space="preserve">the responsible entity </w:t>
      </w:r>
      <w:r w:rsidR="007455EF">
        <w:rPr>
          <w:rStyle w:val="References"/>
          <w:b w:val="0"/>
          <w:bCs w:val="0"/>
          <w:i w:val="0"/>
          <w:iCs w:val="0"/>
        </w:rPr>
        <w:t xml:space="preserve">discretion in ascertaining the acquisition price of an interest. </w:t>
      </w:r>
      <w:r w:rsidR="2DE6940A" w:rsidRPr="3624B126">
        <w:rPr>
          <w:rStyle w:val="References"/>
          <w:b w:val="0"/>
          <w:bCs w:val="0"/>
          <w:i w:val="0"/>
          <w:iCs w:val="0"/>
        </w:rPr>
        <w:t xml:space="preserve">These discretions may affect the inputs </w:t>
      </w:r>
      <w:r w:rsidR="3FA271A5" w:rsidRPr="3624B126">
        <w:rPr>
          <w:rStyle w:val="References"/>
          <w:b w:val="0"/>
          <w:bCs w:val="0"/>
          <w:i w:val="0"/>
          <w:iCs w:val="0"/>
        </w:rPr>
        <w:t>to the calculation required by subsection 601</w:t>
      </w:r>
      <w:proofErr w:type="gramStart"/>
      <w:r w:rsidR="3FA271A5" w:rsidRPr="3624B126">
        <w:rPr>
          <w:rStyle w:val="References"/>
          <w:b w:val="0"/>
          <w:bCs w:val="0"/>
          <w:i w:val="0"/>
          <w:iCs w:val="0"/>
        </w:rPr>
        <w:t>GD(</w:t>
      </w:r>
      <w:proofErr w:type="gramEnd"/>
      <w:r w:rsidR="3FA271A5" w:rsidRPr="3624B126">
        <w:rPr>
          <w:rStyle w:val="References"/>
          <w:b w:val="0"/>
          <w:bCs w:val="0"/>
          <w:i w:val="0"/>
          <w:iCs w:val="0"/>
        </w:rPr>
        <w:t>3)</w:t>
      </w:r>
      <w:r w:rsidR="2DE6940A" w:rsidRPr="3624B126">
        <w:rPr>
          <w:rStyle w:val="References"/>
          <w:b w:val="0"/>
          <w:bCs w:val="0"/>
          <w:i w:val="0"/>
          <w:iCs w:val="0"/>
        </w:rPr>
        <w:t xml:space="preserve"> or </w:t>
      </w:r>
      <w:r w:rsidR="3FA271A5" w:rsidRPr="3624B126">
        <w:rPr>
          <w:rStyle w:val="References"/>
          <w:b w:val="0"/>
          <w:bCs w:val="0"/>
          <w:i w:val="0"/>
          <w:iCs w:val="0"/>
        </w:rPr>
        <w:t xml:space="preserve">can be </w:t>
      </w:r>
      <w:r w:rsidR="2DE6940A" w:rsidRPr="3624B126">
        <w:rPr>
          <w:rStyle w:val="References"/>
          <w:b w:val="0"/>
          <w:bCs w:val="0"/>
          <w:i w:val="0"/>
          <w:iCs w:val="0"/>
        </w:rPr>
        <w:t xml:space="preserve">applied after </w:t>
      </w:r>
      <w:r w:rsidR="3FA271A5" w:rsidRPr="3624B126">
        <w:rPr>
          <w:rStyle w:val="References"/>
          <w:b w:val="0"/>
          <w:bCs w:val="0"/>
          <w:i w:val="0"/>
          <w:iCs w:val="0"/>
        </w:rPr>
        <w:t>calculation has been completed</w:t>
      </w:r>
      <w:r w:rsidR="2DE6940A" w:rsidRPr="3624B126">
        <w:rPr>
          <w:rStyle w:val="References"/>
          <w:b w:val="0"/>
          <w:bCs w:val="0"/>
          <w:i w:val="0"/>
          <w:iCs w:val="0"/>
        </w:rPr>
        <w:t xml:space="preserve">. </w:t>
      </w:r>
      <w:r w:rsidR="00783624">
        <w:rPr>
          <w:rStyle w:val="References"/>
          <w:b w:val="0"/>
          <w:bCs w:val="0"/>
          <w:i w:val="0"/>
          <w:iCs w:val="0"/>
        </w:rPr>
        <w:t>This</w:t>
      </w:r>
      <w:r w:rsidR="001A6973">
        <w:rPr>
          <w:rStyle w:val="References"/>
          <w:b w:val="0"/>
          <w:bCs w:val="0"/>
          <w:i w:val="0"/>
          <w:iCs w:val="0"/>
        </w:rPr>
        <w:t xml:space="preserve"> approach </w:t>
      </w:r>
      <w:r w:rsidR="2DE6940A" w:rsidRPr="3624B126">
        <w:rPr>
          <w:rStyle w:val="References"/>
          <w:b w:val="0"/>
          <w:bCs w:val="0"/>
          <w:i w:val="0"/>
          <w:iCs w:val="0"/>
        </w:rPr>
        <w:t>ensure</w:t>
      </w:r>
      <w:r w:rsidR="00783624">
        <w:rPr>
          <w:rStyle w:val="References"/>
          <w:b w:val="0"/>
          <w:bCs w:val="0"/>
          <w:i w:val="0"/>
          <w:iCs w:val="0"/>
        </w:rPr>
        <w:t>s</w:t>
      </w:r>
      <w:r w:rsidR="2DE6940A" w:rsidRPr="3624B126">
        <w:rPr>
          <w:rStyle w:val="References"/>
          <w:b w:val="0"/>
          <w:bCs w:val="0"/>
          <w:i w:val="0"/>
          <w:iCs w:val="0"/>
        </w:rPr>
        <w:t xml:space="preserve"> that the </w:t>
      </w:r>
      <w:r w:rsidR="00171F7F">
        <w:rPr>
          <w:rStyle w:val="References"/>
          <w:b w:val="0"/>
          <w:bCs w:val="0"/>
          <w:i w:val="0"/>
          <w:iCs w:val="0"/>
        </w:rPr>
        <w:t xml:space="preserve">acquisition price </w:t>
      </w:r>
      <w:r w:rsidR="2DE6940A" w:rsidRPr="3624B126">
        <w:rPr>
          <w:rStyle w:val="References"/>
          <w:b w:val="0"/>
          <w:bCs w:val="0"/>
          <w:i w:val="0"/>
          <w:iCs w:val="0"/>
        </w:rPr>
        <w:t xml:space="preserve">has a basis in the </w:t>
      </w:r>
      <w:r w:rsidR="00783624">
        <w:rPr>
          <w:rStyle w:val="References"/>
          <w:b w:val="0"/>
          <w:bCs w:val="0"/>
          <w:i w:val="0"/>
          <w:iCs w:val="0"/>
        </w:rPr>
        <w:t xml:space="preserve">underlying value of the relevant </w:t>
      </w:r>
      <w:proofErr w:type="gramStart"/>
      <w:r w:rsidR="00783624">
        <w:rPr>
          <w:rStyle w:val="References"/>
          <w:b w:val="0"/>
          <w:bCs w:val="0"/>
          <w:i w:val="0"/>
          <w:iCs w:val="0"/>
        </w:rPr>
        <w:t>interest</w:t>
      </w:r>
      <w:r w:rsidR="5F9639B0" w:rsidRPr="3624B126">
        <w:rPr>
          <w:rStyle w:val="References"/>
          <w:b w:val="0"/>
          <w:bCs w:val="0"/>
          <w:i w:val="0"/>
          <w:iCs w:val="0"/>
        </w:rPr>
        <w:t>, but</w:t>
      </w:r>
      <w:proofErr w:type="gramEnd"/>
      <w:r w:rsidR="5F9639B0" w:rsidRPr="3624B126">
        <w:rPr>
          <w:rStyle w:val="References"/>
          <w:b w:val="0"/>
          <w:bCs w:val="0"/>
          <w:i w:val="0"/>
          <w:iCs w:val="0"/>
        </w:rPr>
        <w:t xml:space="preserve"> allows the responsible entity to adjust the </w:t>
      </w:r>
      <w:r w:rsidR="00914B49">
        <w:rPr>
          <w:rStyle w:val="References"/>
          <w:b w:val="0"/>
          <w:bCs w:val="0"/>
          <w:i w:val="0"/>
          <w:iCs w:val="0"/>
        </w:rPr>
        <w:t>acquisition amount</w:t>
      </w:r>
      <w:r w:rsidR="00171F7F">
        <w:rPr>
          <w:rStyle w:val="References"/>
          <w:b w:val="0"/>
          <w:bCs w:val="0"/>
          <w:i w:val="0"/>
          <w:iCs w:val="0"/>
        </w:rPr>
        <w:t xml:space="preserve"> </w:t>
      </w:r>
      <w:r w:rsidR="5F9639B0" w:rsidRPr="3624B126">
        <w:rPr>
          <w:rStyle w:val="References"/>
          <w:b w:val="0"/>
          <w:bCs w:val="0"/>
          <w:i w:val="0"/>
          <w:iCs w:val="0"/>
        </w:rPr>
        <w:t xml:space="preserve">to account for other factors. </w:t>
      </w:r>
      <w:r w:rsidR="253447EA">
        <w:br/>
      </w:r>
      <w:r w:rsidR="2EB19287" w:rsidRPr="3624B126">
        <w:rPr>
          <w:rStyle w:val="References"/>
        </w:rPr>
        <w:t>[</w:t>
      </w:r>
      <w:r w:rsidR="00D3073C" w:rsidRPr="4944D135">
        <w:rPr>
          <w:rStyle w:val="References"/>
        </w:rPr>
        <w:t xml:space="preserve">Schedule </w:t>
      </w:r>
      <w:r w:rsidR="00D3073C">
        <w:rPr>
          <w:rStyle w:val="References"/>
        </w:rPr>
        <w:t>1</w:t>
      </w:r>
      <w:r w:rsidR="00D3073C" w:rsidRPr="4944D135">
        <w:rPr>
          <w:rStyle w:val="References"/>
        </w:rPr>
        <w:t xml:space="preserve">, </w:t>
      </w:r>
      <w:r w:rsidR="00D3073C">
        <w:rPr>
          <w:rStyle w:val="References"/>
        </w:rPr>
        <w:t>Part 2</w:t>
      </w:r>
      <w:r w:rsidR="2EB19287" w:rsidRPr="3624B126">
        <w:rPr>
          <w:rStyle w:val="References"/>
        </w:rPr>
        <w:t xml:space="preserve">, item </w:t>
      </w:r>
      <w:r w:rsidR="002C7842">
        <w:rPr>
          <w:rStyle w:val="References"/>
        </w:rPr>
        <w:t>22</w:t>
      </w:r>
      <w:r w:rsidR="2EB19287" w:rsidRPr="3624B126">
        <w:rPr>
          <w:rStyle w:val="References"/>
        </w:rPr>
        <w:t>, subsections 601</w:t>
      </w:r>
      <w:proofErr w:type="gramStart"/>
      <w:r w:rsidR="2EB19287" w:rsidRPr="3624B126">
        <w:rPr>
          <w:rStyle w:val="References"/>
        </w:rPr>
        <w:t>GD(</w:t>
      </w:r>
      <w:proofErr w:type="gramEnd"/>
      <w:r w:rsidR="2EB19287" w:rsidRPr="3624B126">
        <w:rPr>
          <w:rStyle w:val="References"/>
        </w:rPr>
        <w:t>3)</w:t>
      </w:r>
      <w:r w:rsidR="00817FAF">
        <w:rPr>
          <w:rStyle w:val="References"/>
        </w:rPr>
        <w:t>-</w:t>
      </w:r>
      <w:r w:rsidR="3C12B742" w:rsidRPr="3624B126">
        <w:rPr>
          <w:rStyle w:val="References"/>
        </w:rPr>
        <w:t>(6)</w:t>
      </w:r>
      <w:r w:rsidR="2EB19287" w:rsidRPr="3624B126">
        <w:rPr>
          <w:rStyle w:val="References"/>
        </w:rPr>
        <w:t xml:space="preserve"> of the Corporations Act]</w:t>
      </w:r>
    </w:p>
    <w:p w14:paraId="31D1B802" w14:textId="12B884A1" w:rsidR="00525CDD" w:rsidRDefault="00525CDD" w:rsidP="4B78704C">
      <w:pPr>
        <w:pStyle w:val="Normalparatextwithnumbers"/>
        <w:numPr>
          <w:ilvl w:val="1"/>
          <w:numId w:val="24"/>
        </w:numPr>
        <w:rPr>
          <w:rStyle w:val="References"/>
          <w:b w:val="0"/>
          <w:bCs w:val="0"/>
          <w:i w:val="0"/>
          <w:iCs w:val="0"/>
        </w:rPr>
      </w:pPr>
      <w:r w:rsidRPr="4B78704C">
        <w:rPr>
          <w:rStyle w:val="References"/>
          <w:b w:val="0"/>
          <w:bCs w:val="0"/>
          <w:i w:val="0"/>
          <w:iCs w:val="0"/>
        </w:rPr>
        <w:t xml:space="preserve">Interests that </w:t>
      </w:r>
      <w:proofErr w:type="gramStart"/>
      <w:r w:rsidRPr="4B78704C">
        <w:rPr>
          <w:rStyle w:val="References"/>
          <w:b w:val="0"/>
          <w:bCs w:val="0"/>
          <w:i w:val="0"/>
          <w:iCs w:val="0"/>
        </w:rPr>
        <w:t>are able to</w:t>
      </w:r>
      <w:proofErr w:type="gramEnd"/>
      <w:r w:rsidRPr="4B78704C">
        <w:rPr>
          <w:rStyle w:val="References"/>
          <w:b w:val="0"/>
          <w:bCs w:val="0"/>
          <w:i w:val="0"/>
          <w:iCs w:val="0"/>
        </w:rPr>
        <w:t xml:space="preserve"> be traded on a financial market include interests that are </w:t>
      </w:r>
      <w:r w:rsidR="51C05B2E" w:rsidRPr="4B78704C">
        <w:rPr>
          <w:rStyle w:val="References"/>
          <w:b w:val="0"/>
          <w:bCs w:val="0"/>
          <w:i w:val="0"/>
          <w:iCs w:val="0"/>
        </w:rPr>
        <w:t xml:space="preserve">currently </w:t>
      </w:r>
      <w:r w:rsidRPr="4B78704C">
        <w:rPr>
          <w:rStyle w:val="References"/>
          <w:b w:val="0"/>
          <w:bCs w:val="0"/>
          <w:i w:val="0"/>
          <w:iCs w:val="0"/>
        </w:rPr>
        <w:t xml:space="preserve">traded on a financial market as well as interests that </w:t>
      </w:r>
      <w:r w:rsidR="0CD2203C" w:rsidRPr="4B78704C">
        <w:rPr>
          <w:rStyle w:val="References"/>
          <w:b w:val="0"/>
          <w:bCs w:val="0"/>
          <w:i w:val="0"/>
          <w:iCs w:val="0"/>
        </w:rPr>
        <w:t xml:space="preserve">could </w:t>
      </w:r>
      <w:r w:rsidRPr="4B78704C">
        <w:rPr>
          <w:rStyle w:val="References"/>
          <w:b w:val="0"/>
          <w:bCs w:val="0"/>
          <w:i w:val="0"/>
          <w:iCs w:val="0"/>
        </w:rPr>
        <w:t>be traded on a financial market but are not currently traded</w:t>
      </w:r>
      <w:r w:rsidR="00142DBC">
        <w:rPr>
          <w:rStyle w:val="References"/>
          <w:b w:val="0"/>
          <w:bCs w:val="0"/>
          <w:i w:val="0"/>
          <w:iCs w:val="0"/>
        </w:rPr>
        <w:t>. For example,</w:t>
      </w:r>
      <w:r w:rsidRPr="4B78704C">
        <w:rPr>
          <w:rStyle w:val="References"/>
          <w:b w:val="0"/>
          <w:bCs w:val="0"/>
          <w:i w:val="0"/>
          <w:iCs w:val="0"/>
        </w:rPr>
        <w:t xml:space="preserve"> because the scheme has not yet been listed and is engaging in an initial issue of interests. </w:t>
      </w:r>
    </w:p>
    <w:p w14:paraId="1D3FB027" w14:textId="4474E71E" w:rsidR="00525CDD" w:rsidRPr="00DB2878" w:rsidRDefault="00525CDD" w:rsidP="4B78704C">
      <w:pPr>
        <w:pStyle w:val="Normalparatextwithnumbers"/>
        <w:rPr>
          <w:rStyle w:val="References"/>
          <w:b w:val="0"/>
          <w:bCs w:val="0"/>
          <w:i w:val="0"/>
          <w:iCs w:val="0"/>
        </w:rPr>
      </w:pPr>
      <w:r w:rsidRPr="4B78704C">
        <w:rPr>
          <w:rStyle w:val="References"/>
          <w:b w:val="0"/>
          <w:bCs w:val="0"/>
          <w:i w:val="0"/>
          <w:iCs w:val="0"/>
        </w:rPr>
        <w:t xml:space="preserve">Where the acquisition price is being determined for interests that </w:t>
      </w:r>
      <w:proofErr w:type="gramStart"/>
      <w:r w:rsidRPr="4B78704C">
        <w:rPr>
          <w:rStyle w:val="References"/>
          <w:b w:val="0"/>
          <w:bCs w:val="0"/>
          <w:i w:val="0"/>
          <w:iCs w:val="0"/>
        </w:rPr>
        <w:t>are able to</w:t>
      </w:r>
      <w:proofErr w:type="gramEnd"/>
      <w:r w:rsidRPr="4B78704C">
        <w:rPr>
          <w:rStyle w:val="References"/>
          <w:b w:val="0"/>
          <w:bCs w:val="0"/>
          <w:i w:val="0"/>
          <w:iCs w:val="0"/>
        </w:rPr>
        <w:t xml:space="preserve"> be traded on a financial market, and the scheme is listed on that financial market, </w:t>
      </w:r>
      <w:r w:rsidR="00A10F04">
        <w:rPr>
          <w:rStyle w:val="References"/>
          <w:b w:val="0"/>
          <w:bCs w:val="0"/>
          <w:i w:val="0"/>
          <w:iCs w:val="0"/>
        </w:rPr>
        <w:t xml:space="preserve">to comply with the ‘adequate provision’ requirement </w:t>
      </w:r>
      <w:r w:rsidRPr="4B78704C">
        <w:rPr>
          <w:rStyle w:val="References"/>
          <w:b w:val="0"/>
          <w:bCs w:val="0"/>
          <w:i w:val="0"/>
          <w:iCs w:val="0"/>
        </w:rPr>
        <w:t xml:space="preserve">the formula or method </w:t>
      </w:r>
      <w:r w:rsidR="00854E88">
        <w:rPr>
          <w:rStyle w:val="References"/>
          <w:b w:val="0"/>
          <w:bCs w:val="0"/>
          <w:i w:val="0"/>
          <w:iCs w:val="0"/>
        </w:rPr>
        <w:t>must ensure</w:t>
      </w:r>
      <w:r w:rsidR="00171F7F" w:rsidRPr="4B78704C">
        <w:rPr>
          <w:rStyle w:val="References"/>
          <w:b w:val="0"/>
          <w:bCs w:val="0"/>
          <w:i w:val="0"/>
          <w:iCs w:val="0"/>
        </w:rPr>
        <w:t xml:space="preserve"> </w:t>
      </w:r>
      <w:r w:rsidRPr="4B78704C">
        <w:rPr>
          <w:rStyle w:val="References"/>
          <w:b w:val="0"/>
          <w:bCs w:val="0"/>
          <w:i w:val="0"/>
          <w:iCs w:val="0"/>
        </w:rPr>
        <w:t>that the issue price is the current market price</w:t>
      </w:r>
      <w:r w:rsidR="0065523E" w:rsidRPr="4B78704C">
        <w:rPr>
          <w:rStyle w:val="References"/>
          <w:b w:val="0"/>
          <w:bCs w:val="0"/>
          <w:i w:val="0"/>
          <w:iCs w:val="0"/>
        </w:rPr>
        <w:t xml:space="preserve"> </w:t>
      </w:r>
      <w:r w:rsidRPr="4B78704C">
        <w:rPr>
          <w:rStyle w:val="References"/>
          <w:b w:val="0"/>
          <w:bCs w:val="0"/>
          <w:i w:val="0"/>
          <w:iCs w:val="0"/>
        </w:rPr>
        <w:t>for interests of that class.</w:t>
      </w:r>
      <w:r w:rsidR="00584ACD">
        <w:rPr>
          <w:rStyle w:val="References"/>
          <w:b w:val="0"/>
          <w:bCs w:val="0"/>
          <w:i w:val="0"/>
          <w:iCs w:val="0"/>
        </w:rPr>
        <w:t xml:space="preserve"> </w:t>
      </w:r>
      <w:r w:rsidR="00806E6D">
        <w:rPr>
          <w:rStyle w:val="References"/>
          <w:b w:val="0"/>
          <w:bCs w:val="0"/>
          <w:i w:val="0"/>
          <w:iCs w:val="0"/>
        </w:rPr>
        <w:t xml:space="preserve">This </w:t>
      </w:r>
      <w:r w:rsidR="00621929">
        <w:rPr>
          <w:rStyle w:val="References"/>
          <w:b w:val="0"/>
          <w:bCs w:val="0"/>
          <w:i w:val="0"/>
          <w:iCs w:val="0"/>
        </w:rPr>
        <w:t>amount is not the</w:t>
      </w:r>
      <w:r w:rsidR="00584ACD">
        <w:rPr>
          <w:rStyle w:val="References"/>
          <w:b w:val="0"/>
          <w:bCs w:val="0"/>
          <w:i w:val="0"/>
          <w:iCs w:val="0"/>
        </w:rPr>
        <w:t xml:space="preserve"> final acquisition amount</w:t>
      </w:r>
      <w:r w:rsidR="00621929">
        <w:rPr>
          <w:rStyle w:val="References"/>
          <w:b w:val="0"/>
          <w:bCs w:val="0"/>
          <w:i w:val="0"/>
          <w:iCs w:val="0"/>
        </w:rPr>
        <w:t>, which</w:t>
      </w:r>
      <w:r w:rsidR="00584ACD">
        <w:rPr>
          <w:rStyle w:val="References"/>
          <w:b w:val="0"/>
          <w:bCs w:val="0"/>
          <w:i w:val="0"/>
          <w:iCs w:val="0"/>
        </w:rPr>
        <w:t xml:space="preserve"> </w:t>
      </w:r>
      <w:r w:rsidR="009E73A9">
        <w:rPr>
          <w:rStyle w:val="References"/>
          <w:b w:val="0"/>
          <w:bCs w:val="0"/>
          <w:i w:val="0"/>
          <w:iCs w:val="0"/>
        </w:rPr>
        <w:t xml:space="preserve">is determined subject to </w:t>
      </w:r>
      <w:r w:rsidR="00FA7953">
        <w:rPr>
          <w:rStyle w:val="References"/>
          <w:b w:val="0"/>
          <w:bCs w:val="0"/>
          <w:i w:val="0"/>
          <w:iCs w:val="0"/>
        </w:rPr>
        <w:t xml:space="preserve">any </w:t>
      </w:r>
      <w:r w:rsidR="009E73A9">
        <w:rPr>
          <w:rStyle w:val="References"/>
          <w:b w:val="0"/>
          <w:bCs w:val="0"/>
          <w:i w:val="0"/>
          <w:iCs w:val="0"/>
        </w:rPr>
        <w:t>discretion</w:t>
      </w:r>
      <w:r w:rsidR="00FA7953">
        <w:rPr>
          <w:rStyle w:val="References"/>
          <w:b w:val="0"/>
          <w:bCs w:val="0"/>
          <w:i w:val="0"/>
          <w:iCs w:val="0"/>
        </w:rPr>
        <w:t>s</w:t>
      </w:r>
      <w:r w:rsidR="009E73A9">
        <w:rPr>
          <w:rStyle w:val="References"/>
          <w:b w:val="0"/>
          <w:bCs w:val="0"/>
          <w:i w:val="0"/>
          <w:iCs w:val="0"/>
        </w:rPr>
        <w:t xml:space="preserve"> that </w:t>
      </w:r>
      <w:r w:rsidR="00FA7953">
        <w:rPr>
          <w:rStyle w:val="References"/>
          <w:b w:val="0"/>
          <w:bCs w:val="0"/>
          <w:i w:val="0"/>
          <w:iCs w:val="0"/>
        </w:rPr>
        <w:t xml:space="preserve">are </w:t>
      </w:r>
      <w:r w:rsidR="009E73A9">
        <w:rPr>
          <w:rStyle w:val="References"/>
          <w:b w:val="0"/>
          <w:bCs w:val="0"/>
          <w:i w:val="0"/>
          <w:iCs w:val="0"/>
        </w:rPr>
        <w:t xml:space="preserve">exercised by the </w:t>
      </w:r>
      <w:r w:rsidR="00FA7953">
        <w:rPr>
          <w:rStyle w:val="References"/>
          <w:b w:val="0"/>
          <w:bCs w:val="0"/>
          <w:i w:val="0"/>
          <w:iCs w:val="0"/>
        </w:rPr>
        <w:t>responsible entity.</w:t>
      </w:r>
      <w:r>
        <w:br/>
      </w:r>
      <w:r w:rsidRPr="4B78704C">
        <w:rPr>
          <w:rStyle w:val="References"/>
        </w:rPr>
        <w:t>[</w:t>
      </w:r>
      <w:r w:rsidR="00D3073C" w:rsidRPr="4944D135">
        <w:rPr>
          <w:rStyle w:val="References"/>
        </w:rPr>
        <w:t xml:space="preserve">Schedule </w:t>
      </w:r>
      <w:r w:rsidR="00D3073C">
        <w:rPr>
          <w:rStyle w:val="References"/>
        </w:rPr>
        <w:t>1</w:t>
      </w:r>
      <w:r w:rsidR="00D3073C" w:rsidRPr="4944D135">
        <w:rPr>
          <w:rStyle w:val="References"/>
        </w:rPr>
        <w:t xml:space="preserve">, </w:t>
      </w:r>
      <w:r w:rsidR="00D3073C">
        <w:rPr>
          <w:rStyle w:val="References"/>
        </w:rPr>
        <w:t>Part 2</w:t>
      </w:r>
      <w:r w:rsidRPr="4B78704C">
        <w:rPr>
          <w:rStyle w:val="References"/>
        </w:rPr>
        <w:t xml:space="preserve">, item </w:t>
      </w:r>
      <w:r w:rsidR="002C7842">
        <w:rPr>
          <w:rStyle w:val="References"/>
        </w:rPr>
        <w:t>22</w:t>
      </w:r>
      <w:r w:rsidRPr="4B78704C">
        <w:rPr>
          <w:rStyle w:val="References"/>
        </w:rPr>
        <w:t>, subsection 601</w:t>
      </w:r>
      <w:proofErr w:type="gramStart"/>
      <w:r w:rsidRPr="4B78704C">
        <w:rPr>
          <w:rStyle w:val="References"/>
        </w:rPr>
        <w:t>GD(</w:t>
      </w:r>
      <w:proofErr w:type="gramEnd"/>
      <w:r w:rsidR="090EAA87" w:rsidRPr="4B78704C">
        <w:rPr>
          <w:rStyle w:val="References"/>
        </w:rPr>
        <w:t>5</w:t>
      </w:r>
      <w:r w:rsidRPr="4B78704C">
        <w:rPr>
          <w:rStyle w:val="References"/>
        </w:rPr>
        <w:t xml:space="preserve">) of the </w:t>
      </w:r>
      <w:r w:rsidR="0065523E" w:rsidRPr="4B78704C">
        <w:rPr>
          <w:rStyle w:val="References"/>
        </w:rPr>
        <w:t>Corporations Act</w:t>
      </w:r>
      <w:r w:rsidRPr="4B78704C">
        <w:rPr>
          <w:rStyle w:val="References"/>
        </w:rPr>
        <w:t>]</w:t>
      </w:r>
    </w:p>
    <w:tbl>
      <w:tblPr>
        <w:tblStyle w:val="TableGrid"/>
        <w:tblW w:w="0" w:type="auto"/>
        <w:tblInd w:w="709" w:type="dxa"/>
        <w:tblLook w:val="04A0" w:firstRow="1" w:lastRow="0" w:firstColumn="1" w:lastColumn="0" w:noHBand="0" w:noVBand="1"/>
      </w:tblPr>
      <w:tblGrid>
        <w:gridCol w:w="6992"/>
      </w:tblGrid>
      <w:tr w:rsidR="0078581D" w14:paraId="7FF153CF" w14:textId="77777777" w:rsidTr="4B78704C">
        <w:tc>
          <w:tcPr>
            <w:tcW w:w="6992" w:type="dxa"/>
            <w:shd w:val="clear" w:color="auto" w:fill="E7E6E6" w:themeFill="background2"/>
          </w:tcPr>
          <w:p w14:paraId="28AC912A" w14:textId="563D254F" w:rsidR="0078581D" w:rsidRDefault="0078581D" w:rsidP="002167AA">
            <w:pPr>
              <w:pStyle w:val="Normalparatextnonumbers"/>
              <w:keepNext/>
              <w:ind w:left="0"/>
              <w:rPr>
                <w:rStyle w:val="References"/>
                <w:rFonts w:eastAsiaTheme="minorHAnsi" w:cstheme="minorBidi"/>
                <w:i w:val="0"/>
                <w:iCs w:val="0"/>
                <w:szCs w:val="22"/>
                <w:lang w:eastAsia="en-US"/>
              </w:rPr>
            </w:pPr>
            <w:r>
              <w:rPr>
                <w:rStyle w:val="References"/>
                <w:i w:val="0"/>
                <w:iCs w:val="0"/>
              </w:rPr>
              <w:lastRenderedPageBreak/>
              <w:t>Box 1: Consultation question</w:t>
            </w:r>
          </w:p>
          <w:p w14:paraId="247D8F9C" w14:textId="7CD0F22B" w:rsidR="0078581D" w:rsidRDefault="4B6BFFFB" w:rsidP="002167AA">
            <w:pPr>
              <w:pStyle w:val="OutlineNumbered1"/>
              <w:keepNext/>
              <w:numPr>
                <w:ilvl w:val="0"/>
                <w:numId w:val="0"/>
              </w:numPr>
              <w:ind w:left="23"/>
              <w:rPr>
                <w:rStyle w:val="References"/>
                <w:rFonts w:eastAsiaTheme="minorHAnsi" w:cstheme="minorBidi"/>
                <w:i w:val="0"/>
                <w:iCs w:val="0"/>
                <w:szCs w:val="22"/>
                <w:lang w:eastAsia="en-US"/>
              </w:rPr>
            </w:pPr>
            <w:r w:rsidRPr="4B78704C">
              <w:rPr>
                <w:rStyle w:val="References"/>
                <w:i w:val="0"/>
                <w:iCs w:val="0"/>
              </w:rPr>
              <w:t>The class of scheme targeted by subsection 601</w:t>
            </w:r>
            <w:proofErr w:type="gramStart"/>
            <w:r w:rsidRPr="4B78704C">
              <w:rPr>
                <w:rStyle w:val="References"/>
                <w:i w:val="0"/>
                <w:iCs w:val="0"/>
              </w:rPr>
              <w:t>GD(</w:t>
            </w:r>
            <w:proofErr w:type="gramEnd"/>
            <w:r w:rsidRPr="4B78704C">
              <w:rPr>
                <w:rStyle w:val="References"/>
                <w:i w:val="0"/>
                <w:iCs w:val="0"/>
              </w:rPr>
              <w:t xml:space="preserve">6) is intended to be the same class of scheme targeted by notional </w:t>
            </w:r>
            <w:r w:rsidR="1FBC8EB0" w:rsidRPr="4B78704C">
              <w:rPr>
                <w:rStyle w:val="References"/>
                <w:i w:val="0"/>
                <w:iCs w:val="0"/>
              </w:rPr>
              <w:t>sub</w:t>
            </w:r>
            <w:r w:rsidRPr="4B78704C">
              <w:rPr>
                <w:rStyle w:val="References"/>
                <w:i w:val="0"/>
                <w:iCs w:val="0"/>
              </w:rPr>
              <w:t>paragraph</w:t>
            </w:r>
            <w:r w:rsidR="00450CA3" w:rsidRPr="4B78704C">
              <w:rPr>
                <w:rStyle w:val="References"/>
                <w:i w:val="0"/>
                <w:iCs w:val="0"/>
              </w:rPr>
              <w:t> </w:t>
            </w:r>
            <w:r w:rsidRPr="4B78704C">
              <w:rPr>
                <w:rStyle w:val="References"/>
                <w:i w:val="0"/>
                <w:iCs w:val="0"/>
              </w:rPr>
              <w:t>601GAE</w:t>
            </w:r>
            <w:r w:rsidR="1FBC8EB0" w:rsidRPr="4B78704C">
              <w:rPr>
                <w:rStyle w:val="References"/>
                <w:i w:val="0"/>
                <w:iCs w:val="0"/>
              </w:rPr>
              <w:t>(2)(a)(ii) inserted by ASIC Class Order [CO</w:t>
            </w:r>
            <w:r w:rsidR="00450CA3" w:rsidRPr="4B78704C">
              <w:rPr>
                <w:rStyle w:val="References"/>
                <w:i w:val="0"/>
                <w:iCs w:val="0"/>
              </w:rPr>
              <w:t> </w:t>
            </w:r>
            <w:r w:rsidR="1FBC8EB0" w:rsidRPr="4B78704C">
              <w:rPr>
                <w:rStyle w:val="References"/>
                <w:i w:val="0"/>
                <w:iCs w:val="0"/>
              </w:rPr>
              <w:t>13/655].  The definition of exchange traded fund has been partially incorporated on the basis that elements of the definition are unnecessary to appropriately target the same class of scheme. The</w:t>
            </w:r>
            <w:r w:rsidR="3F090440" w:rsidRPr="4B78704C">
              <w:rPr>
                <w:rStyle w:val="References"/>
                <w:i w:val="0"/>
                <w:iCs w:val="0"/>
              </w:rPr>
              <w:t> </w:t>
            </w:r>
            <w:r w:rsidR="1FBC8EB0" w:rsidRPr="4B78704C">
              <w:rPr>
                <w:rStyle w:val="References"/>
                <w:i w:val="0"/>
                <w:iCs w:val="0"/>
              </w:rPr>
              <w:t>definition of managed fund has not been incorporated on the same basis.</w:t>
            </w:r>
          </w:p>
          <w:p w14:paraId="7E6B92F2" w14:textId="194357B6" w:rsidR="00C76895" w:rsidRPr="00227455" w:rsidRDefault="00C76895" w:rsidP="002167AA">
            <w:pPr>
              <w:pStyle w:val="OutlineNumbered1"/>
              <w:keepNext/>
              <w:numPr>
                <w:ilvl w:val="0"/>
                <w:numId w:val="0"/>
              </w:numPr>
              <w:ind w:left="520" w:hanging="520"/>
              <w:rPr>
                <w:rStyle w:val="References"/>
                <w:i w:val="0"/>
                <w:iCs w:val="0"/>
              </w:rPr>
            </w:pPr>
            <w:r>
              <w:rPr>
                <w:rStyle w:val="References"/>
                <w:i w:val="0"/>
                <w:iCs w:val="0"/>
              </w:rPr>
              <w:t>Is this appropriate?</w:t>
            </w:r>
          </w:p>
        </w:tc>
      </w:tr>
    </w:tbl>
    <w:p w14:paraId="2F5581DD" w14:textId="3EB89598" w:rsidR="00525CDD" w:rsidRPr="00AC0957" w:rsidRDefault="00525CDD" w:rsidP="000803CA">
      <w:pPr>
        <w:pStyle w:val="Normalparatextwithnumbers"/>
        <w:numPr>
          <w:ilvl w:val="1"/>
          <w:numId w:val="24"/>
        </w:numPr>
        <w:rPr>
          <w:rStyle w:val="References"/>
          <w:b w:val="0"/>
          <w:bCs w:val="0"/>
        </w:rPr>
      </w:pPr>
      <w:r w:rsidRPr="4B78704C">
        <w:rPr>
          <w:rStyle w:val="References"/>
          <w:b w:val="0"/>
          <w:bCs w:val="0"/>
          <w:i w:val="0"/>
          <w:iCs w:val="0"/>
        </w:rPr>
        <w:t>Where the acquisition price is being determined for interests that are not traded on a financial market</w:t>
      </w:r>
      <w:r w:rsidR="00EC546A">
        <w:rPr>
          <w:rStyle w:val="References"/>
          <w:b w:val="0"/>
          <w:bCs w:val="0"/>
          <w:i w:val="0"/>
          <w:iCs w:val="0"/>
        </w:rPr>
        <w:t>,</w:t>
      </w:r>
      <w:r w:rsidR="006C051E">
        <w:rPr>
          <w:rStyle w:val="References"/>
          <w:b w:val="0"/>
          <w:bCs w:val="0"/>
          <w:i w:val="0"/>
          <w:iCs w:val="0"/>
        </w:rPr>
        <w:t xml:space="preserve"> or that are able to be traded but are not currently listed</w:t>
      </w:r>
      <w:r w:rsidRPr="4B78704C">
        <w:rPr>
          <w:rStyle w:val="References"/>
          <w:b w:val="0"/>
          <w:bCs w:val="0"/>
          <w:i w:val="0"/>
          <w:iCs w:val="0"/>
        </w:rPr>
        <w:t xml:space="preserve">, </w:t>
      </w:r>
      <w:r w:rsidR="006C051E">
        <w:rPr>
          <w:rStyle w:val="References"/>
          <w:b w:val="0"/>
          <w:bCs w:val="0"/>
          <w:i w:val="0"/>
          <w:iCs w:val="0"/>
        </w:rPr>
        <w:t xml:space="preserve">no clear </w:t>
      </w:r>
      <w:r w:rsidRPr="4B78704C">
        <w:rPr>
          <w:rStyle w:val="References"/>
          <w:b w:val="0"/>
          <w:bCs w:val="0"/>
          <w:i w:val="0"/>
          <w:iCs w:val="0"/>
        </w:rPr>
        <w:t>market price is available.</w:t>
      </w:r>
    </w:p>
    <w:p w14:paraId="422E8EA7" w14:textId="69E90631" w:rsidR="00525CDD" w:rsidRPr="005F0913" w:rsidRDefault="00525CDD" w:rsidP="00DB2878">
      <w:pPr>
        <w:pStyle w:val="Normalparatextwithnumbers"/>
        <w:keepLines/>
        <w:rPr>
          <w:rStyle w:val="References"/>
          <w:b w:val="0"/>
          <w:bCs w:val="0"/>
        </w:rPr>
      </w:pPr>
      <w:r w:rsidRPr="4B78704C">
        <w:rPr>
          <w:rStyle w:val="References"/>
          <w:b w:val="0"/>
          <w:bCs w:val="0"/>
          <w:i w:val="0"/>
          <w:iCs w:val="0"/>
        </w:rPr>
        <w:t xml:space="preserve">In these circumstances the </w:t>
      </w:r>
      <w:r w:rsidR="006C051E">
        <w:rPr>
          <w:rStyle w:val="References"/>
          <w:b w:val="0"/>
          <w:bCs w:val="0"/>
          <w:i w:val="0"/>
          <w:iCs w:val="0"/>
        </w:rPr>
        <w:t xml:space="preserve">basis of the </w:t>
      </w:r>
      <w:r w:rsidRPr="4B78704C">
        <w:rPr>
          <w:rStyle w:val="References"/>
          <w:b w:val="0"/>
          <w:bCs w:val="0"/>
          <w:i w:val="0"/>
          <w:iCs w:val="0"/>
        </w:rPr>
        <w:t>formula or method used to determine acquisition price must</w:t>
      </w:r>
      <w:r w:rsidR="0F0D35B7" w:rsidRPr="4B78704C">
        <w:rPr>
          <w:rStyle w:val="References"/>
          <w:b w:val="0"/>
          <w:bCs w:val="0"/>
          <w:i w:val="0"/>
          <w:iCs w:val="0"/>
        </w:rPr>
        <w:t xml:space="preserve"> be the value of scheme property (or relevant scheme property if the scheme has multiple classes of interests), less any relevant scheme liabilities, divided by the number of interests on issue.</w:t>
      </w:r>
      <w:r w:rsidR="00E64FA2">
        <w:rPr>
          <w:rStyle w:val="References"/>
          <w:b w:val="0"/>
          <w:bCs w:val="0"/>
          <w:i w:val="0"/>
          <w:iCs w:val="0"/>
        </w:rPr>
        <w:t xml:space="preserve"> </w:t>
      </w:r>
      <w:r w:rsidR="00481BAF">
        <w:rPr>
          <w:rStyle w:val="References"/>
          <w:b w:val="0"/>
          <w:bCs w:val="0"/>
          <w:i w:val="0"/>
          <w:iCs w:val="0"/>
        </w:rPr>
        <w:t xml:space="preserve">Consistent with the requirements for other interests, the final acquisition price will be subject to discretions </w:t>
      </w:r>
      <w:r w:rsidR="00A51DCE">
        <w:rPr>
          <w:rStyle w:val="References"/>
          <w:b w:val="0"/>
          <w:bCs w:val="0"/>
          <w:i w:val="0"/>
          <w:iCs w:val="0"/>
        </w:rPr>
        <w:t>exercised by the responsible entity.</w:t>
      </w:r>
      <w:r w:rsidR="00481BAF">
        <w:rPr>
          <w:rStyle w:val="References"/>
          <w:b w:val="0"/>
          <w:bCs w:val="0"/>
          <w:i w:val="0"/>
          <w:iCs w:val="0"/>
        </w:rPr>
        <w:t xml:space="preserve"> </w:t>
      </w:r>
      <w:r>
        <w:br/>
      </w:r>
      <w:r w:rsidRPr="4B78704C">
        <w:rPr>
          <w:rStyle w:val="References"/>
        </w:rPr>
        <w:t>[</w:t>
      </w:r>
      <w:r w:rsidR="00D3073C" w:rsidRPr="4944D135">
        <w:rPr>
          <w:rStyle w:val="References"/>
        </w:rPr>
        <w:t xml:space="preserve">Schedule </w:t>
      </w:r>
      <w:r w:rsidR="00D3073C">
        <w:rPr>
          <w:rStyle w:val="References"/>
        </w:rPr>
        <w:t>1</w:t>
      </w:r>
      <w:r w:rsidR="00D3073C" w:rsidRPr="4944D135">
        <w:rPr>
          <w:rStyle w:val="References"/>
        </w:rPr>
        <w:t xml:space="preserve">, </w:t>
      </w:r>
      <w:r w:rsidR="00D3073C">
        <w:rPr>
          <w:rStyle w:val="References"/>
        </w:rPr>
        <w:t>Part 2</w:t>
      </w:r>
      <w:r w:rsidRPr="4B78704C">
        <w:rPr>
          <w:rStyle w:val="References"/>
        </w:rPr>
        <w:t xml:space="preserve">, item </w:t>
      </w:r>
      <w:r w:rsidR="002559BD">
        <w:rPr>
          <w:rStyle w:val="References"/>
        </w:rPr>
        <w:t>22</w:t>
      </w:r>
      <w:r w:rsidRPr="4B78704C">
        <w:rPr>
          <w:rStyle w:val="References"/>
        </w:rPr>
        <w:t>, subsection 601</w:t>
      </w:r>
      <w:proofErr w:type="gramStart"/>
      <w:r w:rsidRPr="4B78704C">
        <w:rPr>
          <w:rStyle w:val="References"/>
        </w:rPr>
        <w:t>GD(</w:t>
      </w:r>
      <w:proofErr w:type="gramEnd"/>
      <w:r w:rsidRPr="4B78704C">
        <w:rPr>
          <w:rStyle w:val="References"/>
        </w:rPr>
        <w:t xml:space="preserve">4) of the </w:t>
      </w:r>
      <w:r w:rsidR="0065523E" w:rsidRPr="4B78704C">
        <w:rPr>
          <w:rStyle w:val="References"/>
        </w:rPr>
        <w:t>Corporations Act</w:t>
      </w:r>
      <w:r w:rsidRPr="4B78704C">
        <w:rPr>
          <w:rStyle w:val="References"/>
        </w:rPr>
        <w:t>]</w:t>
      </w:r>
    </w:p>
    <w:p w14:paraId="0F237709" w14:textId="77777777" w:rsidR="00525CDD" w:rsidRDefault="00525CDD">
      <w:pPr>
        <w:pStyle w:val="Heading4"/>
      </w:pPr>
      <w:r>
        <w:t>Means of specifying withdrawal rights and adequate procedures for dealing with withdrawal requests in a registered scheme constitution</w:t>
      </w:r>
    </w:p>
    <w:p w14:paraId="6015782D" w14:textId="21F5E543" w:rsidR="00525CDD" w:rsidRDefault="00525CDD" w:rsidP="00DB2878">
      <w:pPr>
        <w:pStyle w:val="Normalparatextwithnumbers"/>
        <w:keepNext/>
        <w:keepLines/>
      </w:pPr>
      <w:r>
        <w:t>New section 601GE sets out a means for responsible entities to meet their constitutional requirements to specify the right of a member to withdraw from the scheme (if such a right exists) and to set out adequate procedures for making and dealing with a withdrawal request.</w:t>
      </w:r>
      <w:r>
        <w:br/>
      </w:r>
      <w:r w:rsidRPr="4B78704C">
        <w:rPr>
          <w:rStyle w:val="References"/>
        </w:rPr>
        <w:t>[</w:t>
      </w:r>
      <w:r w:rsidR="000D24A0" w:rsidRPr="4944D135">
        <w:rPr>
          <w:rStyle w:val="References"/>
        </w:rPr>
        <w:t xml:space="preserve">Schedule </w:t>
      </w:r>
      <w:r w:rsidR="000D24A0">
        <w:rPr>
          <w:rStyle w:val="References"/>
        </w:rPr>
        <w:t>1</w:t>
      </w:r>
      <w:r w:rsidR="000D24A0" w:rsidRPr="4944D135">
        <w:rPr>
          <w:rStyle w:val="References"/>
        </w:rPr>
        <w:t xml:space="preserve">, </w:t>
      </w:r>
      <w:r w:rsidR="000D24A0">
        <w:rPr>
          <w:rStyle w:val="References"/>
        </w:rPr>
        <w:t>Part 2</w:t>
      </w:r>
      <w:r w:rsidRPr="4B78704C">
        <w:rPr>
          <w:rStyle w:val="References"/>
        </w:rPr>
        <w:t xml:space="preserve">, item </w:t>
      </w:r>
      <w:r w:rsidR="00960C4B">
        <w:rPr>
          <w:rStyle w:val="References"/>
        </w:rPr>
        <w:t>22</w:t>
      </w:r>
      <w:r w:rsidRPr="4B78704C">
        <w:rPr>
          <w:rStyle w:val="References"/>
        </w:rPr>
        <w:t xml:space="preserve">, </w:t>
      </w:r>
      <w:r w:rsidR="00165C66">
        <w:rPr>
          <w:rStyle w:val="References"/>
        </w:rPr>
        <w:t>s</w:t>
      </w:r>
      <w:r w:rsidRPr="4B78704C">
        <w:rPr>
          <w:rStyle w:val="References"/>
        </w:rPr>
        <w:t xml:space="preserve">ection 601GE of the </w:t>
      </w:r>
      <w:r w:rsidR="0065523E" w:rsidRPr="4B78704C">
        <w:rPr>
          <w:rStyle w:val="References"/>
        </w:rPr>
        <w:t>Corporations Act</w:t>
      </w:r>
      <w:r w:rsidRPr="4B78704C">
        <w:rPr>
          <w:rStyle w:val="References"/>
        </w:rPr>
        <w:t>]</w:t>
      </w:r>
    </w:p>
    <w:p w14:paraId="309C406A" w14:textId="639882D6" w:rsidR="00525CDD" w:rsidRPr="008A5163" w:rsidRDefault="00165C66" w:rsidP="008A5163">
      <w:pPr>
        <w:pStyle w:val="Normalparatextwithnumbers"/>
        <w:rPr>
          <w:rStyle w:val="References"/>
          <w:b w:val="0"/>
          <w:bCs w:val="0"/>
          <w:i w:val="0"/>
          <w:iCs w:val="0"/>
        </w:rPr>
      </w:pPr>
      <w:r>
        <w:t>As with the acquisition amount, t</w:t>
      </w:r>
      <w:r w:rsidR="00525CDD">
        <w:t xml:space="preserve">o satisfy the constitutional requirements, the constitution </w:t>
      </w:r>
      <w:r w:rsidR="1ADD6311">
        <w:t xml:space="preserve">may </w:t>
      </w:r>
      <w:r w:rsidR="00525CDD">
        <w:t>provide a formula or method that is to be used to determine the amount that will be paid to a member making a withdrawal.</w:t>
      </w:r>
      <w:r>
        <w:t xml:space="preserve"> Registered schemes </w:t>
      </w:r>
      <w:r w:rsidR="00CA19A6">
        <w:t xml:space="preserve">are not required to use the arrangements in these amendments and </w:t>
      </w:r>
      <w:r>
        <w:t xml:space="preserve">can set out alternative adequate procedures </w:t>
      </w:r>
      <w:r w:rsidR="00CA19A6">
        <w:t xml:space="preserve">in the constitution </w:t>
      </w:r>
      <w:r>
        <w:t xml:space="preserve">for making and dealing with a withdrawal </w:t>
      </w:r>
      <w:proofErr w:type="gramStart"/>
      <w:r>
        <w:t>request</w:t>
      </w:r>
      <w:r w:rsidR="00CA19A6">
        <w:t xml:space="preserve"> </w:t>
      </w:r>
      <w:r>
        <w:t>.</w:t>
      </w:r>
      <w:proofErr w:type="gramEnd"/>
      <w:r w:rsidR="00525CDD">
        <w:br/>
      </w:r>
      <w:r w:rsidR="00525CDD" w:rsidRPr="4B78704C">
        <w:rPr>
          <w:rStyle w:val="References"/>
        </w:rPr>
        <w:t>[</w:t>
      </w:r>
      <w:r w:rsidR="000D24A0" w:rsidRPr="4944D135">
        <w:rPr>
          <w:rStyle w:val="References"/>
        </w:rPr>
        <w:t xml:space="preserve">Schedule </w:t>
      </w:r>
      <w:r w:rsidR="000D24A0">
        <w:rPr>
          <w:rStyle w:val="References"/>
        </w:rPr>
        <w:t>1</w:t>
      </w:r>
      <w:r w:rsidR="000D24A0" w:rsidRPr="4944D135">
        <w:rPr>
          <w:rStyle w:val="References"/>
        </w:rPr>
        <w:t xml:space="preserve">, </w:t>
      </w:r>
      <w:r w:rsidR="000D24A0">
        <w:rPr>
          <w:rStyle w:val="References"/>
        </w:rPr>
        <w:t>Part 2</w:t>
      </w:r>
      <w:r w:rsidR="00525CDD" w:rsidRPr="4B78704C">
        <w:rPr>
          <w:rStyle w:val="References"/>
        </w:rPr>
        <w:t xml:space="preserve">, item </w:t>
      </w:r>
      <w:r w:rsidR="00960C4B">
        <w:rPr>
          <w:rStyle w:val="References"/>
        </w:rPr>
        <w:t>22</w:t>
      </w:r>
      <w:r w:rsidR="00525CDD" w:rsidRPr="4B78704C">
        <w:rPr>
          <w:rStyle w:val="References"/>
        </w:rPr>
        <w:t>, subsection</w:t>
      </w:r>
      <w:r w:rsidR="00CA19A6">
        <w:rPr>
          <w:rStyle w:val="References"/>
        </w:rPr>
        <w:t>s</w:t>
      </w:r>
      <w:r w:rsidR="00525CDD" w:rsidRPr="4B78704C">
        <w:rPr>
          <w:rStyle w:val="References"/>
        </w:rPr>
        <w:t xml:space="preserve"> 601GE(1)</w:t>
      </w:r>
      <w:r w:rsidR="00CA19A6">
        <w:rPr>
          <w:rStyle w:val="References"/>
        </w:rPr>
        <w:t>-(2)</w:t>
      </w:r>
      <w:r w:rsidR="00525CDD" w:rsidRPr="4B78704C">
        <w:rPr>
          <w:rStyle w:val="References"/>
        </w:rPr>
        <w:t xml:space="preserve"> of the </w:t>
      </w:r>
      <w:r w:rsidR="0065523E" w:rsidRPr="4B78704C">
        <w:rPr>
          <w:rStyle w:val="References"/>
        </w:rPr>
        <w:t>Corporations Act</w:t>
      </w:r>
      <w:r w:rsidR="00525CDD" w:rsidRPr="4B78704C">
        <w:rPr>
          <w:rStyle w:val="References"/>
        </w:rPr>
        <w:t>]</w:t>
      </w:r>
    </w:p>
    <w:p w14:paraId="06E7D95B" w14:textId="20EE50B8" w:rsidR="00525CDD" w:rsidRPr="00612E21" w:rsidRDefault="00525CDD" w:rsidP="005F0913">
      <w:pPr>
        <w:pStyle w:val="Normalparatextwithnumbers"/>
        <w:rPr>
          <w:rStyle w:val="References"/>
        </w:rPr>
      </w:pPr>
      <w:r w:rsidRPr="6BF06D65">
        <w:rPr>
          <w:rStyle w:val="References"/>
          <w:b w:val="0"/>
          <w:bCs w:val="0"/>
          <w:i w:val="0"/>
          <w:iCs w:val="0"/>
        </w:rPr>
        <w:t xml:space="preserve">The formula or method used to determine the amount paid must </w:t>
      </w:r>
      <w:r w:rsidR="43D26E1F" w:rsidRPr="6BF06D65">
        <w:rPr>
          <w:rStyle w:val="References"/>
          <w:b w:val="0"/>
          <w:bCs w:val="0"/>
          <w:i w:val="0"/>
          <w:iCs w:val="0"/>
        </w:rPr>
        <w:t xml:space="preserve">ensure </w:t>
      </w:r>
      <w:r w:rsidRPr="6BF06D65">
        <w:rPr>
          <w:rStyle w:val="References"/>
          <w:b w:val="0"/>
          <w:bCs w:val="0"/>
          <w:i w:val="0"/>
          <w:iCs w:val="0"/>
        </w:rPr>
        <w:t>that the withdrawal payment per interest withdrawn</w:t>
      </w:r>
      <w:r w:rsidR="3A17BB5F" w:rsidRPr="6BF06D65">
        <w:rPr>
          <w:rStyle w:val="References"/>
          <w:b w:val="0"/>
          <w:bCs w:val="0"/>
          <w:i w:val="0"/>
          <w:iCs w:val="0"/>
        </w:rPr>
        <w:t xml:space="preserve"> </w:t>
      </w:r>
      <w:r w:rsidR="3BF8ACE9" w:rsidRPr="6BF06D65">
        <w:rPr>
          <w:rStyle w:val="References"/>
          <w:b w:val="0"/>
          <w:bCs w:val="0"/>
          <w:i w:val="0"/>
          <w:iCs w:val="0"/>
        </w:rPr>
        <w:t xml:space="preserve">is based on </w:t>
      </w:r>
      <w:r w:rsidR="3A17BB5F" w:rsidRPr="6BF06D65">
        <w:rPr>
          <w:rStyle w:val="References"/>
          <w:b w:val="0"/>
          <w:bCs w:val="0"/>
          <w:i w:val="0"/>
          <w:iCs w:val="0"/>
        </w:rPr>
        <w:t>the value of scheme property (or relevant scheme property if the scheme has multiple classes of interests), less any relevant scheme liabilities, divided by the number of interests on issue.</w:t>
      </w:r>
      <w:r w:rsidR="58DA67AC" w:rsidRPr="6BF06D65">
        <w:rPr>
          <w:rStyle w:val="References"/>
          <w:b w:val="0"/>
          <w:bCs w:val="0"/>
          <w:i w:val="0"/>
          <w:iCs w:val="0"/>
        </w:rPr>
        <w:t xml:space="preserve"> </w:t>
      </w:r>
      <w:r w:rsidR="68C4278E" w:rsidRPr="6BF06D65">
        <w:rPr>
          <w:rStyle w:val="References"/>
          <w:b w:val="0"/>
          <w:bCs w:val="0"/>
          <w:i w:val="0"/>
          <w:iCs w:val="0"/>
        </w:rPr>
        <w:t xml:space="preserve">As with the arrangements for the acquisition price, </w:t>
      </w:r>
      <w:r w:rsidR="54C60CE1" w:rsidRPr="6BF06D65">
        <w:rPr>
          <w:rStyle w:val="References"/>
          <w:b w:val="0"/>
          <w:bCs w:val="0"/>
          <w:i w:val="0"/>
          <w:iCs w:val="0"/>
        </w:rPr>
        <w:t xml:space="preserve">the actual </w:t>
      </w:r>
      <w:r w:rsidR="54C60CE1" w:rsidRPr="6BF06D65">
        <w:rPr>
          <w:rStyle w:val="References"/>
          <w:b w:val="0"/>
          <w:bCs w:val="0"/>
          <w:i w:val="0"/>
          <w:iCs w:val="0"/>
        </w:rPr>
        <w:lastRenderedPageBreak/>
        <w:t xml:space="preserve">withdrawal </w:t>
      </w:r>
      <w:r w:rsidR="1DC21AC0" w:rsidRPr="6BF06D65">
        <w:rPr>
          <w:rStyle w:val="References"/>
          <w:b w:val="0"/>
          <w:bCs w:val="0"/>
          <w:i w:val="0"/>
          <w:iCs w:val="0"/>
        </w:rPr>
        <w:t>amount can be subject to discretions by the responsible entity and still comply</w:t>
      </w:r>
      <w:r w:rsidR="4E3444B7" w:rsidRPr="6BF06D65">
        <w:rPr>
          <w:rStyle w:val="References"/>
          <w:b w:val="0"/>
          <w:bCs w:val="0"/>
          <w:i w:val="0"/>
          <w:iCs w:val="0"/>
        </w:rPr>
        <w:t xml:space="preserve">. </w:t>
      </w:r>
      <w:r>
        <w:br/>
      </w:r>
      <w:r w:rsidR="000D24A0">
        <w:rPr>
          <w:rStyle w:val="References"/>
        </w:rPr>
        <w:t>[</w:t>
      </w:r>
      <w:r w:rsidR="000D24A0" w:rsidRPr="4944D135">
        <w:rPr>
          <w:rStyle w:val="References"/>
        </w:rPr>
        <w:t xml:space="preserve">Schedule </w:t>
      </w:r>
      <w:r w:rsidR="000D24A0">
        <w:rPr>
          <w:rStyle w:val="References"/>
        </w:rPr>
        <w:t>1</w:t>
      </w:r>
      <w:r w:rsidR="000D24A0" w:rsidRPr="4944D135">
        <w:rPr>
          <w:rStyle w:val="References"/>
        </w:rPr>
        <w:t xml:space="preserve">, </w:t>
      </w:r>
      <w:r w:rsidR="000D24A0">
        <w:rPr>
          <w:rStyle w:val="References"/>
        </w:rPr>
        <w:t>Part 2</w:t>
      </w:r>
      <w:r w:rsidRPr="6BF06D65">
        <w:rPr>
          <w:rStyle w:val="References"/>
        </w:rPr>
        <w:t xml:space="preserve">, item </w:t>
      </w:r>
      <w:r w:rsidR="00960C4B">
        <w:rPr>
          <w:rStyle w:val="References"/>
        </w:rPr>
        <w:t>22</w:t>
      </w:r>
      <w:r w:rsidRPr="6BF06D65">
        <w:rPr>
          <w:rStyle w:val="References"/>
        </w:rPr>
        <w:t>, subsection</w:t>
      </w:r>
      <w:r w:rsidR="6875195B" w:rsidRPr="6BF06D65">
        <w:rPr>
          <w:rStyle w:val="References"/>
        </w:rPr>
        <w:t>s</w:t>
      </w:r>
      <w:r w:rsidRPr="6BF06D65">
        <w:rPr>
          <w:rStyle w:val="References"/>
        </w:rPr>
        <w:t xml:space="preserve"> 601</w:t>
      </w:r>
      <w:proofErr w:type="gramStart"/>
      <w:r w:rsidRPr="6BF06D65">
        <w:rPr>
          <w:rStyle w:val="References"/>
        </w:rPr>
        <w:t>GE(</w:t>
      </w:r>
      <w:proofErr w:type="gramEnd"/>
      <w:r w:rsidR="000C3F01">
        <w:rPr>
          <w:rStyle w:val="References"/>
        </w:rPr>
        <w:t>3</w:t>
      </w:r>
      <w:r w:rsidRPr="6BF06D65">
        <w:rPr>
          <w:rStyle w:val="References"/>
        </w:rPr>
        <w:t>)</w:t>
      </w:r>
      <w:r w:rsidR="6875195B" w:rsidRPr="6BF06D65">
        <w:rPr>
          <w:rStyle w:val="References"/>
        </w:rPr>
        <w:t>-(</w:t>
      </w:r>
      <w:r w:rsidR="000C3F01">
        <w:rPr>
          <w:rStyle w:val="References"/>
        </w:rPr>
        <w:t>5</w:t>
      </w:r>
      <w:r w:rsidR="6875195B" w:rsidRPr="6BF06D65">
        <w:rPr>
          <w:rStyle w:val="References"/>
        </w:rPr>
        <w:t>)</w:t>
      </w:r>
      <w:r w:rsidRPr="6BF06D65">
        <w:rPr>
          <w:rStyle w:val="References"/>
        </w:rPr>
        <w:t xml:space="preserve"> of the </w:t>
      </w:r>
      <w:r w:rsidR="0065523E" w:rsidRPr="6BF06D65">
        <w:rPr>
          <w:rStyle w:val="References"/>
        </w:rPr>
        <w:t>Corporations Act</w:t>
      </w:r>
      <w:r w:rsidRPr="6BF06D65">
        <w:rPr>
          <w:rStyle w:val="References"/>
        </w:rPr>
        <w:t>]</w:t>
      </w:r>
    </w:p>
    <w:p w14:paraId="7F03825B" w14:textId="64199421" w:rsidR="000E5808" w:rsidRDefault="000E5808" w:rsidP="008A5163">
      <w:pPr>
        <w:pStyle w:val="Heading4"/>
      </w:pPr>
      <w:r>
        <w:t>Discretions relating to a formula or method</w:t>
      </w:r>
    </w:p>
    <w:p w14:paraId="5FA62B4C" w14:textId="7430A112" w:rsidR="004B5743" w:rsidRPr="00836611" w:rsidRDefault="00BD1A98" w:rsidP="6BF06D65">
      <w:pPr>
        <w:pStyle w:val="Normalparatextwithnumbers"/>
        <w:keepNext/>
        <w:keepLines/>
        <w:rPr>
          <w:rStyle w:val="References"/>
          <w:b w:val="0"/>
          <w:bCs w:val="0"/>
          <w:i w:val="0"/>
          <w:iCs w:val="0"/>
        </w:rPr>
      </w:pPr>
      <w:r>
        <w:t xml:space="preserve">A formula or method can comply with the adequate provision </w:t>
      </w:r>
      <w:r w:rsidR="00113BD0">
        <w:t xml:space="preserve">or adequate procedure provisions in sections 601GD or 601GE if </w:t>
      </w:r>
      <w:r w:rsidR="00437698">
        <w:t xml:space="preserve">it allows the responsible entity to exercise </w:t>
      </w:r>
      <w:r w:rsidR="002B0820">
        <w:t xml:space="preserve">one or more </w:t>
      </w:r>
      <w:r w:rsidR="00437698">
        <w:t>discretion</w:t>
      </w:r>
      <w:r w:rsidR="002B0820">
        <w:t>s</w:t>
      </w:r>
      <w:r w:rsidR="00437698">
        <w:t xml:space="preserve"> </w:t>
      </w:r>
      <w:r w:rsidR="002B0820">
        <w:t xml:space="preserve">that would affect the acquisition or withdrawal amount. </w:t>
      </w:r>
      <w:r w:rsidR="203432F1">
        <w:t>This</w:t>
      </w:r>
      <w:r w:rsidR="1D592210">
        <w:t xml:space="preserve"> </w:t>
      </w:r>
      <w:r w:rsidR="203432F1">
        <w:t xml:space="preserve">allows a responsible entity </w:t>
      </w:r>
      <w:r w:rsidR="1D592210">
        <w:t>to</w:t>
      </w:r>
      <w:r w:rsidR="0A350D7E">
        <w:t xml:space="preserve">, for example, </w:t>
      </w:r>
      <w:r w:rsidR="00A440F4">
        <w:t xml:space="preserve">ensure that the withdrawal amount </w:t>
      </w:r>
      <w:r w:rsidR="1D592210">
        <w:t>account</w:t>
      </w:r>
      <w:r w:rsidR="00A440F4">
        <w:t>s</w:t>
      </w:r>
      <w:r w:rsidR="1D592210">
        <w:t xml:space="preserve"> for the cost </w:t>
      </w:r>
      <w:r w:rsidR="00A440F4">
        <w:t xml:space="preserve">of </w:t>
      </w:r>
      <w:r w:rsidR="1D592210">
        <w:t>disposing of scheme property</w:t>
      </w:r>
      <w:r w:rsidR="00BB6E8E">
        <w:t xml:space="preserve"> </w:t>
      </w:r>
      <w:r w:rsidR="00AA6C52">
        <w:t xml:space="preserve">necessary </w:t>
      </w:r>
      <w:r w:rsidR="00BB6E8E">
        <w:t xml:space="preserve">to facilitate </w:t>
      </w:r>
      <w:r w:rsidR="00AA6C52">
        <w:t>a</w:t>
      </w:r>
      <w:r w:rsidR="00BB6E8E">
        <w:t xml:space="preserve"> withdrawal from the scheme</w:t>
      </w:r>
      <w:r w:rsidR="1D592210">
        <w:t>.</w:t>
      </w:r>
      <w:r w:rsidR="1ED14FAF">
        <w:t xml:space="preserve"> </w:t>
      </w:r>
      <w:r w:rsidR="21077350">
        <w:br/>
      </w:r>
      <w:bookmarkStart w:id="75" w:name="_Hlk121914348"/>
      <w:r w:rsidR="3B17B2A3" w:rsidRPr="6BF06D65">
        <w:rPr>
          <w:rStyle w:val="References"/>
        </w:rPr>
        <w:t>[</w:t>
      </w:r>
      <w:r w:rsidR="000D24A0" w:rsidRPr="4944D135">
        <w:rPr>
          <w:rStyle w:val="References"/>
        </w:rPr>
        <w:t xml:space="preserve">Schedule </w:t>
      </w:r>
      <w:r w:rsidR="000D24A0">
        <w:rPr>
          <w:rStyle w:val="References"/>
        </w:rPr>
        <w:t>1</w:t>
      </w:r>
      <w:r w:rsidR="000D24A0" w:rsidRPr="4944D135">
        <w:rPr>
          <w:rStyle w:val="References"/>
        </w:rPr>
        <w:t xml:space="preserve">, </w:t>
      </w:r>
      <w:r w:rsidR="000D24A0">
        <w:rPr>
          <w:rStyle w:val="References"/>
        </w:rPr>
        <w:t>Part 2</w:t>
      </w:r>
      <w:r w:rsidR="3B17B2A3" w:rsidRPr="6BF06D65">
        <w:rPr>
          <w:rStyle w:val="References"/>
        </w:rPr>
        <w:t xml:space="preserve">, item </w:t>
      </w:r>
      <w:r w:rsidR="00960C4B">
        <w:rPr>
          <w:rStyle w:val="References"/>
        </w:rPr>
        <w:t>22</w:t>
      </w:r>
      <w:r w:rsidR="3B17B2A3" w:rsidRPr="6BF06D65">
        <w:rPr>
          <w:rStyle w:val="References"/>
        </w:rPr>
        <w:t>,</w:t>
      </w:r>
      <w:r w:rsidR="00AA6C52">
        <w:rPr>
          <w:rStyle w:val="References"/>
        </w:rPr>
        <w:t xml:space="preserve"> </w:t>
      </w:r>
      <w:r w:rsidR="3B17B2A3" w:rsidRPr="6BF06D65">
        <w:rPr>
          <w:rStyle w:val="References"/>
        </w:rPr>
        <w:t>section</w:t>
      </w:r>
      <w:r w:rsidR="0A350D7E" w:rsidRPr="6BF06D65">
        <w:rPr>
          <w:rStyle w:val="References"/>
        </w:rPr>
        <w:t>s</w:t>
      </w:r>
      <w:r w:rsidR="3B17B2A3" w:rsidRPr="6BF06D65">
        <w:rPr>
          <w:rStyle w:val="References"/>
        </w:rPr>
        <w:t xml:space="preserve"> 601GD and 601GE </w:t>
      </w:r>
      <w:r w:rsidR="3B17B2A3" w:rsidRPr="00836611">
        <w:rPr>
          <w:rStyle w:val="References"/>
        </w:rPr>
        <w:t xml:space="preserve">of the </w:t>
      </w:r>
      <w:r w:rsidR="0065523E" w:rsidRPr="00836611">
        <w:rPr>
          <w:rStyle w:val="References"/>
        </w:rPr>
        <w:t>Corporations Act</w:t>
      </w:r>
      <w:bookmarkEnd w:id="75"/>
      <w:r w:rsidR="3B17B2A3" w:rsidRPr="00836611">
        <w:rPr>
          <w:rStyle w:val="References"/>
        </w:rPr>
        <w:t>]</w:t>
      </w:r>
    </w:p>
    <w:p w14:paraId="241F37DB" w14:textId="3ACA83FF" w:rsidR="00301AC8" w:rsidRPr="00836611" w:rsidRDefault="78BB7C4A" w:rsidP="72C2F839">
      <w:pPr>
        <w:pStyle w:val="Normalparatextwithnumbers"/>
        <w:rPr>
          <w:rStyle w:val="References"/>
          <w:b w:val="0"/>
          <w:bCs w:val="0"/>
          <w:i w:val="0"/>
          <w:iCs w:val="0"/>
        </w:rPr>
      </w:pPr>
      <w:r w:rsidRPr="00836611">
        <w:rPr>
          <w:rStyle w:val="References"/>
          <w:b w:val="0"/>
          <w:bCs w:val="0"/>
          <w:i w:val="0"/>
          <w:iCs w:val="0"/>
        </w:rPr>
        <w:t xml:space="preserve">Where the formula or method includes discretion as to the values included in a formula, that discretion </w:t>
      </w:r>
      <w:r w:rsidR="009B0CFC">
        <w:rPr>
          <w:rStyle w:val="References"/>
          <w:b w:val="0"/>
          <w:bCs w:val="0"/>
          <w:i w:val="0"/>
          <w:iCs w:val="0"/>
        </w:rPr>
        <w:t xml:space="preserve">is </w:t>
      </w:r>
      <w:r w:rsidR="00CC2CFD" w:rsidRPr="00836611">
        <w:rPr>
          <w:rStyle w:val="References"/>
          <w:b w:val="0"/>
          <w:bCs w:val="0"/>
          <w:i w:val="0"/>
          <w:iCs w:val="0"/>
        </w:rPr>
        <w:t xml:space="preserve">disregarded when determining if the </w:t>
      </w:r>
      <w:r w:rsidR="00836611" w:rsidRPr="00836611">
        <w:rPr>
          <w:rStyle w:val="References"/>
          <w:b w:val="0"/>
          <w:bCs w:val="0"/>
          <w:i w:val="0"/>
          <w:iCs w:val="0"/>
        </w:rPr>
        <w:t xml:space="preserve">amount is equal to the value of the interests. </w:t>
      </w:r>
      <w:r w:rsidR="6C745154" w:rsidRPr="00836611">
        <w:rPr>
          <w:rStyle w:val="References"/>
          <w:b w:val="0"/>
          <w:bCs w:val="0"/>
          <w:i w:val="0"/>
          <w:iCs w:val="0"/>
        </w:rPr>
        <w:t xml:space="preserve">This ensures that the </w:t>
      </w:r>
      <w:r w:rsidR="57B99299" w:rsidRPr="00836611">
        <w:rPr>
          <w:rStyle w:val="References"/>
          <w:b w:val="0"/>
          <w:bCs w:val="0"/>
          <w:i w:val="0"/>
          <w:iCs w:val="0"/>
        </w:rPr>
        <w:t xml:space="preserve">formula or method always has a basis in the value (however calculated) of the underlying </w:t>
      </w:r>
      <w:proofErr w:type="gramStart"/>
      <w:r w:rsidR="57B99299" w:rsidRPr="00836611">
        <w:rPr>
          <w:rStyle w:val="References"/>
          <w:b w:val="0"/>
          <w:bCs w:val="0"/>
          <w:i w:val="0"/>
          <w:iCs w:val="0"/>
        </w:rPr>
        <w:t>interest, but</w:t>
      </w:r>
      <w:proofErr w:type="gramEnd"/>
      <w:r w:rsidR="57B99299" w:rsidRPr="00836611">
        <w:rPr>
          <w:rStyle w:val="References"/>
          <w:b w:val="0"/>
          <w:bCs w:val="0"/>
          <w:i w:val="0"/>
          <w:iCs w:val="0"/>
        </w:rPr>
        <w:t xml:space="preserve"> allows discretion to the responsible entity to adjust a</w:t>
      </w:r>
      <w:r w:rsidR="349B3B09" w:rsidRPr="00836611">
        <w:rPr>
          <w:rStyle w:val="References"/>
          <w:b w:val="0"/>
          <w:bCs w:val="0"/>
          <w:i w:val="0"/>
          <w:iCs w:val="0"/>
        </w:rPr>
        <w:t>s</w:t>
      </w:r>
      <w:r w:rsidR="57B99299" w:rsidRPr="00836611">
        <w:rPr>
          <w:rStyle w:val="References"/>
          <w:b w:val="0"/>
          <w:bCs w:val="0"/>
          <w:i w:val="0"/>
          <w:iCs w:val="0"/>
        </w:rPr>
        <w:t xml:space="preserve"> appropriate. The</w:t>
      </w:r>
      <w:r w:rsidR="00805FD3">
        <w:rPr>
          <w:rStyle w:val="References"/>
          <w:b w:val="0"/>
          <w:bCs w:val="0"/>
          <w:i w:val="0"/>
          <w:iCs w:val="0"/>
        </w:rPr>
        <w:t> </w:t>
      </w:r>
      <w:r w:rsidR="57B99299" w:rsidRPr="00836611">
        <w:rPr>
          <w:rStyle w:val="References"/>
          <w:b w:val="0"/>
          <w:bCs w:val="0"/>
          <w:i w:val="0"/>
          <w:iCs w:val="0"/>
        </w:rPr>
        <w:t>responsible entity’s discretion is restricted by the overarching obligations that apply to a responsible entity of a registered scheme</w:t>
      </w:r>
      <w:r w:rsidR="72FB80B0" w:rsidRPr="00836611">
        <w:rPr>
          <w:rStyle w:val="References"/>
          <w:b w:val="0"/>
          <w:bCs w:val="0"/>
          <w:i w:val="0"/>
          <w:iCs w:val="0"/>
        </w:rPr>
        <w:t xml:space="preserve"> and the </w:t>
      </w:r>
      <w:r w:rsidR="7F9A5AD7" w:rsidRPr="00836611">
        <w:rPr>
          <w:rStyle w:val="References"/>
          <w:b w:val="0"/>
          <w:bCs w:val="0"/>
          <w:i w:val="0"/>
          <w:iCs w:val="0"/>
        </w:rPr>
        <w:t>duties set out in new section 601FCA</w:t>
      </w:r>
      <w:r w:rsidR="57B99299" w:rsidRPr="00836611">
        <w:rPr>
          <w:rStyle w:val="References"/>
          <w:b w:val="0"/>
          <w:bCs w:val="0"/>
          <w:i w:val="0"/>
          <w:iCs w:val="0"/>
        </w:rPr>
        <w:t xml:space="preserve">. </w:t>
      </w:r>
      <w:r w:rsidRPr="00836611">
        <w:br/>
      </w:r>
      <w:r w:rsidR="57B99299" w:rsidRPr="00836611">
        <w:rPr>
          <w:rStyle w:val="References"/>
        </w:rPr>
        <w:t>[</w:t>
      </w:r>
      <w:r w:rsidR="000D24A0" w:rsidRPr="4944D135">
        <w:rPr>
          <w:rStyle w:val="References"/>
        </w:rPr>
        <w:t xml:space="preserve">Schedule </w:t>
      </w:r>
      <w:r w:rsidR="000D24A0">
        <w:rPr>
          <w:rStyle w:val="References"/>
        </w:rPr>
        <w:t>1</w:t>
      </w:r>
      <w:r w:rsidR="000D24A0" w:rsidRPr="4944D135">
        <w:rPr>
          <w:rStyle w:val="References"/>
        </w:rPr>
        <w:t xml:space="preserve">, </w:t>
      </w:r>
      <w:r w:rsidR="000D24A0">
        <w:rPr>
          <w:rStyle w:val="References"/>
        </w:rPr>
        <w:t>Part 2</w:t>
      </w:r>
      <w:r w:rsidR="57B99299" w:rsidRPr="00836611">
        <w:rPr>
          <w:rStyle w:val="References"/>
        </w:rPr>
        <w:t>, item</w:t>
      </w:r>
      <w:r w:rsidR="7F9A5AD7" w:rsidRPr="00836611">
        <w:rPr>
          <w:rStyle w:val="References"/>
        </w:rPr>
        <w:t>s 2</w:t>
      </w:r>
      <w:r w:rsidR="00960C4B">
        <w:rPr>
          <w:rStyle w:val="References"/>
        </w:rPr>
        <w:t>1</w:t>
      </w:r>
      <w:r w:rsidR="7F9A5AD7" w:rsidRPr="00836611">
        <w:rPr>
          <w:rStyle w:val="References"/>
        </w:rPr>
        <w:t>-</w:t>
      </w:r>
      <w:r w:rsidR="00960C4B">
        <w:rPr>
          <w:rStyle w:val="References"/>
        </w:rPr>
        <w:t>22</w:t>
      </w:r>
      <w:r w:rsidR="57B99299" w:rsidRPr="00836611">
        <w:rPr>
          <w:rStyle w:val="References"/>
        </w:rPr>
        <w:t xml:space="preserve">, </w:t>
      </w:r>
      <w:r w:rsidR="7F9A5AD7" w:rsidRPr="00836611">
        <w:rPr>
          <w:rStyle w:val="References"/>
        </w:rPr>
        <w:t xml:space="preserve">section 601FCA, </w:t>
      </w:r>
      <w:r w:rsidR="57B99299" w:rsidRPr="00836611">
        <w:rPr>
          <w:rStyle w:val="References"/>
        </w:rPr>
        <w:t>subsections 601</w:t>
      </w:r>
      <w:proofErr w:type="gramStart"/>
      <w:r w:rsidR="57B99299" w:rsidRPr="00836611">
        <w:rPr>
          <w:rStyle w:val="References"/>
        </w:rPr>
        <w:t>GD(</w:t>
      </w:r>
      <w:proofErr w:type="gramEnd"/>
      <w:r w:rsidR="57B99299" w:rsidRPr="00836611">
        <w:rPr>
          <w:rStyle w:val="References"/>
        </w:rPr>
        <w:t>6)</w:t>
      </w:r>
      <w:r w:rsidR="7F9A5AD7" w:rsidRPr="00836611">
        <w:rPr>
          <w:rStyle w:val="References"/>
        </w:rPr>
        <w:t xml:space="preserve"> and </w:t>
      </w:r>
      <w:r w:rsidR="57B99299" w:rsidRPr="00836611">
        <w:rPr>
          <w:rStyle w:val="References"/>
        </w:rPr>
        <w:t>subsection 601GE(</w:t>
      </w:r>
      <w:r w:rsidR="00D919C1">
        <w:rPr>
          <w:rStyle w:val="References"/>
        </w:rPr>
        <w:t>5</w:t>
      </w:r>
      <w:r w:rsidR="57B99299" w:rsidRPr="00836611">
        <w:rPr>
          <w:rStyle w:val="References"/>
        </w:rPr>
        <w:t>)</w:t>
      </w:r>
      <w:r w:rsidR="7F9A5AD7" w:rsidRPr="00836611">
        <w:rPr>
          <w:rStyle w:val="References"/>
        </w:rPr>
        <w:t xml:space="preserve"> </w:t>
      </w:r>
      <w:r w:rsidR="57B99299" w:rsidRPr="00836611">
        <w:rPr>
          <w:rStyle w:val="References"/>
        </w:rPr>
        <w:t>of the Corporations Act]</w:t>
      </w:r>
    </w:p>
    <w:p w14:paraId="4F904429" w14:textId="77654047" w:rsidR="00BC5730" w:rsidRPr="004B328D" w:rsidRDefault="359FB075" w:rsidP="008E4BAD">
      <w:pPr>
        <w:pStyle w:val="Normalparatextwithnumbers"/>
        <w:rPr>
          <w:rStyle w:val="References"/>
          <w:b w:val="0"/>
          <w:bCs w:val="0"/>
          <w:i w:val="0"/>
          <w:iCs w:val="0"/>
        </w:rPr>
      </w:pPr>
      <w:r w:rsidRPr="771F41A5">
        <w:rPr>
          <w:rStyle w:val="References"/>
          <w:b w:val="0"/>
          <w:bCs w:val="0"/>
          <w:i w:val="0"/>
          <w:iCs w:val="0"/>
        </w:rPr>
        <w:t xml:space="preserve">New Section 601FCA sets out duties that responsible entities </w:t>
      </w:r>
      <w:r w:rsidR="7621E12F" w:rsidRPr="771F41A5">
        <w:rPr>
          <w:rStyle w:val="References"/>
          <w:b w:val="0"/>
          <w:bCs w:val="0"/>
          <w:i w:val="0"/>
          <w:iCs w:val="0"/>
        </w:rPr>
        <w:t>must comply with if exercising a discretion that is provided to them as part of the formula or method means of satisfying the registered schemes constitutional requirements</w:t>
      </w:r>
      <w:r w:rsidR="086DE87A" w:rsidRPr="771F41A5">
        <w:rPr>
          <w:rStyle w:val="References"/>
          <w:b w:val="0"/>
          <w:bCs w:val="0"/>
          <w:i w:val="0"/>
          <w:iCs w:val="0"/>
        </w:rPr>
        <w:t>, and where the discretion relates to working out the value of scheme property or the market price of an interest</w:t>
      </w:r>
      <w:r w:rsidR="7ADCE7D2" w:rsidRPr="771F41A5">
        <w:rPr>
          <w:rStyle w:val="References"/>
          <w:b w:val="0"/>
          <w:bCs w:val="0"/>
          <w:i w:val="0"/>
          <w:iCs w:val="0"/>
        </w:rPr>
        <w:t>.</w:t>
      </w:r>
      <w:r w:rsidR="396BE0C2">
        <w:br/>
      </w:r>
      <w:r w:rsidR="7621E12F" w:rsidRPr="771F41A5">
        <w:rPr>
          <w:rStyle w:val="References"/>
        </w:rPr>
        <w:t>[</w:t>
      </w:r>
      <w:r w:rsidR="00416CD9" w:rsidRPr="00416CD9">
        <w:rPr>
          <w:rStyle w:val="References"/>
        </w:rPr>
        <w:t>Schedule 1, Part 2</w:t>
      </w:r>
      <w:r w:rsidR="7621E12F" w:rsidRPr="771F41A5">
        <w:rPr>
          <w:rStyle w:val="References"/>
        </w:rPr>
        <w:t xml:space="preserve">, item </w:t>
      </w:r>
      <w:r w:rsidR="00960C4B">
        <w:rPr>
          <w:rStyle w:val="References"/>
        </w:rPr>
        <w:t>21</w:t>
      </w:r>
      <w:r w:rsidR="7621E12F" w:rsidRPr="771F41A5">
        <w:rPr>
          <w:rStyle w:val="References"/>
        </w:rPr>
        <w:t>, section 601</w:t>
      </w:r>
      <w:proofErr w:type="gramStart"/>
      <w:r w:rsidR="7621E12F" w:rsidRPr="771F41A5">
        <w:rPr>
          <w:rStyle w:val="References"/>
        </w:rPr>
        <w:t>FCA(</w:t>
      </w:r>
      <w:proofErr w:type="gramEnd"/>
      <w:r w:rsidR="7621E12F" w:rsidRPr="771F41A5">
        <w:rPr>
          <w:rStyle w:val="References"/>
        </w:rPr>
        <w:t xml:space="preserve">1) of the </w:t>
      </w:r>
      <w:r w:rsidR="0065523E" w:rsidRPr="771F41A5">
        <w:rPr>
          <w:rStyle w:val="References"/>
        </w:rPr>
        <w:t>Corporations Act</w:t>
      </w:r>
      <w:r w:rsidR="7621E12F" w:rsidRPr="771F41A5">
        <w:rPr>
          <w:rStyle w:val="References"/>
        </w:rPr>
        <w:t>]</w:t>
      </w:r>
    </w:p>
    <w:p w14:paraId="63198FA7" w14:textId="025FD6BD" w:rsidR="00B37DAA" w:rsidRPr="008E4BAD" w:rsidRDefault="00B37DAA" w:rsidP="00B37DAA">
      <w:pPr>
        <w:pStyle w:val="Normalparatextwithnumbers"/>
        <w:rPr>
          <w:rStyle w:val="References"/>
          <w:b w:val="0"/>
          <w:bCs w:val="0"/>
          <w:i w:val="0"/>
          <w:iCs w:val="0"/>
        </w:rPr>
      </w:pPr>
      <w:r w:rsidRPr="771F41A5">
        <w:rPr>
          <w:rStyle w:val="References"/>
          <w:b w:val="0"/>
          <w:bCs w:val="0"/>
          <w:i w:val="0"/>
          <w:iCs w:val="0"/>
        </w:rPr>
        <w:t xml:space="preserve">Responsible entities must </w:t>
      </w:r>
      <w:r>
        <w:rPr>
          <w:rStyle w:val="References"/>
          <w:b w:val="0"/>
          <w:bCs w:val="0"/>
          <w:i w:val="0"/>
          <w:iCs w:val="0"/>
        </w:rPr>
        <w:t xml:space="preserve">not </w:t>
      </w:r>
      <w:r w:rsidRPr="771F41A5">
        <w:rPr>
          <w:rStyle w:val="References"/>
          <w:b w:val="0"/>
          <w:bCs w:val="0"/>
          <w:i w:val="0"/>
          <w:iCs w:val="0"/>
        </w:rPr>
        <w:t>exercise such discretions</w:t>
      </w:r>
      <w:r>
        <w:rPr>
          <w:rStyle w:val="References"/>
          <w:b w:val="0"/>
          <w:bCs w:val="0"/>
          <w:i w:val="0"/>
          <w:iCs w:val="0"/>
        </w:rPr>
        <w:t xml:space="preserve"> </w:t>
      </w:r>
      <w:r w:rsidRPr="771F41A5">
        <w:rPr>
          <w:rStyle w:val="References"/>
          <w:b w:val="0"/>
          <w:bCs w:val="0"/>
          <w:i w:val="0"/>
          <w:iCs w:val="0"/>
        </w:rPr>
        <w:t>in a manner that is sets a particular amount for acquisition price or withdrawal payment. That is, a discretion cannot be exercised to bypass the proper outcome of the function of the formula or method set out in the constitution.</w:t>
      </w:r>
      <w:r>
        <w:br/>
      </w:r>
      <w:r w:rsidRPr="771F41A5">
        <w:rPr>
          <w:rStyle w:val="References"/>
        </w:rPr>
        <w:t>[</w:t>
      </w:r>
      <w:r w:rsidR="00416CD9" w:rsidRPr="00416CD9">
        <w:rPr>
          <w:b/>
          <w:bCs/>
          <w:i/>
          <w:iCs/>
        </w:rPr>
        <w:t>Schedule 1, Part 2</w:t>
      </w:r>
      <w:r w:rsidRPr="771F41A5">
        <w:rPr>
          <w:rStyle w:val="References"/>
        </w:rPr>
        <w:t>, item 2</w:t>
      </w:r>
      <w:r w:rsidR="00535074">
        <w:rPr>
          <w:rStyle w:val="References"/>
        </w:rPr>
        <w:t>1</w:t>
      </w:r>
      <w:r w:rsidRPr="771F41A5">
        <w:rPr>
          <w:rStyle w:val="References"/>
        </w:rPr>
        <w:t>, subsection 601</w:t>
      </w:r>
      <w:proofErr w:type="gramStart"/>
      <w:r w:rsidRPr="771F41A5">
        <w:rPr>
          <w:rStyle w:val="References"/>
        </w:rPr>
        <w:t>FCA(</w:t>
      </w:r>
      <w:proofErr w:type="gramEnd"/>
      <w:r>
        <w:rPr>
          <w:rStyle w:val="References"/>
        </w:rPr>
        <w:t>2</w:t>
      </w:r>
      <w:r w:rsidRPr="771F41A5">
        <w:rPr>
          <w:rStyle w:val="References"/>
        </w:rPr>
        <w:t>) of the Corporations Act]</w:t>
      </w:r>
    </w:p>
    <w:p w14:paraId="5DC9BDF0" w14:textId="31BDB65A" w:rsidR="00C95E41" w:rsidRPr="008E4BAD" w:rsidRDefault="00B37DAA" w:rsidP="00DB2878">
      <w:pPr>
        <w:pStyle w:val="Normalparatextwithnumbers"/>
        <w:keepNext/>
        <w:keepLines/>
        <w:rPr>
          <w:rStyle w:val="References"/>
          <w:b w:val="0"/>
          <w:bCs w:val="0"/>
          <w:i w:val="0"/>
          <w:iCs w:val="0"/>
        </w:rPr>
      </w:pPr>
      <w:r w:rsidRPr="771F41A5">
        <w:rPr>
          <w:rStyle w:val="References"/>
          <w:b w:val="0"/>
          <w:bCs w:val="0"/>
          <w:i w:val="0"/>
          <w:iCs w:val="0"/>
        </w:rPr>
        <w:t>Responsible entities must also</w:t>
      </w:r>
      <w:r>
        <w:rPr>
          <w:rStyle w:val="References"/>
          <w:b w:val="0"/>
          <w:bCs w:val="0"/>
          <w:i w:val="0"/>
          <w:iCs w:val="0"/>
        </w:rPr>
        <w:t>, as far as is practicable,</w:t>
      </w:r>
      <w:r w:rsidRPr="771F41A5">
        <w:rPr>
          <w:rStyle w:val="References"/>
          <w:b w:val="0"/>
          <w:bCs w:val="0"/>
          <w:i w:val="0"/>
          <w:iCs w:val="0"/>
        </w:rPr>
        <w:t xml:space="preserve"> exercise such discretions in a way that </w:t>
      </w:r>
      <w:r>
        <w:rPr>
          <w:rStyle w:val="References"/>
          <w:b w:val="0"/>
          <w:bCs w:val="0"/>
          <w:i w:val="0"/>
          <w:iCs w:val="0"/>
        </w:rPr>
        <w:t xml:space="preserve">is </w:t>
      </w:r>
      <w:r w:rsidR="57F16B85" w:rsidRPr="771F41A5">
        <w:rPr>
          <w:rStyle w:val="References"/>
          <w:b w:val="0"/>
          <w:bCs w:val="0"/>
          <w:i w:val="0"/>
          <w:iCs w:val="0"/>
        </w:rPr>
        <w:t>consistent with ordinary commercial practice</w:t>
      </w:r>
      <w:r w:rsidR="7ADCE7D2" w:rsidRPr="771F41A5">
        <w:rPr>
          <w:rStyle w:val="References"/>
          <w:b w:val="0"/>
          <w:bCs w:val="0"/>
          <w:i w:val="0"/>
          <w:iCs w:val="0"/>
        </w:rPr>
        <w:t xml:space="preserve"> </w:t>
      </w:r>
      <w:r w:rsidR="6B992F4D" w:rsidRPr="771F41A5">
        <w:rPr>
          <w:rStyle w:val="References"/>
          <w:b w:val="0"/>
          <w:bCs w:val="0"/>
          <w:i w:val="0"/>
          <w:iCs w:val="0"/>
        </w:rPr>
        <w:t xml:space="preserve">for working out </w:t>
      </w:r>
      <w:r w:rsidR="570BBFEE" w:rsidRPr="771F41A5">
        <w:rPr>
          <w:rStyle w:val="References"/>
          <w:b w:val="0"/>
          <w:bCs w:val="0"/>
          <w:i w:val="0"/>
          <w:iCs w:val="0"/>
        </w:rPr>
        <w:t xml:space="preserve">a value or price </w:t>
      </w:r>
      <w:r w:rsidR="35467AE2" w:rsidRPr="771F41A5">
        <w:rPr>
          <w:rStyle w:val="References"/>
          <w:b w:val="0"/>
          <w:bCs w:val="0"/>
          <w:i w:val="0"/>
          <w:iCs w:val="0"/>
        </w:rPr>
        <w:t>and</w:t>
      </w:r>
      <w:r w:rsidR="6BB36184" w:rsidRPr="771F41A5">
        <w:rPr>
          <w:rStyle w:val="References"/>
          <w:b w:val="0"/>
          <w:bCs w:val="0"/>
          <w:i w:val="0"/>
          <w:iCs w:val="0"/>
        </w:rPr>
        <w:t xml:space="preserve"> </w:t>
      </w:r>
      <w:r w:rsidR="570BBFEE" w:rsidRPr="771F41A5">
        <w:rPr>
          <w:rStyle w:val="References"/>
          <w:b w:val="0"/>
          <w:bCs w:val="0"/>
          <w:i w:val="0"/>
          <w:iCs w:val="0"/>
        </w:rPr>
        <w:t>consistent with ordinary commercial practice for</w:t>
      </w:r>
      <w:r w:rsidR="7ADCE7D2" w:rsidRPr="771F41A5">
        <w:rPr>
          <w:rStyle w:val="References"/>
          <w:b w:val="0"/>
          <w:bCs w:val="0"/>
          <w:i w:val="0"/>
          <w:iCs w:val="0"/>
        </w:rPr>
        <w:t xml:space="preserve"> producing a value or price that is reasonably current.</w:t>
      </w:r>
      <w:bookmarkStart w:id="76" w:name="_Hlk120604813"/>
      <w:r w:rsidR="0344ADFE">
        <w:br/>
      </w:r>
      <w:r w:rsidR="086DE87A" w:rsidRPr="771F41A5">
        <w:rPr>
          <w:rStyle w:val="References"/>
        </w:rPr>
        <w:t>[</w:t>
      </w:r>
      <w:r w:rsidR="00416CD9" w:rsidRPr="00416CD9">
        <w:rPr>
          <w:b/>
          <w:bCs/>
          <w:i/>
          <w:iCs/>
        </w:rPr>
        <w:t>Schedule 1, Part 2</w:t>
      </w:r>
      <w:r w:rsidR="086DE87A" w:rsidRPr="771F41A5">
        <w:rPr>
          <w:rStyle w:val="References"/>
        </w:rPr>
        <w:t>, item 2</w:t>
      </w:r>
      <w:r w:rsidR="00535074">
        <w:rPr>
          <w:rStyle w:val="References"/>
        </w:rPr>
        <w:t>1</w:t>
      </w:r>
      <w:r w:rsidR="086DE87A" w:rsidRPr="771F41A5">
        <w:rPr>
          <w:rStyle w:val="References"/>
        </w:rPr>
        <w:t>, subsections 601</w:t>
      </w:r>
      <w:proofErr w:type="gramStart"/>
      <w:r w:rsidR="086DE87A" w:rsidRPr="771F41A5">
        <w:rPr>
          <w:rStyle w:val="References"/>
        </w:rPr>
        <w:t>FCA(</w:t>
      </w:r>
      <w:proofErr w:type="gramEnd"/>
      <w:r>
        <w:rPr>
          <w:rStyle w:val="References"/>
        </w:rPr>
        <w:t>3</w:t>
      </w:r>
      <w:r w:rsidR="086DE87A" w:rsidRPr="771F41A5">
        <w:rPr>
          <w:rStyle w:val="References"/>
        </w:rPr>
        <w:t>) and (</w:t>
      </w:r>
      <w:r>
        <w:rPr>
          <w:rStyle w:val="References"/>
        </w:rPr>
        <w:t>4</w:t>
      </w:r>
      <w:r w:rsidR="086DE87A" w:rsidRPr="771F41A5">
        <w:rPr>
          <w:rStyle w:val="References"/>
        </w:rPr>
        <w:t xml:space="preserve">) of the </w:t>
      </w:r>
      <w:r w:rsidR="0065523E" w:rsidRPr="771F41A5">
        <w:rPr>
          <w:rStyle w:val="References"/>
        </w:rPr>
        <w:t>Corporations Act</w:t>
      </w:r>
      <w:r w:rsidR="086DE87A" w:rsidRPr="771F41A5">
        <w:rPr>
          <w:rStyle w:val="References"/>
        </w:rPr>
        <w:t>]</w:t>
      </w:r>
    </w:p>
    <w:bookmarkEnd w:id="76"/>
    <w:p w14:paraId="3E7922A4" w14:textId="6EE1B4CF" w:rsidR="000C6950" w:rsidRPr="008E4BAD" w:rsidRDefault="570BBFEE" w:rsidP="008E4BAD">
      <w:pPr>
        <w:pStyle w:val="Normalparatextwithnumbers"/>
        <w:rPr>
          <w:rStyle w:val="References"/>
          <w:b w:val="0"/>
          <w:bCs w:val="0"/>
          <w:i w:val="0"/>
          <w:iCs w:val="0"/>
        </w:rPr>
      </w:pPr>
      <w:r w:rsidRPr="771F41A5">
        <w:rPr>
          <w:rStyle w:val="References"/>
          <w:b w:val="0"/>
          <w:bCs w:val="0"/>
          <w:i w:val="0"/>
          <w:iCs w:val="0"/>
        </w:rPr>
        <w:t xml:space="preserve">Where the duties included in section 601FCA conflict </w:t>
      </w:r>
      <w:r w:rsidR="434603A8" w:rsidRPr="771F41A5">
        <w:rPr>
          <w:rStyle w:val="References"/>
          <w:b w:val="0"/>
          <w:bCs w:val="0"/>
          <w:i w:val="0"/>
          <w:iCs w:val="0"/>
        </w:rPr>
        <w:t xml:space="preserve">with any duty an officer or employee of the responsible entity has under Part 2D.1 of the </w:t>
      </w:r>
      <w:r w:rsidR="0065523E" w:rsidRPr="771F41A5">
        <w:rPr>
          <w:rStyle w:val="References"/>
          <w:b w:val="0"/>
          <w:bCs w:val="0"/>
          <w:i w:val="0"/>
          <w:iCs w:val="0"/>
        </w:rPr>
        <w:t>Corporations Act</w:t>
      </w:r>
      <w:r w:rsidR="434603A8" w:rsidRPr="771F41A5">
        <w:rPr>
          <w:rStyle w:val="References"/>
          <w:b w:val="0"/>
          <w:bCs w:val="0"/>
        </w:rPr>
        <w:t xml:space="preserve">, </w:t>
      </w:r>
      <w:r w:rsidR="22744787" w:rsidRPr="771F41A5">
        <w:rPr>
          <w:rStyle w:val="References"/>
          <w:b w:val="0"/>
          <w:bCs w:val="0"/>
          <w:i w:val="0"/>
          <w:iCs w:val="0"/>
        </w:rPr>
        <w:t>the duties under section 601FCA prevail.</w:t>
      </w:r>
      <w:r w:rsidR="5B0475B3">
        <w:br/>
      </w:r>
      <w:r w:rsidR="434603A8" w:rsidRPr="771F41A5">
        <w:rPr>
          <w:rStyle w:val="References"/>
        </w:rPr>
        <w:t>[</w:t>
      </w:r>
      <w:r w:rsidR="0052166C" w:rsidRPr="4944D135">
        <w:rPr>
          <w:rStyle w:val="References"/>
        </w:rPr>
        <w:t xml:space="preserve">Schedule </w:t>
      </w:r>
      <w:r w:rsidR="0052166C">
        <w:rPr>
          <w:rStyle w:val="References"/>
        </w:rPr>
        <w:t>1</w:t>
      </w:r>
      <w:r w:rsidR="0052166C" w:rsidRPr="4944D135">
        <w:rPr>
          <w:rStyle w:val="References"/>
        </w:rPr>
        <w:t xml:space="preserve">, </w:t>
      </w:r>
      <w:r w:rsidR="0052166C">
        <w:rPr>
          <w:rStyle w:val="References"/>
        </w:rPr>
        <w:t>Part 2</w:t>
      </w:r>
      <w:r w:rsidR="434603A8" w:rsidRPr="771F41A5">
        <w:rPr>
          <w:rStyle w:val="References"/>
        </w:rPr>
        <w:t>, item 2</w:t>
      </w:r>
      <w:r w:rsidR="00535074">
        <w:rPr>
          <w:rStyle w:val="References"/>
        </w:rPr>
        <w:t>1</w:t>
      </w:r>
      <w:r w:rsidR="434603A8" w:rsidRPr="771F41A5">
        <w:rPr>
          <w:rStyle w:val="References"/>
        </w:rPr>
        <w:t>, subsection 601</w:t>
      </w:r>
      <w:proofErr w:type="gramStart"/>
      <w:r w:rsidR="434603A8" w:rsidRPr="771F41A5">
        <w:rPr>
          <w:rStyle w:val="References"/>
        </w:rPr>
        <w:t>FCA(</w:t>
      </w:r>
      <w:proofErr w:type="gramEnd"/>
      <w:r w:rsidR="434603A8" w:rsidRPr="771F41A5">
        <w:rPr>
          <w:rStyle w:val="References"/>
        </w:rPr>
        <w:t>5)</w:t>
      </w:r>
      <w:r w:rsidR="696394FD" w:rsidRPr="771F41A5">
        <w:rPr>
          <w:rStyle w:val="References"/>
        </w:rPr>
        <w:t xml:space="preserve"> of the </w:t>
      </w:r>
      <w:r w:rsidR="0065523E" w:rsidRPr="771F41A5">
        <w:rPr>
          <w:rStyle w:val="References"/>
        </w:rPr>
        <w:t>Corporations Act</w:t>
      </w:r>
      <w:r w:rsidR="434603A8" w:rsidRPr="771F41A5">
        <w:rPr>
          <w:rStyle w:val="References"/>
        </w:rPr>
        <w:t>]</w:t>
      </w:r>
    </w:p>
    <w:p w14:paraId="7AF962C7" w14:textId="1CCB0842" w:rsidR="00503316" w:rsidRPr="008E4BAD" w:rsidRDefault="5BF8DFF9" w:rsidP="008E4BAD">
      <w:pPr>
        <w:pStyle w:val="Normalparatextwithnumbers"/>
        <w:rPr>
          <w:rStyle w:val="References"/>
          <w:b w:val="0"/>
          <w:bCs w:val="0"/>
          <w:i w:val="0"/>
          <w:iCs w:val="0"/>
        </w:rPr>
      </w:pPr>
      <w:r w:rsidRPr="771F41A5">
        <w:rPr>
          <w:rStyle w:val="References"/>
          <w:b w:val="0"/>
          <w:bCs w:val="0"/>
          <w:i w:val="0"/>
          <w:iCs w:val="0"/>
        </w:rPr>
        <w:lastRenderedPageBreak/>
        <w:t>W</w:t>
      </w:r>
      <w:r w:rsidR="4090D819" w:rsidRPr="771F41A5">
        <w:rPr>
          <w:rStyle w:val="References"/>
          <w:b w:val="0"/>
          <w:bCs w:val="0"/>
          <w:i w:val="0"/>
          <w:iCs w:val="0"/>
        </w:rPr>
        <w:t xml:space="preserve">here </w:t>
      </w:r>
      <w:r w:rsidRPr="771F41A5">
        <w:rPr>
          <w:rStyle w:val="References"/>
          <w:b w:val="0"/>
          <w:bCs w:val="0"/>
          <w:i w:val="0"/>
          <w:iCs w:val="0"/>
        </w:rPr>
        <w:t>a</w:t>
      </w:r>
      <w:r w:rsidR="4090D819" w:rsidRPr="771F41A5">
        <w:rPr>
          <w:rStyle w:val="References"/>
          <w:b w:val="0"/>
          <w:bCs w:val="0"/>
          <w:i w:val="0"/>
          <w:iCs w:val="0"/>
        </w:rPr>
        <w:t xml:space="preserve"> responsible entity has appointed an agent or engaged a person to exercise the discretion on their behalf</w:t>
      </w:r>
      <w:r w:rsidRPr="771F41A5">
        <w:rPr>
          <w:rStyle w:val="References"/>
          <w:b w:val="0"/>
          <w:bCs w:val="0"/>
          <w:i w:val="0"/>
          <w:iCs w:val="0"/>
        </w:rPr>
        <w:t xml:space="preserve">, the responsible entity retains these duties </w:t>
      </w:r>
      <w:r w:rsidR="00D919CD">
        <w:rPr>
          <w:rStyle w:val="References"/>
          <w:b w:val="0"/>
          <w:bCs w:val="0"/>
          <w:i w:val="0"/>
          <w:iCs w:val="0"/>
        </w:rPr>
        <w:t>as well as</w:t>
      </w:r>
      <w:r w:rsidR="00D919CD" w:rsidRPr="771F41A5">
        <w:rPr>
          <w:rStyle w:val="References"/>
          <w:b w:val="0"/>
          <w:bCs w:val="0"/>
          <w:i w:val="0"/>
          <w:iCs w:val="0"/>
        </w:rPr>
        <w:t xml:space="preserve"> </w:t>
      </w:r>
      <w:r w:rsidRPr="771F41A5">
        <w:rPr>
          <w:rStyle w:val="References"/>
          <w:b w:val="0"/>
          <w:bCs w:val="0"/>
          <w:i w:val="0"/>
          <w:iCs w:val="0"/>
        </w:rPr>
        <w:t>responsibility for compliance</w:t>
      </w:r>
      <w:r w:rsidR="004131A0">
        <w:rPr>
          <w:rStyle w:val="References"/>
          <w:b w:val="0"/>
          <w:bCs w:val="0"/>
          <w:i w:val="0"/>
          <w:iCs w:val="0"/>
        </w:rPr>
        <w:t xml:space="preserve"> (section 601FB of the Corporations Act)</w:t>
      </w:r>
      <w:r w:rsidRPr="771F41A5">
        <w:rPr>
          <w:rStyle w:val="References"/>
          <w:b w:val="0"/>
          <w:bCs w:val="0"/>
          <w:i w:val="0"/>
          <w:iCs w:val="0"/>
        </w:rPr>
        <w:t>.</w:t>
      </w:r>
    </w:p>
    <w:p w14:paraId="138978DA" w14:textId="714519D7" w:rsidR="00876490" w:rsidRPr="00305C92" w:rsidRDefault="20802547" w:rsidP="4021B5AF">
      <w:pPr>
        <w:pStyle w:val="Normalparatextwithnumbers"/>
        <w:rPr>
          <w:rStyle w:val="References"/>
          <w:b w:val="0"/>
          <w:bCs w:val="0"/>
          <w:i w:val="0"/>
          <w:iCs w:val="0"/>
        </w:rPr>
      </w:pPr>
      <w:bookmarkStart w:id="77" w:name="_Hlk120872362"/>
      <w:r w:rsidRPr="4021B5AF">
        <w:rPr>
          <w:rStyle w:val="References"/>
          <w:b w:val="0"/>
          <w:bCs w:val="0"/>
          <w:i w:val="0"/>
          <w:iCs w:val="0"/>
        </w:rPr>
        <w:t>If a responsible entity contravenes one of these duties, the responsible entity contravenes a civil penalty provision.</w:t>
      </w:r>
      <w:r w:rsidR="27A0A4AB" w:rsidRPr="4021B5AF">
        <w:rPr>
          <w:rStyle w:val="References"/>
          <w:b w:val="0"/>
          <w:bCs w:val="0"/>
          <w:i w:val="0"/>
          <w:iCs w:val="0"/>
        </w:rPr>
        <w:t xml:space="preserve"> </w:t>
      </w:r>
      <w:r w:rsidR="11E5E711" w:rsidRPr="4021B5AF">
        <w:rPr>
          <w:rStyle w:val="References"/>
          <w:b w:val="0"/>
          <w:bCs w:val="0"/>
          <w:i w:val="0"/>
          <w:iCs w:val="0"/>
        </w:rPr>
        <w:t xml:space="preserve">Any person involved in that contravention also contravenes a civil penalty provision. The existing law defines the circumstances in which a person may be ‘involved’ in a contravention under section 79 of the Corporations Act – including whether the person aided, abetted, </w:t>
      </w:r>
      <w:r w:rsidR="1AB07CE9" w:rsidRPr="4021B5AF">
        <w:rPr>
          <w:rStyle w:val="References"/>
          <w:b w:val="0"/>
          <w:bCs w:val="0"/>
          <w:i w:val="0"/>
          <w:iCs w:val="0"/>
        </w:rPr>
        <w:t>counselled,</w:t>
      </w:r>
      <w:r w:rsidR="11E5E711" w:rsidRPr="4021B5AF">
        <w:rPr>
          <w:rStyle w:val="References"/>
          <w:b w:val="0"/>
          <w:bCs w:val="0"/>
          <w:i w:val="0"/>
          <w:iCs w:val="0"/>
        </w:rPr>
        <w:t xml:space="preserve"> or procured the contravention. </w:t>
      </w:r>
      <w:r w:rsidR="42244FBD" w:rsidRPr="4021B5AF">
        <w:rPr>
          <w:rStyle w:val="References"/>
          <w:b w:val="0"/>
          <w:bCs w:val="0"/>
          <w:i w:val="0"/>
          <w:iCs w:val="0"/>
        </w:rPr>
        <w:t xml:space="preserve">The inclusion of a civil penalty provision is appropriate to </w:t>
      </w:r>
      <w:r w:rsidR="550661DB" w:rsidRPr="4021B5AF">
        <w:rPr>
          <w:rStyle w:val="References"/>
          <w:b w:val="0"/>
          <w:bCs w:val="0"/>
          <w:i w:val="0"/>
          <w:iCs w:val="0"/>
        </w:rPr>
        <w:t xml:space="preserve">ensure the integrity of </w:t>
      </w:r>
      <w:r w:rsidR="22B9DC6E" w:rsidRPr="4021B5AF">
        <w:rPr>
          <w:rStyle w:val="References"/>
          <w:b w:val="0"/>
          <w:bCs w:val="0"/>
          <w:i w:val="0"/>
          <w:iCs w:val="0"/>
        </w:rPr>
        <w:t>the registered scheme and protect members interests relating to acquisition price and withdrawal payments. This penalty is consistent with the existing civil penalty provision that a responsible entity is subject to for existing duties (see</w:t>
      </w:r>
      <w:r w:rsidR="666F60C8" w:rsidRPr="4021B5AF">
        <w:rPr>
          <w:rStyle w:val="References"/>
          <w:b w:val="0"/>
          <w:bCs w:val="0"/>
          <w:i w:val="0"/>
          <w:iCs w:val="0"/>
        </w:rPr>
        <w:t> </w:t>
      </w:r>
      <w:r w:rsidR="22B9DC6E" w:rsidRPr="4021B5AF">
        <w:rPr>
          <w:rStyle w:val="References"/>
          <w:b w:val="0"/>
          <w:bCs w:val="0"/>
          <w:i w:val="0"/>
          <w:iCs w:val="0"/>
        </w:rPr>
        <w:t xml:space="preserve">section 601FC of the Corporations Act). </w:t>
      </w:r>
      <w:r w:rsidRPr="4021B5AF">
        <w:rPr>
          <w:rStyle w:val="References"/>
        </w:rPr>
        <w:t>[</w:t>
      </w:r>
      <w:r w:rsidR="0052166C" w:rsidRPr="4944D135">
        <w:rPr>
          <w:rStyle w:val="References"/>
        </w:rPr>
        <w:t xml:space="preserve">Schedule </w:t>
      </w:r>
      <w:r w:rsidR="0052166C">
        <w:rPr>
          <w:rStyle w:val="References"/>
        </w:rPr>
        <w:t>1</w:t>
      </w:r>
      <w:r w:rsidR="0052166C" w:rsidRPr="4944D135">
        <w:rPr>
          <w:rStyle w:val="References"/>
        </w:rPr>
        <w:t xml:space="preserve">, </w:t>
      </w:r>
      <w:r w:rsidR="0052166C">
        <w:rPr>
          <w:rStyle w:val="References"/>
        </w:rPr>
        <w:t>Part 2</w:t>
      </w:r>
      <w:r w:rsidRPr="4021B5AF">
        <w:rPr>
          <w:rStyle w:val="References"/>
        </w:rPr>
        <w:t>, item</w:t>
      </w:r>
      <w:r w:rsidR="004131A0">
        <w:rPr>
          <w:rStyle w:val="References"/>
        </w:rPr>
        <w:t>s</w:t>
      </w:r>
      <w:r w:rsidRPr="4021B5AF">
        <w:rPr>
          <w:rStyle w:val="References"/>
        </w:rPr>
        <w:t xml:space="preserve"> 2</w:t>
      </w:r>
      <w:r w:rsidR="00535074">
        <w:rPr>
          <w:rStyle w:val="References"/>
        </w:rPr>
        <w:t>1</w:t>
      </w:r>
      <w:r w:rsidR="004131A0">
        <w:rPr>
          <w:rStyle w:val="References"/>
        </w:rPr>
        <w:t xml:space="preserve"> and </w:t>
      </w:r>
      <w:r w:rsidR="00DC40B9">
        <w:rPr>
          <w:rStyle w:val="References"/>
        </w:rPr>
        <w:t>23</w:t>
      </w:r>
      <w:r w:rsidRPr="4021B5AF">
        <w:rPr>
          <w:rStyle w:val="References"/>
        </w:rPr>
        <w:t>, subsection</w:t>
      </w:r>
      <w:r w:rsidR="7A1EE047" w:rsidRPr="4021B5AF">
        <w:rPr>
          <w:rStyle w:val="References"/>
        </w:rPr>
        <w:t> </w:t>
      </w:r>
      <w:r w:rsidRPr="4021B5AF">
        <w:rPr>
          <w:rStyle w:val="References"/>
        </w:rPr>
        <w:t>601</w:t>
      </w:r>
      <w:proofErr w:type="gramStart"/>
      <w:r w:rsidRPr="4021B5AF">
        <w:rPr>
          <w:rStyle w:val="References"/>
        </w:rPr>
        <w:t>FCA(</w:t>
      </w:r>
      <w:proofErr w:type="gramEnd"/>
      <w:r w:rsidRPr="4021B5AF">
        <w:rPr>
          <w:rStyle w:val="References"/>
        </w:rPr>
        <w:t xml:space="preserve">6) </w:t>
      </w:r>
      <w:r w:rsidR="004131A0">
        <w:rPr>
          <w:rStyle w:val="References"/>
        </w:rPr>
        <w:t>and</w:t>
      </w:r>
      <w:r w:rsidR="6FE578E1" w:rsidRPr="4021B5AF">
        <w:rPr>
          <w:rStyle w:val="References"/>
        </w:rPr>
        <w:t xml:space="preserve"> new table i</w:t>
      </w:r>
      <w:r w:rsidR="00E66FFC">
        <w:rPr>
          <w:rStyle w:val="References"/>
        </w:rPr>
        <w:t>tem</w:t>
      </w:r>
      <w:r w:rsidR="6FE578E1" w:rsidRPr="4021B5AF">
        <w:rPr>
          <w:rStyle w:val="References"/>
        </w:rPr>
        <w:t xml:space="preserve"> </w:t>
      </w:r>
      <w:r w:rsidR="00CD7FC5">
        <w:rPr>
          <w:rStyle w:val="References"/>
        </w:rPr>
        <w:t xml:space="preserve">in </w:t>
      </w:r>
      <w:r w:rsidR="6FE578E1" w:rsidRPr="4021B5AF">
        <w:rPr>
          <w:rStyle w:val="References"/>
        </w:rPr>
        <w:t xml:space="preserve">subsection 1317E(3) of the </w:t>
      </w:r>
      <w:r w:rsidR="0065523E" w:rsidRPr="4021B5AF">
        <w:rPr>
          <w:rStyle w:val="References"/>
        </w:rPr>
        <w:t>Corporations Act</w:t>
      </w:r>
      <w:r w:rsidR="6FE578E1" w:rsidRPr="4021B5AF">
        <w:rPr>
          <w:rStyle w:val="References"/>
        </w:rPr>
        <w:t>]</w:t>
      </w:r>
    </w:p>
    <w:p w14:paraId="2815AA92" w14:textId="59C9F212" w:rsidR="00305C92" w:rsidRDefault="00305C92" w:rsidP="008E4BAD">
      <w:pPr>
        <w:pStyle w:val="Normalparatextwithnumbers"/>
        <w:rPr>
          <w:rStyle w:val="References"/>
          <w:b w:val="0"/>
          <w:bCs w:val="0"/>
          <w:i w:val="0"/>
          <w:iCs w:val="0"/>
        </w:rPr>
      </w:pPr>
      <w:r w:rsidRPr="771F41A5">
        <w:rPr>
          <w:rStyle w:val="References"/>
          <w:b w:val="0"/>
          <w:bCs w:val="0"/>
          <w:i w:val="0"/>
          <w:iCs w:val="0"/>
        </w:rPr>
        <w:t xml:space="preserve">The documentation requirements that responsible entities must comply with when exercising a discretion (as set out in ASIC Class Order [CO 13/657]) will not be incorporated and will </w:t>
      </w:r>
      <w:r w:rsidR="00495D71">
        <w:rPr>
          <w:rStyle w:val="References"/>
          <w:b w:val="0"/>
          <w:bCs w:val="0"/>
          <w:i w:val="0"/>
          <w:iCs w:val="0"/>
        </w:rPr>
        <w:t>no longer apply</w:t>
      </w:r>
      <w:r w:rsidRPr="771F41A5">
        <w:rPr>
          <w:rStyle w:val="References"/>
          <w:b w:val="0"/>
          <w:bCs w:val="0"/>
          <w:i w:val="0"/>
          <w:iCs w:val="0"/>
        </w:rPr>
        <w:t>.</w:t>
      </w:r>
    </w:p>
    <w:tbl>
      <w:tblPr>
        <w:tblStyle w:val="TableGrid"/>
        <w:tblW w:w="0" w:type="auto"/>
        <w:tblInd w:w="709" w:type="dxa"/>
        <w:tblLook w:val="04A0" w:firstRow="1" w:lastRow="0" w:firstColumn="1" w:lastColumn="0" w:noHBand="0" w:noVBand="1"/>
      </w:tblPr>
      <w:tblGrid>
        <w:gridCol w:w="6992"/>
      </w:tblGrid>
      <w:tr w:rsidR="00305C92" w14:paraId="141355A6" w14:textId="77777777" w:rsidTr="00625C86">
        <w:tc>
          <w:tcPr>
            <w:tcW w:w="6992" w:type="dxa"/>
            <w:shd w:val="clear" w:color="auto" w:fill="E7E6E6" w:themeFill="background2"/>
          </w:tcPr>
          <w:p w14:paraId="782DE925" w14:textId="2F813F4E" w:rsidR="00305C92" w:rsidRDefault="00305C92" w:rsidP="002167AA">
            <w:pPr>
              <w:pStyle w:val="Normalparatextnonumbers"/>
              <w:ind w:left="0"/>
              <w:rPr>
                <w:rStyle w:val="References"/>
                <w:rFonts w:eastAsiaTheme="minorHAnsi" w:cstheme="minorBidi"/>
                <w:i w:val="0"/>
                <w:iCs w:val="0"/>
                <w:szCs w:val="22"/>
                <w:lang w:eastAsia="en-US"/>
              </w:rPr>
            </w:pPr>
            <w:r>
              <w:rPr>
                <w:rStyle w:val="References"/>
                <w:i w:val="0"/>
                <w:iCs w:val="0"/>
              </w:rPr>
              <w:t>Box 2: Consultation question</w:t>
            </w:r>
          </w:p>
          <w:p w14:paraId="14562987" w14:textId="77777777" w:rsidR="00305C92" w:rsidRDefault="00305C92" w:rsidP="002167AA">
            <w:pPr>
              <w:pStyle w:val="OutlineNumbered1"/>
              <w:numPr>
                <w:ilvl w:val="0"/>
                <w:numId w:val="0"/>
              </w:numPr>
              <w:ind w:left="520" w:hanging="520"/>
              <w:rPr>
                <w:rStyle w:val="References"/>
                <w:rFonts w:eastAsiaTheme="minorHAnsi" w:cstheme="minorBidi"/>
                <w:i w:val="0"/>
                <w:iCs w:val="0"/>
                <w:szCs w:val="22"/>
                <w:lang w:eastAsia="en-US"/>
              </w:rPr>
            </w:pPr>
            <w:r>
              <w:rPr>
                <w:rStyle w:val="References"/>
                <w:i w:val="0"/>
                <w:iCs w:val="0"/>
              </w:rPr>
              <w:t>Is repeal of the documentation requirements appropriate?</w:t>
            </w:r>
          </w:p>
          <w:p w14:paraId="4883E7E6" w14:textId="77777777" w:rsidR="00305C92" w:rsidRDefault="00305C92" w:rsidP="002167AA">
            <w:pPr>
              <w:pStyle w:val="OutlineNumbered2"/>
              <w:rPr>
                <w:rStyle w:val="References"/>
                <w:i w:val="0"/>
                <w:iCs w:val="0"/>
              </w:rPr>
            </w:pPr>
            <w:proofErr w:type="gramStart"/>
            <w:r>
              <w:rPr>
                <w:rStyle w:val="References"/>
                <w:i w:val="0"/>
                <w:iCs w:val="0"/>
              </w:rPr>
              <w:t>In particular, do</w:t>
            </w:r>
            <w:proofErr w:type="gramEnd"/>
            <w:r>
              <w:rPr>
                <w:rStyle w:val="References"/>
                <w:i w:val="0"/>
                <w:iCs w:val="0"/>
              </w:rPr>
              <w:t xml:space="preserve"> the documentation requirements provide consumers with important information or safeguards, the repeal of which would cause harm?</w:t>
            </w:r>
          </w:p>
          <w:p w14:paraId="076443D1" w14:textId="77777777" w:rsidR="00305C92" w:rsidRDefault="00305C92" w:rsidP="002167AA">
            <w:pPr>
              <w:pStyle w:val="OutlineNumbered2"/>
              <w:rPr>
                <w:rStyle w:val="References"/>
                <w:i w:val="0"/>
                <w:iCs w:val="0"/>
              </w:rPr>
            </w:pPr>
            <w:r>
              <w:rPr>
                <w:rStyle w:val="References"/>
                <w:i w:val="0"/>
                <w:iCs w:val="0"/>
              </w:rPr>
              <w:t>Do the documentation requirements place an unnecessary administrative burden upon responsible entities?</w:t>
            </w:r>
          </w:p>
          <w:p w14:paraId="2C8A5390" w14:textId="77777777" w:rsidR="00305C92" w:rsidRPr="00440A87" w:rsidRDefault="00305C92" w:rsidP="002167AA">
            <w:pPr>
              <w:pStyle w:val="OutlineNumbered2"/>
              <w:rPr>
                <w:rStyle w:val="References"/>
                <w:i w:val="0"/>
                <w:iCs w:val="0"/>
              </w:rPr>
            </w:pPr>
            <w:r w:rsidRPr="00440A87">
              <w:rPr>
                <w:rStyle w:val="References"/>
                <w:i w:val="0"/>
                <w:iCs w:val="0"/>
              </w:rPr>
              <w:t>Are there any appropriate alternative approaches?</w:t>
            </w:r>
          </w:p>
          <w:p w14:paraId="51B47C59" w14:textId="64180095" w:rsidR="00305C92" w:rsidRPr="00227455" w:rsidRDefault="00305C92" w:rsidP="002167AA">
            <w:pPr>
              <w:pStyle w:val="OutlineNumbered1"/>
              <w:numPr>
                <w:ilvl w:val="0"/>
                <w:numId w:val="0"/>
              </w:numPr>
              <w:ind w:left="520" w:hanging="520"/>
              <w:rPr>
                <w:rStyle w:val="References"/>
                <w:i w:val="0"/>
                <w:iCs w:val="0"/>
              </w:rPr>
            </w:pPr>
          </w:p>
        </w:tc>
      </w:tr>
    </w:tbl>
    <w:bookmarkEnd w:id="77"/>
    <w:p w14:paraId="448C2B8A" w14:textId="2A3395BF" w:rsidR="00744492" w:rsidRDefault="3389E391" w:rsidP="00744492">
      <w:pPr>
        <w:pStyle w:val="Heading4"/>
      </w:pPr>
      <w:r>
        <w:t>ASIC Corporations (Managed investment product consideration) Instrument 2015/847</w:t>
      </w:r>
    </w:p>
    <w:p w14:paraId="5E0E35DB" w14:textId="5CA333EE" w:rsidR="00744492" w:rsidRPr="00D973CF" w:rsidRDefault="20EC8DB8" w:rsidP="4021B5AF">
      <w:pPr>
        <w:pStyle w:val="Normalparatextwithnumbers"/>
        <w:rPr>
          <w:rStyle w:val="References"/>
        </w:rPr>
      </w:pPr>
      <w:r w:rsidRPr="4021B5AF">
        <w:rPr>
          <w:rStyle w:val="References"/>
          <w:b w:val="0"/>
          <w:bCs w:val="0"/>
          <w:i w:val="0"/>
          <w:iCs w:val="0"/>
        </w:rPr>
        <w:t xml:space="preserve">ASIC Corporations (Managed investment product consideration) Instrument 2015/847 sets out similar </w:t>
      </w:r>
      <w:r w:rsidR="203ACA24" w:rsidRPr="4021B5AF">
        <w:rPr>
          <w:rStyle w:val="References"/>
          <w:b w:val="0"/>
          <w:bCs w:val="0"/>
          <w:i w:val="0"/>
          <w:iCs w:val="0"/>
        </w:rPr>
        <w:t xml:space="preserve">arrangements </w:t>
      </w:r>
      <w:r w:rsidR="0747C550" w:rsidRPr="4021B5AF">
        <w:rPr>
          <w:rStyle w:val="References"/>
          <w:b w:val="0"/>
          <w:bCs w:val="0"/>
          <w:i w:val="0"/>
          <w:iCs w:val="0"/>
        </w:rPr>
        <w:t xml:space="preserve">as </w:t>
      </w:r>
      <w:r w:rsidRPr="4021B5AF">
        <w:rPr>
          <w:rStyle w:val="References"/>
          <w:b w:val="0"/>
          <w:bCs w:val="0"/>
          <w:i w:val="0"/>
          <w:iCs w:val="0"/>
        </w:rPr>
        <w:t>ASIC Class Order [CO 13/655] and ASIC Class Order [CO 13/657]</w:t>
      </w:r>
      <w:r w:rsidR="0747C550" w:rsidRPr="4021B5AF">
        <w:rPr>
          <w:rStyle w:val="References"/>
          <w:b w:val="0"/>
          <w:bCs w:val="0"/>
          <w:i w:val="0"/>
          <w:iCs w:val="0"/>
        </w:rPr>
        <w:t xml:space="preserve"> for registered schemes that were registered before 1 October 2013</w:t>
      </w:r>
      <w:r w:rsidRPr="4021B5AF">
        <w:rPr>
          <w:rStyle w:val="References"/>
          <w:b w:val="0"/>
          <w:bCs w:val="0"/>
          <w:i w:val="0"/>
          <w:iCs w:val="0"/>
        </w:rPr>
        <w:t xml:space="preserve">. </w:t>
      </w:r>
      <w:r w:rsidR="0747C550" w:rsidRPr="4021B5AF">
        <w:rPr>
          <w:rStyle w:val="References"/>
          <w:b w:val="0"/>
          <w:bCs w:val="0"/>
          <w:i w:val="0"/>
          <w:iCs w:val="0"/>
        </w:rPr>
        <w:t xml:space="preserve">It </w:t>
      </w:r>
      <w:r w:rsidRPr="4021B5AF">
        <w:rPr>
          <w:rStyle w:val="References"/>
          <w:b w:val="0"/>
          <w:bCs w:val="0"/>
          <w:i w:val="0"/>
          <w:iCs w:val="0"/>
        </w:rPr>
        <w:t>also exempts</w:t>
      </w:r>
      <w:r w:rsidR="0747C550" w:rsidRPr="4021B5AF">
        <w:rPr>
          <w:rStyle w:val="References"/>
          <w:b w:val="0"/>
          <w:bCs w:val="0"/>
          <w:i w:val="0"/>
          <w:iCs w:val="0"/>
        </w:rPr>
        <w:t xml:space="preserve"> those registered schemes</w:t>
      </w:r>
      <w:r w:rsidRPr="4021B5AF">
        <w:rPr>
          <w:rStyle w:val="References"/>
          <w:b w:val="0"/>
          <w:bCs w:val="0"/>
          <w:i w:val="0"/>
          <w:iCs w:val="0"/>
        </w:rPr>
        <w:t>, in certain circumstances, from complying with their duty to treat members equally (under</w:t>
      </w:r>
      <w:r w:rsidR="0747C550" w:rsidRPr="4021B5AF">
        <w:rPr>
          <w:rStyle w:val="References"/>
          <w:b w:val="0"/>
          <w:bCs w:val="0"/>
          <w:i w:val="0"/>
          <w:iCs w:val="0"/>
        </w:rPr>
        <w:t> </w:t>
      </w:r>
      <w:r w:rsidRPr="4021B5AF">
        <w:rPr>
          <w:rStyle w:val="References"/>
          <w:b w:val="0"/>
          <w:bCs w:val="0"/>
          <w:i w:val="0"/>
          <w:iCs w:val="0"/>
        </w:rPr>
        <w:t>paragraph 601FC(1)(d). Similar exemption provisions are available to all registered schemes</w:t>
      </w:r>
      <w:r w:rsidR="0747C550" w:rsidRPr="4021B5AF">
        <w:rPr>
          <w:rStyle w:val="References"/>
          <w:b w:val="0"/>
          <w:bCs w:val="0"/>
          <w:i w:val="0"/>
          <w:iCs w:val="0"/>
        </w:rPr>
        <w:t>, regardless of when they were registered</w:t>
      </w:r>
      <w:r w:rsidR="47234A45" w:rsidRPr="4021B5AF">
        <w:rPr>
          <w:rStyle w:val="References"/>
          <w:b w:val="0"/>
          <w:bCs w:val="0"/>
          <w:i w:val="0"/>
          <w:iCs w:val="0"/>
        </w:rPr>
        <w:t>,</w:t>
      </w:r>
      <w:r w:rsidRPr="4021B5AF">
        <w:rPr>
          <w:rStyle w:val="References"/>
          <w:b w:val="0"/>
          <w:bCs w:val="0"/>
          <w:i w:val="0"/>
          <w:iCs w:val="0"/>
        </w:rPr>
        <w:t xml:space="preserve"> </w:t>
      </w:r>
      <w:r w:rsidR="0747C550" w:rsidRPr="4021B5AF">
        <w:rPr>
          <w:rStyle w:val="References"/>
          <w:b w:val="0"/>
          <w:bCs w:val="0"/>
          <w:i w:val="0"/>
          <w:iCs w:val="0"/>
        </w:rPr>
        <w:t xml:space="preserve">in </w:t>
      </w:r>
      <w:r w:rsidRPr="4021B5AF">
        <w:rPr>
          <w:rStyle w:val="References"/>
          <w:b w:val="0"/>
          <w:bCs w:val="0"/>
          <w:i w:val="0"/>
          <w:iCs w:val="0"/>
        </w:rPr>
        <w:t>ASIC</w:t>
      </w:r>
      <w:r w:rsidR="0747C550" w:rsidRPr="4021B5AF">
        <w:rPr>
          <w:rStyle w:val="References"/>
          <w:b w:val="0"/>
          <w:bCs w:val="0"/>
          <w:i w:val="0"/>
          <w:iCs w:val="0"/>
        </w:rPr>
        <w:t> </w:t>
      </w:r>
      <w:r w:rsidRPr="4021B5AF">
        <w:rPr>
          <w:rStyle w:val="References"/>
          <w:b w:val="0"/>
          <w:bCs w:val="0"/>
          <w:i w:val="0"/>
          <w:iCs w:val="0"/>
        </w:rPr>
        <w:t>Class</w:t>
      </w:r>
      <w:r w:rsidR="0747C550" w:rsidRPr="4021B5AF">
        <w:rPr>
          <w:rStyle w:val="References"/>
          <w:b w:val="0"/>
          <w:bCs w:val="0"/>
          <w:i w:val="0"/>
          <w:iCs w:val="0"/>
        </w:rPr>
        <w:t> </w:t>
      </w:r>
      <w:r w:rsidRPr="4021B5AF">
        <w:rPr>
          <w:rStyle w:val="References"/>
          <w:b w:val="0"/>
          <w:bCs w:val="0"/>
          <w:i w:val="0"/>
          <w:iCs w:val="0"/>
        </w:rPr>
        <w:t>Order [CO 13/656].</w:t>
      </w:r>
    </w:p>
    <w:p w14:paraId="6234FAEF" w14:textId="35589B1D" w:rsidR="00744492" w:rsidRPr="00D973CF" w:rsidRDefault="00744492" w:rsidP="4021B5AF">
      <w:pPr>
        <w:pStyle w:val="Normalparatextwithnumbers"/>
        <w:numPr>
          <w:ilvl w:val="1"/>
          <w:numId w:val="0"/>
        </w:numPr>
        <w:ind w:left="709"/>
      </w:pPr>
    </w:p>
    <w:tbl>
      <w:tblPr>
        <w:tblStyle w:val="TableGrid"/>
        <w:tblW w:w="0" w:type="auto"/>
        <w:tblInd w:w="709" w:type="dxa"/>
        <w:tblLook w:val="04A0" w:firstRow="1" w:lastRow="0" w:firstColumn="1" w:lastColumn="0" w:noHBand="0" w:noVBand="1"/>
      </w:tblPr>
      <w:tblGrid>
        <w:gridCol w:w="6992"/>
      </w:tblGrid>
      <w:tr w:rsidR="00744492" w14:paraId="39CC50EE" w14:textId="77777777" w:rsidTr="4021B5AF">
        <w:tc>
          <w:tcPr>
            <w:tcW w:w="6992" w:type="dxa"/>
            <w:shd w:val="clear" w:color="auto" w:fill="E7E6E6" w:themeFill="background2"/>
          </w:tcPr>
          <w:p w14:paraId="258B7DA4" w14:textId="77777777" w:rsidR="00744492" w:rsidRPr="00D973CF" w:rsidRDefault="3389E391" w:rsidP="4021B5AF">
            <w:pPr>
              <w:pStyle w:val="Normalparatextnonumbers"/>
              <w:ind w:left="0"/>
              <w:rPr>
                <w:rStyle w:val="References"/>
                <w:i w:val="0"/>
                <w:iCs w:val="0"/>
              </w:rPr>
            </w:pPr>
            <w:r w:rsidRPr="4021B5AF">
              <w:rPr>
                <w:rStyle w:val="References"/>
                <w:i w:val="0"/>
                <w:iCs w:val="0"/>
              </w:rPr>
              <w:lastRenderedPageBreak/>
              <w:t>Box 3: Consultation question</w:t>
            </w:r>
          </w:p>
          <w:p w14:paraId="735FB5BF" w14:textId="49A7492E" w:rsidR="00744492" w:rsidRPr="00227455" w:rsidRDefault="3389E391" w:rsidP="4021B5AF">
            <w:pPr>
              <w:pStyle w:val="OutlineNumbered1"/>
              <w:numPr>
                <w:ilvl w:val="0"/>
                <w:numId w:val="0"/>
              </w:numPr>
              <w:ind w:left="23"/>
              <w:rPr>
                <w:rStyle w:val="References"/>
                <w:i w:val="0"/>
                <w:iCs w:val="0"/>
              </w:rPr>
            </w:pPr>
            <w:r w:rsidRPr="4021B5AF">
              <w:rPr>
                <w:rStyle w:val="References"/>
                <w:i w:val="0"/>
                <w:iCs w:val="0"/>
              </w:rPr>
              <w:t xml:space="preserve">Is ASIC Corporations (Managed investment product consideration) instrument 2015/847 </w:t>
            </w:r>
            <w:r w:rsidR="032BE781" w:rsidRPr="4021B5AF">
              <w:rPr>
                <w:rStyle w:val="References"/>
                <w:i w:val="0"/>
                <w:iCs w:val="0"/>
              </w:rPr>
              <w:t>still necessary</w:t>
            </w:r>
            <w:r w:rsidRPr="4021B5AF">
              <w:rPr>
                <w:rStyle w:val="References"/>
                <w:i w:val="0"/>
                <w:iCs w:val="0"/>
              </w:rPr>
              <w:t xml:space="preserve">? </w:t>
            </w:r>
            <w:r w:rsidR="032BE781" w:rsidRPr="4021B5AF">
              <w:rPr>
                <w:rStyle w:val="References"/>
                <w:i w:val="0"/>
                <w:iCs w:val="0"/>
              </w:rPr>
              <w:t xml:space="preserve">Could it be repealed? Would </w:t>
            </w:r>
            <w:r w:rsidRPr="4021B5AF">
              <w:rPr>
                <w:rStyle w:val="References"/>
                <w:i w:val="0"/>
                <w:iCs w:val="0"/>
              </w:rPr>
              <w:t xml:space="preserve">any transitional provisions </w:t>
            </w:r>
            <w:r w:rsidR="032BE781" w:rsidRPr="4021B5AF">
              <w:rPr>
                <w:rStyle w:val="References"/>
                <w:i w:val="0"/>
                <w:iCs w:val="0"/>
              </w:rPr>
              <w:t xml:space="preserve">be </w:t>
            </w:r>
            <w:r w:rsidRPr="4021B5AF">
              <w:rPr>
                <w:rStyle w:val="References"/>
                <w:i w:val="0"/>
                <w:iCs w:val="0"/>
              </w:rPr>
              <w:t>required?</w:t>
            </w:r>
          </w:p>
        </w:tc>
      </w:tr>
    </w:tbl>
    <w:p w14:paraId="1901F999" w14:textId="77777777" w:rsidR="00525CDD" w:rsidRPr="00020288" w:rsidRDefault="00525CDD" w:rsidP="008E4BAD">
      <w:pPr>
        <w:pStyle w:val="Heading3"/>
        <w:rPr>
          <w:rFonts w:hint="eastAsia"/>
        </w:rPr>
      </w:pPr>
      <w:bookmarkStart w:id="78" w:name="_Toc125100007"/>
      <w:bookmarkStart w:id="79" w:name="_Toc125100742"/>
      <w:r w:rsidRPr="005D0844">
        <w:t>Consequential</w:t>
      </w:r>
      <w:r w:rsidRPr="00020288">
        <w:t xml:space="preserve"> amendments</w:t>
      </w:r>
      <w:bookmarkEnd w:id="78"/>
      <w:bookmarkEnd w:id="79"/>
    </w:p>
    <w:p w14:paraId="7E476B41" w14:textId="131B01E1" w:rsidR="00506910" w:rsidRPr="008E4BAD" w:rsidRDefault="62B26D2A" w:rsidP="00DB2878">
      <w:pPr>
        <w:pStyle w:val="Normalparatextwithnumbers"/>
        <w:rPr>
          <w:rStyle w:val="References"/>
          <w:rFonts w:eastAsiaTheme="majorEastAsia" w:cstheme="majorBidi"/>
          <w:b w:val="0"/>
          <w:bCs w:val="0"/>
          <w:i w:val="0"/>
          <w:iCs w:val="0"/>
          <w:szCs w:val="24"/>
        </w:rPr>
      </w:pPr>
      <w:r w:rsidRPr="72C2F839">
        <w:rPr>
          <w:rStyle w:val="References"/>
          <w:b w:val="0"/>
          <w:bCs w:val="0"/>
          <w:i w:val="0"/>
          <w:iCs w:val="0"/>
        </w:rPr>
        <w:t xml:space="preserve">Item 1 of </w:t>
      </w:r>
      <w:r w:rsidR="008F3142">
        <w:rPr>
          <w:rStyle w:val="References"/>
          <w:b w:val="0"/>
          <w:bCs w:val="0"/>
          <w:i w:val="0"/>
          <w:iCs w:val="0"/>
        </w:rPr>
        <w:t>Part 2 to Schedule 1</w:t>
      </w:r>
      <w:r w:rsidRPr="72C2F839">
        <w:rPr>
          <w:rStyle w:val="References"/>
          <w:b w:val="0"/>
          <w:bCs w:val="0"/>
          <w:i w:val="0"/>
          <w:iCs w:val="0"/>
        </w:rPr>
        <w:t xml:space="preserve"> inserts a definition of ‘able to be traded’ into Section 9 of the </w:t>
      </w:r>
      <w:r w:rsidR="0065523E" w:rsidRPr="72C2F839">
        <w:rPr>
          <w:rStyle w:val="References"/>
          <w:b w:val="0"/>
          <w:bCs w:val="0"/>
          <w:i w:val="0"/>
          <w:iCs w:val="0"/>
        </w:rPr>
        <w:t>Corporations Act</w:t>
      </w:r>
      <w:r w:rsidRPr="72C2F839">
        <w:rPr>
          <w:rStyle w:val="References"/>
          <w:b w:val="0"/>
          <w:bCs w:val="0"/>
          <w:i w:val="0"/>
          <w:iCs w:val="0"/>
        </w:rPr>
        <w:t>, which appl</w:t>
      </w:r>
      <w:r w:rsidR="727FA2CE" w:rsidRPr="72C2F839">
        <w:rPr>
          <w:rStyle w:val="References"/>
          <w:b w:val="0"/>
          <w:bCs w:val="0"/>
          <w:i w:val="0"/>
          <w:iCs w:val="0"/>
        </w:rPr>
        <w:t>ies</w:t>
      </w:r>
      <w:r w:rsidRPr="72C2F839">
        <w:rPr>
          <w:rStyle w:val="References"/>
          <w:b w:val="0"/>
          <w:bCs w:val="0"/>
          <w:i w:val="0"/>
          <w:iCs w:val="0"/>
        </w:rPr>
        <w:t xml:space="preserve"> the definition o</w:t>
      </w:r>
      <w:r w:rsidR="509D8EFD" w:rsidRPr="72C2F839">
        <w:rPr>
          <w:rStyle w:val="References"/>
          <w:b w:val="0"/>
          <w:bCs w:val="0"/>
          <w:i w:val="0"/>
          <w:iCs w:val="0"/>
        </w:rPr>
        <w:t xml:space="preserve">f ‘able to be traded’ from Chapter 7 of the Corporations Act to the rest of the Act, and thus the amendments included in </w:t>
      </w:r>
      <w:r w:rsidR="008F3142">
        <w:rPr>
          <w:rStyle w:val="References"/>
          <w:b w:val="0"/>
          <w:bCs w:val="0"/>
          <w:i w:val="0"/>
          <w:iCs w:val="0"/>
        </w:rPr>
        <w:t>Part 2 to Schedule 1</w:t>
      </w:r>
      <w:r w:rsidR="509D8EFD" w:rsidRPr="72C2F839">
        <w:rPr>
          <w:rStyle w:val="References"/>
          <w:b w:val="0"/>
          <w:bCs w:val="0"/>
          <w:i w:val="0"/>
          <w:iCs w:val="0"/>
        </w:rPr>
        <w:t>.</w:t>
      </w:r>
      <w:r w:rsidR="0065523E" w:rsidRPr="72C2F839">
        <w:rPr>
          <w:rStyle w:val="References"/>
          <w:b w:val="0"/>
          <w:bCs w:val="0"/>
          <w:i w:val="0"/>
          <w:iCs w:val="0"/>
        </w:rPr>
        <w:t xml:space="preserve"> </w:t>
      </w:r>
      <w:r w:rsidR="509D8EFD" w:rsidRPr="72C2F839">
        <w:rPr>
          <w:rStyle w:val="References"/>
          <w:b w:val="0"/>
          <w:bCs w:val="0"/>
          <w:i w:val="0"/>
          <w:iCs w:val="0"/>
        </w:rPr>
        <w:t>‘Able to be traded’ is defined in Chapter</w:t>
      </w:r>
      <w:r w:rsidR="617BC66B" w:rsidRPr="72C2F839">
        <w:rPr>
          <w:rStyle w:val="References"/>
          <w:b w:val="0"/>
          <w:bCs w:val="0"/>
          <w:i w:val="0"/>
          <w:iCs w:val="0"/>
        </w:rPr>
        <w:t> </w:t>
      </w:r>
      <w:r w:rsidR="509D8EFD" w:rsidRPr="72C2F839">
        <w:rPr>
          <w:rStyle w:val="References"/>
          <w:b w:val="0"/>
          <w:bCs w:val="0"/>
          <w:i w:val="0"/>
          <w:iCs w:val="0"/>
        </w:rPr>
        <w:t>7 as “in relation to a market, includes (but is not limited to) admitted to quotation on the market.”</w:t>
      </w:r>
      <w:r>
        <w:br/>
      </w:r>
      <w:r w:rsidR="509D8EFD" w:rsidRPr="72C2F839">
        <w:rPr>
          <w:rStyle w:val="References"/>
        </w:rPr>
        <w:t>[</w:t>
      </w:r>
      <w:r w:rsidR="001F0697" w:rsidRPr="4944D135">
        <w:rPr>
          <w:rStyle w:val="References"/>
        </w:rPr>
        <w:t xml:space="preserve">Schedule </w:t>
      </w:r>
      <w:r w:rsidR="001F0697">
        <w:rPr>
          <w:rStyle w:val="References"/>
        </w:rPr>
        <w:t>1</w:t>
      </w:r>
      <w:r w:rsidR="001F0697" w:rsidRPr="4944D135">
        <w:rPr>
          <w:rStyle w:val="References"/>
        </w:rPr>
        <w:t xml:space="preserve">, </w:t>
      </w:r>
      <w:r w:rsidR="001F0697">
        <w:rPr>
          <w:rStyle w:val="References"/>
        </w:rPr>
        <w:t>Part 2</w:t>
      </w:r>
      <w:r w:rsidR="509D8EFD" w:rsidRPr="72C2F839">
        <w:rPr>
          <w:rStyle w:val="References"/>
        </w:rPr>
        <w:t xml:space="preserve">, item </w:t>
      </w:r>
      <w:r w:rsidR="00DC40B9">
        <w:rPr>
          <w:rStyle w:val="References"/>
        </w:rPr>
        <w:t>20,</w:t>
      </w:r>
      <w:r w:rsidR="509D8EFD" w:rsidRPr="72C2F839">
        <w:rPr>
          <w:rStyle w:val="References"/>
        </w:rPr>
        <w:t xml:space="preserve"> </w:t>
      </w:r>
      <w:r w:rsidR="008F3142">
        <w:rPr>
          <w:rStyle w:val="References"/>
        </w:rPr>
        <w:t xml:space="preserve">the definition of able to be traded </w:t>
      </w:r>
      <w:r w:rsidR="509D8EFD" w:rsidRPr="72C2F839">
        <w:rPr>
          <w:rStyle w:val="References"/>
        </w:rPr>
        <w:t xml:space="preserve">section </w:t>
      </w:r>
      <w:r w:rsidR="00AD0869">
        <w:rPr>
          <w:rStyle w:val="References"/>
        </w:rPr>
        <w:t>9</w:t>
      </w:r>
      <w:r w:rsidR="00AD0869" w:rsidRPr="72C2F839">
        <w:rPr>
          <w:rStyle w:val="References"/>
        </w:rPr>
        <w:t xml:space="preserve"> </w:t>
      </w:r>
      <w:r w:rsidR="509D8EFD" w:rsidRPr="72C2F839">
        <w:rPr>
          <w:rStyle w:val="References"/>
        </w:rPr>
        <w:t xml:space="preserve">of the </w:t>
      </w:r>
      <w:r w:rsidR="00DC40B9" w:rsidRPr="72C2F839">
        <w:rPr>
          <w:rStyle w:val="References"/>
        </w:rPr>
        <w:t>c</w:t>
      </w:r>
      <w:r w:rsidR="0065523E" w:rsidRPr="72C2F839">
        <w:rPr>
          <w:rStyle w:val="References"/>
        </w:rPr>
        <w:t>orporations Act</w:t>
      </w:r>
      <w:r w:rsidR="509D8EFD" w:rsidRPr="72C2F839">
        <w:rPr>
          <w:rStyle w:val="References"/>
        </w:rPr>
        <w:t>]</w:t>
      </w:r>
    </w:p>
    <w:p w14:paraId="7E97ABFC" w14:textId="77777777" w:rsidR="00525CDD" w:rsidRPr="00020288" w:rsidRDefault="00525CDD" w:rsidP="008E4BAD">
      <w:pPr>
        <w:pStyle w:val="Heading3"/>
        <w:rPr>
          <w:rFonts w:hint="eastAsia"/>
        </w:rPr>
      </w:pPr>
      <w:bookmarkStart w:id="80" w:name="_Toc125100008"/>
      <w:bookmarkStart w:id="81" w:name="_Toc125100743"/>
      <w:r w:rsidRPr="00020288">
        <w:t xml:space="preserve">Commencement, </w:t>
      </w:r>
      <w:r w:rsidRPr="00AF50CE">
        <w:t>application</w:t>
      </w:r>
      <w:r w:rsidRPr="00020288">
        <w:t>, and transitional provisions</w:t>
      </w:r>
      <w:bookmarkEnd w:id="80"/>
      <w:bookmarkEnd w:id="81"/>
    </w:p>
    <w:p w14:paraId="1BADEB5E" w14:textId="47618CE2" w:rsidR="001C0D6A" w:rsidRDefault="6A3BDF4E" w:rsidP="00525CDD">
      <w:pPr>
        <w:pStyle w:val="Normalparatextwithnumbers"/>
        <w:numPr>
          <w:ilvl w:val="1"/>
          <w:numId w:val="3"/>
        </w:numPr>
      </w:pPr>
      <w:r>
        <w:t xml:space="preserve">The amendments commence on </w:t>
      </w:r>
      <w:r w:rsidR="59659C43">
        <w:t>1 October 2023</w:t>
      </w:r>
      <w:r w:rsidR="00DC40B9">
        <w:t xml:space="preserve"> </w:t>
      </w:r>
      <w:r w:rsidR="00DC40B9" w:rsidRPr="00A04AD3">
        <w:t>or the day after Royal Assent, whichever is later</w:t>
      </w:r>
      <w:r w:rsidR="59659C43" w:rsidRPr="00A04AD3">
        <w:t>.</w:t>
      </w:r>
    </w:p>
    <w:p w14:paraId="46D26FF5" w14:textId="2CC3FC03" w:rsidR="001B30E9" w:rsidRDefault="001B30E9">
      <w:pPr>
        <w:spacing w:before="0" w:after="160" w:line="259" w:lineRule="auto"/>
      </w:pPr>
      <w:r>
        <w:br w:type="page"/>
      </w:r>
    </w:p>
    <w:p w14:paraId="45611FCD" w14:textId="77777777" w:rsidR="004B328D" w:rsidRDefault="004B328D" w:rsidP="00955250">
      <w:pPr>
        <w:pStyle w:val="Heading2"/>
        <w:rPr>
          <w:rFonts w:hint="eastAsia"/>
        </w:rPr>
      </w:pPr>
      <w:bookmarkStart w:id="82" w:name="_Toc125100744"/>
      <w:r w:rsidRPr="008E6F2C">
        <w:lastRenderedPageBreak/>
        <w:t>ASIC Corporations (Superannuation and Schemes: Underlying Investments) Instrument 2016/378</w:t>
      </w:r>
      <w:bookmarkEnd w:id="82"/>
    </w:p>
    <w:p w14:paraId="3A0DC354" w14:textId="77777777" w:rsidR="004B328D" w:rsidRPr="00020288" w:rsidRDefault="004B328D" w:rsidP="004B328D">
      <w:pPr>
        <w:pStyle w:val="Heading3"/>
        <w:rPr>
          <w:rFonts w:hint="eastAsia"/>
        </w:rPr>
      </w:pPr>
      <w:bookmarkStart w:id="83" w:name="_Toc125100010"/>
      <w:bookmarkStart w:id="84" w:name="_Toc125100745"/>
      <w:r w:rsidRPr="00020288">
        <w:t xml:space="preserve">Context of </w:t>
      </w:r>
      <w:r w:rsidRPr="005D0844">
        <w:t>amendments</w:t>
      </w:r>
      <w:bookmarkEnd w:id="83"/>
      <w:bookmarkEnd w:id="84"/>
    </w:p>
    <w:p w14:paraId="3D0B4EC6" w14:textId="3C52FC75" w:rsidR="004B328D" w:rsidRDefault="4EB93D4F" w:rsidP="004B328D">
      <w:pPr>
        <w:pStyle w:val="Normalparatextwithnumbers"/>
      </w:pPr>
      <w:r>
        <w:t xml:space="preserve">The Corporations Act sets out a legislative framework for providing </w:t>
      </w:r>
      <w:bookmarkStart w:id="85" w:name="_Hlk122012060"/>
      <w:r>
        <w:t xml:space="preserve">Financial Services Guides </w:t>
      </w:r>
      <w:bookmarkEnd w:id="85"/>
      <w:r>
        <w:t xml:space="preserve">to retail clients. </w:t>
      </w:r>
    </w:p>
    <w:p w14:paraId="75D9D2ED" w14:textId="33C8CB69" w:rsidR="004B328D" w:rsidRDefault="4EB93D4F" w:rsidP="004B328D">
      <w:pPr>
        <w:pStyle w:val="Normalparatextwithnumbers"/>
      </w:pPr>
      <w:r>
        <w:t xml:space="preserve">Section 941A and section 941B of the </w:t>
      </w:r>
      <w:r w:rsidR="2042FFC6">
        <w:t xml:space="preserve">Corporations </w:t>
      </w:r>
      <w:r>
        <w:t xml:space="preserve">Act require </w:t>
      </w:r>
      <w:r w:rsidR="6240923A">
        <w:t>Australian financial services</w:t>
      </w:r>
      <w:r>
        <w:t xml:space="preserve"> licensees to provide </w:t>
      </w:r>
      <w:r w:rsidR="00106823">
        <w:t xml:space="preserve">a </w:t>
      </w:r>
      <w:r w:rsidR="00106823" w:rsidRPr="00106823">
        <w:t xml:space="preserve">Financial Services Guide </w:t>
      </w:r>
      <w:r w:rsidR="00106823">
        <w:t xml:space="preserve">that </w:t>
      </w:r>
      <w:r>
        <w:t xml:space="preserve">contains information about the entity providing a financial </w:t>
      </w:r>
      <w:r w:rsidR="007869AB">
        <w:t>service</w:t>
      </w:r>
      <w:r>
        <w:t>.</w:t>
      </w:r>
      <w:r w:rsidR="71080444">
        <w:t xml:space="preserve"> </w:t>
      </w:r>
    </w:p>
    <w:p w14:paraId="407DB580" w14:textId="56ABE6A0" w:rsidR="004B328D" w:rsidRDefault="4EB93D4F" w:rsidP="004B328D">
      <w:pPr>
        <w:pStyle w:val="Normalparatextwithnumbers"/>
      </w:pPr>
      <w:r>
        <w:t>Subsections 941</w:t>
      </w:r>
      <w:proofErr w:type="gramStart"/>
      <w:r>
        <w:t>C(</w:t>
      </w:r>
      <w:proofErr w:type="gramEnd"/>
      <w:r>
        <w:t xml:space="preserve">2) and 941C(3) </w:t>
      </w:r>
      <w:r w:rsidR="6C545BF5">
        <w:t xml:space="preserve">of the Corporations Act </w:t>
      </w:r>
      <w:r>
        <w:t xml:space="preserve">provide exemptions for operating a registered scheme and dealing by a responsible entity in scheme interests, however these two exemptions </w:t>
      </w:r>
      <w:r w:rsidR="6C545BF5">
        <w:t>do</w:t>
      </w:r>
      <w:r>
        <w:t xml:space="preserve"> not extend to the underlying dealings of superannuation trustees or responsible entities of registered schemes. </w:t>
      </w:r>
    </w:p>
    <w:p w14:paraId="31A8BC74" w14:textId="085D7373" w:rsidR="004B328D" w:rsidRDefault="4EB93D4F" w:rsidP="004B328D">
      <w:pPr>
        <w:pStyle w:val="Normalparatextwithnumbers"/>
      </w:pPr>
      <w:r>
        <w:t xml:space="preserve">Section 6 of </w:t>
      </w:r>
      <w:bookmarkStart w:id="86" w:name="_Hlk120791598"/>
      <w:r>
        <w:t>ASIC Corporations (Superannuation and Schemes: Underlying Investments) Instrument 2016/378</w:t>
      </w:r>
      <w:bookmarkEnd w:id="86"/>
      <w:r>
        <w:t xml:space="preserve"> provides exemptions to </w:t>
      </w:r>
      <w:r w:rsidRPr="00CE31B0">
        <w:t xml:space="preserve">the trustee of a superannuation fund </w:t>
      </w:r>
      <w:r>
        <w:t xml:space="preserve">or the </w:t>
      </w:r>
      <w:r>
        <w:rPr>
          <w:color w:val="000000"/>
          <w:shd w:val="clear" w:color="auto" w:fill="FFFFFF"/>
        </w:rPr>
        <w:t xml:space="preserve">responsible entity of a registered scheme from the requirement to provide </w:t>
      </w:r>
      <w:bookmarkStart w:id="87" w:name="_Hlk122012124"/>
      <w:r>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bookmarkEnd w:id="87"/>
      <w:r>
        <w:rPr>
          <w:color w:val="000000"/>
          <w:shd w:val="clear" w:color="auto" w:fill="FFFFFF"/>
        </w:rPr>
        <w:t xml:space="preserve">for dealing in </w:t>
      </w:r>
      <w:r w:rsidRPr="00527FC5">
        <w:rPr>
          <w:color w:val="000000"/>
          <w:shd w:val="clear" w:color="auto" w:fill="FFFFFF"/>
        </w:rPr>
        <w:t>a financial product in the ordinary course of the operation of the scheme</w:t>
      </w:r>
      <w:r>
        <w:rPr>
          <w:color w:val="000000"/>
          <w:shd w:val="clear" w:color="auto" w:fill="FFFFFF"/>
        </w:rPr>
        <w:t>.</w:t>
      </w:r>
    </w:p>
    <w:p w14:paraId="31527686" w14:textId="77777777" w:rsidR="004B328D" w:rsidRPr="00020288" w:rsidRDefault="5D314BAD" w:rsidP="004B328D">
      <w:pPr>
        <w:pStyle w:val="Heading4"/>
        <w:numPr>
          <w:ilvl w:val="3"/>
          <w:numId w:val="2"/>
        </w:numPr>
      </w:pPr>
      <w:r>
        <w:t>Comparison of key features of new law and current law</w:t>
      </w:r>
    </w:p>
    <w:p w14:paraId="4399B7FD" w14:textId="77777777" w:rsidR="004B328D" w:rsidRPr="002D3B91" w:rsidRDefault="5C23A6E7" w:rsidP="004B328D">
      <w:pPr>
        <w:pStyle w:val="TableHeading"/>
        <w:numPr>
          <w:ilvl w:val="4"/>
          <w:numId w:val="3"/>
        </w:numPr>
        <w:ind w:left="0" w:firstLine="0"/>
      </w:pPr>
      <w:r>
        <w:t>Comparison of new law and current law</w:t>
      </w:r>
    </w:p>
    <w:tbl>
      <w:tblPr>
        <w:tblStyle w:val="Treasurytable"/>
        <w:tblW w:w="0" w:type="auto"/>
        <w:tblLook w:val="01E0" w:firstRow="1" w:lastRow="1" w:firstColumn="1" w:lastColumn="1" w:noHBand="0" w:noVBand="0"/>
      </w:tblPr>
      <w:tblGrid>
        <w:gridCol w:w="3776"/>
        <w:gridCol w:w="3874"/>
      </w:tblGrid>
      <w:tr w:rsidR="004B328D" w:rsidRPr="00020288" w14:paraId="15E74AB8" w14:textId="77777777" w:rsidTr="72C2F839">
        <w:trPr>
          <w:cnfStyle w:val="100000000000" w:firstRow="1" w:lastRow="0" w:firstColumn="0" w:lastColumn="0" w:oddVBand="0" w:evenVBand="0" w:oddHBand="0" w:evenHBand="0" w:firstRowFirstColumn="0" w:firstRowLastColumn="0" w:lastRowFirstColumn="0" w:lastRowLastColumn="0"/>
        </w:trPr>
        <w:tc>
          <w:tcPr>
            <w:tcW w:w="3776" w:type="dxa"/>
          </w:tcPr>
          <w:p w14:paraId="7B343F6C" w14:textId="77777777" w:rsidR="004B328D" w:rsidRPr="00A61FE9" w:rsidRDefault="5D314BAD" w:rsidP="004B328D">
            <w:pPr>
              <w:pStyle w:val="Tableheaderrowtext"/>
              <w:numPr>
                <w:ilvl w:val="3"/>
                <w:numId w:val="2"/>
              </w:numPr>
              <w:ind w:left="1701" w:hanging="1701"/>
            </w:pPr>
            <w:r>
              <w:t>New law</w:t>
            </w:r>
          </w:p>
        </w:tc>
        <w:tc>
          <w:tcPr>
            <w:tcW w:w="3874" w:type="dxa"/>
          </w:tcPr>
          <w:p w14:paraId="1E71FC43" w14:textId="77777777" w:rsidR="004B328D" w:rsidRPr="00A61FE9" w:rsidRDefault="5D314BAD" w:rsidP="004B328D">
            <w:pPr>
              <w:pStyle w:val="Tableheaderrowtext"/>
              <w:numPr>
                <w:ilvl w:val="3"/>
                <w:numId w:val="2"/>
              </w:numPr>
              <w:ind w:left="1701" w:hanging="1701"/>
            </w:pPr>
            <w:r>
              <w:t>Current law</w:t>
            </w:r>
          </w:p>
        </w:tc>
      </w:tr>
      <w:tr w:rsidR="004B328D" w:rsidRPr="00020288" w14:paraId="4033B71E" w14:textId="77777777" w:rsidTr="72C2F839">
        <w:tc>
          <w:tcPr>
            <w:tcW w:w="3776" w:type="dxa"/>
          </w:tcPr>
          <w:p w14:paraId="652A270B" w14:textId="5F9C7B39" w:rsidR="004B328D" w:rsidRPr="002574FF" w:rsidRDefault="004B328D" w:rsidP="00625C86">
            <w:pPr>
              <w:pStyle w:val="Tabletext"/>
            </w:pPr>
            <w:r>
              <w:t xml:space="preserve">New section </w:t>
            </w:r>
            <w:r w:rsidRPr="00920AE1">
              <w:t>941C(</w:t>
            </w:r>
            <w:r>
              <w:t xml:space="preserve">2A) </w:t>
            </w:r>
            <w:r w:rsidR="005564D4">
              <w:t xml:space="preserve">exempts </w:t>
            </w:r>
            <w:r>
              <w:t xml:space="preserve">the trustee of a superannuation entity from providing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rsidR="00CE2269">
              <w:t>where the</w:t>
            </w:r>
            <w:r>
              <w:t xml:space="preserve"> financial service is dealing in the </w:t>
            </w:r>
            <w:r w:rsidR="00CE2459">
              <w:t>ordinary course</w:t>
            </w:r>
            <w:r>
              <w:t xml:space="preserve"> of operation of the superannuation entity.</w:t>
            </w:r>
          </w:p>
        </w:tc>
        <w:tc>
          <w:tcPr>
            <w:tcW w:w="3874" w:type="dxa"/>
          </w:tcPr>
          <w:p w14:paraId="1D28C5A9" w14:textId="366A2360" w:rsidR="004B328D" w:rsidRPr="002574FF" w:rsidRDefault="00DB63E7" w:rsidP="00625C86">
            <w:pPr>
              <w:pStyle w:val="Tabletext"/>
            </w:pPr>
            <w:r w:rsidRPr="00DB63E7">
              <w:t xml:space="preserve">ASIC Corporations (Superannuation and Schemes: Underlying Investments) Instrument 2016/378 exempts </w:t>
            </w:r>
            <w:r>
              <w:t>the</w:t>
            </w:r>
            <w:r w:rsidR="004B328D" w:rsidRPr="00527FC5">
              <w:t xml:space="preserve"> trustee of a superannuation fund from the requirement to provide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rsidR="004B328D" w:rsidRPr="00527FC5">
              <w:t>where the trustee deals in a financial product in the ordinary course of the operation of the fund.</w:t>
            </w:r>
          </w:p>
        </w:tc>
      </w:tr>
      <w:tr w:rsidR="004B328D" w:rsidRPr="00020288" w14:paraId="65F10F82" w14:textId="77777777" w:rsidTr="72C2F839">
        <w:tc>
          <w:tcPr>
            <w:tcW w:w="3776" w:type="dxa"/>
          </w:tcPr>
          <w:p w14:paraId="1B04C1C2" w14:textId="5F3B1AD1" w:rsidR="004B328D" w:rsidRPr="002574FF" w:rsidRDefault="004B328D" w:rsidP="00625C86">
            <w:pPr>
              <w:pStyle w:val="Tabletext"/>
              <w:keepNext/>
            </w:pPr>
            <w:r>
              <w:lastRenderedPageBreak/>
              <w:t xml:space="preserve">New section </w:t>
            </w:r>
            <w:r w:rsidRPr="00920AE1">
              <w:t>941C(</w:t>
            </w:r>
            <w:r>
              <w:t xml:space="preserve">2B) </w:t>
            </w:r>
            <w:r w:rsidR="00E20ECF">
              <w:t xml:space="preserve">exempts </w:t>
            </w:r>
            <w:r>
              <w:t xml:space="preserve">the </w:t>
            </w:r>
            <w:r w:rsidRPr="00527FC5">
              <w:t>responsible entity of a registered scheme</w:t>
            </w:r>
            <w:r>
              <w:t xml:space="preserve"> from providing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rsidR="00CE2269">
              <w:t>where</w:t>
            </w:r>
            <w:r>
              <w:t xml:space="preserve"> the financial service is dealing in the ordering course of operation of the scheme.</w:t>
            </w:r>
          </w:p>
        </w:tc>
        <w:tc>
          <w:tcPr>
            <w:tcW w:w="3874" w:type="dxa"/>
          </w:tcPr>
          <w:p w14:paraId="2089EA5F" w14:textId="754B1480" w:rsidR="004B328D" w:rsidRPr="002574FF" w:rsidRDefault="00DB63E7" w:rsidP="00625C86">
            <w:pPr>
              <w:pStyle w:val="Tabletext"/>
              <w:keepNext/>
            </w:pPr>
            <w:r w:rsidRPr="00DB63E7">
              <w:t xml:space="preserve">ASIC Corporations (Superannuation and Schemes: Underlying Investments) Instrument 2016/378 exempts </w:t>
            </w:r>
            <w:r>
              <w:t>the</w:t>
            </w:r>
            <w:r w:rsidR="004B328D" w:rsidRPr="00527FC5">
              <w:t xml:space="preserve"> responsible entity of a registered scheme from the requirement to provide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rsidR="004B328D" w:rsidRPr="00527FC5">
              <w:t>to a member of the scheme to the extent that the requirement would apply to the responsible entity dealing in a financial product in the ordinary course of the operation of the scheme.</w:t>
            </w:r>
          </w:p>
        </w:tc>
      </w:tr>
    </w:tbl>
    <w:p w14:paraId="6BECD5A0" w14:textId="77777777" w:rsidR="004B328D" w:rsidRPr="00020288" w:rsidRDefault="5D314BAD" w:rsidP="004B328D">
      <w:pPr>
        <w:pStyle w:val="Heading4"/>
        <w:numPr>
          <w:ilvl w:val="3"/>
          <w:numId w:val="2"/>
        </w:numPr>
      </w:pPr>
      <w:r>
        <w:t>Detailed explanation of new law</w:t>
      </w:r>
    </w:p>
    <w:p w14:paraId="77CC4E70" w14:textId="6DBD8AC8" w:rsidR="004B328D" w:rsidRDefault="4EB93D4F" w:rsidP="004B328D">
      <w:pPr>
        <w:pStyle w:val="Normalparatextwithnumbers"/>
      </w:pPr>
      <w:r>
        <w:t>S</w:t>
      </w:r>
      <w:r w:rsidR="007056E0">
        <w:t>ubs</w:t>
      </w:r>
      <w:r>
        <w:t xml:space="preserve">ection 941C(3B) of the </w:t>
      </w:r>
      <w:r w:rsidR="3F2E9831">
        <w:t xml:space="preserve">Corporations </w:t>
      </w:r>
      <w:r>
        <w:t xml:space="preserve">Act exempts trustees of a registerable superannuation fund from providing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t>where the financial service consists only of providing superannuation trustee services. S</w:t>
      </w:r>
      <w:r w:rsidR="007056E0">
        <w:t>ubs</w:t>
      </w:r>
      <w:r>
        <w:t>ection 941</w:t>
      </w:r>
      <w:proofErr w:type="gramStart"/>
      <w:r>
        <w:t>C(</w:t>
      </w:r>
      <w:proofErr w:type="gramEnd"/>
      <w:r>
        <w:t>3) provides a similar exemption for the responsible entities for a registered scheme the financial service consists only of the operation of that scheme.</w:t>
      </w:r>
    </w:p>
    <w:p w14:paraId="73EA0D81" w14:textId="57298291" w:rsidR="004B328D" w:rsidRDefault="4EB93D4F" w:rsidP="004B328D">
      <w:pPr>
        <w:pStyle w:val="Normalparatextwithnumbers"/>
      </w:pPr>
      <w:r>
        <w:t xml:space="preserve">However, neither of these exemptions address the dealing in the underlying investments or assets of the scheme or fund, which is a financial service according to </w:t>
      </w:r>
      <w:r w:rsidR="00122CFC">
        <w:t>paragraph</w:t>
      </w:r>
      <w:r w:rsidR="00EC52CB">
        <w:t xml:space="preserve"> </w:t>
      </w:r>
      <w:r>
        <w:t>766</w:t>
      </w:r>
      <w:r w:rsidR="00E87DDE">
        <w:t>A</w:t>
      </w:r>
      <w:r w:rsidDel="00E87DDE">
        <w:t>(</w:t>
      </w:r>
      <w:r w:rsidR="00122CFC">
        <w:t>1)</w:t>
      </w:r>
      <w:r>
        <w:t xml:space="preserve">(b) of the Act. </w:t>
      </w:r>
      <w:r w:rsidR="3414E6CB">
        <w:t xml:space="preserve">As underlying dealing is a necessary part of the ordinary operation of a scheme or fund, the existing exemptions have little practical effect if a trustee or responsible entity is </w:t>
      </w:r>
      <w:r w:rsidR="46E6120C">
        <w:t xml:space="preserve">still </w:t>
      </w:r>
      <w:r w:rsidR="3414E6CB">
        <w:t xml:space="preserve">required to provide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rsidR="3414E6CB">
        <w:t>for the underlying dealing</w:t>
      </w:r>
      <w:r w:rsidR="46CB1A37">
        <w:t xml:space="preserve"> that forms part of the exempted services</w:t>
      </w:r>
      <w:r w:rsidR="3414E6CB">
        <w:t>.</w:t>
      </w:r>
    </w:p>
    <w:p w14:paraId="75150093" w14:textId="7374EB07" w:rsidR="004B328D" w:rsidRDefault="4EB93D4F" w:rsidP="004B328D">
      <w:pPr>
        <w:pStyle w:val="Normalparatextwithnumbers"/>
      </w:pPr>
      <w:r>
        <w:t xml:space="preserve">New subsection 941C(2A) inserts an exemption for trustees of superannuation entities from their obligation to provide members of the superannuation entity with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t xml:space="preserve">related to dealing in the ordinary course of operation of the fund. This exemption is necessary, as requiring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t>for the underlying dealing of the fund would undermine the intent of the existing exemption.</w:t>
      </w:r>
      <w:r w:rsidR="5D314BAD">
        <w:br/>
      </w:r>
      <w:r w:rsidRPr="4021B5AF">
        <w:rPr>
          <w:rStyle w:val="References"/>
        </w:rPr>
        <w:t xml:space="preserve">[Schedule </w:t>
      </w:r>
      <w:r w:rsidR="00DC1433">
        <w:rPr>
          <w:rStyle w:val="References"/>
        </w:rPr>
        <w:t>1</w:t>
      </w:r>
      <w:r w:rsidRPr="4021B5AF">
        <w:rPr>
          <w:rStyle w:val="References"/>
        </w:rPr>
        <w:t>,</w:t>
      </w:r>
      <w:r w:rsidR="00DC1433">
        <w:rPr>
          <w:rStyle w:val="References"/>
        </w:rPr>
        <w:t xml:space="preserve"> Part 3,</w:t>
      </w:r>
      <w:r w:rsidRPr="4021B5AF">
        <w:rPr>
          <w:rStyle w:val="References"/>
        </w:rPr>
        <w:t xml:space="preserve"> item </w:t>
      </w:r>
      <w:r w:rsidR="00083E19">
        <w:rPr>
          <w:rStyle w:val="References"/>
        </w:rPr>
        <w:t>24</w:t>
      </w:r>
      <w:r w:rsidRPr="4021B5AF">
        <w:rPr>
          <w:rStyle w:val="References"/>
        </w:rPr>
        <w:t>, subsection 941C(2A) of the Corporations Act]</w:t>
      </w:r>
    </w:p>
    <w:p w14:paraId="41C40B34" w14:textId="3FE7B74C" w:rsidR="004B328D" w:rsidRDefault="4EB93D4F" w:rsidP="004B328D">
      <w:pPr>
        <w:pStyle w:val="Normalparatextwithnumbers"/>
      </w:pPr>
      <w:r>
        <w:t xml:space="preserve">New subsection 941C(2B) inserts an exemption for responsible entities of a registered scheme from their obligation to provide members of the scheme with </w:t>
      </w:r>
      <w:r w:rsidR="00106823">
        <w:rPr>
          <w:color w:val="000000"/>
          <w:shd w:val="clear" w:color="auto" w:fill="FFFFFF"/>
        </w:rPr>
        <w:t xml:space="preserve">a </w:t>
      </w:r>
      <w:r w:rsidR="00106823" w:rsidRPr="00106823">
        <w:t>Financial Services Guide</w:t>
      </w:r>
      <w:r w:rsidR="00106823" w:rsidDel="00106823">
        <w:rPr>
          <w:color w:val="000000"/>
          <w:shd w:val="clear" w:color="auto" w:fill="FFFFFF"/>
        </w:rPr>
        <w:t xml:space="preserve"> </w:t>
      </w:r>
      <w:r>
        <w:t>related to dealing in the ordinary course of operation of the scheme, to likewise address the underlying dealing not covered by the existing exemption.</w:t>
      </w:r>
      <w:r w:rsidR="5D314BAD">
        <w:br/>
      </w:r>
      <w:r w:rsidRPr="4021B5AF">
        <w:rPr>
          <w:rStyle w:val="References"/>
        </w:rPr>
        <w:t xml:space="preserve">[Schedule </w:t>
      </w:r>
      <w:r w:rsidR="00DC1433">
        <w:rPr>
          <w:rStyle w:val="References"/>
        </w:rPr>
        <w:t>1</w:t>
      </w:r>
      <w:r w:rsidRPr="4021B5AF">
        <w:rPr>
          <w:rStyle w:val="References"/>
        </w:rPr>
        <w:t>,</w:t>
      </w:r>
      <w:r w:rsidR="00DC1433">
        <w:rPr>
          <w:rStyle w:val="References"/>
        </w:rPr>
        <w:t xml:space="preserve"> Part 3,</w:t>
      </w:r>
      <w:r w:rsidRPr="4021B5AF">
        <w:rPr>
          <w:rStyle w:val="References"/>
        </w:rPr>
        <w:t xml:space="preserve"> item </w:t>
      </w:r>
      <w:r w:rsidR="00083E19">
        <w:rPr>
          <w:rStyle w:val="References"/>
        </w:rPr>
        <w:t>24</w:t>
      </w:r>
      <w:r w:rsidRPr="4021B5AF">
        <w:rPr>
          <w:rStyle w:val="References"/>
        </w:rPr>
        <w:t>, subsection 941C(2B) of the Corporations Act]</w:t>
      </w:r>
    </w:p>
    <w:p w14:paraId="18EE90DA" w14:textId="77777777" w:rsidR="004B328D" w:rsidRPr="00020288" w:rsidRDefault="004B328D" w:rsidP="004B328D">
      <w:pPr>
        <w:pStyle w:val="Heading3"/>
        <w:rPr>
          <w:rFonts w:hint="eastAsia"/>
        </w:rPr>
      </w:pPr>
      <w:bookmarkStart w:id="88" w:name="_Toc125100011"/>
      <w:bookmarkStart w:id="89" w:name="_Toc125100746"/>
      <w:r w:rsidRPr="005D0844">
        <w:lastRenderedPageBreak/>
        <w:t>Consequential</w:t>
      </w:r>
      <w:r w:rsidRPr="00020288">
        <w:t xml:space="preserve"> amendments</w:t>
      </w:r>
      <w:bookmarkEnd w:id="88"/>
      <w:bookmarkEnd w:id="89"/>
    </w:p>
    <w:p w14:paraId="1337AF33" w14:textId="2783668C" w:rsidR="004B328D" w:rsidRPr="00020288" w:rsidRDefault="28A8131E" w:rsidP="004B328D">
      <w:pPr>
        <w:pStyle w:val="Normalparatextwithnumbers"/>
        <w:numPr>
          <w:ilvl w:val="1"/>
          <w:numId w:val="3"/>
        </w:numPr>
      </w:pPr>
      <w:r>
        <w:t xml:space="preserve">The Bill repeals </w:t>
      </w:r>
      <w:r w:rsidR="00345BE0" w:rsidRPr="00345BE0">
        <w:t xml:space="preserve">ASIC Corporations (Superannuation and Schemes: Underlying Investments) Instrument 2016/378 </w:t>
      </w:r>
      <w:r>
        <w:t xml:space="preserve">as it is no longer required. </w:t>
      </w:r>
      <w:r w:rsidR="4EB93D4F">
        <w:br/>
      </w:r>
      <w:r w:rsidRPr="3624B126">
        <w:rPr>
          <w:rStyle w:val="References"/>
        </w:rPr>
        <w:t xml:space="preserve">[Schedule </w:t>
      </w:r>
      <w:r w:rsidR="00DC1433">
        <w:rPr>
          <w:rStyle w:val="References"/>
        </w:rPr>
        <w:t>1, Part 3</w:t>
      </w:r>
      <w:r w:rsidR="00FD2E51">
        <w:rPr>
          <w:rStyle w:val="References"/>
        </w:rPr>
        <w:t>,</w:t>
      </w:r>
      <w:r w:rsidRPr="3624B126">
        <w:rPr>
          <w:rStyle w:val="References"/>
        </w:rPr>
        <w:t xml:space="preserve"> item 2</w:t>
      </w:r>
      <w:r w:rsidR="00083E19">
        <w:rPr>
          <w:rStyle w:val="References"/>
        </w:rPr>
        <w:t>5</w:t>
      </w:r>
      <w:r w:rsidRPr="3624B126">
        <w:rPr>
          <w:rStyle w:val="References"/>
        </w:rPr>
        <w:t xml:space="preserve">] </w:t>
      </w:r>
    </w:p>
    <w:p w14:paraId="5A48ED40" w14:textId="77777777" w:rsidR="004B328D" w:rsidRPr="00020288" w:rsidRDefault="5D314BAD" w:rsidP="004B328D">
      <w:pPr>
        <w:pStyle w:val="Heading4"/>
        <w:numPr>
          <w:ilvl w:val="3"/>
          <w:numId w:val="2"/>
        </w:numPr>
      </w:pPr>
      <w:r>
        <w:t>Commencement, application, and transitional provisions</w:t>
      </w:r>
    </w:p>
    <w:p w14:paraId="3AC29328" w14:textId="6DB644CD" w:rsidR="00D40D78" w:rsidRDefault="28A8131E" w:rsidP="004B328D">
      <w:pPr>
        <w:pStyle w:val="Normalparatextwithnumbers"/>
        <w:numPr>
          <w:ilvl w:val="1"/>
          <w:numId w:val="3"/>
        </w:numPr>
      </w:pPr>
      <w:r>
        <w:t>The amendments commence on the day after Royal Assent.</w:t>
      </w:r>
    </w:p>
    <w:p w14:paraId="047A5EE4" w14:textId="77777777" w:rsidR="00D40D78" w:rsidRDefault="00D40D78">
      <w:pPr>
        <w:spacing w:before="0" w:after="160" w:line="259" w:lineRule="auto"/>
      </w:pPr>
      <w:r>
        <w:br w:type="page"/>
      </w:r>
    </w:p>
    <w:p w14:paraId="28A5FF26" w14:textId="77777777" w:rsidR="00D40D78" w:rsidRPr="008D3CD8" w:rsidRDefault="00D40D78" w:rsidP="00EA42DD">
      <w:pPr>
        <w:pStyle w:val="Heading2"/>
        <w:rPr>
          <w:rFonts w:hint="eastAsia"/>
        </w:rPr>
      </w:pPr>
      <w:bookmarkStart w:id="90" w:name="_Toc125100747"/>
      <w:r w:rsidRPr="00D40D78">
        <w:lastRenderedPageBreak/>
        <w:t>ASIC Credit (E</w:t>
      </w:r>
      <w:r w:rsidRPr="008D3CD8">
        <w:t>lectronic Precontractual Disclosure) Instrument 2020/835</w:t>
      </w:r>
      <w:bookmarkEnd w:id="90"/>
    </w:p>
    <w:p w14:paraId="033A2ECC" w14:textId="77777777" w:rsidR="00D40D78" w:rsidRPr="008D3CD8" w:rsidRDefault="00D40D78" w:rsidP="00EA42DD">
      <w:pPr>
        <w:pStyle w:val="Heading3"/>
        <w:rPr>
          <w:rFonts w:hint="eastAsia"/>
        </w:rPr>
      </w:pPr>
      <w:bookmarkStart w:id="91" w:name="_Toc125100748"/>
      <w:r w:rsidRPr="008D3CD8">
        <w:t>Context of amendments</w:t>
      </w:r>
      <w:bookmarkEnd w:id="91"/>
    </w:p>
    <w:p w14:paraId="6A22015A" w14:textId="77777777" w:rsidR="00D40D78" w:rsidRPr="008D3CD8" w:rsidRDefault="71508C54" w:rsidP="00D40D78">
      <w:pPr>
        <w:pStyle w:val="Normalparatextwithnumbers"/>
        <w:numPr>
          <w:ilvl w:val="1"/>
          <w:numId w:val="3"/>
        </w:numPr>
      </w:pPr>
      <w:r w:rsidRPr="008D3CD8">
        <w:t xml:space="preserve">The National Credit Code sets out a legislative framework for credit contracts. </w:t>
      </w:r>
    </w:p>
    <w:p w14:paraId="359AD136" w14:textId="77777777" w:rsidR="00D40D78" w:rsidRPr="008D3CD8" w:rsidRDefault="71508C54" w:rsidP="00D40D78">
      <w:pPr>
        <w:pStyle w:val="Normalparatextwithnumbers"/>
        <w:numPr>
          <w:ilvl w:val="1"/>
          <w:numId w:val="3"/>
        </w:numPr>
      </w:pPr>
      <w:bookmarkStart w:id="92" w:name="_Hlk120640336"/>
      <w:r w:rsidRPr="008D3CD8">
        <w:t xml:space="preserve">Section 16 of the National Credit Code requires a credit provider to give debtors a precontractual statement and an information statement prior to </w:t>
      </w:r>
      <w:proofErr w:type="gramStart"/>
      <w:r w:rsidRPr="008D3CD8">
        <w:t>entering into</w:t>
      </w:r>
      <w:proofErr w:type="gramEnd"/>
      <w:r w:rsidRPr="008D3CD8">
        <w:t xml:space="preserve"> a contract.</w:t>
      </w:r>
    </w:p>
    <w:p w14:paraId="0F58C43C" w14:textId="2A08B795" w:rsidR="00D40D78" w:rsidRPr="008D3CD8" w:rsidRDefault="71508C54" w:rsidP="00D40D78">
      <w:pPr>
        <w:pStyle w:val="Normalparatextwithnumbers"/>
        <w:numPr>
          <w:ilvl w:val="1"/>
          <w:numId w:val="3"/>
        </w:numPr>
      </w:pPr>
      <w:r w:rsidRPr="008D3CD8">
        <w:t xml:space="preserve">Regulation 28L of the </w:t>
      </w:r>
      <w:r w:rsidRPr="008D3CD8">
        <w:rPr>
          <w:i/>
          <w:iCs/>
        </w:rPr>
        <w:t>National Consumer Credit Protection Regulations 2010</w:t>
      </w:r>
      <w:r w:rsidRPr="008D3CD8">
        <w:t xml:space="preserve"> sets out how certain documents that are required to be provided to consumers by Australian credit licensees (under the </w:t>
      </w:r>
      <w:r w:rsidRPr="008D3CD8">
        <w:rPr>
          <w:i/>
          <w:iCs/>
        </w:rPr>
        <w:t>National Consumer Credit Protection Act 2009</w:t>
      </w:r>
      <w:r w:rsidRPr="008D3CD8">
        <w:t>) are to be provided. This includes allowing electronic document retrieval as a manner of giving, and setting</w:t>
      </w:r>
      <w:r w:rsidR="0061431F" w:rsidRPr="008D3CD8">
        <w:t>,</w:t>
      </w:r>
      <w:r w:rsidRPr="008D3CD8">
        <w:t xml:space="preserve"> conditions that must be met when documents are given other than personally (including via electronic communication).</w:t>
      </w:r>
    </w:p>
    <w:p w14:paraId="5B6CED70" w14:textId="77777777" w:rsidR="00D40D78" w:rsidRPr="008D3CD8" w:rsidRDefault="71508C54" w:rsidP="00D40D78">
      <w:pPr>
        <w:pStyle w:val="Normalparatextwithnumbers"/>
        <w:numPr>
          <w:ilvl w:val="1"/>
          <w:numId w:val="3"/>
        </w:numPr>
      </w:pPr>
      <w:r w:rsidRPr="008D3CD8">
        <w:t>Regulation 28L does not apply to precontractual statements and information statements required by section 16 of the National Credit Code.</w:t>
      </w:r>
    </w:p>
    <w:p w14:paraId="7CDDD200" w14:textId="3D066E28" w:rsidR="00D40D78" w:rsidRPr="008D3CD8" w:rsidRDefault="71508C54" w:rsidP="00D40D78">
      <w:pPr>
        <w:pStyle w:val="Normalparatextwithnumbers"/>
        <w:numPr>
          <w:ilvl w:val="1"/>
          <w:numId w:val="3"/>
        </w:numPr>
      </w:pPr>
      <w:r w:rsidRPr="008D3CD8">
        <w:t xml:space="preserve">ASIC Credit (Electronic Precontractual Disclosure) Instrument 2020/835 </w:t>
      </w:r>
      <w:r w:rsidR="004029ED" w:rsidRPr="008D3CD8">
        <w:t>applies</w:t>
      </w:r>
      <w:r w:rsidRPr="008D3CD8">
        <w:t xml:space="preserve"> the prescribed manners of giving documents set out in Regulation 28L to all credit providers (not all of whom are licensees) for the purposes of section 16 precontractual and information statements.</w:t>
      </w:r>
    </w:p>
    <w:p w14:paraId="64CE54EA" w14:textId="77777777" w:rsidR="00D40D78" w:rsidRPr="00445BF5" w:rsidRDefault="00D40D78" w:rsidP="00445BF5">
      <w:pPr>
        <w:pStyle w:val="Heading3"/>
        <w:rPr>
          <w:rFonts w:hint="eastAsia"/>
        </w:rPr>
      </w:pPr>
      <w:bookmarkStart w:id="93" w:name="_Toc125100749"/>
      <w:bookmarkEnd w:id="92"/>
      <w:r w:rsidRPr="00445BF5">
        <w:t>Comparison of key features of new law and current law</w:t>
      </w:r>
      <w:bookmarkEnd w:id="93"/>
    </w:p>
    <w:p w14:paraId="5A9C8C38" w14:textId="77777777" w:rsidR="00D40D78" w:rsidRPr="008D3CD8" w:rsidRDefault="00D40D78" w:rsidP="00EA42DD">
      <w:pPr>
        <w:pStyle w:val="TableHeading"/>
      </w:pPr>
      <w:r w:rsidRPr="008D3CD8">
        <w:t>Comparison of new law and current law</w:t>
      </w:r>
    </w:p>
    <w:tbl>
      <w:tblPr>
        <w:tblStyle w:val="Treasurytable"/>
        <w:tblW w:w="0" w:type="auto"/>
        <w:tblLook w:val="01E0" w:firstRow="1" w:lastRow="1" w:firstColumn="1" w:lastColumn="1" w:noHBand="0" w:noVBand="0"/>
      </w:tblPr>
      <w:tblGrid>
        <w:gridCol w:w="3776"/>
        <w:gridCol w:w="3874"/>
      </w:tblGrid>
      <w:tr w:rsidR="00D40D78" w:rsidRPr="008D3CD8" w14:paraId="678ABD52" w14:textId="77777777" w:rsidTr="3624B126">
        <w:trPr>
          <w:cnfStyle w:val="100000000000" w:firstRow="1" w:lastRow="0" w:firstColumn="0" w:lastColumn="0" w:oddVBand="0" w:evenVBand="0" w:oddHBand="0" w:evenHBand="0" w:firstRowFirstColumn="0" w:firstRowLastColumn="0" w:lastRowFirstColumn="0" w:lastRowLastColumn="0"/>
        </w:trPr>
        <w:tc>
          <w:tcPr>
            <w:tcW w:w="3776" w:type="dxa"/>
          </w:tcPr>
          <w:p w14:paraId="42BC19CF" w14:textId="77777777" w:rsidR="00D40D78" w:rsidRPr="008D3CD8" w:rsidRDefault="71508C54" w:rsidP="00B32BB5">
            <w:pPr>
              <w:pStyle w:val="Tableheaderrowtext"/>
            </w:pPr>
            <w:r w:rsidRPr="008D3CD8">
              <w:t>New law</w:t>
            </w:r>
          </w:p>
        </w:tc>
        <w:tc>
          <w:tcPr>
            <w:tcW w:w="3874" w:type="dxa"/>
          </w:tcPr>
          <w:p w14:paraId="4536EF65" w14:textId="77777777" w:rsidR="00D40D78" w:rsidRPr="008D3CD8" w:rsidRDefault="71508C54" w:rsidP="00B32BB5">
            <w:pPr>
              <w:pStyle w:val="Tableheaderrowtext"/>
            </w:pPr>
            <w:r w:rsidRPr="008D3CD8">
              <w:t>Current law</w:t>
            </w:r>
          </w:p>
        </w:tc>
      </w:tr>
      <w:tr w:rsidR="00D40D78" w:rsidRPr="008D3CD8" w14:paraId="19AD67FD" w14:textId="77777777" w:rsidTr="3624B126">
        <w:tc>
          <w:tcPr>
            <w:tcW w:w="3776" w:type="dxa"/>
          </w:tcPr>
          <w:p w14:paraId="508DE581" w14:textId="376A5A7F" w:rsidR="00D40D78" w:rsidRPr="008D3CD8" w:rsidRDefault="71508C54" w:rsidP="00B32BB5">
            <w:pPr>
              <w:pStyle w:val="Tabletext"/>
            </w:pPr>
            <w:r w:rsidRPr="008D3CD8">
              <w:t xml:space="preserve">A regulation-making power supports the insertion of regulations in the </w:t>
            </w:r>
            <w:r w:rsidRPr="008D3CD8">
              <w:rPr>
                <w:i/>
                <w:iCs/>
              </w:rPr>
              <w:t>National Consumer Credit Protection Regulations 2010</w:t>
            </w:r>
            <w:r w:rsidRPr="008D3CD8">
              <w:t xml:space="preserve"> that incorporate the effect of ASIC Credit (Electronic Precontractual Disclosure) Instrument 2020/835.</w:t>
            </w:r>
          </w:p>
        </w:tc>
        <w:tc>
          <w:tcPr>
            <w:tcW w:w="3874" w:type="dxa"/>
          </w:tcPr>
          <w:p w14:paraId="6EAA6339" w14:textId="77777777" w:rsidR="00D40D78" w:rsidRPr="008D3CD8" w:rsidRDefault="71508C54" w:rsidP="00B32BB5">
            <w:pPr>
              <w:pStyle w:val="Tabletext"/>
            </w:pPr>
            <w:r w:rsidRPr="008D3CD8">
              <w:t>Credit providers may give debtors precontractual statements and information statements through an electronic document retrieval system, or other electronic communication, if they meet the conditions, set out in ASIC Credit (Electronic Precontractual Disclosure) Instrument 2020/835.</w:t>
            </w:r>
          </w:p>
        </w:tc>
      </w:tr>
      <w:tr w:rsidR="00D40D78" w:rsidRPr="008D3CD8" w14:paraId="5C3BD0E2" w14:textId="77777777" w:rsidTr="3624B126">
        <w:tc>
          <w:tcPr>
            <w:tcW w:w="3776" w:type="dxa"/>
          </w:tcPr>
          <w:p w14:paraId="2C7B0624" w14:textId="3DAAD528" w:rsidR="00D40D78" w:rsidRPr="008D3CD8" w:rsidRDefault="71508C54" w:rsidP="00B32BB5">
            <w:pPr>
              <w:pStyle w:val="Tabletext"/>
            </w:pPr>
            <w:r w:rsidRPr="008D3CD8">
              <w:t xml:space="preserve">A regulation-making power supports the insertion of regulations in the </w:t>
            </w:r>
            <w:r w:rsidRPr="008D3CD8">
              <w:rPr>
                <w:i/>
                <w:iCs/>
              </w:rPr>
              <w:t>National Consumer Credit Protection Regulations 2010</w:t>
            </w:r>
            <w:r w:rsidRPr="008D3CD8">
              <w:t xml:space="preserve"> that incorporate the effect of ASIC </w:t>
            </w:r>
            <w:r w:rsidRPr="008D3CD8">
              <w:lastRenderedPageBreak/>
              <w:t>Credit (Electronic Precontractual Disclosure) Instrument 2020/835.</w:t>
            </w:r>
          </w:p>
        </w:tc>
        <w:tc>
          <w:tcPr>
            <w:tcW w:w="3874" w:type="dxa"/>
          </w:tcPr>
          <w:p w14:paraId="06A75385" w14:textId="77777777" w:rsidR="00D40D78" w:rsidRPr="008D3CD8" w:rsidRDefault="71508C54" w:rsidP="00B32BB5">
            <w:pPr>
              <w:pStyle w:val="Tabletext"/>
            </w:pPr>
            <w:r w:rsidRPr="008D3CD8">
              <w:lastRenderedPageBreak/>
              <w:t xml:space="preserve">Where a credit provider gives precontractual statements and information statements indirectly (via electronic communication or otherwise), they must be reasonably satisfied, as set out in ASIC Credit </w:t>
            </w:r>
            <w:r w:rsidRPr="008D3CD8">
              <w:lastRenderedPageBreak/>
              <w:t xml:space="preserve">(Electronic Precontractual Disclosure Instrument 2020/835), that the debtor has received the documents prior to </w:t>
            </w:r>
            <w:proofErr w:type="gramStart"/>
            <w:r w:rsidRPr="008D3CD8">
              <w:t>entering into</w:t>
            </w:r>
            <w:proofErr w:type="gramEnd"/>
            <w:r w:rsidRPr="008D3CD8">
              <w:t xml:space="preserve"> a contract with the debtor.</w:t>
            </w:r>
          </w:p>
        </w:tc>
      </w:tr>
    </w:tbl>
    <w:p w14:paraId="7DC95773" w14:textId="77777777" w:rsidR="00D40D78" w:rsidRPr="00445BF5" w:rsidRDefault="00D40D78" w:rsidP="00445BF5">
      <w:pPr>
        <w:pStyle w:val="Heading3"/>
        <w:rPr>
          <w:rFonts w:hint="eastAsia"/>
        </w:rPr>
      </w:pPr>
      <w:bookmarkStart w:id="94" w:name="_Toc125100750"/>
      <w:r w:rsidRPr="00445BF5">
        <w:lastRenderedPageBreak/>
        <w:t>Detailed explanation of new law</w:t>
      </w:r>
      <w:bookmarkEnd w:id="94"/>
    </w:p>
    <w:p w14:paraId="302CBF74" w14:textId="00324B78" w:rsidR="00D40D78" w:rsidRPr="008D3CD8" w:rsidRDefault="71508C54" w:rsidP="00D40D78">
      <w:pPr>
        <w:pStyle w:val="Normalparatextwithnumbers"/>
        <w:numPr>
          <w:ilvl w:val="1"/>
          <w:numId w:val="3"/>
        </w:numPr>
      </w:pPr>
      <w:r w:rsidRPr="008D3CD8">
        <w:t xml:space="preserve">New </w:t>
      </w:r>
      <w:r w:rsidR="004E34CB" w:rsidRPr="008D3CD8">
        <w:t>sub</w:t>
      </w:r>
      <w:r w:rsidRPr="008D3CD8">
        <w:t>section</w:t>
      </w:r>
      <w:r w:rsidR="004E34CB" w:rsidRPr="008D3CD8">
        <w:t>s</w:t>
      </w:r>
      <w:r w:rsidRPr="008D3CD8">
        <w:t xml:space="preserve"> </w:t>
      </w:r>
      <w:r w:rsidR="004E34CB" w:rsidRPr="008D3CD8">
        <w:t xml:space="preserve">in </w:t>
      </w:r>
      <w:r w:rsidR="00787E1F" w:rsidRPr="008D3CD8">
        <w:t xml:space="preserve">section 16 to the National Credit Code </w:t>
      </w:r>
      <w:r w:rsidRPr="008D3CD8">
        <w:t xml:space="preserve">insert a power to make regulations that prescribe ways in which credit providers may give </w:t>
      </w:r>
      <w:r w:rsidR="00D93828" w:rsidRPr="008D3CD8">
        <w:t xml:space="preserve">precontractual disclosure </w:t>
      </w:r>
      <w:r w:rsidRPr="008D3CD8">
        <w:t xml:space="preserve">documents to debtors. This regulation-making power is necessary as the </w:t>
      </w:r>
      <w:r w:rsidRPr="008D3CD8">
        <w:rPr>
          <w:i/>
          <w:iCs/>
        </w:rPr>
        <w:t>National Consumer Credit Protection Act 2009</w:t>
      </w:r>
      <w:r w:rsidRPr="008D3CD8">
        <w:t xml:space="preserve"> does not contain an appropriate regulation-making power to support the incorporation of the effect of ASIC Credit (Electronic Precontractual Disclosure) Instrument 2020/835. </w:t>
      </w:r>
    </w:p>
    <w:p w14:paraId="3FB9958A" w14:textId="7D01E64D" w:rsidR="00D40D78" w:rsidRPr="008D3CD8" w:rsidRDefault="71508C54" w:rsidP="00D40D78">
      <w:pPr>
        <w:pStyle w:val="Normalparatextwithnumbers"/>
        <w:numPr>
          <w:ilvl w:val="1"/>
          <w:numId w:val="3"/>
        </w:numPr>
      </w:pPr>
      <w:r w:rsidRPr="008D3CD8">
        <w:t>Regulations may specify additional ways in which a credit provider may give a document to a debtor.</w:t>
      </w:r>
      <w:r w:rsidR="453A9B5A" w:rsidRPr="008D3CD8">
        <w:br/>
      </w:r>
      <w:r w:rsidRPr="008D3CD8">
        <w:rPr>
          <w:rStyle w:val="References"/>
        </w:rPr>
        <w:t xml:space="preserve">[Schedule </w:t>
      </w:r>
      <w:r w:rsidR="0018384A" w:rsidRPr="008D3CD8">
        <w:rPr>
          <w:rStyle w:val="References"/>
        </w:rPr>
        <w:t>1, Part 4</w:t>
      </w:r>
      <w:r w:rsidRPr="008D3CD8">
        <w:rPr>
          <w:rStyle w:val="References"/>
        </w:rPr>
        <w:t xml:space="preserve">, item </w:t>
      </w:r>
      <w:r w:rsidR="008D3CD8" w:rsidRPr="008D3CD8">
        <w:rPr>
          <w:rStyle w:val="References"/>
        </w:rPr>
        <w:t>26</w:t>
      </w:r>
      <w:r w:rsidRPr="008D3CD8">
        <w:rPr>
          <w:rStyle w:val="References"/>
        </w:rPr>
        <w:t xml:space="preserve">, subsection </w:t>
      </w:r>
      <w:r w:rsidR="00787E1F" w:rsidRPr="008D3CD8">
        <w:rPr>
          <w:rStyle w:val="References"/>
        </w:rPr>
        <w:t>16</w:t>
      </w:r>
      <w:r w:rsidRPr="008D3CD8">
        <w:rPr>
          <w:rStyle w:val="References"/>
        </w:rPr>
        <w:t>(</w:t>
      </w:r>
      <w:r w:rsidR="00787E1F" w:rsidRPr="008D3CD8">
        <w:rPr>
          <w:rStyle w:val="References"/>
        </w:rPr>
        <w:t>8</w:t>
      </w:r>
      <w:r w:rsidRPr="008D3CD8">
        <w:rPr>
          <w:rStyle w:val="References"/>
        </w:rPr>
        <w:t xml:space="preserve">) of the National </w:t>
      </w:r>
      <w:r w:rsidR="00787E1F" w:rsidRPr="008D3CD8">
        <w:rPr>
          <w:rStyle w:val="References"/>
        </w:rPr>
        <w:t>Credit Code</w:t>
      </w:r>
      <w:r w:rsidRPr="008D3CD8">
        <w:rPr>
          <w:rStyle w:val="References"/>
        </w:rPr>
        <w:t>]</w:t>
      </w:r>
    </w:p>
    <w:p w14:paraId="4DAAA526" w14:textId="69AF7034" w:rsidR="00D40D78" w:rsidRPr="008D3CD8" w:rsidRDefault="71508C54" w:rsidP="00D40D78">
      <w:pPr>
        <w:pStyle w:val="Normalparatextwithnumbers"/>
        <w:numPr>
          <w:ilvl w:val="1"/>
          <w:numId w:val="3"/>
        </w:numPr>
        <w:rPr>
          <w:rStyle w:val="References"/>
        </w:rPr>
      </w:pPr>
      <w:r w:rsidRPr="008D3CD8">
        <w:t xml:space="preserve">The regulations may also set out conditions that must be satisfied </w:t>
      </w:r>
      <w:proofErr w:type="gramStart"/>
      <w:r w:rsidRPr="008D3CD8">
        <w:t>in order for</w:t>
      </w:r>
      <w:proofErr w:type="gramEnd"/>
      <w:r w:rsidRPr="008D3CD8">
        <w:t xml:space="preserve"> a document to be given in a certain way.</w:t>
      </w:r>
      <w:r w:rsidR="453A9B5A" w:rsidRPr="008D3CD8">
        <w:br/>
      </w:r>
      <w:r w:rsidRPr="008D3CD8">
        <w:rPr>
          <w:rStyle w:val="References"/>
        </w:rPr>
        <w:t>[</w:t>
      </w:r>
      <w:r w:rsidR="00787E1F" w:rsidRPr="008D3CD8">
        <w:rPr>
          <w:rStyle w:val="References"/>
        </w:rPr>
        <w:t xml:space="preserve">Schedule 1, Part 4, item </w:t>
      </w:r>
      <w:r w:rsidR="008D3CD8" w:rsidRPr="008D3CD8">
        <w:rPr>
          <w:rStyle w:val="References"/>
        </w:rPr>
        <w:t>26</w:t>
      </w:r>
      <w:r w:rsidRPr="008D3CD8">
        <w:rPr>
          <w:rStyle w:val="References"/>
        </w:rPr>
        <w:t xml:space="preserve">, subsection </w:t>
      </w:r>
      <w:r w:rsidR="0026121E" w:rsidRPr="008D3CD8">
        <w:rPr>
          <w:rStyle w:val="References"/>
        </w:rPr>
        <w:t>16</w:t>
      </w:r>
      <w:r w:rsidRPr="008D3CD8">
        <w:rPr>
          <w:rStyle w:val="References"/>
        </w:rPr>
        <w:t>(</w:t>
      </w:r>
      <w:r w:rsidR="0026121E" w:rsidRPr="008D3CD8">
        <w:rPr>
          <w:rStyle w:val="References"/>
        </w:rPr>
        <w:t>9</w:t>
      </w:r>
      <w:r w:rsidRPr="008D3CD8">
        <w:rPr>
          <w:rStyle w:val="References"/>
        </w:rPr>
        <w:t xml:space="preserve">) of the National </w:t>
      </w:r>
      <w:r w:rsidR="00423B1E" w:rsidRPr="008D3CD8">
        <w:rPr>
          <w:rStyle w:val="References"/>
        </w:rPr>
        <w:t>Credit Code</w:t>
      </w:r>
      <w:r w:rsidRPr="008D3CD8">
        <w:rPr>
          <w:rStyle w:val="References"/>
        </w:rPr>
        <w:t>]</w:t>
      </w:r>
    </w:p>
    <w:p w14:paraId="268E90BA" w14:textId="440871DA" w:rsidR="00D40D78" w:rsidRPr="008D3CD8" w:rsidRDefault="71508C54" w:rsidP="00D40D78">
      <w:pPr>
        <w:pStyle w:val="Normalparatextwithnumbers"/>
        <w:numPr>
          <w:ilvl w:val="1"/>
          <w:numId w:val="3"/>
        </w:numPr>
        <w:rPr>
          <w:rStyle w:val="References"/>
        </w:rPr>
      </w:pPr>
      <w:r w:rsidRPr="008D3CD8">
        <w:t xml:space="preserve">If a credit provider is required </w:t>
      </w:r>
      <w:r w:rsidR="009F1587" w:rsidRPr="008D3CD8">
        <w:t xml:space="preserve">to give a precontractual disclosure </w:t>
      </w:r>
      <w:r w:rsidRPr="008D3CD8">
        <w:t xml:space="preserve">by </w:t>
      </w:r>
      <w:r w:rsidR="009F1587" w:rsidRPr="008D3CD8">
        <w:t>section</w:t>
      </w:r>
      <w:r w:rsidR="00BE769D" w:rsidRPr="008D3CD8">
        <w:t> </w:t>
      </w:r>
      <w:r w:rsidR="009F1587" w:rsidRPr="008D3CD8">
        <w:t xml:space="preserve">16 </w:t>
      </w:r>
      <w:r w:rsidRPr="008D3CD8">
        <w:t xml:space="preserve">of the National Credit </w:t>
      </w:r>
      <w:proofErr w:type="gramStart"/>
      <w:r w:rsidR="009F1587" w:rsidRPr="008D3CD8">
        <w:t>Code</w:t>
      </w:r>
      <w:r w:rsidRPr="008D3CD8">
        <w:t>, and</w:t>
      </w:r>
      <w:proofErr w:type="gramEnd"/>
      <w:r w:rsidRPr="008D3CD8">
        <w:t xml:space="preserve"> gives it in a way that is contrary to regulations made for the purposes of new </w:t>
      </w:r>
      <w:r w:rsidR="0026121E" w:rsidRPr="008D3CD8">
        <w:t>sub</w:t>
      </w:r>
      <w:r w:rsidRPr="008D3CD8">
        <w:t xml:space="preserve">section </w:t>
      </w:r>
      <w:r w:rsidR="0026121E" w:rsidRPr="008D3CD8">
        <w:t>16</w:t>
      </w:r>
      <w:r w:rsidR="0075540D" w:rsidRPr="008D3CD8">
        <w:t>(8)</w:t>
      </w:r>
      <w:r w:rsidRPr="008D3CD8">
        <w:t>, the requirement to give the document will not be satisfied.</w:t>
      </w:r>
      <w:r w:rsidR="453A9B5A" w:rsidRPr="008D3CD8">
        <w:br/>
      </w:r>
      <w:r w:rsidRPr="008D3CD8">
        <w:rPr>
          <w:rStyle w:val="References"/>
        </w:rPr>
        <w:t>[</w:t>
      </w:r>
      <w:r w:rsidR="00423B1E" w:rsidRPr="008D3CD8">
        <w:rPr>
          <w:rStyle w:val="References"/>
        </w:rPr>
        <w:t xml:space="preserve">Schedule 1, Part 4, item </w:t>
      </w:r>
      <w:r w:rsidR="008D3CD8" w:rsidRPr="008D3CD8">
        <w:rPr>
          <w:rStyle w:val="References"/>
        </w:rPr>
        <w:t>26</w:t>
      </w:r>
      <w:r w:rsidRPr="008D3CD8">
        <w:rPr>
          <w:rStyle w:val="References"/>
        </w:rPr>
        <w:t xml:space="preserve">, subsection </w:t>
      </w:r>
      <w:r w:rsidR="00423B1E" w:rsidRPr="008D3CD8">
        <w:rPr>
          <w:rStyle w:val="References"/>
        </w:rPr>
        <w:t>16(10</w:t>
      </w:r>
      <w:r w:rsidRPr="008D3CD8">
        <w:rPr>
          <w:rStyle w:val="References"/>
        </w:rPr>
        <w:t xml:space="preserve">) of the National </w:t>
      </w:r>
      <w:r w:rsidR="00423B1E" w:rsidRPr="008D3CD8">
        <w:rPr>
          <w:rStyle w:val="References"/>
        </w:rPr>
        <w:t>Credit Code</w:t>
      </w:r>
      <w:r w:rsidRPr="008D3CD8">
        <w:rPr>
          <w:rStyle w:val="References"/>
        </w:rPr>
        <w:t>]</w:t>
      </w:r>
    </w:p>
    <w:p w14:paraId="4652F4F4" w14:textId="77777777" w:rsidR="00D40D78" w:rsidRPr="00445BF5" w:rsidRDefault="00D40D78" w:rsidP="00445BF5">
      <w:pPr>
        <w:pStyle w:val="Heading3"/>
        <w:rPr>
          <w:rFonts w:hint="eastAsia"/>
        </w:rPr>
      </w:pPr>
      <w:bookmarkStart w:id="95" w:name="_Toc125100751"/>
      <w:r w:rsidRPr="00445BF5">
        <w:t>Commencement, application, and transitional provisions</w:t>
      </w:r>
      <w:bookmarkEnd w:id="95"/>
    </w:p>
    <w:p w14:paraId="28480360" w14:textId="67A9004C" w:rsidR="004B328D" w:rsidRPr="008D3CD8" w:rsidRDefault="71508C54" w:rsidP="00625C86">
      <w:pPr>
        <w:pStyle w:val="Normalparatextwithnumbers"/>
        <w:numPr>
          <w:ilvl w:val="1"/>
          <w:numId w:val="3"/>
        </w:numPr>
      </w:pPr>
      <w:r w:rsidRPr="008D3CD8">
        <w:t>The amendments commence on the day after Royal Assent.</w:t>
      </w:r>
      <w:bookmarkEnd w:id="41"/>
    </w:p>
    <w:p w14:paraId="7ED388F8" w14:textId="77777777" w:rsidR="00B77D03" w:rsidRDefault="00B77D03" w:rsidP="006E5163">
      <w:pPr>
        <w:pStyle w:val="Normalparatextnonumbers"/>
      </w:pPr>
      <w:bookmarkStart w:id="96" w:name="RISGoesHere"/>
      <w:bookmarkEnd w:id="5"/>
      <w:bookmarkEnd w:id="59"/>
      <w:bookmarkEnd w:id="60"/>
      <w:bookmarkEnd w:id="61"/>
      <w:bookmarkEnd w:id="62"/>
      <w:bookmarkEnd w:id="63"/>
      <w:bookmarkEnd w:id="66"/>
      <w:bookmarkEnd w:id="96"/>
    </w:p>
    <w:sectPr w:rsidR="00B77D03" w:rsidSect="00000BFC">
      <w:headerReference w:type="first" r:id="rId2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CDC2" w14:textId="77777777" w:rsidR="00EC4103" w:rsidRDefault="00EC4103">
      <w:pPr>
        <w:spacing w:before="0" w:after="0"/>
      </w:pPr>
      <w:r>
        <w:separator/>
      </w:r>
    </w:p>
  </w:endnote>
  <w:endnote w:type="continuationSeparator" w:id="0">
    <w:p w14:paraId="6E5F4C07" w14:textId="77777777" w:rsidR="00EC4103" w:rsidRDefault="00EC4103">
      <w:pPr>
        <w:spacing w:before="0" w:after="0"/>
      </w:pPr>
      <w:r>
        <w:continuationSeparator/>
      </w:r>
    </w:p>
  </w:endnote>
  <w:endnote w:type="continuationNotice" w:id="1">
    <w:p w14:paraId="3B96092C" w14:textId="77777777" w:rsidR="00EC4103" w:rsidRDefault="00EC41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B6F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482A"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4813" w14:textId="77777777" w:rsidR="007A2DBD" w:rsidRPr="00091474" w:rsidRDefault="007A2DBD" w:rsidP="006E5163">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6454" w14:textId="77777777" w:rsidR="00EC4103" w:rsidRDefault="00EC4103">
      <w:pPr>
        <w:spacing w:before="0" w:after="0"/>
      </w:pPr>
      <w:r>
        <w:separator/>
      </w:r>
    </w:p>
  </w:footnote>
  <w:footnote w:type="continuationSeparator" w:id="0">
    <w:p w14:paraId="267D2C69" w14:textId="77777777" w:rsidR="00EC4103" w:rsidRDefault="00EC4103">
      <w:pPr>
        <w:spacing w:before="0" w:after="0"/>
      </w:pPr>
      <w:r>
        <w:continuationSeparator/>
      </w:r>
    </w:p>
  </w:footnote>
  <w:footnote w:type="continuationNotice" w:id="1">
    <w:p w14:paraId="255FC5C9" w14:textId="77777777" w:rsidR="00EC4103" w:rsidRDefault="00EC4103">
      <w:pPr>
        <w:spacing w:before="0" w:after="0"/>
      </w:pPr>
    </w:p>
  </w:footnote>
  <w:footnote w:id="2">
    <w:p w14:paraId="6866D0DC" w14:textId="4086E3B5" w:rsidR="00744D74" w:rsidRDefault="00744D74">
      <w:pPr>
        <w:pStyle w:val="FootnoteText"/>
      </w:pPr>
      <w:r>
        <w:rPr>
          <w:rStyle w:val="FootnoteReference"/>
        </w:rPr>
        <w:footnoteRef/>
      </w:r>
      <w:r>
        <w:t xml:space="preserve"> ASIC has recently </w:t>
      </w:r>
      <w:r w:rsidR="00597DC0">
        <w:t xml:space="preserve">undertaken </w:t>
      </w:r>
      <w:r>
        <w:t>consult</w:t>
      </w:r>
      <w:r w:rsidR="00597DC0">
        <w:t>ation</w:t>
      </w:r>
      <w:r>
        <w:t xml:space="preserve"> </w:t>
      </w:r>
      <w:r w:rsidR="00597DC0">
        <w:t xml:space="preserve">on </w:t>
      </w:r>
      <w:r w:rsidR="00597DC0" w:rsidRPr="00597DC0">
        <w:t>ASIC Class Order [CO 13/520]</w:t>
      </w:r>
      <w:r>
        <w:t xml:space="preserve">. </w:t>
      </w:r>
      <w:r w:rsidR="007B08AC">
        <w:t>Information about</w:t>
      </w:r>
      <w:r>
        <w:t xml:space="preserve"> </w:t>
      </w:r>
      <w:r w:rsidR="008027A3">
        <w:t xml:space="preserve">this </w:t>
      </w:r>
      <w:r>
        <w:t xml:space="preserve">consultation can be found </w:t>
      </w:r>
      <w:r w:rsidR="008027A3">
        <w:t>at</w:t>
      </w:r>
      <w:r>
        <w:t xml:space="preserve">: </w:t>
      </w:r>
      <w:hyperlink r:id="rId1" w:history="1">
        <w:r w:rsidR="00845A88" w:rsidRPr="00845A88">
          <w:rPr>
            <w:rStyle w:val="Hyperlink"/>
          </w:rPr>
          <w:t>https://asic.gov.au/regulatory-resources/find-a-document/consultation-papers/cp-365-remaking-asic-class-orders-on-takeovers-compulsory-acquisitions-and-relevant-interests/</w:t>
        </w:r>
      </w:hyperlink>
      <w:r w:rsidR="00845A88">
        <w:t xml:space="preserve"> </w:t>
      </w:r>
      <w:r w:rsidR="006347F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BA1A" w14:textId="77777777" w:rsidR="007A2DBD" w:rsidRDefault="00000000">
    <w:pPr>
      <w:pStyle w:val="Header"/>
    </w:pPr>
    <w:r>
      <w:rPr>
        <w:noProof/>
      </w:rPr>
      <w:pict w14:anchorId="75469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0DDB"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2347" w14:textId="2F7B639B"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43C2B">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41E6"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1F05" w14:textId="6FBD276E" w:rsidR="007A2DBD" w:rsidRPr="006E5163" w:rsidRDefault="00000000" w:rsidP="006E5163">
    <w:pPr>
      <w:pStyle w:val="leftheader"/>
    </w:pPr>
    <w:fldSimple w:instr=" STYLEREF &quot;Chapter heading&quot; \* MERGEFORMAT ">
      <w:r w:rsidR="002C4FBF">
        <w:rPr>
          <w:noProof/>
        </w:rPr>
        <w:t>Rationalisation of ending ASIC instruments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45EB" w14:textId="1628514E" w:rsidR="007A2DBD" w:rsidRPr="006E5163" w:rsidRDefault="00000000" w:rsidP="006E5163">
    <w:pPr>
      <w:pStyle w:val="rightheader"/>
    </w:pPr>
    <w:fldSimple w:instr=" STYLEREF &quot;Bill Name&quot; \* MERGEFORMAT ">
      <w:r w:rsidR="002C4FBF">
        <w:rPr>
          <w:noProof/>
        </w:rPr>
        <w:t>Treasury Laws Amendment (Measures for Consultation) Bill 2023: Rationalisation of ending ASIC instruments (Tranche 2)</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6262"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E07F" w14:textId="77777777" w:rsidR="006E5163" w:rsidRDefault="006E5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203"/>
    <w:multiLevelType w:val="multilevel"/>
    <w:tmpl w:val="67D84A7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CE5393D"/>
    <w:multiLevelType w:val="multilevel"/>
    <w:tmpl w:val="9F9839C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170CA0"/>
    <w:multiLevelType w:val="multilevel"/>
    <w:tmpl w:val="D54C5DD8"/>
    <w:styleLink w:val="Chapternumbering"/>
    <w:lvl w:ilvl="0">
      <w:start w:val="1"/>
      <w:numFmt w:val="decimal"/>
      <w:pStyle w:val="Chapterheading"/>
      <w:lvlText w:val="Chapter %1:"/>
      <w:lvlJc w:val="left"/>
      <w:pPr>
        <w:tabs>
          <w:tab w:val="num" w:pos="10773"/>
        </w:tabs>
        <w:ind w:left="7796"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333BC"/>
    <w:multiLevelType w:val="multilevel"/>
    <w:tmpl w:val="3D3697E4"/>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92"/>
        </w:tabs>
        <w:ind w:left="992" w:hanging="520"/>
      </w:pPr>
      <w:rPr>
        <w:rFonts w:ascii="Times New Roman" w:hAnsi="Times New Roman" w:cs="Times New Roman"/>
      </w:rPr>
    </w:lvl>
    <w:lvl w:ilvl="2">
      <w:start w:val="1"/>
      <w:numFmt w:val="bulle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669520">
    <w:abstractNumId w:val="1"/>
  </w:num>
  <w:num w:numId="2" w16cid:durableId="1844584003">
    <w:abstractNumId w:val="13"/>
  </w:num>
  <w:num w:numId="3" w16cid:durableId="630554103">
    <w:abstractNumId w:val="5"/>
    <w:lvlOverride w:ilvl="0">
      <w:lvl w:ilvl="0">
        <w:start w:val="1"/>
        <w:numFmt w:val="decimal"/>
        <w:pStyle w:val="Chapterheading"/>
        <w:lvlText w:val="Chapter %1:"/>
        <w:lvlJc w:val="left"/>
        <w:pPr>
          <w:tabs>
            <w:tab w:val="num" w:pos="10773"/>
          </w:tabs>
          <w:ind w:left="7796"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1400909458">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084646601">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097943409">
    <w:abstractNumId w:val="5"/>
  </w:num>
  <w:num w:numId="7" w16cid:durableId="657804424">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21348646">
    <w:abstractNumId w:val="6"/>
  </w:num>
  <w:num w:numId="9" w16cid:durableId="858351546">
    <w:abstractNumId w:val="15"/>
  </w:num>
  <w:num w:numId="10" w16cid:durableId="107622095">
    <w:abstractNumId w:val="8"/>
  </w:num>
  <w:num w:numId="11" w16cid:durableId="2001035485">
    <w:abstractNumId w:val="7"/>
  </w:num>
  <w:num w:numId="12" w16cid:durableId="1275361705">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91832099">
    <w:abstractNumId w:val="13"/>
  </w:num>
  <w:num w:numId="14" w16cid:durableId="1544713515">
    <w:abstractNumId w:val="10"/>
  </w:num>
  <w:num w:numId="15" w16cid:durableId="906450762">
    <w:abstractNumId w:val="12"/>
  </w:num>
  <w:num w:numId="16" w16cid:durableId="146750430">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062558018">
    <w:abstractNumId w:val="6"/>
  </w:num>
  <w:num w:numId="18" w16cid:durableId="1392651902">
    <w:abstractNumId w:val="3"/>
  </w:num>
  <w:num w:numId="19" w16cid:durableId="1191576764">
    <w:abstractNumId w:val="9"/>
  </w:num>
  <w:num w:numId="20" w16cid:durableId="1123689406">
    <w:abstractNumId w:val="14"/>
  </w:num>
  <w:num w:numId="21" w16cid:durableId="1690644246">
    <w:abstractNumId w:val="13"/>
  </w:num>
  <w:num w:numId="22" w16cid:durableId="630549728">
    <w:abstractNumId w:val="2"/>
  </w:num>
  <w:num w:numId="23" w16cid:durableId="632753035">
    <w:abstractNumId w:val="0"/>
  </w:num>
  <w:num w:numId="24" w16cid:durableId="1945501856">
    <w:abstractNumId w:val="5"/>
  </w:num>
  <w:num w:numId="25" w16cid:durableId="885946068">
    <w:abstractNumId w:val="5"/>
  </w:num>
  <w:num w:numId="26" w16cid:durableId="1753425637">
    <w:abstractNumId w:val="11"/>
  </w:num>
  <w:num w:numId="27" w16cid:durableId="127926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D0"/>
    <w:rsid w:val="00000BFC"/>
    <w:rsid w:val="0000218F"/>
    <w:rsid w:val="00003B48"/>
    <w:rsid w:val="000053E5"/>
    <w:rsid w:val="00007DA0"/>
    <w:rsid w:val="0001028B"/>
    <w:rsid w:val="000153DA"/>
    <w:rsid w:val="00017B8A"/>
    <w:rsid w:val="000207CA"/>
    <w:rsid w:val="00021DAA"/>
    <w:rsid w:val="00023062"/>
    <w:rsid w:val="00024046"/>
    <w:rsid w:val="00027BF2"/>
    <w:rsid w:val="00027C9B"/>
    <w:rsid w:val="000327F8"/>
    <w:rsid w:val="00032E2F"/>
    <w:rsid w:val="00034E7E"/>
    <w:rsid w:val="000356CC"/>
    <w:rsid w:val="00040058"/>
    <w:rsid w:val="000401E2"/>
    <w:rsid w:val="00042E5D"/>
    <w:rsid w:val="00047FF2"/>
    <w:rsid w:val="00056DA7"/>
    <w:rsid w:val="0006056D"/>
    <w:rsid w:val="0006159D"/>
    <w:rsid w:val="0006556C"/>
    <w:rsid w:val="000678F5"/>
    <w:rsid w:val="00076855"/>
    <w:rsid w:val="000773A9"/>
    <w:rsid w:val="000803CA"/>
    <w:rsid w:val="000806E0"/>
    <w:rsid w:val="00080C63"/>
    <w:rsid w:val="00081E64"/>
    <w:rsid w:val="0008240C"/>
    <w:rsid w:val="0008311B"/>
    <w:rsid w:val="00083E19"/>
    <w:rsid w:val="00087F47"/>
    <w:rsid w:val="00087FE9"/>
    <w:rsid w:val="00090A2C"/>
    <w:rsid w:val="00091F1B"/>
    <w:rsid w:val="0009682C"/>
    <w:rsid w:val="000A073B"/>
    <w:rsid w:val="000A272C"/>
    <w:rsid w:val="000A3230"/>
    <w:rsid w:val="000A465E"/>
    <w:rsid w:val="000B6B0F"/>
    <w:rsid w:val="000B6B3E"/>
    <w:rsid w:val="000B7D6E"/>
    <w:rsid w:val="000C1780"/>
    <w:rsid w:val="000C217F"/>
    <w:rsid w:val="000C33FF"/>
    <w:rsid w:val="000C3F01"/>
    <w:rsid w:val="000C6307"/>
    <w:rsid w:val="000C6950"/>
    <w:rsid w:val="000C7D7C"/>
    <w:rsid w:val="000D24A0"/>
    <w:rsid w:val="000D2E26"/>
    <w:rsid w:val="000D3CA1"/>
    <w:rsid w:val="000D4C11"/>
    <w:rsid w:val="000D4CC3"/>
    <w:rsid w:val="000D53BD"/>
    <w:rsid w:val="000D6371"/>
    <w:rsid w:val="000D6B27"/>
    <w:rsid w:val="000E194A"/>
    <w:rsid w:val="000E4982"/>
    <w:rsid w:val="000E4D39"/>
    <w:rsid w:val="000E521B"/>
    <w:rsid w:val="000E5808"/>
    <w:rsid w:val="000F0032"/>
    <w:rsid w:val="000F1E61"/>
    <w:rsid w:val="000F2DB1"/>
    <w:rsid w:val="000F3EF5"/>
    <w:rsid w:val="00101C9E"/>
    <w:rsid w:val="00102E47"/>
    <w:rsid w:val="00105E85"/>
    <w:rsid w:val="00106823"/>
    <w:rsid w:val="00106FDC"/>
    <w:rsid w:val="00107EE7"/>
    <w:rsid w:val="001136CA"/>
    <w:rsid w:val="00113BD0"/>
    <w:rsid w:val="00115509"/>
    <w:rsid w:val="001161E6"/>
    <w:rsid w:val="001227A2"/>
    <w:rsid w:val="00122CFC"/>
    <w:rsid w:val="00122F71"/>
    <w:rsid w:val="00130340"/>
    <w:rsid w:val="001347CC"/>
    <w:rsid w:val="00136304"/>
    <w:rsid w:val="00136528"/>
    <w:rsid w:val="00141701"/>
    <w:rsid w:val="00142DBC"/>
    <w:rsid w:val="0015189C"/>
    <w:rsid w:val="001549F0"/>
    <w:rsid w:val="0015707B"/>
    <w:rsid w:val="00157A7E"/>
    <w:rsid w:val="00157FCF"/>
    <w:rsid w:val="00163457"/>
    <w:rsid w:val="00163941"/>
    <w:rsid w:val="00165C66"/>
    <w:rsid w:val="0016612F"/>
    <w:rsid w:val="00170C78"/>
    <w:rsid w:val="00171F7F"/>
    <w:rsid w:val="001728C9"/>
    <w:rsid w:val="001741A2"/>
    <w:rsid w:val="001819F5"/>
    <w:rsid w:val="00182B0D"/>
    <w:rsid w:val="0018384A"/>
    <w:rsid w:val="001839A2"/>
    <w:rsid w:val="00187079"/>
    <w:rsid w:val="00195B42"/>
    <w:rsid w:val="00195D1C"/>
    <w:rsid w:val="001A6973"/>
    <w:rsid w:val="001B07FA"/>
    <w:rsid w:val="001B0F60"/>
    <w:rsid w:val="001B1306"/>
    <w:rsid w:val="001B30E9"/>
    <w:rsid w:val="001C0D6A"/>
    <w:rsid w:val="001C0F68"/>
    <w:rsid w:val="001C4E8F"/>
    <w:rsid w:val="001C5CBF"/>
    <w:rsid w:val="001E01BF"/>
    <w:rsid w:val="001E045A"/>
    <w:rsid w:val="001E082F"/>
    <w:rsid w:val="001E45D1"/>
    <w:rsid w:val="001E564A"/>
    <w:rsid w:val="001F0697"/>
    <w:rsid w:val="001F0C81"/>
    <w:rsid w:val="001F2592"/>
    <w:rsid w:val="001F377F"/>
    <w:rsid w:val="001F4B90"/>
    <w:rsid w:val="001F6F9E"/>
    <w:rsid w:val="002076B1"/>
    <w:rsid w:val="00207971"/>
    <w:rsid w:val="00207A06"/>
    <w:rsid w:val="00210680"/>
    <w:rsid w:val="00212EDD"/>
    <w:rsid w:val="0021610D"/>
    <w:rsid w:val="002167AA"/>
    <w:rsid w:val="002236CF"/>
    <w:rsid w:val="00223E82"/>
    <w:rsid w:val="00227455"/>
    <w:rsid w:val="002279C6"/>
    <w:rsid w:val="00230C17"/>
    <w:rsid w:val="00233212"/>
    <w:rsid w:val="002338CA"/>
    <w:rsid w:val="0023409D"/>
    <w:rsid w:val="00235F1C"/>
    <w:rsid w:val="002425D9"/>
    <w:rsid w:val="00242B2A"/>
    <w:rsid w:val="0024784F"/>
    <w:rsid w:val="00250844"/>
    <w:rsid w:val="00252AA8"/>
    <w:rsid w:val="00255534"/>
    <w:rsid w:val="002559BD"/>
    <w:rsid w:val="002574FF"/>
    <w:rsid w:val="00260B8B"/>
    <w:rsid w:val="0026121E"/>
    <w:rsid w:val="002622D5"/>
    <w:rsid w:val="0026262E"/>
    <w:rsid w:val="00263913"/>
    <w:rsid w:val="002643C1"/>
    <w:rsid w:val="00265AF5"/>
    <w:rsid w:val="002704BC"/>
    <w:rsid w:val="00271E10"/>
    <w:rsid w:val="00272BC7"/>
    <w:rsid w:val="00272FB0"/>
    <w:rsid w:val="00274D5C"/>
    <w:rsid w:val="00276753"/>
    <w:rsid w:val="002801A4"/>
    <w:rsid w:val="00280698"/>
    <w:rsid w:val="00280FA9"/>
    <w:rsid w:val="00282029"/>
    <w:rsid w:val="0028463E"/>
    <w:rsid w:val="002854B0"/>
    <w:rsid w:val="00287164"/>
    <w:rsid w:val="002872AB"/>
    <w:rsid w:val="002906D8"/>
    <w:rsid w:val="00291D2D"/>
    <w:rsid w:val="002935AC"/>
    <w:rsid w:val="00297081"/>
    <w:rsid w:val="002A2137"/>
    <w:rsid w:val="002A52E5"/>
    <w:rsid w:val="002B0820"/>
    <w:rsid w:val="002B0B67"/>
    <w:rsid w:val="002B13DC"/>
    <w:rsid w:val="002B1A26"/>
    <w:rsid w:val="002B1D9E"/>
    <w:rsid w:val="002B1EEE"/>
    <w:rsid w:val="002B623C"/>
    <w:rsid w:val="002B6F60"/>
    <w:rsid w:val="002C3D65"/>
    <w:rsid w:val="002C4FBF"/>
    <w:rsid w:val="002C526E"/>
    <w:rsid w:val="002C7842"/>
    <w:rsid w:val="002C78D6"/>
    <w:rsid w:val="002D080A"/>
    <w:rsid w:val="002D1FEE"/>
    <w:rsid w:val="002D2F8F"/>
    <w:rsid w:val="002E08EF"/>
    <w:rsid w:val="002E2A64"/>
    <w:rsid w:val="002E5C3C"/>
    <w:rsid w:val="002E7E72"/>
    <w:rsid w:val="002F0FA5"/>
    <w:rsid w:val="002F1CB0"/>
    <w:rsid w:val="002F32AE"/>
    <w:rsid w:val="002F4B60"/>
    <w:rsid w:val="002F5302"/>
    <w:rsid w:val="002F6842"/>
    <w:rsid w:val="00301AC8"/>
    <w:rsid w:val="00302E73"/>
    <w:rsid w:val="00303001"/>
    <w:rsid w:val="00305785"/>
    <w:rsid w:val="00305C92"/>
    <w:rsid w:val="0031022E"/>
    <w:rsid w:val="003105BB"/>
    <w:rsid w:val="00311013"/>
    <w:rsid w:val="00315D81"/>
    <w:rsid w:val="00316A98"/>
    <w:rsid w:val="003231B8"/>
    <w:rsid w:val="003269AE"/>
    <w:rsid w:val="0033313F"/>
    <w:rsid w:val="0034152A"/>
    <w:rsid w:val="00342AF4"/>
    <w:rsid w:val="00345BE0"/>
    <w:rsid w:val="00345FE5"/>
    <w:rsid w:val="00347B83"/>
    <w:rsid w:val="003510A8"/>
    <w:rsid w:val="00351274"/>
    <w:rsid w:val="00351D4D"/>
    <w:rsid w:val="00352127"/>
    <w:rsid w:val="003533F5"/>
    <w:rsid w:val="003548CA"/>
    <w:rsid w:val="003556BF"/>
    <w:rsid w:val="00355807"/>
    <w:rsid w:val="00357087"/>
    <w:rsid w:val="00362D8B"/>
    <w:rsid w:val="0036790F"/>
    <w:rsid w:val="00381457"/>
    <w:rsid w:val="00387402"/>
    <w:rsid w:val="00390DBE"/>
    <w:rsid w:val="00392942"/>
    <w:rsid w:val="0039391C"/>
    <w:rsid w:val="00394C9E"/>
    <w:rsid w:val="003971ED"/>
    <w:rsid w:val="003A0372"/>
    <w:rsid w:val="003A1527"/>
    <w:rsid w:val="003A1800"/>
    <w:rsid w:val="003A5378"/>
    <w:rsid w:val="003B0902"/>
    <w:rsid w:val="003B652A"/>
    <w:rsid w:val="003B6B93"/>
    <w:rsid w:val="003B706B"/>
    <w:rsid w:val="003C1F0A"/>
    <w:rsid w:val="003C63FB"/>
    <w:rsid w:val="003D02AC"/>
    <w:rsid w:val="003D30B4"/>
    <w:rsid w:val="003E3577"/>
    <w:rsid w:val="003E60C7"/>
    <w:rsid w:val="003E6F4C"/>
    <w:rsid w:val="003F084D"/>
    <w:rsid w:val="003F1AD7"/>
    <w:rsid w:val="00400CC5"/>
    <w:rsid w:val="004026FF"/>
    <w:rsid w:val="004029ED"/>
    <w:rsid w:val="00402E18"/>
    <w:rsid w:val="004034EB"/>
    <w:rsid w:val="00406D58"/>
    <w:rsid w:val="00410CCE"/>
    <w:rsid w:val="004131A0"/>
    <w:rsid w:val="00414017"/>
    <w:rsid w:val="00414805"/>
    <w:rsid w:val="00416CD9"/>
    <w:rsid w:val="00422E2C"/>
    <w:rsid w:val="00423207"/>
    <w:rsid w:val="00423B1E"/>
    <w:rsid w:val="00427EDF"/>
    <w:rsid w:val="00430A32"/>
    <w:rsid w:val="004321E0"/>
    <w:rsid w:val="00434A68"/>
    <w:rsid w:val="00434B00"/>
    <w:rsid w:val="00437698"/>
    <w:rsid w:val="00440043"/>
    <w:rsid w:val="00440A87"/>
    <w:rsid w:val="00441B8E"/>
    <w:rsid w:val="00442B70"/>
    <w:rsid w:val="00445BF5"/>
    <w:rsid w:val="0044639B"/>
    <w:rsid w:val="00450CA3"/>
    <w:rsid w:val="00451FB9"/>
    <w:rsid w:val="004556EF"/>
    <w:rsid w:val="0045791F"/>
    <w:rsid w:val="004603EF"/>
    <w:rsid w:val="00463A8F"/>
    <w:rsid w:val="00465AB8"/>
    <w:rsid w:val="0046632E"/>
    <w:rsid w:val="0046638D"/>
    <w:rsid w:val="004668EA"/>
    <w:rsid w:val="00472306"/>
    <w:rsid w:val="0047593B"/>
    <w:rsid w:val="00477C04"/>
    <w:rsid w:val="00481BAF"/>
    <w:rsid w:val="0048247F"/>
    <w:rsid w:val="00485FD0"/>
    <w:rsid w:val="004879D4"/>
    <w:rsid w:val="00487CD8"/>
    <w:rsid w:val="004914FC"/>
    <w:rsid w:val="00492729"/>
    <w:rsid w:val="00493024"/>
    <w:rsid w:val="00493A51"/>
    <w:rsid w:val="00495D71"/>
    <w:rsid w:val="00496642"/>
    <w:rsid w:val="00496C21"/>
    <w:rsid w:val="004971E2"/>
    <w:rsid w:val="004A29F6"/>
    <w:rsid w:val="004A5B8D"/>
    <w:rsid w:val="004A644F"/>
    <w:rsid w:val="004B1C70"/>
    <w:rsid w:val="004B1F33"/>
    <w:rsid w:val="004B328D"/>
    <w:rsid w:val="004B5743"/>
    <w:rsid w:val="004B6A7A"/>
    <w:rsid w:val="004C5115"/>
    <w:rsid w:val="004D10D2"/>
    <w:rsid w:val="004D1835"/>
    <w:rsid w:val="004D2854"/>
    <w:rsid w:val="004D58F9"/>
    <w:rsid w:val="004E34CB"/>
    <w:rsid w:val="004E4E64"/>
    <w:rsid w:val="004E5A73"/>
    <w:rsid w:val="004E5B35"/>
    <w:rsid w:val="004E5C97"/>
    <w:rsid w:val="004E74EE"/>
    <w:rsid w:val="004F23C3"/>
    <w:rsid w:val="004F3D7A"/>
    <w:rsid w:val="004F5E5D"/>
    <w:rsid w:val="004F5FC5"/>
    <w:rsid w:val="004F715A"/>
    <w:rsid w:val="004F7C15"/>
    <w:rsid w:val="0050041B"/>
    <w:rsid w:val="00503316"/>
    <w:rsid w:val="00503CB2"/>
    <w:rsid w:val="00505347"/>
    <w:rsid w:val="005066F5"/>
    <w:rsid w:val="00506910"/>
    <w:rsid w:val="005106BF"/>
    <w:rsid w:val="00512433"/>
    <w:rsid w:val="00514572"/>
    <w:rsid w:val="00517D6E"/>
    <w:rsid w:val="00517FC8"/>
    <w:rsid w:val="0052166C"/>
    <w:rsid w:val="00522CB1"/>
    <w:rsid w:val="00523089"/>
    <w:rsid w:val="00524AD7"/>
    <w:rsid w:val="0052578A"/>
    <w:rsid w:val="00525CDD"/>
    <w:rsid w:val="00525F7A"/>
    <w:rsid w:val="00531C67"/>
    <w:rsid w:val="00532C08"/>
    <w:rsid w:val="00533525"/>
    <w:rsid w:val="00535074"/>
    <w:rsid w:val="005356CB"/>
    <w:rsid w:val="00540E99"/>
    <w:rsid w:val="00543B13"/>
    <w:rsid w:val="0054719C"/>
    <w:rsid w:val="00547D0B"/>
    <w:rsid w:val="005515C0"/>
    <w:rsid w:val="005546CD"/>
    <w:rsid w:val="005564D4"/>
    <w:rsid w:val="0056675C"/>
    <w:rsid w:val="005704B1"/>
    <w:rsid w:val="0057163B"/>
    <w:rsid w:val="005809CB"/>
    <w:rsid w:val="00581DC8"/>
    <w:rsid w:val="00581F52"/>
    <w:rsid w:val="00582B9E"/>
    <w:rsid w:val="00584ACD"/>
    <w:rsid w:val="00585596"/>
    <w:rsid w:val="0058792C"/>
    <w:rsid w:val="005905DF"/>
    <w:rsid w:val="0059200B"/>
    <w:rsid w:val="00594B8A"/>
    <w:rsid w:val="0059598E"/>
    <w:rsid w:val="00597DC0"/>
    <w:rsid w:val="00597FA4"/>
    <w:rsid w:val="005A0C2A"/>
    <w:rsid w:val="005A0E83"/>
    <w:rsid w:val="005A3AA3"/>
    <w:rsid w:val="005A5610"/>
    <w:rsid w:val="005C26AD"/>
    <w:rsid w:val="005C2BD1"/>
    <w:rsid w:val="005C2BE3"/>
    <w:rsid w:val="005D0844"/>
    <w:rsid w:val="005D169F"/>
    <w:rsid w:val="005D5F12"/>
    <w:rsid w:val="005E1542"/>
    <w:rsid w:val="005E5399"/>
    <w:rsid w:val="005F0913"/>
    <w:rsid w:val="006030CB"/>
    <w:rsid w:val="006042C2"/>
    <w:rsid w:val="00613C00"/>
    <w:rsid w:val="0061431F"/>
    <w:rsid w:val="00614934"/>
    <w:rsid w:val="00617440"/>
    <w:rsid w:val="00617B16"/>
    <w:rsid w:val="00620B2A"/>
    <w:rsid w:val="00621610"/>
    <w:rsid w:val="006218FF"/>
    <w:rsid w:val="00621929"/>
    <w:rsid w:val="00622763"/>
    <w:rsid w:val="00622DB8"/>
    <w:rsid w:val="006235C8"/>
    <w:rsid w:val="00624905"/>
    <w:rsid w:val="00625C86"/>
    <w:rsid w:val="00626AF9"/>
    <w:rsid w:val="006274BB"/>
    <w:rsid w:val="00630725"/>
    <w:rsid w:val="00632780"/>
    <w:rsid w:val="006342DC"/>
    <w:rsid w:val="006347F4"/>
    <w:rsid w:val="006362EE"/>
    <w:rsid w:val="00637F0C"/>
    <w:rsid w:val="00642420"/>
    <w:rsid w:val="0064316F"/>
    <w:rsid w:val="006438CD"/>
    <w:rsid w:val="006473D6"/>
    <w:rsid w:val="006479AC"/>
    <w:rsid w:val="00651736"/>
    <w:rsid w:val="00652892"/>
    <w:rsid w:val="0065388B"/>
    <w:rsid w:val="006547BB"/>
    <w:rsid w:val="0065523E"/>
    <w:rsid w:val="00656D7D"/>
    <w:rsid w:val="00665937"/>
    <w:rsid w:val="00671F62"/>
    <w:rsid w:val="00683847"/>
    <w:rsid w:val="00684F82"/>
    <w:rsid w:val="00690785"/>
    <w:rsid w:val="00692DC7"/>
    <w:rsid w:val="00693878"/>
    <w:rsid w:val="00693BB7"/>
    <w:rsid w:val="006A0E1F"/>
    <w:rsid w:val="006A2BC6"/>
    <w:rsid w:val="006A31FD"/>
    <w:rsid w:val="006A3D78"/>
    <w:rsid w:val="006A455A"/>
    <w:rsid w:val="006B334B"/>
    <w:rsid w:val="006B4370"/>
    <w:rsid w:val="006B6B2E"/>
    <w:rsid w:val="006C051E"/>
    <w:rsid w:val="006C192F"/>
    <w:rsid w:val="006C3AF7"/>
    <w:rsid w:val="006C40A4"/>
    <w:rsid w:val="006C4A0D"/>
    <w:rsid w:val="006C67F6"/>
    <w:rsid w:val="006C76E8"/>
    <w:rsid w:val="006D2364"/>
    <w:rsid w:val="006D3A49"/>
    <w:rsid w:val="006D3E74"/>
    <w:rsid w:val="006D5DDB"/>
    <w:rsid w:val="006E0237"/>
    <w:rsid w:val="006E34DA"/>
    <w:rsid w:val="006E4599"/>
    <w:rsid w:val="006E5163"/>
    <w:rsid w:val="006E699E"/>
    <w:rsid w:val="006F4E8A"/>
    <w:rsid w:val="00700A53"/>
    <w:rsid w:val="007056E0"/>
    <w:rsid w:val="007063E8"/>
    <w:rsid w:val="00711F68"/>
    <w:rsid w:val="00712D96"/>
    <w:rsid w:val="007145E8"/>
    <w:rsid w:val="007167C3"/>
    <w:rsid w:val="00721196"/>
    <w:rsid w:val="00721400"/>
    <w:rsid w:val="00723565"/>
    <w:rsid w:val="00730C08"/>
    <w:rsid w:val="007316F6"/>
    <w:rsid w:val="00731BE4"/>
    <w:rsid w:val="0073326A"/>
    <w:rsid w:val="00734238"/>
    <w:rsid w:val="007426A8"/>
    <w:rsid w:val="00742E07"/>
    <w:rsid w:val="00744492"/>
    <w:rsid w:val="00744D74"/>
    <w:rsid w:val="007455EF"/>
    <w:rsid w:val="007479A1"/>
    <w:rsid w:val="00752137"/>
    <w:rsid w:val="00752190"/>
    <w:rsid w:val="0075540D"/>
    <w:rsid w:val="00755ABF"/>
    <w:rsid w:val="00755E99"/>
    <w:rsid w:val="00763484"/>
    <w:rsid w:val="00765B04"/>
    <w:rsid w:val="00766AE2"/>
    <w:rsid w:val="00766B37"/>
    <w:rsid w:val="00770C95"/>
    <w:rsid w:val="007713F2"/>
    <w:rsid w:val="007748BA"/>
    <w:rsid w:val="00774AC7"/>
    <w:rsid w:val="00774C40"/>
    <w:rsid w:val="00775129"/>
    <w:rsid w:val="00775B02"/>
    <w:rsid w:val="00776794"/>
    <w:rsid w:val="00776FE0"/>
    <w:rsid w:val="0077783F"/>
    <w:rsid w:val="00777A92"/>
    <w:rsid w:val="00783624"/>
    <w:rsid w:val="007850A3"/>
    <w:rsid w:val="0078581D"/>
    <w:rsid w:val="007869AB"/>
    <w:rsid w:val="00787E1F"/>
    <w:rsid w:val="007A15B3"/>
    <w:rsid w:val="007A2DBD"/>
    <w:rsid w:val="007A3AEF"/>
    <w:rsid w:val="007A4859"/>
    <w:rsid w:val="007A5369"/>
    <w:rsid w:val="007A61A8"/>
    <w:rsid w:val="007B061C"/>
    <w:rsid w:val="007B08AC"/>
    <w:rsid w:val="007B1509"/>
    <w:rsid w:val="007B6304"/>
    <w:rsid w:val="007B6D09"/>
    <w:rsid w:val="007C0D00"/>
    <w:rsid w:val="007C1952"/>
    <w:rsid w:val="007C1F94"/>
    <w:rsid w:val="007C6371"/>
    <w:rsid w:val="007C7476"/>
    <w:rsid w:val="007D0737"/>
    <w:rsid w:val="007D1800"/>
    <w:rsid w:val="007D352F"/>
    <w:rsid w:val="007E0CD1"/>
    <w:rsid w:val="007E1ED8"/>
    <w:rsid w:val="007E1F83"/>
    <w:rsid w:val="007E253F"/>
    <w:rsid w:val="007E2AF0"/>
    <w:rsid w:val="007E62B0"/>
    <w:rsid w:val="007F0561"/>
    <w:rsid w:val="007F083B"/>
    <w:rsid w:val="007F0B4F"/>
    <w:rsid w:val="007F2661"/>
    <w:rsid w:val="007F3B53"/>
    <w:rsid w:val="008027A3"/>
    <w:rsid w:val="00803969"/>
    <w:rsid w:val="00805829"/>
    <w:rsid w:val="00805FD3"/>
    <w:rsid w:val="00806671"/>
    <w:rsid w:val="00806DC6"/>
    <w:rsid w:val="00806E6D"/>
    <w:rsid w:val="008111C7"/>
    <w:rsid w:val="00811250"/>
    <w:rsid w:val="00811BC8"/>
    <w:rsid w:val="008132B7"/>
    <w:rsid w:val="00815227"/>
    <w:rsid w:val="00817A64"/>
    <w:rsid w:val="00817FAF"/>
    <w:rsid w:val="0082137B"/>
    <w:rsid w:val="0082284C"/>
    <w:rsid w:val="00830E95"/>
    <w:rsid w:val="00832A84"/>
    <w:rsid w:val="00832D22"/>
    <w:rsid w:val="00835981"/>
    <w:rsid w:val="00836611"/>
    <w:rsid w:val="0083745D"/>
    <w:rsid w:val="00840882"/>
    <w:rsid w:val="00841760"/>
    <w:rsid w:val="0084325F"/>
    <w:rsid w:val="00845A88"/>
    <w:rsid w:val="008469A1"/>
    <w:rsid w:val="00854E88"/>
    <w:rsid w:val="00864ADC"/>
    <w:rsid w:val="00867F1E"/>
    <w:rsid w:val="00870071"/>
    <w:rsid w:val="00873094"/>
    <w:rsid w:val="00873E93"/>
    <w:rsid w:val="0087516B"/>
    <w:rsid w:val="00875DD8"/>
    <w:rsid w:val="00876490"/>
    <w:rsid w:val="0087664D"/>
    <w:rsid w:val="00876A21"/>
    <w:rsid w:val="00877012"/>
    <w:rsid w:val="00877385"/>
    <w:rsid w:val="0087765B"/>
    <w:rsid w:val="00883A1C"/>
    <w:rsid w:val="00890505"/>
    <w:rsid w:val="00894DCD"/>
    <w:rsid w:val="00896FA5"/>
    <w:rsid w:val="008A249C"/>
    <w:rsid w:val="008A39B5"/>
    <w:rsid w:val="008A5163"/>
    <w:rsid w:val="008A5A27"/>
    <w:rsid w:val="008B1E8C"/>
    <w:rsid w:val="008B6727"/>
    <w:rsid w:val="008C03C0"/>
    <w:rsid w:val="008C1227"/>
    <w:rsid w:val="008C316A"/>
    <w:rsid w:val="008C4B6D"/>
    <w:rsid w:val="008C5717"/>
    <w:rsid w:val="008C68F0"/>
    <w:rsid w:val="008C7DF9"/>
    <w:rsid w:val="008D2A10"/>
    <w:rsid w:val="008D3CD8"/>
    <w:rsid w:val="008E3DC9"/>
    <w:rsid w:val="008E4BAD"/>
    <w:rsid w:val="008F3142"/>
    <w:rsid w:val="008F4A71"/>
    <w:rsid w:val="008F5BE3"/>
    <w:rsid w:val="008F7D82"/>
    <w:rsid w:val="009018CA"/>
    <w:rsid w:val="00905A80"/>
    <w:rsid w:val="00907EB9"/>
    <w:rsid w:val="00913F50"/>
    <w:rsid w:val="00914B49"/>
    <w:rsid w:val="009204F6"/>
    <w:rsid w:val="00920C71"/>
    <w:rsid w:val="00921074"/>
    <w:rsid w:val="00924E3E"/>
    <w:rsid w:val="00926A5C"/>
    <w:rsid w:val="009275EE"/>
    <w:rsid w:val="00932CD1"/>
    <w:rsid w:val="0093323F"/>
    <w:rsid w:val="00936FA7"/>
    <w:rsid w:val="00940586"/>
    <w:rsid w:val="0094296B"/>
    <w:rsid w:val="00943C2B"/>
    <w:rsid w:val="00945651"/>
    <w:rsid w:val="009457D5"/>
    <w:rsid w:val="00945DEC"/>
    <w:rsid w:val="009524AE"/>
    <w:rsid w:val="00954F12"/>
    <w:rsid w:val="00955250"/>
    <w:rsid w:val="00960C4B"/>
    <w:rsid w:val="00961844"/>
    <w:rsid w:val="00962C0A"/>
    <w:rsid w:val="00966650"/>
    <w:rsid w:val="009673E0"/>
    <w:rsid w:val="009732E4"/>
    <w:rsid w:val="009733AD"/>
    <w:rsid w:val="009747C3"/>
    <w:rsid w:val="00977542"/>
    <w:rsid w:val="009827CB"/>
    <w:rsid w:val="009835BE"/>
    <w:rsid w:val="009852DB"/>
    <w:rsid w:val="009A1035"/>
    <w:rsid w:val="009A1994"/>
    <w:rsid w:val="009A1E22"/>
    <w:rsid w:val="009A4F3A"/>
    <w:rsid w:val="009B0CFC"/>
    <w:rsid w:val="009B1A2E"/>
    <w:rsid w:val="009B4A3E"/>
    <w:rsid w:val="009B6912"/>
    <w:rsid w:val="009B6E6F"/>
    <w:rsid w:val="009B7C7D"/>
    <w:rsid w:val="009C6D2A"/>
    <w:rsid w:val="009D095E"/>
    <w:rsid w:val="009D3396"/>
    <w:rsid w:val="009D519F"/>
    <w:rsid w:val="009E0CF8"/>
    <w:rsid w:val="009E2251"/>
    <w:rsid w:val="009E23B2"/>
    <w:rsid w:val="009E525C"/>
    <w:rsid w:val="009E616E"/>
    <w:rsid w:val="009E73A9"/>
    <w:rsid w:val="009F1587"/>
    <w:rsid w:val="009F3FA5"/>
    <w:rsid w:val="009F5226"/>
    <w:rsid w:val="009F5312"/>
    <w:rsid w:val="009F706E"/>
    <w:rsid w:val="009F79E5"/>
    <w:rsid w:val="00A02868"/>
    <w:rsid w:val="00A04AD3"/>
    <w:rsid w:val="00A04BF2"/>
    <w:rsid w:val="00A04D5D"/>
    <w:rsid w:val="00A04F86"/>
    <w:rsid w:val="00A07C8D"/>
    <w:rsid w:val="00A10F04"/>
    <w:rsid w:val="00A11101"/>
    <w:rsid w:val="00A11169"/>
    <w:rsid w:val="00A113B1"/>
    <w:rsid w:val="00A12D95"/>
    <w:rsid w:val="00A132BF"/>
    <w:rsid w:val="00A13BEA"/>
    <w:rsid w:val="00A14B48"/>
    <w:rsid w:val="00A14C40"/>
    <w:rsid w:val="00A15AA0"/>
    <w:rsid w:val="00A201DC"/>
    <w:rsid w:val="00A2148E"/>
    <w:rsid w:val="00A24771"/>
    <w:rsid w:val="00A261F0"/>
    <w:rsid w:val="00A26220"/>
    <w:rsid w:val="00A26C75"/>
    <w:rsid w:val="00A31AE3"/>
    <w:rsid w:val="00A322B6"/>
    <w:rsid w:val="00A32819"/>
    <w:rsid w:val="00A33091"/>
    <w:rsid w:val="00A35CAB"/>
    <w:rsid w:val="00A40A30"/>
    <w:rsid w:val="00A440F4"/>
    <w:rsid w:val="00A444AF"/>
    <w:rsid w:val="00A44DC2"/>
    <w:rsid w:val="00A50270"/>
    <w:rsid w:val="00A51DCE"/>
    <w:rsid w:val="00A54C1F"/>
    <w:rsid w:val="00A54CB9"/>
    <w:rsid w:val="00A55211"/>
    <w:rsid w:val="00A57E8F"/>
    <w:rsid w:val="00A6172B"/>
    <w:rsid w:val="00A619A9"/>
    <w:rsid w:val="00A62B95"/>
    <w:rsid w:val="00A63A51"/>
    <w:rsid w:val="00A70F09"/>
    <w:rsid w:val="00A7111A"/>
    <w:rsid w:val="00A724F0"/>
    <w:rsid w:val="00A74B1A"/>
    <w:rsid w:val="00A750FF"/>
    <w:rsid w:val="00A75E9D"/>
    <w:rsid w:val="00A8294D"/>
    <w:rsid w:val="00A855B9"/>
    <w:rsid w:val="00A85CDE"/>
    <w:rsid w:val="00A87F80"/>
    <w:rsid w:val="00A935BF"/>
    <w:rsid w:val="00A9588A"/>
    <w:rsid w:val="00AA0005"/>
    <w:rsid w:val="00AA2654"/>
    <w:rsid w:val="00AA2655"/>
    <w:rsid w:val="00AA6C52"/>
    <w:rsid w:val="00AB5377"/>
    <w:rsid w:val="00AB69F7"/>
    <w:rsid w:val="00AC3AD8"/>
    <w:rsid w:val="00AC49D1"/>
    <w:rsid w:val="00AC707A"/>
    <w:rsid w:val="00AC77F9"/>
    <w:rsid w:val="00ACE1EB"/>
    <w:rsid w:val="00AD0869"/>
    <w:rsid w:val="00AD1885"/>
    <w:rsid w:val="00AD5C8A"/>
    <w:rsid w:val="00AD75DF"/>
    <w:rsid w:val="00AE0B47"/>
    <w:rsid w:val="00AE147B"/>
    <w:rsid w:val="00AE1F40"/>
    <w:rsid w:val="00AE66AC"/>
    <w:rsid w:val="00AF1BD1"/>
    <w:rsid w:val="00AF50CE"/>
    <w:rsid w:val="00AF545D"/>
    <w:rsid w:val="00AF7CC4"/>
    <w:rsid w:val="00B007F3"/>
    <w:rsid w:val="00B037C5"/>
    <w:rsid w:val="00B06C7A"/>
    <w:rsid w:val="00B07271"/>
    <w:rsid w:val="00B119B5"/>
    <w:rsid w:val="00B1610F"/>
    <w:rsid w:val="00B16EAD"/>
    <w:rsid w:val="00B255C5"/>
    <w:rsid w:val="00B2636C"/>
    <w:rsid w:val="00B26DF2"/>
    <w:rsid w:val="00B32BB5"/>
    <w:rsid w:val="00B36649"/>
    <w:rsid w:val="00B37DAA"/>
    <w:rsid w:val="00B41857"/>
    <w:rsid w:val="00B4258E"/>
    <w:rsid w:val="00B43D08"/>
    <w:rsid w:val="00B51281"/>
    <w:rsid w:val="00B5219F"/>
    <w:rsid w:val="00B52230"/>
    <w:rsid w:val="00B53546"/>
    <w:rsid w:val="00B53DE4"/>
    <w:rsid w:val="00B61EF2"/>
    <w:rsid w:val="00B61FFF"/>
    <w:rsid w:val="00B63FDA"/>
    <w:rsid w:val="00B65CF9"/>
    <w:rsid w:val="00B66FA5"/>
    <w:rsid w:val="00B7393A"/>
    <w:rsid w:val="00B74839"/>
    <w:rsid w:val="00B74AB3"/>
    <w:rsid w:val="00B74B82"/>
    <w:rsid w:val="00B76C0A"/>
    <w:rsid w:val="00B76CA4"/>
    <w:rsid w:val="00B77D03"/>
    <w:rsid w:val="00B77E6A"/>
    <w:rsid w:val="00B80CE7"/>
    <w:rsid w:val="00B8187E"/>
    <w:rsid w:val="00B825A1"/>
    <w:rsid w:val="00B84BE6"/>
    <w:rsid w:val="00B85E41"/>
    <w:rsid w:val="00B92A28"/>
    <w:rsid w:val="00B93225"/>
    <w:rsid w:val="00B948C0"/>
    <w:rsid w:val="00B95FBF"/>
    <w:rsid w:val="00B96479"/>
    <w:rsid w:val="00B9690B"/>
    <w:rsid w:val="00B96C51"/>
    <w:rsid w:val="00B97147"/>
    <w:rsid w:val="00B97FA5"/>
    <w:rsid w:val="00BA2902"/>
    <w:rsid w:val="00BA2917"/>
    <w:rsid w:val="00BA2C26"/>
    <w:rsid w:val="00BA3964"/>
    <w:rsid w:val="00BA41D9"/>
    <w:rsid w:val="00BA54C2"/>
    <w:rsid w:val="00BA6017"/>
    <w:rsid w:val="00BA6802"/>
    <w:rsid w:val="00BA7E2C"/>
    <w:rsid w:val="00BB1B81"/>
    <w:rsid w:val="00BB4120"/>
    <w:rsid w:val="00BB5742"/>
    <w:rsid w:val="00BB6E8E"/>
    <w:rsid w:val="00BB78E5"/>
    <w:rsid w:val="00BB7948"/>
    <w:rsid w:val="00BC2E4A"/>
    <w:rsid w:val="00BC3F1E"/>
    <w:rsid w:val="00BC5730"/>
    <w:rsid w:val="00BD0168"/>
    <w:rsid w:val="00BD0751"/>
    <w:rsid w:val="00BD1A98"/>
    <w:rsid w:val="00BD35E2"/>
    <w:rsid w:val="00BD38FF"/>
    <w:rsid w:val="00BD7514"/>
    <w:rsid w:val="00BD7D2D"/>
    <w:rsid w:val="00BE1973"/>
    <w:rsid w:val="00BE2B81"/>
    <w:rsid w:val="00BE34FB"/>
    <w:rsid w:val="00BE550C"/>
    <w:rsid w:val="00BE5BC9"/>
    <w:rsid w:val="00BE769D"/>
    <w:rsid w:val="00BE76D3"/>
    <w:rsid w:val="00BE7F28"/>
    <w:rsid w:val="00BF50D1"/>
    <w:rsid w:val="00BF6CDE"/>
    <w:rsid w:val="00BF6FD1"/>
    <w:rsid w:val="00C01408"/>
    <w:rsid w:val="00C02EB4"/>
    <w:rsid w:val="00C03831"/>
    <w:rsid w:val="00C14085"/>
    <w:rsid w:val="00C15298"/>
    <w:rsid w:val="00C200FF"/>
    <w:rsid w:val="00C2087B"/>
    <w:rsid w:val="00C2649F"/>
    <w:rsid w:val="00C30BDE"/>
    <w:rsid w:val="00C327D0"/>
    <w:rsid w:val="00C36CB2"/>
    <w:rsid w:val="00C40EE2"/>
    <w:rsid w:val="00C47668"/>
    <w:rsid w:val="00C57052"/>
    <w:rsid w:val="00C71960"/>
    <w:rsid w:val="00C72B24"/>
    <w:rsid w:val="00C7321B"/>
    <w:rsid w:val="00C76895"/>
    <w:rsid w:val="00C77289"/>
    <w:rsid w:val="00C778D6"/>
    <w:rsid w:val="00C81C64"/>
    <w:rsid w:val="00C836CB"/>
    <w:rsid w:val="00C84619"/>
    <w:rsid w:val="00C85059"/>
    <w:rsid w:val="00C91579"/>
    <w:rsid w:val="00C9243B"/>
    <w:rsid w:val="00C93E28"/>
    <w:rsid w:val="00C95E41"/>
    <w:rsid w:val="00CA19A6"/>
    <w:rsid w:val="00CA5114"/>
    <w:rsid w:val="00CA6D7D"/>
    <w:rsid w:val="00CB31E1"/>
    <w:rsid w:val="00CB3CB6"/>
    <w:rsid w:val="00CB4F57"/>
    <w:rsid w:val="00CC0025"/>
    <w:rsid w:val="00CC2CFD"/>
    <w:rsid w:val="00CC4BFC"/>
    <w:rsid w:val="00CD3D14"/>
    <w:rsid w:val="00CD3DFB"/>
    <w:rsid w:val="00CD7FC5"/>
    <w:rsid w:val="00CE2269"/>
    <w:rsid w:val="00CE2459"/>
    <w:rsid w:val="00CE2639"/>
    <w:rsid w:val="00CE5B6B"/>
    <w:rsid w:val="00CE6D41"/>
    <w:rsid w:val="00CF04CD"/>
    <w:rsid w:val="00CF0C6E"/>
    <w:rsid w:val="00CF16E1"/>
    <w:rsid w:val="00CF2CD5"/>
    <w:rsid w:val="00CF3ABE"/>
    <w:rsid w:val="00CF6524"/>
    <w:rsid w:val="00D01A14"/>
    <w:rsid w:val="00D02601"/>
    <w:rsid w:val="00D03FFD"/>
    <w:rsid w:val="00D04320"/>
    <w:rsid w:val="00D04933"/>
    <w:rsid w:val="00D076CF"/>
    <w:rsid w:val="00D079EC"/>
    <w:rsid w:val="00D10229"/>
    <w:rsid w:val="00D10FF5"/>
    <w:rsid w:val="00D111FA"/>
    <w:rsid w:val="00D163DE"/>
    <w:rsid w:val="00D21578"/>
    <w:rsid w:val="00D21B7A"/>
    <w:rsid w:val="00D22116"/>
    <w:rsid w:val="00D23253"/>
    <w:rsid w:val="00D249D9"/>
    <w:rsid w:val="00D25A72"/>
    <w:rsid w:val="00D264F8"/>
    <w:rsid w:val="00D30355"/>
    <w:rsid w:val="00D3073C"/>
    <w:rsid w:val="00D33AF3"/>
    <w:rsid w:val="00D33FED"/>
    <w:rsid w:val="00D34E72"/>
    <w:rsid w:val="00D35AD9"/>
    <w:rsid w:val="00D366DF"/>
    <w:rsid w:val="00D37531"/>
    <w:rsid w:val="00D40468"/>
    <w:rsid w:val="00D4083B"/>
    <w:rsid w:val="00D40D78"/>
    <w:rsid w:val="00D428CB"/>
    <w:rsid w:val="00D43E91"/>
    <w:rsid w:val="00D5040A"/>
    <w:rsid w:val="00D50CA0"/>
    <w:rsid w:val="00D53A0B"/>
    <w:rsid w:val="00D55847"/>
    <w:rsid w:val="00D560C5"/>
    <w:rsid w:val="00D56567"/>
    <w:rsid w:val="00D56EFA"/>
    <w:rsid w:val="00D57D2C"/>
    <w:rsid w:val="00D61D48"/>
    <w:rsid w:val="00D61E40"/>
    <w:rsid w:val="00D6231A"/>
    <w:rsid w:val="00D62D5A"/>
    <w:rsid w:val="00D7166A"/>
    <w:rsid w:val="00D71A86"/>
    <w:rsid w:val="00D750C3"/>
    <w:rsid w:val="00D766BF"/>
    <w:rsid w:val="00D821FD"/>
    <w:rsid w:val="00D85918"/>
    <w:rsid w:val="00D85956"/>
    <w:rsid w:val="00D85D04"/>
    <w:rsid w:val="00D919C1"/>
    <w:rsid w:val="00D919CD"/>
    <w:rsid w:val="00D92D54"/>
    <w:rsid w:val="00D93828"/>
    <w:rsid w:val="00D93DB6"/>
    <w:rsid w:val="00D97F94"/>
    <w:rsid w:val="00DA1C80"/>
    <w:rsid w:val="00DA348C"/>
    <w:rsid w:val="00DA3496"/>
    <w:rsid w:val="00DA732D"/>
    <w:rsid w:val="00DA7BD2"/>
    <w:rsid w:val="00DB0A95"/>
    <w:rsid w:val="00DB2878"/>
    <w:rsid w:val="00DB63E7"/>
    <w:rsid w:val="00DC1433"/>
    <w:rsid w:val="00DC1E0E"/>
    <w:rsid w:val="00DC40B9"/>
    <w:rsid w:val="00DC653D"/>
    <w:rsid w:val="00DD6655"/>
    <w:rsid w:val="00DD6CB7"/>
    <w:rsid w:val="00DD7DD7"/>
    <w:rsid w:val="00DE056F"/>
    <w:rsid w:val="00DE24ED"/>
    <w:rsid w:val="00DE4FD7"/>
    <w:rsid w:val="00DE6EBD"/>
    <w:rsid w:val="00DE74BF"/>
    <w:rsid w:val="00DE7F94"/>
    <w:rsid w:val="00DF095A"/>
    <w:rsid w:val="00DF11A8"/>
    <w:rsid w:val="00DF544F"/>
    <w:rsid w:val="00DF5D0C"/>
    <w:rsid w:val="00DF647C"/>
    <w:rsid w:val="00E005D9"/>
    <w:rsid w:val="00E01CA5"/>
    <w:rsid w:val="00E020D6"/>
    <w:rsid w:val="00E03976"/>
    <w:rsid w:val="00E05C4B"/>
    <w:rsid w:val="00E10E98"/>
    <w:rsid w:val="00E1142A"/>
    <w:rsid w:val="00E16D71"/>
    <w:rsid w:val="00E17D90"/>
    <w:rsid w:val="00E2006C"/>
    <w:rsid w:val="00E207D0"/>
    <w:rsid w:val="00E20ECF"/>
    <w:rsid w:val="00E214FA"/>
    <w:rsid w:val="00E21F92"/>
    <w:rsid w:val="00E2256C"/>
    <w:rsid w:val="00E2336E"/>
    <w:rsid w:val="00E24635"/>
    <w:rsid w:val="00E24AA1"/>
    <w:rsid w:val="00E26B56"/>
    <w:rsid w:val="00E27D54"/>
    <w:rsid w:val="00E30CED"/>
    <w:rsid w:val="00E31E32"/>
    <w:rsid w:val="00E326A8"/>
    <w:rsid w:val="00E34902"/>
    <w:rsid w:val="00E359A2"/>
    <w:rsid w:val="00E42B9E"/>
    <w:rsid w:val="00E44A8E"/>
    <w:rsid w:val="00E461DB"/>
    <w:rsid w:val="00E50554"/>
    <w:rsid w:val="00E5519B"/>
    <w:rsid w:val="00E55379"/>
    <w:rsid w:val="00E566D5"/>
    <w:rsid w:val="00E57971"/>
    <w:rsid w:val="00E57CA3"/>
    <w:rsid w:val="00E62875"/>
    <w:rsid w:val="00E6304F"/>
    <w:rsid w:val="00E64FA2"/>
    <w:rsid w:val="00E66FFC"/>
    <w:rsid w:val="00E70F87"/>
    <w:rsid w:val="00E71E5F"/>
    <w:rsid w:val="00E72862"/>
    <w:rsid w:val="00E7751B"/>
    <w:rsid w:val="00E80F4B"/>
    <w:rsid w:val="00E820FD"/>
    <w:rsid w:val="00E8340C"/>
    <w:rsid w:val="00E84759"/>
    <w:rsid w:val="00E85C20"/>
    <w:rsid w:val="00E8754E"/>
    <w:rsid w:val="00E87DDE"/>
    <w:rsid w:val="00E92E7C"/>
    <w:rsid w:val="00E934F3"/>
    <w:rsid w:val="00E937FD"/>
    <w:rsid w:val="00E93DEB"/>
    <w:rsid w:val="00E95544"/>
    <w:rsid w:val="00E95EB2"/>
    <w:rsid w:val="00EA368E"/>
    <w:rsid w:val="00EA42DD"/>
    <w:rsid w:val="00EB00EB"/>
    <w:rsid w:val="00EB5817"/>
    <w:rsid w:val="00EB5E58"/>
    <w:rsid w:val="00EC0483"/>
    <w:rsid w:val="00EC4103"/>
    <w:rsid w:val="00EC52CB"/>
    <w:rsid w:val="00EC546A"/>
    <w:rsid w:val="00ED2B4C"/>
    <w:rsid w:val="00ED2FE6"/>
    <w:rsid w:val="00ED5E39"/>
    <w:rsid w:val="00ED5F12"/>
    <w:rsid w:val="00EE1087"/>
    <w:rsid w:val="00EE208C"/>
    <w:rsid w:val="00EE2DA3"/>
    <w:rsid w:val="00EF0E5B"/>
    <w:rsid w:val="00EF1D03"/>
    <w:rsid w:val="00EF6DB8"/>
    <w:rsid w:val="00EF7738"/>
    <w:rsid w:val="00F04C05"/>
    <w:rsid w:val="00F04C67"/>
    <w:rsid w:val="00F05B42"/>
    <w:rsid w:val="00F108FF"/>
    <w:rsid w:val="00F11040"/>
    <w:rsid w:val="00F12BC6"/>
    <w:rsid w:val="00F16C15"/>
    <w:rsid w:val="00F17298"/>
    <w:rsid w:val="00F17E1D"/>
    <w:rsid w:val="00F209F8"/>
    <w:rsid w:val="00F21C66"/>
    <w:rsid w:val="00F22A8F"/>
    <w:rsid w:val="00F22F58"/>
    <w:rsid w:val="00F254C2"/>
    <w:rsid w:val="00F26CCE"/>
    <w:rsid w:val="00F26F86"/>
    <w:rsid w:val="00F325C6"/>
    <w:rsid w:val="00F3576C"/>
    <w:rsid w:val="00F36445"/>
    <w:rsid w:val="00F426D8"/>
    <w:rsid w:val="00F530B2"/>
    <w:rsid w:val="00F53242"/>
    <w:rsid w:val="00F554CF"/>
    <w:rsid w:val="00F5576D"/>
    <w:rsid w:val="00F62519"/>
    <w:rsid w:val="00F643C4"/>
    <w:rsid w:val="00F70C73"/>
    <w:rsid w:val="00F71310"/>
    <w:rsid w:val="00F72AEE"/>
    <w:rsid w:val="00F75B16"/>
    <w:rsid w:val="00F76029"/>
    <w:rsid w:val="00F763CE"/>
    <w:rsid w:val="00F818CF"/>
    <w:rsid w:val="00F8241E"/>
    <w:rsid w:val="00F825B8"/>
    <w:rsid w:val="00F8334D"/>
    <w:rsid w:val="00F86D3E"/>
    <w:rsid w:val="00F9183F"/>
    <w:rsid w:val="00F91F7F"/>
    <w:rsid w:val="00F9765F"/>
    <w:rsid w:val="00FA150B"/>
    <w:rsid w:val="00FA19C9"/>
    <w:rsid w:val="00FA290D"/>
    <w:rsid w:val="00FA3FDF"/>
    <w:rsid w:val="00FA7953"/>
    <w:rsid w:val="00FB081D"/>
    <w:rsid w:val="00FB29D6"/>
    <w:rsid w:val="00FB2BA9"/>
    <w:rsid w:val="00FB4D3E"/>
    <w:rsid w:val="00FC4770"/>
    <w:rsid w:val="00FC53B0"/>
    <w:rsid w:val="00FC691E"/>
    <w:rsid w:val="00FD2E51"/>
    <w:rsid w:val="00FD2FB9"/>
    <w:rsid w:val="00FD703F"/>
    <w:rsid w:val="00FD7935"/>
    <w:rsid w:val="00FE097A"/>
    <w:rsid w:val="00FE2322"/>
    <w:rsid w:val="00FE6AF3"/>
    <w:rsid w:val="00FE756A"/>
    <w:rsid w:val="00FE75D1"/>
    <w:rsid w:val="00FF3743"/>
    <w:rsid w:val="016CBC6D"/>
    <w:rsid w:val="01E53CB7"/>
    <w:rsid w:val="01FA2B50"/>
    <w:rsid w:val="020C16B9"/>
    <w:rsid w:val="02491D09"/>
    <w:rsid w:val="025BFDDB"/>
    <w:rsid w:val="025D5CE8"/>
    <w:rsid w:val="02E5A4F6"/>
    <w:rsid w:val="032BE781"/>
    <w:rsid w:val="033B81A3"/>
    <w:rsid w:val="0344ADFE"/>
    <w:rsid w:val="03C7C98C"/>
    <w:rsid w:val="05A95240"/>
    <w:rsid w:val="05BC7A6F"/>
    <w:rsid w:val="05D804A1"/>
    <w:rsid w:val="0629BD76"/>
    <w:rsid w:val="07204451"/>
    <w:rsid w:val="0747C550"/>
    <w:rsid w:val="07DCD974"/>
    <w:rsid w:val="084E4BD7"/>
    <w:rsid w:val="086DE87A"/>
    <w:rsid w:val="0900CB8F"/>
    <w:rsid w:val="090EAA87"/>
    <w:rsid w:val="0959EE7E"/>
    <w:rsid w:val="096F9133"/>
    <w:rsid w:val="0981F1BC"/>
    <w:rsid w:val="0A070A08"/>
    <w:rsid w:val="0A350D7E"/>
    <w:rsid w:val="0AB1D815"/>
    <w:rsid w:val="0B1C8B54"/>
    <w:rsid w:val="0B40BC4F"/>
    <w:rsid w:val="0B5F1FE0"/>
    <w:rsid w:val="0B952D73"/>
    <w:rsid w:val="0BAC253E"/>
    <w:rsid w:val="0CD2203C"/>
    <w:rsid w:val="0D4EFC0F"/>
    <w:rsid w:val="0EB19037"/>
    <w:rsid w:val="0F0D35B7"/>
    <w:rsid w:val="0F6C14F5"/>
    <w:rsid w:val="1012F643"/>
    <w:rsid w:val="107294AD"/>
    <w:rsid w:val="10978565"/>
    <w:rsid w:val="10A7AC3D"/>
    <w:rsid w:val="10D9EB35"/>
    <w:rsid w:val="10F33C7E"/>
    <w:rsid w:val="11C51B3D"/>
    <w:rsid w:val="11E5E711"/>
    <w:rsid w:val="11E5F181"/>
    <w:rsid w:val="125458A4"/>
    <w:rsid w:val="126290F9"/>
    <w:rsid w:val="1302CC21"/>
    <w:rsid w:val="1310992F"/>
    <w:rsid w:val="131A07B3"/>
    <w:rsid w:val="13FE45A1"/>
    <w:rsid w:val="157CEBA9"/>
    <w:rsid w:val="15B633B2"/>
    <w:rsid w:val="15F3E6DE"/>
    <w:rsid w:val="162525BB"/>
    <w:rsid w:val="16831A86"/>
    <w:rsid w:val="16C43C1D"/>
    <w:rsid w:val="17008964"/>
    <w:rsid w:val="171BF1D9"/>
    <w:rsid w:val="173071E1"/>
    <w:rsid w:val="174F9006"/>
    <w:rsid w:val="183E8A07"/>
    <w:rsid w:val="187BA5C8"/>
    <w:rsid w:val="18958F78"/>
    <w:rsid w:val="18F10C80"/>
    <w:rsid w:val="1903F5DF"/>
    <w:rsid w:val="195AEFD1"/>
    <w:rsid w:val="1AB07CE9"/>
    <w:rsid w:val="1ABB4C11"/>
    <w:rsid w:val="1ADD6311"/>
    <w:rsid w:val="1AFBD1DF"/>
    <w:rsid w:val="1B28BA4A"/>
    <w:rsid w:val="1BDE1CEB"/>
    <w:rsid w:val="1BF83C42"/>
    <w:rsid w:val="1C169A08"/>
    <w:rsid w:val="1C496856"/>
    <w:rsid w:val="1CBEC41B"/>
    <w:rsid w:val="1D538726"/>
    <w:rsid w:val="1D592210"/>
    <w:rsid w:val="1DC21AC0"/>
    <w:rsid w:val="1DD56713"/>
    <w:rsid w:val="1E8DC850"/>
    <w:rsid w:val="1ED14FAF"/>
    <w:rsid w:val="1FBC8EB0"/>
    <w:rsid w:val="1FE76F9C"/>
    <w:rsid w:val="201D8911"/>
    <w:rsid w:val="203432F1"/>
    <w:rsid w:val="203ACA24"/>
    <w:rsid w:val="2042FFC6"/>
    <w:rsid w:val="2058F4D4"/>
    <w:rsid w:val="207C18B3"/>
    <w:rsid w:val="20802547"/>
    <w:rsid w:val="209098CE"/>
    <w:rsid w:val="20B630A1"/>
    <w:rsid w:val="20C2082C"/>
    <w:rsid w:val="20EC8DB8"/>
    <w:rsid w:val="210606ED"/>
    <w:rsid w:val="21077350"/>
    <w:rsid w:val="218A41A7"/>
    <w:rsid w:val="21E979E1"/>
    <w:rsid w:val="21EE9435"/>
    <w:rsid w:val="220934D0"/>
    <w:rsid w:val="22140BE8"/>
    <w:rsid w:val="2225B45E"/>
    <w:rsid w:val="22744787"/>
    <w:rsid w:val="229EF31A"/>
    <w:rsid w:val="22B9DC6E"/>
    <w:rsid w:val="233D188E"/>
    <w:rsid w:val="23580357"/>
    <w:rsid w:val="2429E605"/>
    <w:rsid w:val="247A8485"/>
    <w:rsid w:val="24850EE0"/>
    <w:rsid w:val="2492732D"/>
    <w:rsid w:val="24B797F0"/>
    <w:rsid w:val="24C3F7F0"/>
    <w:rsid w:val="24FFFAEF"/>
    <w:rsid w:val="253447EA"/>
    <w:rsid w:val="2558DB99"/>
    <w:rsid w:val="256A78EB"/>
    <w:rsid w:val="25EBC302"/>
    <w:rsid w:val="25F2BB2E"/>
    <w:rsid w:val="27A0A4AB"/>
    <w:rsid w:val="2890571A"/>
    <w:rsid w:val="28A8131E"/>
    <w:rsid w:val="28E337E1"/>
    <w:rsid w:val="29873DCF"/>
    <w:rsid w:val="29A2C23E"/>
    <w:rsid w:val="29F0CD8E"/>
    <w:rsid w:val="2A3769C3"/>
    <w:rsid w:val="2A44F547"/>
    <w:rsid w:val="2A62F053"/>
    <w:rsid w:val="2AAB126F"/>
    <w:rsid w:val="2ABF86DD"/>
    <w:rsid w:val="2AE7F047"/>
    <w:rsid w:val="2B37454D"/>
    <w:rsid w:val="2B3AA7F9"/>
    <w:rsid w:val="2B473270"/>
    <w:rsid w:val="2B6565DF"/>
    <w:rsid w:val="2C3009C0"/>
    <w:rsid w:val="2C40CE0B"/>
    <w:rsid w:val="2C5FF0D3"/>
    <w:rsid w:val="2C91A925"/>
    <w:rsid w:val="2CDA5318"/>
    <w:rsid w:val="2CE3B3E8"/>
    <w:rsid w:val="2D3A2FCB"/>
    <w:rsid w:val="2D73E3B9"/>
    <w:rsid w:val="2DCC1108"/>
    <w:rsid w:val="2DE6940A"/>
    <w:rsid w:val="2DF9D3F3"/>
    <w:rsid w:val="2E0735A4"/>
    <w:rsid w:val="2E86EB3E"/>
    <w:rsid w:val="2EB19287"/>
    <w:rsid w:val="2ECFA8EE"/>
    <w:rsid w:val="30ADB21A"/>
    <w:rsid w:val="30EFDDB8"/>
    <w:rsid w:val="31192709"/>
    <w:rsid w:val="323F7C66"/>
    <w:rsid w:val="32BC2459"/>
    <w:rsid w:val="32C196F6"/>
    <w:rsid w:val="32DA6ED5"/>
    <w:rsid w:val="3389E391"/>
    <w:rsid w:val="33D69224"/>
    <w:rsid w:val="33E2FE7E"/>
    <w:rsid w:val="3414E6CB"/>
    <w:rsid w:val="344139A1"/>
    <w:rsid w:val="349B3B09"/>
    <w:rsid w:val="35467AE2"/>
    <w:rsid w:val="355FFB1D"/>
    <w:rsid w:val="35622B1B"/>
    <w:rsid w:val="359FB075"/>
    <w:rsid w:val="35C4E9C7"/>
    <w:rsid w:val="3624B126"/>
    <w:rsid w:val="36F80BAF"/>
    <w:rsid w:val="378ED810"/>
    <w:rsid w:val="38C25480"/>
    <w:rsid w:val="394748E8"/>
    <w:rsid w:val="396BE0C2"/>
    <w:rsid w:val="39773BC2"/>
    <w:rsid w:val="39BB6F52"/>
    <w:rsid w:val="3A17BB5F"/>
    <w:rsid w:val="3A74A3B5"/>
    <w:rsid w:val="3A8287E8"/>
    <w:rsid w:val="3B087054"/>
    <w:rsid w:val="3B17B2A3"/>
    <w:rsid w:val="3B540A85"/>
    <w:rsid w:val="3B55FF41"/>
    <w:rsid w:val="3B6B5B48"/>
    <w:rsid w:val="3B71473E"/>
    <w:rsid w:val="3BD91E0C"/>
    <w:rsid w:val="3BF8ACE9"/>
    <w:rsid w:val="3C12B742"/>
    <w:rsid w:val="3C4E9143"/>
    <w:rsid w:val="3C8578B1"/>
    <w:rsid w:val="3CF0963A"/>
    <w:rsid w:val="3D17DCB8"/>
    <w:rsid w:val="3D32FB11"/>
    <w:rsid w:val="3D553379"/>
    <w:rsid w:val="3DBC0390"/>
    <w:rsid w:val="3ED2D003"/>
    <w:rsid w:val="3F090440"/>
    <w:rsid w:val="3F169122"/>
    <w:rsid w:val="3F2E9831"/>
    <w:rsid w:val="3FA271A5"/>
    <w:rsid w:val="4002411C"/>
    <w:rsid w:val="4021B5AF"/>
    <w:rsid w:val="4090D819"/>
    <w:rsid w:val="41785D97"/>
    <w:rsid w:val="418EA549"/>
    <w:rsid w:val="42244FBD"/>
    <w:rsid w:val="423F818D"/>
    <w:rsid w:val="42AFDA9A"/>
    <w:rsid w:val="434603A8"/>
    <w:rsid w:val="43D26E1F"/>
    <w:rsid w:val="44209315"/>
    <w:rsid w:val="45271D56"/>
    <w:rsid w:val="453A9B5A"/>
    <w:rsid w:val="455794A7"/>
    <w:rsid w:val="45F39AC0"/>
    <w:rsid w:val="45FC60FC"/>
    <w:rsid w:val="460619B4"/>
    <w:rsid w:val="46CB1A37"/>
    <w:rsid w:val="46E6120C"/>
    <w:rsid w:val="47234A45"/>
    <w:rsid w:val="47A8E48D"/>
    <w:rsid w:val="47DF17C5"/>
    <w:rsid w:val="47F21C63"/>
    <w:rsid w:val="47FD2FC4"/>
    <w:rsid w:val="48457E05"/>
    <w:rsid w:val="4882E30A"/>
    <w:rsid w:val="4926BA1E"/>
    <w:rsid w:val="4944D135"/>
    <w:rsid w:val="49DFE586"/>
    <w:rsid w:val="49E014B3"/>
    <w:rsid w:val="4ADCE44D"/>
    <w:rsid w:val="4B1DBF73"/>
    <w:rsid w:val="4B514B72"/>
    <w:rsid w:val="4B6BFFFB"/>
    <w:rsid w:val="4B78704C"/>
    <w:rsid w:val="4B9CCE07"/>
    <w:rsid w:val="4C12099B"/>
    <w:rsid w:val="4D8C6A8E"/>
    <w:rsid w:val="4D94A9BB"/>
    <w:rsid w:val="4DE8D5CE"/>
    <w:rsid w:val="4DFE2727"/>
    <w:rsid w:val="4E3444B7"/>
    <w:rsid w:val="4E867658"/>
    <w:rsid w:val="4E8AA077"/>
    <w:rsid w:val="4EB8E76E"/>
    <w:rsid w:val="4EB93D4F"/>
    <w:rsid w:val="4F09AD89"/>
    <w:rsid w:val="4F818F05"/>
    <w:rsid w:val="509D8EFD"/>
    <w:rsid w:val="50CCDBE7"/>
    <w:rsid w:val="50EDFB8B"/>
    <w:rsid w:val="5147F852"/>
    <w:rsid w:val="515CB991"/>
    <w:rsid w:val="51910933"/>
    <w:rsid w:val="51A34539"/>
    <w:rsid w:val="51C05B2E"/>
    <w:rsid w:val="51D64582"/>
    <w:rsid w:val="51E03858"/>
    <w:rsid w:val="526253CF"/>
    <w:rsid w:val="526935AF"/>
    <w:rsid w:val="526A9A30"/>
    <w:rsid w:val="53003AA1"/>
    <w:rsid w:val="53020D40"/>
    <w:rsid w:val="53BADD63"/>
    <w:rsid w:val="54192F0E"/>
    <w:rsid w:val="54C60CE1"/>
    <w:rsid w:val="550661DB"/>
    <w:rsid w:val="552AC500"/>
    <w:rsid w:val="5542C0E6"/>
    <w:rsid w:val="56ADEB39"/>
    <w:rsid w:val="570BBFEE"/>
    <w:rsid w:val="5742BB45"/>
    <w:rsid w:val="575FFC5D"/>
    <w:rsid w:val="578C4E27"/>
    <w:rsid w:val="57B99299"/>
    <w:rsid w:val="57E9D093"/>
    <w:rsid w:val="57F16B85"/>
    <w:rsid w:val="58DA67AC"/>
    <w:rsid w:val="58F4FEC8"/>
    <w:rsid w:val="59659C43"/>
    <w:rsid w:val="5A2A53C0"/>
    <w:rsid w:val="5B0475B3"/>
    <w:rsid w:val="5BB06361"/>
    <w:rsid w:val="5BB602ED"/>
    <w:rsid w:val="5BC7F43D"/>
    <w:rsid w:val="5BF8DFF9"/>
    <w:rsid w:val="5C0F65DD"/>
    <w:rsid w:val="5C23A6E7"/>
    <w:rsid w:val="5C2EF244"/>
    <w:rsid w:val="5D314BAD"/>
    <w:rsid w:val="5DD49DEF"/>
    <w:rsid w:val="5DEE1398"/>
    <w:rsid w:val="5E207D4E"/>
    <w:rsid w:val="5E453C32"/>
    <w:rsid w:val="5E6E71AB"/>
    <w:rsid w:val="5EA81548"/>
    <w:rsid w:val="5EABA083"/>
    <w:rsid w:val="5EB82CC2"/>
    <w:rsid w:val="5F358569"/>
    <w:rsid w:val="5F9639B0"/>
    <w:rsid w:val="5FCE487F"/>
    <w:rsid w:val="5FD199E4"/>
    <w:rsid w:val="6011E40F"/>
    <w:rsid w:val="6021C6A4"/>
    <w:rsid w:val="60231492"/>
    <w:rsid w:val="602DD0A7"/>
    <w:rsid w:val="606F35F5"/>
    <w:rsid w:val="6071FE9A"/>
    <w:rsid w:val="60C6B04A"/>
    <w:rsid w:val="614A0F47"/>
    <w:rsid w:val="6163F148"/>
    <w:rsid w:val="617BC66B"/>
    <w:rsid w:val="61822E36"/>
    <w:rsid w:val="6223FA86"/>
    <w:rsid w:val="623C40A6"/>
    <w:rsid w:val="6240923A"/>
    <w:rsid w:val="625D7D62"/>
    <w:rsid w:val="62A7BCBE"/>
    <w:rsid w:val="62B26D2A"/>
    <w:rsid w:val="62E622BA"/>
    <w:rsid w:val="6346857D"/>
    <w:rsid w:val="63B3D2CF"/>
    <w:rsid w:val="642FA40B"/>
    <w:rsid w:val="64DDBA4A"/>
    <w:rsid w:val="64F09D40"/>
    <w:rsid w:val="6539BDB8"/>
    <w:rsid w:val="6548D888"/>
    <w:rsid w:val="6553AD5C"/>
    <w:rsid w:val="65CC9FFE"/>
    <w:rsid w:val="66267389"/>
    <w:rsid w:val="6665C87E"/>
    <w:rsid w:val="6669D7DF"/>
    <w:rsid w:val="666F60C8"/>
    <w:rsid w:val="66CAB768"/>
    <w:rsid w:val="66EDC7C9"/>
    <w:rsid w:val="67248426"/>
    <w:rsid w:val="676A3E92"/>
    <w:rsid w:val="68386674"/>
    <w:rsid w:val="6875195B"/>
    <w:rsid w:val="68C4278E"/>
    <w:rsid w:val="696394FD"/>
    <w:rsid w:val="69828552"/>
    <w:rsid w:val="6A340882"/>
    <w:rsid w:val="6A3BDF4E"/>
    <w:rsid w:val="6ABFBFDB"/>
    <w:rsid w:val="6ADADD73"/>
    <w:rsid w:val="6AE1385C"/>
    <w:rsid w:val="6B992F4D"/>
    <w:rsid w:val="6BB36184"/>
    <w:rsid w:val="6BEF6EFD"/>
    <w:rsid w:val="6BF06D65"/>
    <w:rsid w:val="6C2C723C"/>
    <w:rsid w:val="6C3ADF4E"/>
    <w:rsid w:val="6C545BF5"/>
    <w:rsid w:val="6C745154"/>
    <w:rsid w:val="6C939555"/>
    <w:rsid w:val="6D39AF38"/>
    <w:rsid w:val="6DD4E7EA"/>
    <w:rsid w:val="6DF70EFA"/>
    <w:rsid w:val="6E3EDD5E"/>
    <w:rsid w:val="6ECB2481"/>
    <w:rsid w:val="6EEB6ED2"/>
    <w:rsid w:val="6EEBE90B"/>
    <w:rsid w:val="6F6B7B3D"/>
    <w:rsid w:val="6FE578E1"/>
    <w:rsid w:val="70078508"/>
    <w:rsid w:val="701F0AC7"/>
    <w:rsid w:val="70503965"/>
    <w:rsid w:val="70B4E78F"/>
    <w:rsid w:val="71080444"/>
    <w:rsid w:val="711CDA74"/>
    <w:rsid w:val="712E1917"/>
    <w:rsid w:val="71508C54"/>
    <w:rsid w:val="71674D4D"/>
    <w:rsid w:val="71A6D71C"/>
    <w:rsid w:val="727FA2CE"/>
    <w:rsid w:val="72C2F839"/>
    <w:rsid w:val="72DE52A4"/>
    <w:rsid w:val="72FB80B0"/>
    <w:rsid w:val="73241C50"/>
    <w:rsid w:val="73B61517"/>
    <w:rsid w:val="73DE5BD9"/>
    <w:rsid w:val="7481B67C"/>
    <w:rsid w:val="74E29221"/>
    <w:rsid w:val="74F69750"/>
    <w:rsid w:val="751D5EB9"/>
    <w:rsid w:val="7526074D"/>
    <w:rsid w:val="756D25BD"/>
    <w:rsid w:val="75BB9280"/>
    <w:rsid w:val="7621E12F"/>
    <w:rsid w:val="768BAA16"/>
    <w:rsid w:val="76AF8661"/>
    <w:rsid w:val="76BAE457"/>
    <w:rsid w:val="76D1485C"/>
    <w:rsid w:val="76FAF3DF"/>
    <w:rsid w:val="7714FC37"/>
    <w:rsid w:val="771F41A5"/>
    <w:rsid w:val="77665CFE"/>
    <w:rsid w:val="77706745"/>
    <w:rsid w:val="77BE05A7"/>
    <w:rsid w:val="77CBC94A"/>
    <w:rsid w:val="786C46CC"/>
    <w:rsid w:val="7870B5A1"/>
    <w:rsid w:val="78893DD5"/>
    <w:rsid w:val="78BB23B3"/>
    <w:rsid w:val="78BB7C4A"/>
    <w:rsid w:val="78C636C7"/>
    <w:rsid w:val="79C88874"/>
    <w:rsid w:val="79CFA865"/>
    <w:rsid w:val="7A1EE047"/>
    <w:rsid w:val="7A3DC2DB"/>
    <w:rsid w:val="7ADCE7D2"/>
    <w:rsid w:val="7B11DFDC"/>
    <w:rsid w:val="7B73A9A0"/>
    <w:rsid w:val="7BCC9BC1"/>
    <w:rsid w:val="7BF72EA8"/>
    <w:rsid w:val="7C7B4D6E"/>
    <w:rsid w:val="7DB543AD"/>
    <w:rsid w:val="7DF0C383"/>
    <w:rsid w:val="7E26C8B9"/>
    <w:rsid w:val="7E31B0CC"/>
    <w:rsid w:val="7E4821B6"/>
    <w:rsid w:val="7F0818F4"/>
    <w:rsid w:val="7F9A5A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9227"/>
  <w15:chartTrackingRefBased/>
  <w15:docId w15:val="{0B73D6AD-0CCE-41AD-AEF1-3D6F69E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4"/>
      </w:numPr>
      <w:pBdr>
        <w:bottom w:val="single" w:sz="4" w:space="8" w:color="auto"/>
      </w:pBdr>
      <w:tabs>
        <w:tab w:val="num" w:pos="2977"/>
      </w:tabs>
      <w:spacing w:before="0"/>
      <w:ind w:left="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tabs>
        <w:tab w:val="clear" w:pos="1040"/>
        <w:tab w:val="num" w:pos="360"/>
      </w:tabs>
      <w:spacing w:before="0" w:after="240" w:line="260" w:lineRule="exact"/>
      <w:ind w:left="0" w:firstLine="0"/>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ullet">
    <w:name w:val="Bullet"/>
    <w:basedOn w:val="Normal"/>
    <w:link w:val="BulletChar"/>
    <w:rsid w:val="00806671"/>
    <w:pPr>
      <w:numPr>
        <w:numId w:val="23"/>
      </w:numPr>
    </w:pPr>
  </w:style>
  <w:style w:type="character" w:customStyle="1" w:styleId="NormalparatextnonumbersChar">
    <w:name w:val="Normal para text (no numbers) Char"/>
    <w:basedOn w:val="DefaultParagraphFont"/>
    <w:link w:val="Normalparatextnonumbers"/>
    <w:rsid w:val="00806671"/>
    <w:rPr>
      <w:rFonts w:ascii="Times New Roman" w:hAnsi="Times New Roman"/>
    </w:rPr>
  </w:style>
  <w:style w:type="character" w:customStyle="1" w:styleId="NormalparatextwithnumbersChar">
    <w:name w:val="Normal para text (with numbers) Char"/>
    <w:basedOn w:val="NormalparatextnonumbersChar"/>
    <w:link w:val="Normalparatextwithnumbers"/>
    <w:rsid w:val="00806671"/>
    <w:rPr>
      <w:rFonts w:ascii="Times New Roman" w:hAnsi="Times New Roman"/>
    </w:rPr>
  </w:style>
  <w:style w:type="character" w:customStyle="1" w:styleId="BulletChar">
    <w:name w:val="Bullet Char"/>
    <w:basedOn w:val="NormalparatextwithnumbersChar"/>
    <w:link w:val="Bullet"/>
    <w:rsid w:val="00806671"/>
    <w:rPr>
      <w:rFonts w:ascii="Times New Roman" w:hAnsi="Times New Roman"/>
    </w:rPr>
  </w:style>
  <w:style w:type="paragraph" w:customStyle="1" w:styleId="DoubleDot">
    <w:name w:val="Double Dot"/>
    <w:basedOn w:val="Normal"/>
    <w:link w:val="DoubleDotChar"/>
    <w:rsid w:val="00806671"/>
    <w:pPr>
      <w:numPr>
        <w:ilvl w:val="2"/>
        <w:numId w:val="23"/>
      </w:numPr>
    </w:pPr>
  </w:style>
  <w:style w:type="character" w:customStyle="1" w:styleId="DoubleDotChar">
    <w:name w:val="Double Dot Char"/>
    <w:basedOn w:val="NormalparatextwithnumbersChar"/>
    <w:link w:val="DoubleDot"/>
    <w:rsid w:val="00806671"/>
    <w:rPr>
      <w:rFonts w:ascii="Times New Roman" w:hAnsi="Times New Roman"/>
    </w:rPr>
  </w:style>
  <w:style w:type="character" w:styleId="CommentReference">
    <w:name w:val="annotation reference"/>
    <w:basedOn w:val="DefaultParagraphFont"/>
    <w:uiPriority w:val="99"/>
    <w:semiHidden/>
    <w:unhideWhenUsed/>
    <w:rsid w:val="00597FA4"/>
    <w:rPr>
      <w:sz w:val="16"/>
      <w:szCs w:val="16"/>
    </w:rPr>
  </w:style>
  <w:style w:type="paragraph" w:styleId="CommentText">
    <w:name w:val="annotation text"/>
    <w:basedOn w:val="Normal"/>
    <w:link w:val="CommentTextChar"/>
    <w:uiPriority w:val="99"/>
    <w:semiHidden/>
    <w:unhideWhenUsed/>
    <w:rsid w:val="00597FA4"/>
    <w:rPr>
      <w:sz w:val="20"/>
      <w:szCs w:val="20"/>
    </w:rPr>
  </w:style>
  <w:style w:type="character" w:customStyle="1" w:styleId="CommentTextChar">
    <w:name w:val="Comment Text Char"/>
    <w:basedOn w:val="DefaultParagraphFont"/>
    <w:link w:val="CommentText"/>
    <w:uiPriority w:val="99"/>
    <w:semiHidden/>
    <w:rsid w:val="00597F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7FA4"/>
    <w:rPr>
      <w:b/>
      <w:bCs/>
    </w:rPr>
  </w:style>
  <w:style w:type="character" w:customStyle="1" w:styleId="CommentSubjectChar">
    <w:name w:val="Comment Subject Char"/>
    <w:basedOn w:val="CommentTextChar"/>
    <w:link w:val="CommentSubject"/>
    <w:uiPriority w:val="99"/>
    <w:semiHidden/>
    <w:rsid w:val="00597FA4"/>
    <w:rPr>
      <w:rFonts w:ascii="Times New Roman" w:hAnsi="Times New Roman"/>
      <w:b/>
      <w:bCs/>
      <w:sz w:val="20"/>
      <w:szCs w:val="20"/>
    </w:rPr>
  </w:style>
  <w:style w:type="character" w:customStyle="1" w:styleId="TabletextChar">
    <w:name w:val="Table text Char"/>
    <w:basedOn w:val="DefaultParagraphFont"/>
    <w:link w:val="Tabletext"/>
    <w:uiPriority w:val="1"/>
    <w:rsid w:val="001347CC"/>
    <w:rPr>
      <w:rFonts w:ascii="Times New Roman" w:eastAsia="Times New Roman" w:hAnsi="Times New Roman" w:cs="Times New Roman"/>
      <w:sz w:val="20"/>
      <w:szCs w:val="20"/>
      <w:lang w:eastAsia="en-AU"/>
    </w:rPr>
  </w:style>
  <w:style w:type="character" w:styleId="FollowedHyperlink">
    <w:name w:val="FollowedHyperlink"/>
    <w:basedOn w:val="DefaultParagraphFont"/>
    <w:uiPriority w:val="99"/>
    <w:semiHidden/>
    <w:unhideWhenUsed/>
    <w:rsid w:val="001347CC"/>
    <w:rPr>
      <w:color w:val="954F72" w:themeColor="followedHyperlink"/>
      <w:u w:val="single"/>
    </w:rPr>
  </w:style>
  <w:style w:type="paragraph" w:customStyle="1" w:styleId="OutlineNumbered1">
    <w:name w:val="Outline Numbered 1"/>
    <w:basedOn w:val="Normal"/>
    <w:link w:val="OutlineNumbered1Char"/>
    <w:rsid w:val="002C526E"/>
    <w:pPr>
      <w:numPr>
        <w:numId w:val="27"/>
      </w:numPr>
    </w:pPr>
    <w:rPr>
      <w:rFonts w:eastAsia="Times New Roman" w:cs="Times New Roman"/>
      <w:szCs w:val="20"/>
      <w:lang w:eastAsia="en-AU"/>
    </w:rPr>
  </w:style>
  <w:style w:type="character" w:customStyle="1" w:styleId="OutlineNumbered1Char">
    <w:name w:val="Outline Numbered 1 Char"/>
    <w:basedOn w:val="Dotpoint1Char"/>
    <w:link w:val="OutlineNumbered1"/>
    <w:rsid w:val="002C526E"/>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2C526E"/>
    <w:pPr>
      <w:numPr>
        <w:ilvl w:val="1"/>
        <w:numId w:val="27"/>
      </w:numPr>
    </w:pPr>
    <w:rPr>
      <w:rFonts w:eastAsia="Times New Roman" w:cs="Times New Roman"/>
      <w:szCs w:val="20"/>
      <w:lang w:eastAsia="en-AU"/>
    </w:rPr>
  </w:style>
  <w:style w:type="character" w:customStyle="1" w:styleId="OutlineNumbered2Char">
    <w:name w:val="Outline Numbered 2 Char"/>
    <w:basedOn w:val="Dotpoint1Char"/>
    <w:link w:val="OutlineNumbered2"/>
    <w:rsid w:val="002C526E"/>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890505"/>
    <w:pPr>
      <w:numPr>
        <w:ilvl w:val="2"/>
        <w:numId w:val="27"/>
      </w:numPr>
    </w:pPr>
    <w:rPr>
      <w:rFonts w:eastAsia="Times New Roman" w:cs="Times New Roman"/>
      <w:szCs w:val="20"/>
      <w:lang w:eastAsia="en-AU"/>
    </w:rPr>
  </w:style>
  <w:style w:type="character" w:customStyle="1" w:styleId="OutlineNumbered3Char">
    <w:name w:val="Outline Numbered 3 Char"/>
    <w:basedOn w:val="Dotpoint1Char"/>
    <w:link w:val="OutlineNumbered3"/>
    <w:rsid w:val="002C526E"/>
    <w:rPr>
      <w:rFonts w:ascii="Times New Roman" w:eastAsia="Times New Roman" w:hAnsi="Times New Roman" w:cs="Times New Roman"/>
      <w:szCs w:val="20"/>
      <w:lang w:eastAsia="en-AU"/>
    </w:rPr>
  </w:style>
  <w:style w:type="paragraph" w:styleId="TOC4">
    <w:name w:val="toc 4"/>
    <w:basedOn w:val="Normal"/>
    <w:next w:val="Normal"/>
    <w:autoRedefine/>
    <w:uiPriority w:val="39"/>
    <w:semiHidden/>
    <w:unhideWhenUsed/>
    <w:rsid w:val="00223E82"/>
    <w:pPr>
      <w:spacing w:after="100"/>
      <w:ind w:left="660"/>
    </w:pPr>
  </w:style>
  <w:style w:type="paragraph" w:styleId="TOC5">
    <w:name w:val="toc 5"/>
    <w:basedOn w:val="Normal"/>
    <w:next w:val="Normal"/>
    <w:autoRedefine/>
    <w:uiPriority w:val="39"/>
    <w:semiHidden/>
    <w:unhideWhenUsed/>
    <w:rsid w:val="00223E82"/>
    <w:pPr>
      <w:spacing w:after="100"/>
      <w:ind w:left="880"/>
    </w:pPr>
  </w:style>
  <w:style w:type="paragraph" w:styleId="TOC6">
    <w:name w:val="toc 6"/>
    <w:basedOn w:val="Normal"/>
    <w:next w:val="Normal"/>
    <w:autoRedefine/>
    <w:uiPriority w:val="39"/>
    <w:semiHidden/>
    <w:unhideWhenUsed/>
    <w:rsid w:val="00223E82"/>
    <w:pPr>
      <w:spacing w:after="100"/>
      <w:ind w:left="1100"/>
    </w:pPr>
  </w:style>
  <w:style w:type="paragraph" w:styleId="TOC7">
    <w:name w:val="toc 7"/>
    <w:basedOn w:val="Normal"/>
    <w:next w:val="Normal"/>
    <w:autoRedefine/>
    <w:uiPriority w:val="39"/>
    <w:semiHidden/>
    <w:unhideWhenUsed/>
    <w:rsid w:val="00223E82"/>
    <w:pPr>
      <w:spacing w:after="100"/>
      <w:ind w:left="1320"/>
    </w:pPr>
  </w:style>
  <w:style w:type="paragraph" w:styleId="TOC8">
    <w:name w:val="toc 8"/>
    <w:basedOn w:val="Normal"/>
    <w:next w:val="Normal"/>
    <w:autoRedefine/>
    <w:uiPriority w:val="39"/>
    <w:semiHidden/>
    <w:unhideWhenUsed/>
    <w:rsid w:val="00223E82"/>
    <w:pPr>
      <w:spacing w:after="100"/>
      <w:ind w:left="1540"/>
    </w:pPr>
  </w:style>
  <w:style w:type="paragraph" w:styleId="TOC9">
    <w:name w:val="toc 9"/>
    <w:basedOn w:val="Normal"/>
    <w:next w:val="Normal"/>
    <w:autoRedefine/>
    <w:uiPriority w:val="39"/>
    <w:semiHidden/>
    <w:unhideWhenUsed/>
    <w:rsid w:val="00223E8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ic.gov.au/regulatory-resources/find-a-document/consultation-papers/cp-365-remaking-asic-class-orders-on-takeovers-compulsory-acquisitions-and-relevant-inter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C140A5B1B095E4AABC42CCFB696EABA" ma:contentTypeVersion="" ma:contentTypeDescription="PDMS Document Site Content Type" ma:contentTypeScope="" ma:versionID="13df361093aa76dd3fe7b8c96a73c33c">
  <xsd:schema xmlns:xsd="http://www.w3.org/2001/XMLSchema" xmlns:xs="http://www.w3.org/2001/XMLSchema" xmlns:p="http://schemas.microsoft.com/office/2006/metadata/properties" xmlns:ns2="DD2D433F-6E4E-42FB-8933-315E34733C87" targetNamespace="http://schemas.microsoft.com/office/2006/metadata/properties" ma:root="true" ma:fieldsID="d459506c49d89040215b6210ed2f111c" ns2:_="">
    <xsd:import namespace="DD2D433F-6E4E-42FB-8933-315E34733C8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433F-6E4E-42FB-8933-315E34733C8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D2D433F-6E4E-42FB-8933-315E34733C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21186-2E2D-4F6C-9DBB-588C7F81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433F-6E4E-42FB-8933-315E34733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DD2D433F-6E4E-42FB-8933-315E34733C87"/>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10</TotalTime>
  <Pages>1</Pages>
  <Words>7877</Words>
  <Characters>42143</Characters>
  <Application>Microsoft Office Word</Application>
  <DocSecurity>0</DocSecurity>
  <Lines>957</Lines>
  <Paragraphs>295</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2023: RATIONALISATION OF ENDING ASIC INSTRUMENTS (TRANCHE 2)</vt:lpstr>
    </vt:vector>
  </TitlesOfParts>
  <Company/>
  <LinksUpToDate>false</LinksUpToDate>
  <CharactersWithSpaces>49725</CharactersWithSpaces>
  <SharedDoc>false</SharedDoc>
  <HLinks>
    <vt:vector size="6" baseType="variant">
      <vt:variant>
        <vt:i4>3538988</vt:i4>
      </vt:variant>
      <vt:variant>
        <vt:i4>0</vt:i4>
      </vt:variant>
      <vt:variant>
        <vt:i4>0</vt:i4>
      </vt:variant>
      <vt:variant>
        <vt:i4>5</vt:i4>
      </vt:variant>
      <vt:variant>
        <vt:lpwstr>https://asic.gov.au/regulatory-resources/find-a-document/consultation-papers/cp-365-remaking-asic-class-orders-on-takeovers-compulsory-acquisitions-and-relevant-interests/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2023: RATIONALISATION OF ENDING ASIC INSTRUMENTS (TRANCHE 2)</dc:title>
  <dc:subject/>
  <dc:creator>Treasury</dc:creator>
  <cp:keywords/>
  <dc:description/>
  <cp:lastModifiedBy>Thompson, Lynette</cp:lastModifiedBy>
  <cp:revision>4</cp:revision>
  <cp:lastPrinted>2023-01-18T22:32:00Z</cp:lastPrinted>
  <dcterms:created xsi:type="dcterms:W3CDTF">2023-02-06T03:34:00Z</dcterms:created>
  <dcterms:modified xsi:type="dcterms:W3CDTF">2023-02-06T23:54:00Z</dcterms:modified>
</cp:coreProperties>
</file>