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D96F3A" w14:paraId="0CAAF3E0" w14:textId="77777777" w:rsidTr="00D96F3A">
        <w:tc>
          <w:tcPr>
            <w:tcW w:w="5000" w:type="pct"/>
            <w:shd w:val="clear" w:color="auto" w:fill="auto"/>
          </w:tcPr>
          <w:p w14:paraId="0012973A" w14:textId="77777777" w:rsidR="00D96F3A" w:rsidRDefault="00D96F3A" w:rsidP="00D96F3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4402A7D" w14:textId="77777777" w:rsidR="00D96F3A" w:rsidRPr="00D96F3A" w:rsidRDefault="00D96F3A" w:rsidP="00D96F3A">
            <w:pPr>
              <w:rPr>
                <w:b/>
                <w:sz w:val="20"/>
              </w:rPr>
            </w:pPr>
          </w:p>
        </w:tc>
      </w:tr>
    </w:tbl>
    <w:p w14:paraId="155AA029" w14:textId="77777777" w:rsidR="00D96F3A" w:rsidRDefault="00D96F3A" w:rsidP="00664C63">
      <w:pPr>
        <w:rPr>
          <w:sz w:val="32"/>
          <w:szCs w:val="32"/>
        </w:rPr>
      </w:pPr>
    </w:p>
    <w:p w14:paraId="50BEF8D2" w14:textId="77777777" w:rsidR="00664C63" w:rsidRPr="00D1713C" w:rsidRDefault="00664C63" w:rsidP="00664C63">
      <w:pPr>
        <w:rPr>
          <w:sz w:val="32"/>
          <w:szCs w:val="32"/>
        </w:rPr>
      </w:pPr>
      <w:r w:rsidRPr="00D1713C">
        <w:rPr>
          <w:sz w:val="32"/>
          <w:szCs w:val="32"/>
        </w:rPr>
        <w:t>Inserts for</w:t>
      </w:r>
    </w:p>
    <w:p w14:paraId="495C6568" w14:textId="77777777" w:rsidR="00664C63" w:rsidRPr="00D1713C" w:rsidRDefault="009C219A" w:rsidP="00664C63">
      <w:pPr>
        <w:pStyle w:val="ShortT"/>
      </w:pPr>
      <w:r w:rsidRPr="00D1713C">
        <w:t>Treasury Laws Amendment (Measures for Future Instruments) Instrument 2023</w:t>
      </w:r>
      <w:r w:rsidR="00664C63" w:rsidRPr="00D1713C">
        <w:t xml:space="preserve">: </w:t>
      </w:r>
      <w:r w:rsidRPr="00D1713C">
        <w:t>Register of Foreign Ownership of Australian Assets</w:t>
      </w:r>
    </w:p>
    <w:p w14:paraId="78AB2DCE" w14:textId="77777777" w:rsidR="0028682A" w:rsidRPr="00D1713C" w:rsidRDefault="0028682A" w:rsidP="0028682A">
      <w:pPr>
        <w:sectPr w:rsidR="0028682A" w:rsidRPr="00D1713C" w:rsidSect="00BC1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A092EAC" w14:textId="77777777" w:rsidR="002175CE" w:rsidRPr="00D1713C" w:rsidRDefault="002175CE" w:rsidP="0028682A"/>
    <w:p w14:paraId="2D50599F" w14:textId="77777777" w:rsidR="00D60048" w:rsidRDefault="00D60048" w:rsidP="0028682A"/>
    <w:p w14:paraId="7E8AFA21" w14:textId="77777777" w:rsidR="0028682A" w:rsidRPr="00D1713C" w:rsidRDefault="0028682A" w:rsidP="0028682A"/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219A" w:rsidRPr="00D1713C" w14:paraId="17B68C38" w14:textId="77777777" w:rsidTr="00426E3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4AACE3B" w14:textId="77777777" w:rsidR="009C219A" w:rsidRPr="00D1713C" w:rsidRDefault="009C219A" w:rsidP="00426E39">
            <w:pPr>
              <w:pStyle w:val="TableHeading"/>
            </w:pPr>
            <w:r w:rsidRPr="00D1713C">
              <w:t>Commencement information</w:t>
            </w:r>
          </w:p>
        </w:tc>
      </w:tr>
      <w:tr w:rsidR="009C219A" w:rsidRPr="00D1713C" w14:paraId="3DFD6F5A" w14:textId="77777777" w:rsidTr="00426E3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2E1191" w14:textId="77777777" w:rsidR="009C219A" w:rsidRPr="00D1713C" w:rsidRDefault="009C219A" w:rsidP="00426E39">
            <w:pPr>
              <w:pStyle w:val="TableHeading"/>
            </w:pPr>
            <w:r w:rsidRPr="00D1713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64BD9E" w14:textId="77777777" w:rsidR="009C219A" w:rsidRPr="00D1713C" w:rsidRDefault="009C219A" w:rsidP="00426E39">
            <w:pPr>
              <w:pStyle w:val="TableHeading"/>
            </w:pPr>
            <w:r w:rsidRPr="00D1713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CB3D5B" w14:textId="77777777" w:rsidR="009C219A" w:rsidRPr="00D1713C" w:rsidRDefault="009C219A" w:rsidP="00426E39">
            <w:pPr>
              <w:pStyle w:val="TableHeading"/>
            </w:pPr>
            <w:r w:rsidRPr="00D1713C">
              <w:t>Column 3</w:t>
            </w:r>
          </w:p>
        </w:tc>
      </w:tr>
      <w:tr w:rsidR="009C219A" w:rsidRPr="00D1713C" w14:paraId="3083D4D8" w14:textId="77777777" w:rsidTr="00426E3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A59860" w14:textId="77777777" w:rsidR="009C219A" w:rsidRPr="00D1713C" w:rsidRDefault="009C219A" w:rsidP="00426E39">
            <w:pPr>
              <w:pStyle w:val="TableHeading"/>
            </w:pPr>
            <w:r w:rsidRPr="00D1713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D37C0E" w14:textId="77777777" w:rsidR="009C219A" w:rsidRPr="00D1713C" w:rsidRDefault="009C219A" w:rsidP="00426E39">
            <w:pPr>
              <w:pStyle w:val="TableHeading"/>
            </w:pPr>
            <w:r w:rsidRPr="00D1713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4B157A" w14:textId="77777777" w:rsidR="009C219A" w:rsidRPr="00D1713C" w:rsidRDefault="009C219A" w:rsidP="00426E39">
            <w:pPr>
              <w:pStyle w:val="TableHeading"/>
            </w:pPr>
            <w:r w:rsidRPr="00D1713C">
              <w:t>Date/Details</w:t>
            </w:r>
          </w:p>
        </w:tc>
      </w:tr>
      <w:tr w:rsidR="009C219A" w:rsidRPr="00D1713C" w14:paraId="2D52AD41" w14:textId="77777777" w:rsidTr="00426E39"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4C892F0C" w14:textId="77777777" w:rsidR="009C219A" w:rsidRPr="00D1713C" w:rsidRDefault="009C219A" w:rsidP="00426E39">
            <w:pPr>
              <w:pStyle w:val="Tabletext"/>
            </w:pPr>
            <w:r w:rsidRPr="00D1713C">
              <w:t>1</w:t>
            </w:r>
            <w:r w:rsidR="002175CE" w:rsidRPr="00D1713C">
              <w:t>.</w:t>
            </w:r>
            <w:r w:rsidRPr="00D1713C">
              <w:t xml:space="preserve"> 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45DEAB43" w14:textId="77777777" w:rsidR="009C219A" w:rsidRPr="00D1713C" w:rsidRDefault="009C219A" w:rsidP="00426E39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A5D0342" w14:textId="77777777" w:rsidR="009C219A" w:rsidRPr="00D1713C" w:rsidRDefault="009C219A" w:rsidP="00426E39">
            <w:pPr>
              <w:pStyle w:val="Tabletext"/>
            </w:pPr>
          </w:p>
        </w:tc>
      </w:tr>
      <w:tr w:rsidR="009C219A" w:rsidRPr="00D1713C" w14:paraId="6377F17F" w14:textId="77777777" w:rsidTr="00426E39"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CD6BE1" w14:textId="77777777" w:rsidR="009C219A" w:rsidRPr="00D1713C" w:rsidRDefault="009C219A" w:rsidP="00426E39">
            <w:pPr>
              <w:pStyle w:val="Tabletext"/>
            </w:pPr>
            <w:r w:rsidRPr="00D1713C">
              <w:t>2</w:t>
            </w:r>
            <w:r w:rsidR="002175CE" w:rsidRPr="00D1713C">
              <w:t>.</w:t>
            </w:r>
            <w:r w:rsidRPr="00D1713C">
              <w:t xml:space="preserve">  Schedule #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EB08BB3" w14:textId="77777777" w:rsidR="009C219A" w:rsidRPr="00D1713C" w:rsidRDefault="009C219A" w:rsidP="00426E39">
            <w:pPr>
              <w:pStyle w:val="Tabletext"/>
            </w:pPr>
            <w:r w:rsidRPr="00D1713C">
              <w:t>The day after this instrument is registered</w:t>
            </w:r>
            <w:r w:rsidR="002175CE" w:rsidRPr="00D1713C">
              <w:t>.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EC409F" w14:textId="77777777" w:rsidR="009C219A" w:rsidRPr="00D1713C" w:rsidRDefault="009C219A" w:rsidP="00426E39">
            <w:pPr>
              <w:pStyle w:val="Tabletext"/>
            </w:pPr>
          </w:p>
        </w:tc>
      </w:tr>
      <w:tr w:rsidR="009C219A" w:rsidRPr="00D1713C" w14:paraId="5EC1FE9C" w14:textId="77777777" w:rsidTr="00426E39">
        <w:tc>
          <w:tcPr>
            <w:tcW w:w="212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B7877E5" w14:textId="77777777" w:rsidR="009C219A" w:rsidRPr="00D1713C" w:rsidRDefault="009C219A" w:rsidP="00426E39">
            <w:pPr>
              <w:pStyle w:val="Tabletext"/>
            </w:pPr>
            <w:r w:rsidRPr="00D1713C">
              <w:t>3</w:t>
            </w:r>
            <w:r w:rsidR="002175CE" w:rsidRPr="00D1713C">
              <w:t>.</w:t>
            </w:r>
            <w:r w:rsidRPr="00D1713C"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79C4F1B" w14:textId="77777777" w:rsidR="009C219A" w:rsidRPr="00D1713C" w:rsidRDefault="009C219A" w:rsidP="00426E39">
            <w:pPr>
              <w:pStyle w:val="Tabletext"/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2937A27" w14:textId="77777777" w:rsidR="009C219A" w:rsidRPr="00D1713C" w:rsidRDefault="009C219A" w:rsidP="00426E39">
            <w:pPr>
              <w:pStyle w:val="Tabletext"/>
            </w:pPr>
          </w:p>
        </w:tc>
      </w:tr>
    </w:tbl>
    <w:p w14:paraId="53519BB6" w14:textId="77777777" w:rsidR="009C219A" w:rsidRPr="00D1713C" w:rsidRDefault="009C219A" w:rsidP="009C219A">
      <w:pPr>
        <w:pStyle w:val="Tabletext"/>
      </w:pPr>
    </w:p>
    <w:p w14:paraId="7CCF6450" w14:textId="77777777" w:rsidR="007D7BF6" w:rsidRPr="00D1713C" w:rsidRDefault="007D7BF6" w:rsidP="007D7BF6">
      <w:pPr>
        <w:pStyle w:val="ActHead6"/>
        <w:pageBreakBefore/>
      </w:pPr>
      <w:bookmarkStart w:id="0" w:name="_Toc128050250"/>
      <w:bookmarkStart w:id="1" w:name="opcAmSched"/>
      <w:bookmarkStart w:id="2" w:name="opcCurrentFind"/>
      <w:r w:rsidRPr="00D96F3A">
        <w:rPr>
          <w:rStyle w:val="CharAmSchNo"/>
        </w:rPr>
        <w:lastRenderedPageBreak/>
        <w:t>Schedule #</w:t>
      </w:r>
      <w:r w:rsidRPr="00D1713C">
        <w:t>—</w:t>
      </w:r>
      <w:r w:rsidR="00F77DFB" w:rsidRPr="00D96F3A">
        <w:rPr>
          <w:rStyle w:val="CharAmSchText"/>
        </w:rPr>
        <w:t>Foreign acquisitions and takeovers registration and other amendments</w:t>
      </w:r>
      <w:bookmarkEnd w:id="0"/>
    </w:p>
    <w:p w14:paraId="3B48510A" w14:textId="77777777" w:rsidR="00F77DFB" w:rsidRPr="00D1713C" w:rsidRDefault="00240C5E" w:rsidP="00F77DFB">
      <w:pPr>
        <w:pStyle w:val="ActHead7"/>
      </w:pPr>
      <w:bookmarkStart w:id="3" w:name="_Toc128050251"/>
      <w:bookmarkEnd w:id="1"/>
      <w:bookmarkEnd w:id="2"/>
      <w:r w:rsidRPr="00D96F3A">
        <w:rPr>
          <w:rStyle w:val="CharAmPartNo"/>
        </w:rPr>
        <w:t>Part 1</w:t>
      </w:r>
      <w:r w:rsidR="00F77DFB" w:rsidRPr="00D1713C">
        <w:t>—</w:t>
      </w:r>
      <w:r w:rsidR="00F77DFB" w:rsidRPr="00D96F3A">
        <w:rPr>
          <w:rStyle w:val="CharAmPartText"/>
        </w:rPr>
        <w:t>Further requirements to register</w:t>
      </w:r>
      <w:r w:rsidR="0046158A" w:rsidRPr="00D96F3A">
        <w:rPr>
          <w:rStyle w:val="CharAmPartText"/>
        </w:rPr>
        <w:t>, relationship with other notification requirements</w:t>
      </w:r>
      <w:r w:rsidR="000D691E" w:rsidRPr="00D96F3A">
        <w:rPr>
          <w:rStyle w:val="CharAmPartText"/>
        </w:rPr>
        <w:t>, and exemptions</w:t>
      </w:r>
      <w:bookmarkEnd w:id="3"/>
    </w:p>
    <w:p w14:paraId="6059CFC3" w14:textId="77777777" w:rsidR="00F77DFB" w:rsidRPr="00D1713C" w:rsidRDefault="00F77DFB" w:rsidP="00F77DFB">
      <w:pPr>
        <w:pStyle w:val="ActHead9"/>
      </w:pPr>
      <w:bookmarkStart w:id="4" w:name="_Toc128050252"/>
      <w:r w:rsidRPr="00D1713C">
        <w:t>Foreign Acquisitions and Takeovers Regulation 2015</w:t>
      </w:r>
      <w:bookmarkEnd w:id="4"/>
    </w:p>
    <w:p w14:paraId="70845197" w14:textId="77777777" w:rsidR="009C219A" w:rsidRPr="00D1713C" w:rsidRDefault="00084C9C" w:rsidP="000C30E9">
      <w:pPr>
        <w:pStyle w:val="ItemHead"/>
      </w:pPr>
      <w:proofErr w:type="gramStart"/>
      <w:r w:rsidRPr="00D1713C">
        <w:t>1</w:t>
      </w:r>
      <w:r w:rsidR="000C30E9" w:rsidRPr="00D1713C">
        <w:t xml:space="preserve">  After</w:t>
      </w:r>
      <w:proofErr w:type="gramEnd"/>
      <w:r w:rsidR="000C30E9" w:rsidRPr="00D1713C">
        <w:t xml:space="preserve"> </w:t>
      </w:r>
      <w:r w:rsidR="00294ABB" w:rsidRPr="00D1713C">
        <w:t>Part 5</w:t>
      </w:r>
      <w:r w:rsidR="000C30E9" w:rsidRPr="00D1713C">
        <w:t>A</w:t>
      </w:r>
    </w:p>
    <w:p w14:paraId="1F3B0153" w14:textId="77777777" w:rsidR="000C30E9" w:rsidRPr="00D1713C" w:rsidRDefault="000C30E9" w:rsidP="000C30E9">
      <w:pPr>
        <w:pStyle w:val="Item"/>
      </w:pPr>
      <w:r w:rsidRPr="00D1713C">
        <w:t>Insert:</w:t>
      </w:r>
    </w:p>
    <w:p w14:paraId="35AE7D2F" w14:textId="77777777" w:rsidR="000C30E9" w:rsidRPr="00D1713C" w:rsidRDefault="00294ABB" w:rsidP="000C30E9">
      <w:pPr>
        <w:pStyle w:val="ActHead2"/>
      </w:pPr>
      <w:bookmarkStart w:id="5" w:name="_Toc128050253"/>
      <w:bookmarkStart w:id="6" w:name="_Toc128050417"/>
      <w:bookmarkStart w:id="7" w:name="inTOC1"/>
      <w:bookmarkStart w:id="8" w:name="inTOC4"/>
      <w:bookmarkStart w:id="9" w:name="inTOC6"/>
      <w:bookmarkStart w:id="10" w:name="inTOC7"/>
      <w:bookmarkStart w:id="11" w:name="inTOC8"/>
      <w:bookmarkStart w:id="12" w:name="inTOC10"/>
      <w:bookmarkStart w:id="13" w:name="inTOC12"/>
      <w:r w:rsidRPr="00D96F3A">
        <w:rPr>
          <w:rStyle w:val="CharPartNo"/>
        </w:rPr>
        <w:t>Part 5</w:t>
      </w:r>
      <w:r w:rsidR="000C30E9" w:rsidRPr="00D96F3A">
        <w:rPr>
          <w:rStyle w:val="CharPartNo"/>
        </w:rPr>
        <w:t>B</w:t>
      </w:r>
      <w:r w:rsidR="000C30E9" w:rsidRPr="00D1713C">
        <w:t>—</w:t>
      </w:r>
      <w:r w:rsidR="000C30E9" w:rsidRPr="00D96F3A">
        <w:rPr>
          <w:rStyle w:val="CharPartText"/>
        </w:rPr>
        <w:t>Register of Foreign Ownership of Australian Assets</w:t>
      </w:r>
      <w:bookmarkEnd w:id="5"/>
      <w:bookmarkEnd w:id="6"/>
    </w:p>
    <w:p w14:paraId="0205381D" w14:textId="77777777" w:rsidR="000C30E9" w:rsidRPr="00D1713C" w:rsidRDefault="0070283B" w:rsidP="0046158A">
      <w:pPr>
        <w:pStyle w:val="ActHead3"/>
      </w:pPr>
      <w:bookmarkStart w:id="14" w:name="_Toc128050254"/>
      <w:bookmarkStart w:id="15" w:name="_Toc128050418"/>
      <w:r w:rsidRPr="00D96F3A">
        <w:rPr>
          <w:rStyle w:val="CharDivNo"/>
        </w:rPr>
        <w:t>Division 1</w:t>
      </w:r>
      <w:r w:rsidR="0046158A" w:rsidRPr="00D1713C">
        <w:t>—</w:t>
      </w:r>
      <w:r w:rsidR="0046158A" w:rsidRPr="00D96F3A">
        <w:rPr>
          <w:rStyle w:val="CharDivText"/>
        </w:rPr>
        <w:t>Simplified outline of this Part</w:t>
      </w:r>
      <w:bookmarkEnd w:id="14"/>
      <w:bookmarkEnd w:id="15"/>
    </w:p>
    <w:p w14:paraId="1D466151" w14:textId="77777777" w:rsidR="0046158A" w:rsidRPr="00D1713C" w:rsidRDefault="002175CE" w:rsidP="0046158A">
      <w:pPr>
        <w:pStyle w:val="ActHead5"/>
      </w:pPr>
      <w:bookmarkStart w:id="16" w:name="_Toc128050255"/>
      <w:bookmarkStart w:id="17" w:name="_Toc128050419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A</w:t>
      </w:r>
      <w:r w:rsidR="0046158A" w:rsidRPr="00D1713C">
        <w:t xml:space="preserve">  Simplified</w:t>
      </w:r>
      <w:proofErr w:type="gramEnd"/>
      <w:r w:rsidR="0046158A" w:rsidRPr="00D1713C">
        <w:t xml:space="preserve"> outline of this Part</w:t>
      </w:r>
      <w:bookmarkEnd w:id="16"/>
      <w:bookmarkEnd w:id="17"/>
    </w:p>
    <w:p w14:paraId="30101D6C" w14:textId="77777777" w:rsidR="0040704D" w:rsidRPr="00D1713C" w:rsidRDefault="0040704D" w:rsidP="0040704D">
      <w:pPr>
        <w:pStyle w:val="SOText"/>
      </w:pPr>
      <w:r w:rsidRPr="00D1713C">
        <w:t xml:space="preserve">Foreign persons have additional register requirements to those in </w:t>
      </w:r>
      <w:r w:rsidR="009254AC">
        <w:t>Division 3</w:t>
      </w:r>
      <w:r w:rsidRPr="00D1713C">
        <w:t xml:space="preserve"> of </w:t>
      </w:r>
      <w:r w:rsidR="00D60048">
        <w:t>Part 7</w:t>
      </w:r>
      <w:r w:rsidRPr="00D1713C">
        <w:t xml:space="preserve">A of the Act (see the additional requirements in </w:t>
      </w:r>
      <w:r w:rsidR="00294ABB" w:rsidRPr="00D1713C">
        <w:t>Division 2</w:t>
      </w:r>
      <w:r w:rsidRPr="00D1713C">
        <w:t xml:space="preserve"> of this Part).</w:t>
      </w:r>
    </w:p>
    <w:p w14:paraId="75457D2A" w14:textId="77777777" w:rsidR="0040704D" w:rsidRPr="00D1713C" w:rsidRDefault="0040704D" w:rsidP="0040704D">
      <w:pPr>
        <w:pStyle w:val="SOText"/>
      </w:pPr>
      <w:r w:rsidRPr="00D1713C">
        <w:t xml:space="preserve">Some of these additional requirements relate to actions covered by </w:t>
      </w:r>
      <w:r w:rsidR="00294ABB" w:rsidRPr="00D1713C">
        <w:t>Part 5</w:t>
      </w:r>
      <w:r w:rsidRPr="00D1713C">
        <w:t xml:space="preserve"> of this instrument. The other </w:t>
      </w:r>
      <w:r w:rsidR="000F5046" w:rsidRPr="00D1713C">
        <w:t xml:space="preserve">additional </w:t>
      </w:r>
      <w:r w:rsidRPr="00D1713C">
        <w:t>requirements relate to actions covered by exemption certificates.</w:t>
      </w:r>
    </w:p>
    <w:p w14:paraId="05DFB8A9" w14:textId="77777777" w:rsidR="005F0A95" w:rsidRDefault="005F0A95" w:rsidP="0040704D">
      <w:pPr>
        <w:pStyle w:val="SOText"/>
      </w:pPr>
      <w:r>
        <w:t>Some other notification requirements for actions will only apply if:</w:t>
      </w:r>
    </w:p>
    <w:p w14:paraId="72BBDD5E" w14:textId="77777777" w:rsidR="005F0A95" w:rsidRDefault="005F0A95" w:rsidP="005F0A95">
      <w:pPr>
        <w:pStyle w:val="SOPara"/>
      </w:pPr>
      <w:r>
        <w:tab/>
        <w:t>(a)</w:t>
      </w:r>
      <w:r>
        <w:tab/>
        <w:t>there are register requirements for those actions; and</w:t>
      </w:r>
    </w:p>
    <w:p w14:paraId="2C286546" w14:textId="77777777" w:rsidR="005F0A95" w:rsidRDefault="005F0A95" w:rsidP="005F0A95">
      <w:pPr>
        <w:pStyle w:val="SOPara"/>
      </w:pPr>
      <w:r>
        <w:tab/>
        <w:t>(b)</w:t>
      </w:r>
      <w:r>
        <w:tab/>
        <w:t xml:space="preserve">those register requirements have not been </w:t>
      </w:r>
      <w:proofErr w:type="gramStart"/>
      <w:r>
        <w:t>met;</w:t>
      </w:r>
      <w:proofErr w:type="gramEnd"/>
    </w:p>
    <w:p w14:paraId="24C1E74D" w14:textId="77777777" w:rsidR="005F0A95" w:rsidRDefault="005F0A95" w:rsidP="005F0A95">
      <w:pPr>
        <w:pStyle w:val="SOPara"/>
      </w:pPr>
      <w:r>
        <w:t>(</w:t>
      </w:r>
      <w:proofErr w:type="gramStart"/>
      <w:r>
        <w:t>see</w:t>
      </w:r>
      <w:proofErr w:type="gramEnd"/>
      <w:r>
        <w:t xml:space="preserve"> </w:t>
      </w:r>
      <w:r w:rsidR="009254AC">
        <w:t>Division 3</w:t>
      </w:r>
      <w:r>
        <w:t xml:space="preserve"> of this Part).</w:t>
      </w:r>
    </w:p>
    <w:p w14:paraId="3DD349A4" w14:textId="77777777" w:rsidR="0040704D" w:rsidRPr="00D1713C" w:rsidRDefault="0040704D" w:rsidP="0046158A">
      <w:pPr>
        <w:pStyle w:val="SOText"/>
      </w:pPr>
      <w:r w:rsidRPr="00D1713C">
        <w:t xml:space="preserve">Register requirements in </w:t>
      </w:r>
      <w:r w:rsidR="00D60048">
        <w:t>Part 7</w:t>
      </w:r>
      <w:r w:rsidRPr="00D1713C">
        <w:t xml:space="preserve">A of the Act, or in this Part, will not apply in relation to all kinds of interests in Australian land (see the exemption in </w:t>
      </w:r>
      <w:r w:rsidR="00294ABB" w:rsidRPr="00D1713C">
        <w:t>Division 4</w:t>
      </w:r>
      <w:r w:rsidRPr="00D1713C">
        <w:t xml:space="preserve"> of this Part).</w:t>
      </w:r>
    </w:p>
    <w:p w14:paraId="6DBCFC28" w14:textId="77777777" w:rsidR="0046158A" w:rsidRPr="00D1713C" w:rsidRDefault="00294ABB" w:rsidP="00D64F88">
      <w:pPr>
        <w:pStyle w:val="ActHead3"/>
      </w:pPr>
      <w:bookmarkStart w:id="18" w:name="_Toc128050256"/>
      <w:bookmarkStart w:id="19" w:name="_Toc128050420"/>
      <w:r w:rsidRPr="00D96F3A">
        <w:rPr>
          <w:rStyle w:val="CharDivNo"/>
        </w:rPr>
        <w:t>Division 2</w:t>
      </w:r>
      <w:r w:rsidR="0046158A" w:rsidRPr="00D1713C">
        <w:t>—</w:t>
      </w:r>
      <w:r w:rsidR="0046158A" w:rsidRPr="00D96F3A">
        <w:rPr>
          <w:rStyle w:val="CharDivText"/>
        </w:rPr>
        <w:t>Requirements to give register notices to the Registrar</w:t>
      </w:r>
      <w:bookmarkEnd w:id="18"/>
      <w:bookmarkEnd w:id="19"/>
    </w:p>
    <w:p w14:paraId="062273BC" w14:textId="77777777" w:rsidR="0046158A" w:rsidRPr="00D1713C" w:rsidRDefault="0046158A" w:rsidP="0046158A">
      <w:pPr>
        <w:pStyle w:val="ActHead4"/>
      </w:pPr>
      <w:bookmarkStart w:id="20" w:name="_Toc128050257"/>
      <w:bookmarkStart w:id="21" w:name="_Toc128050421"/>
      <w:r w:rsidRPr="00D96F3A">
        <w:rPr>
          <w:rStyle w:val="CharSubdNo"/>
        </w:rPr>
        <w:t>Subdivision A</w:t>
      </w:r>
      <w:r w:rsidRPr="00D1713C">
        <w:t>—</w:t>
      </w:r>
      <w:r w:rsidRPr="00D96F3A">
        <w:rPr>
          <w:rStyle w:val="CharSubdText"/>
        </w:rPr>
        <w:t xml:space="preserve">Actions covered by </w:t>
      </w:r>
      <w:r w:rsidR="00294ABB" w:rsidRPr="00D96F3A">
        <w:rPr>
          <w:rStyle w:val="CharSubdText"/>
        </w:rPr>
        <w:t>Part 5</w:t>
      </w:r>
      <w:bookmarkEnd w:id="20"/>
      <w:bookmarkEnd w:id="21"/>
    </w:p>
    <w:p w14:paraId="72BEA7AB" w14:textId="77777777" w:rsidR="000C30E9" w:rsidRPr="00D1713C" w:rsidRDefault="002175CE" w:rsidP="000C30E9">
      <w:pPr>
        <w:pStyle w:val="ActHead5"/>
      </w:pPr>
      <w:bookmarkStart w:id="22" w:name="_Toc128050258"/>
      <w:bookmarkStart w:id="23" w:name="_Toc128050422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B</w:t>
      </w:r>
      <w:r w:rsidR="000C30E9" w:rsidRPr="00D1713C">
        <w:t xml:space="preserve">  Requirement</w:t>
      </w:r>
      <w:proofErr w:type="gramEnd"/>
      <w:r w:rsidR="000C30E9" w:rsidRPr="00D1713C">
        <w:t xml:space="preserve"> to give register notice—actions covered by </w:t>
      </w:r>
      <w:r w:rsidR="00294ABB" w:rsidRPr="00D1713C">
        <w:t>Part 5</w:t>
      </w:r>
      <w:bookmarkEnd w:id="22"/>
      <w:bookmarkEnd w:id="23"/>
    </w:p>
    <w:p w14:paraId="17334A0D" w14:textId="77777777" w:rsidR="00E562D6" w:rsidRPr="00D1713C" w:rsidRDefault="00E562D6" w:rsidP="00E562D6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if:</w:t>
      </w:r>
    </w:p>
    <w:p w14:paraId="25ACA32D" w14:textId="77777777" w:rsidR="00171395" w:rsidRPr="00D1713C" w:rsidRDefault="00E562D6" w:rsidP="00E562D6">
      <w:pPr>
        <w:pStyle w:val="paragraph"/>
      </w:pPr>
      <w:r w:rsidRPr="00D1713C">
        <w:tab/>
        <w:t>(a)</w:t>
      </w:r>
      <w:r w:rsidRPr="00D1713C">
        <w:tab/>
      </w:r>
      <w:r w:rsidR="00171395" w:rsidRPr="00D1713C">
        <w:t xml:space="preserve">the foreign person takes an action that </w:t>
      </w:r>
      <w:r w:rsidRPr="00D1713C">
        <w:t xml:space="preserve">is a significant action under </w:t>
      </w:r>
      <w:r w:rsidR="004E1CA8" w:rsidRPr="00D1713C">
        <w:t>section 5</w:t>
      </w:r>
      <w:r w:rsidR="00B03CCF" w:rsidRPr="00D1713C">
        <w:t xml:space="preserve">5 or </w:t>
      </w:r>
      <w:r w:rsidR="004E1CA8" w:rsidRPr="00D1713C">
        <w:t>subsection 5</w:t>
      </w:r>
      <w:r w:rsidR="00B03CCF" w:rsidRPr="00D1713C">
        <w:t xml:space="preserve">6(1) </w:t>
      </w:r>
      <w:r w:rsidRPr="00D1713C">
        <w:t>of this instrument</w:t>
      </w:r>
      <w:r w:rsidR="00171395" w:rsidRPr="00D1713C">
        <w:t>, and:</w:t>
      </w:r>
    </w:p>
    <w:p w14:paraId="6AFCAFA4" w14:textId="77777777" w:rsidR="00171395" w:rsidRPr="00D1713C" w:rsidRDefault="00171395" w:rsidP="00171395">
      <w:pPr>
        <w:pStyle w:val="paragraphsub"/>
      </w:pPr>
      <w:r w:rsidRPr="00D1713C">
        <w:tab/>
        <w:t>(</w:t>
      </w:r>
      <w:proofErr w:type="spellStart"/>
      <w:r w:rsidRPr="00D1713C">
        <w:t>i</w:t>
      </w:r>
      <w:proofErr w:type="spellEnd"/>
      <w:r w:rsidRPr="00D1713C">
        <w:t>)</w:t>
      </w:r>
      <w:r w:rsidRPr="00D1713C">
        <w:tab/>
        <w:t>a no objection notification or a notice imposing conditions has been given in relation to the action, and has not been revoked; or</w:t>
      </w:r>
    </w:p>
    <w:p w14:paraId="7AEB0C8D" w14:textId="77777777" w:rsidR="00E562D6" w:rsidRPr="00D1713C" w:rsidRDefault="00171395" w:rsidP="00171395">
      <w:pPr>
        <w:pStyle w:val="paragraphsub"/>
      </w:pPr>
      <w:r w:rsidRPr="00D1713C">
        <w:tab/>
        <w:t>(ii)</w:t>
      </w:r>
      <w:r w:rsidRPr="00D1713C">
        <w:tab/>
        <w:t>before the action was taken, the Treasurer gave the foreign person a notice under subsection 66</w:t>
      </w:r>
      <w:proofErr w:type="gramStart"/>
      <w:r w:rsidRPr="00D1713C">
        <w:t>A(</w:t>
      </w:r>
      <w:proofErr w:type="gramEnd"/>
      <w:r w:rsidRPr="00D1713C">
        <w:t>4) of the Act; or</w:t>
      </w:r>
    </w:p>
    <w:p w14:paraId="264D85AB" w14:textId="77777777" w:rsidR="00171395" w:rsidRPr="00D1713C" w:rsidRDefault="00171395" w:rsidP="00171395">
      <w:pPr>
        <w:pStyle w:val="paragraph"/>
      </w:pPr>
      <w:r w:rsidRPr="00D1713C">
        <w:lastRenderedPageBreak/>
        <w:tab/>
        <w:t>(b)</w:t>
      </w:r>
      <w:r w:rsidRPr="00D1713C">
        <w:tab/>
        <w:t>a no objection notification or a notice imposing conditions is given in relation to an action of the foreign person that:</w:t>
      </w:r>
    </w:p>
    <w:p w14:paraId="070DC21F" w14:textId="77777777" w:rsidR="00171395" w:rsidRPr="00D1713C" w:rsidRDefault="00171395" w:rsidP="00171395">
      <w:pPr>
        <w:pStyle w:val="paragraphsub"/>
      </w:pPr>
      <w:r w:rsidRPr="00D1713C">
        <w:tab/>
        <w:t>(</w:t>
      </w:r>
      <w:proofErr w:type="spellStart"/>
      <w:r w:rsidRPr="00D1713C">
        <w:t>i</w:t>
      </w:r>
      <w:proofErr w:type="spellEnd"/>
      <w:r w:rsidRPr="00D1713C">
        <w:t>)</w:t>
      </w:r>
      <w:r w:rsidRPr="00D1713C">
        <w:tab/>
        <w:t>has already been taken; and</w:t>
      </w:r>
    </w:p>
    <w:p w14:paraId="35DCE04D" w14:textId="77777777" w:rsidR="00171395" w:rsidRPr="00D1713C" w:rsidRDefault="00171395" w:rsidP="00171395">
      <w:pPr>
        <w:pStyle w:val="paragraphsub"/>
      </w:pPr>
      <w:r w:rsidRPr="00D1713C">
        <w:tab/>
        <w:t>(ii)</w:t>
      </w:r>
      <w:r w:rsidRPr="00D1713C">
        <w:tab/>
        <w:t xml:space="preserve">was a significant action under </w:t>
      </w:r>
      <w:r w:rsidR="004E1CA8" w:rsidRPr="00D1713C">
        <w:t>section 5</w:t>
      </w:r>
      <w:r w:rsidR="00B03CCF" w:rsidRPr="00D1713C">
        <w:t xml:space="preserve">5 or </w:t>
      </w:r>
      <w:r w:rsidR="004E1CA8" w:rsidRPr="00D1713C">
        <w:t>subsection 5</w:t>
      </w:r>
      <w:r w:rsidR="00B03CCF" w:rsidRPr="00D1713C">
        <w:t>6(1) of this instrument</w:t>
      </w:r>
      <w:r w:rsidRPr="00D1713C">
        <w:t>; or</w:t>
      </w:r>
    </w:p>
    <w:p w14:paraId="7595B6EC" w14:textId="77777777" w:rsidR="00E562D6" w:rsidRPr="00D1713C" w:rsidRDefault="00E562D6" w:rsidP="00E562D6">
      <w:pPr>
        <w:pStyle w:val="paragraph"/>
      </w:pPr>
      <w:r w:rsidRPr="00D1713C">
        <w:tab/>
        <w:t>(</w:t>
      </w:r>
      <w:r w:rsidR="00171395" w:rsidRPr="00D1713C">
        <w:t>c</w:t>
      </w:r>
      <w:r w:rsidRPr="00D1713C">
        <w:t>)</w:t>
      </w:r>
      <w:r w:rsidRPr="00D1713C">
        <w:tab/>
      </w:r>
      <w:r w:rsidR="00171395" w:rsidRPr="00D1713C">
        <w:t xml:space="preserve">the foreign person takes an action that </w:t>
      </w:r>
      <w:r w:rsidRPr="00D1713C">
        <w:t xml:space="preserve">is a notifiable action under </w:t>
      </w:r>
      <w:r w:rsidR="004E1CA8" w:rsidRPr="00D1713C">
        <w:t>section 5</w:t>
      </w:r>
      <w:r w:rsidR="00B03CCF" w:rsidRPr="00D1713C">
        <w:t xml:space="preserve">5 or </w:t>
      </w:r>
      <w:r w:rsidR="004E1CA8" w:rsidRPr="00D1713C">
        <w:t>subsection 5</w:t>
      </w:r>
      <w:r w:rsidR="00B03CCF" w:rsidRPr="00D1713C">
        <w:t>6(1) of this instrument</w:t>
      </w:r>
      <w:r w:rsidR="002175CE" w:rsidRPr="00D1713C">
        <w:t>.</w:t>
      </w:r>
    </w:p>
    <w:p w14:paraId="0B976A7B" w14:textId="77777777" w:rsidR="00455F41" w:rsidRPr="00D1713C" w:rsidRDefault="00455F41" w:rsidP="00455F41">
      <w:pPr>
        <w:pStyle w:val="notetext"/>
      </w:pPr>
      <w:r w:rsidRPr="00D1713C">
        <w:t>Note: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4ADCB624" w14:textId="77777777" w:rsidR="00CE1BD0" w:rsidRPr="00D1713C" w:rsidRDefault="001C6519" w:rsidP="000C30E9">
      <w:pPr>
        <w:pStyle w:val="subsection"/>
      </w:pPr>
      <w:r w:rsidRPr="00D1713C">
        <w:tab/>
        <w:t>(</w:t>
      </w:r>
      <w:r w:rsidR="003709A0" w:rsidRPr="00D1713C">
        <w:t>2</w:t>
      </w:r>
      <w:r w:rsidRPr="00D1713C">
        <w:t>)</w:t>
      </w:r>
      <w:r w:rsidRPr="00D1713C">
        <w:tab/>
        <w:t>For the purposes of paragraph</w:t>
      </w:r>
      <w:r w:rsidR="00FD3BFB" w:rsidRPr="00D1713C">
        <w:t>s</w:t>
      </w:r>
      <w:r w:rsidRPr="00D1713C">
        <w:t xml:space="preserve"> 130ZU(1)(c) and (d) of the Act, if a foreign person gives </w:t>
      </w:r>
      <w:r w:rsidR="007D7F85" w:rsidRPr="00D1713C">
        <w:t xml:space="preserve">a </w:t>
      </w:r>
      <w:r w:rsidRPr="00D1713C">
        <w:t xml:space="preserve">register notice under this section in relation to an action mentioned in </w:t>
      </w:r>
      <w:r w:rsidR="00294ABB" w:rsidRPr="00D1713C">
        <w:t>subsection (</w:t>
      </w:r>
      <w:r w:rsidRPr="00D1713C">
        <w:t>1) of this section, the following table has effect</w:t>
      </w:r>
      <w:r w:rsidR="002175CE" w:rsidRPr="00D1713C">
        <w:t>.</w:t>
      </w:r>
    </w:p>
    <w:p w14:paraId="10446B88" w14:textId="77777777" w:rsidR="001C6519" w:rsidRPr="00D1713C" w:rsidRDefault="001C6519" w:rsidP="001C6519">
      <w:pPr>
        <w:pStyle w:val="Tabletext"/>
      </w:pPr>
    </w:p>
    <w:tbl>
      <w:tblPr>
        <w:tblW w:w="8416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4111"/>
        <w:gridCol w:w="57"/>
      </w:tblGrid>
      <w:tr w:rsidR="001C6519" w:rsidRPr="00D1713C" w14:paraId="7E12A910" w14:textId="77777777" w:rsidTr="00B777EB">
        <w:trPr>
          <w:gridAfter w:val="1"/>
          <w:wAfter w:w="57" w:type="dxa"/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BDDFBD3" w14:textId="77777777" w:rsidR="001C6519" w:rsidRPr="00D1713C" w:rsidRDefault="001C6519" w:rsidP="001C6519">
            <w:pPr>
              <w:pStyle w:val="TableHeading"/>
            </w:pPr>
            <w:r w:rsidRPr="00D1713C">
              <w:t>When registered circumstances exist and cease</w:t>
            </w:r>
          </w:p>
        </w:tc>
      </w:tr>
      <w:tr w:rsidR="001C6519" w:rsidRPr="00D1713C" w14:paraId="072AD335" w14:textId="77777777" w:rsidTr="001F299E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ECBBBB" w14:textId="77777777" w:rsidR="001C6519" w:rsidRPr="00D1713C" w:rsidRDefault="001C6519" w:rsidP="001C6519">
            <w:pPr>
              <w:pStyle w:val="TableHeading"/>
            </w:pPr>
            <w:r w:rsidRPr="00D1713C">
              <w:t>Item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0EAC496" w14:textId="77777777" w:rsidR="001C6519" w:rsidRPr="00D1713C" w:rsidRDefault="001C6519" w:rsidP="001C6519">
            <w:pPr>
              <w:pStyle w:val="TableHeading"/>
            </w:pPr>
            <w:r w:rsidRPr="00D1713C">
              <w:t>A registered circumstance under this section exists in relation to the foreign person if …</w:t>
            </w:r>
          </w:p>
        </w:tc>
        <w:tc>
          <w:tcPr>
            <w:tcW w:w="416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846531" w14:textId="77777777" w:rsidR="001C6519" w:rsidRPr="00D1713C" w:rsidRDefault="001C6519" w:rsidP="001C6519">
            <w:pPr>
              <w:pStyle w:val="TableHeading"/>
            </w:pPr>
            <w:r w:rsidRPr="00D1713C">
              <w:t>The registered circumstance ceases if …</w:t>
            </w:r>
          </w:p>
        </w:tc>
      </w:tr>
      <w:tr w:rsidR="001C6519" w:rsidRPr="00D1713C" w14:paraId="5BC83AC6" w14:textId="77777777" w:rsidTr="001F299E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14:paraId="10F559E5" w14:textId="77777777" w:rsidR="001C6519" w:rsidRPr="00D1713C" w:rsidRDefault="001C6519" w:rsidP="001C6519">
            <w:pPr>
              <w:pStyle w:val="Tabletext"/>
            </w:pPr>
            <w:r w:rsidRPr="00D1713C">
              <w:t>1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14:paraId="2F865E2A" w14:textId="77777777" w:rsidR="001C6519" w:rsidRPr="00D1713C" w:rsidRDefault="004E1CA8" w:rsidP="001C6519">
            <w:pPr>
              <w:pStyle w:val="Tabletext"/>
            </w:pPr>
            <w:r w:rsidRPr="00D1713C">
              <w:t>section 5</w:t>
            </w:r>
            <w:r w:rsidR="006B76ED" w:rsidRPr="00D1713C">
              <w:t>5 of this instrument (acquiring a direct interest in an entity or business carrying on an Australian media business) applies to the action</w:t>
            </w:r>
            <w:r w:rsidR="002175CE" w:rsidRPr="00D1713C">
              <w:t>.</w:t>
            </w:r>
          </w:p>
        </w:tc>
        <w:tc>
          <w:tcPr>
            <w:tcW w:w="416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0D73F08" w14:textId="77777777" w:rsidR="006B76ED" w:rsidRPr="00D1713C" w:rsidRDefault="006B76ED" w:rsidP="006B76ED">
            <w:pPr>
              <w:pStyle w:val="Tablea"/>
            </w:pPr>
            <w:r w:rsidRPr="00D1713C">
              <w:t xml:space="preserve">(a) the foreign person no longer holds an interest of any percentage in the entity or business mentioned in </w:t>
            </w:r>
            <w:r w:rsidR="004E1CA8" w:rsidRPr="00D1713C">
              <w:t>section 5</w:t>
            </w:r>
            <w:r w:rsidRPr="00D1713C">
              <w:t>5; or</w:t>
            </w:r>
          </w:p>
          <w:p w14:paraId="6C9A0493" w14:textId="77777777" w:rsidR="006B76ED" w:rsidRPr="00D1713C" w:rsidRDefault="006B76ED" w:rsidP="006B76ED">
            <w:pPr>
              <w:pStyle w:val="Tablea"/>
            </w:pPr>
            <w:r w:rsidRPr="00D1713C">
              <w:t xml:space="preserve">(b) the </w:t>
            </w:r>
            <w:r w:rsidR="008E2DF5" w:rsidRPr="00D1713C">
              <w:t xml:space="preserve">Australian media </w:t>
            </w:r>
            <w:r w:rsidRPr="00D1713C">
              <w:t xml:space="preserve">business ceases to </w:t>
            </w:r>
            <w:r w:rsidR="008E2DF5" w:rsidRPr="00D1713C">
              <w:t>be</w:t>
            </w:r>
            <w:r w:rsidRPr="00D1713C">
              <w:t xml:space="preserve"> an Australian media business; or</w:t>
            </w:r>
          </w:p>
          <w:p w14:paraId="6BAE601B" w14:textId="77777777" w:rsidR="008E2DF5" w:rsidRPr="00D1713C" w:rsidRDefault="008E2DF5" w:rsidP="006B76ED">
            <w:pPr>
              <w:pStyle w:val="Tablea"/>
            </w:pPr>
            <w:r w:rsidRPr="00D1713C">
              <w:t>(c) the Australian media business ceases to be carried on; or</w:t>
            </w:r>
          </w:p>
          <w:p w14:paraId="1BA9CA72" w14:textId="77777777" w:rsidR="001C6519" w:rsidRPr="00D1713C" w:rsidRDefault="006B76ED" w:rsidP="006B76ED">
            <w:pPr>
              <w:pStyle w:val="Tablea"/>
            </w:pPr>
            <w:r w:rsidRPr="00D1713C">
              <w:t>(</w:t>
            </w:r>
            <w:r w:rsidR="008E2DF5" w:rsidRPr="00D1713C">
              <w:t>d</w:t>
            </w:r>
            <w:r w:rsidRPr="00D1713C">
              <w:t xml:space="preserve">) </w:t>
            </w:r>
            <w:r w:rsidR="008E2DF5" w:rsidRPr="00D1713C">
              <w:t>in the case of a direct interest in an entity—</w:t>
            </w:r>
            <w:r w:rsidRPr="00D1713C">
              <w:t>the entity ceases to exist</w:t>
            </w:r>
            <w:r w:rsidR="002175CE" w:rsidRPr="00D1713C">
              <w:t>.</w:t>
            </w:r>
          </w:p>
        </w:tc>
      </w:tr>
      <w:tr w:rsidR="001C6519" w:rsidRPr="00D1713C" w14:paraId="3D506AF5" w14:textId="77777777" w:rsidTr="001F299E">
        <w:tc>
          <w:tcPr>
            <w:tcW w:w="704" w:type="dxa"/>
            <w:shd w:val="clear" w:color="auto" w:fill="auto"/>
          </w:tcPr>
          <w:p w14:paraId="2B83A316" w14:textId="77777777" w:rsidR="001C6519" w:rsidRPr="00D1713C" w:rsidRDefault="001C6519" w:rsidP="001C6519">
            <w:pPr>
              <w:pStyle w:val="Tabletext"/>
            </w:pPr>
            <w:r w:rsidRPr="00D1713C">
              <w:t>2</w:t>
            </w:r>
          </w:p>
        </w:tc>
        <w:tc>
          <w:tcPr>
            <w:tcW w:w="3544" w:type="dxa"/>
            <w:shd w:val="clear" w:color="auto" w:fill="auto"/>
          </w:tcPr>
          <w:p w14:paraId="74143EB5" w14:textId="77777777" w:rsidR="001C6519" w:rsidRPr="00D1713C" w:rsidRDefault="0070283B" w:rsidP="001C6519">
            <w:pPr>
              <w:pStyle w:val="Tabletext"/>
            </w:pPr>
            <w:r w:rsidRPr="00D1713C">
              <w:t>paragraph 5</w:t>
            </w:r>
            <w:r w:rsidR="00CD5286" w:rsidRPr="00D1713C">
              <w:t xml:space="preserve">6(1)(a) </w:t>
            </w:r>
            <w:r w:rsidR="00977F42" w:rsidRPr="00D1713C">
              <w:t xml:space="preserve">of this instrument </w:t>
            </w:r>
            <w:r w:rsidR="00CD5286" w:rsidRPr="00D1713C">
              <w:t>(a foreign government investor acquiring a direct interest in an Australian entity or Australian business)</w:t>
            </w:r>
            <w:r w:rsidR="00977F42" w:rsidRPr="00D1713C">
              <w:t xml:space="preserve"> applies to the action</w:t>
            </w:r>
            <w:r w:rsidR="002175CE" w:rsidRPr="00D1713C">
              <w:t>.</w:t>
            </w:r>
          </w:p>
        </w:tc>
        <w:tc>
          <w:tcPr>
            <w:tcW w:w="4168" w:type="dxa"/>
            <w:gridSpan w:val="2"/>
            <w:shd w:val="clear" w:color="auto" w:fill="auto"/>
          </w:tcPr>
          <w:p w14:paraId="47B69D0A" w14:textId="77777777" w:rsidR="00B324BB" w:rsidRPr="00D1713C" w:rsidRDefault="00B324BB" w:rsidP="00B324BB">
            <w:pPr>
              <w:pStyle w:val="Tablea"/>
            </w:pPr>
            <w:r w:rsidRPr="00D1713C">
              <w:t xml:space="preserve">(a) the foreign person no longer holds an interest of any percentage in the Australian entity or Australian business mentioned in </w:t>
            </w:r>
            <w:r w:rsidR="0070283B" w:rsidRPr="00D1713C">
              <w:t>paragraph 5</w:t>
            </w:r>
            <w:r w:rsidRPr="00D1713C">
              <w:t>6(1)(a); or</w:t>
            </w:r>
          </w:p>
          <w:p w14:paraId="43B36911" w14:textId="77777777" w:rsidR="00B324BB" w:rsidRPr="00D1713C" w:rsidRDefault="00B324BB" w:rsidP="00B324BB">
            <w:pPr>
              <w:pStyle w:val="Tablea"/>
            </w:pPr>
            <w:r w:rsidRPr="00D1713C">
              <w:t>(b) the Australian entity or Australian business ceases to be an Australian entity or an Australian business; or</w:t>
            </w:r>
          </w:p>
          <w:p w14:paraId="54D2823F" w14:textId="77777777" w:rsidR="001C6519" w:rsidRPr="00D1713C" w:rsidRDefault="00B324BB" w:rsidP="00B324BB">
            <w:pPr>
              <w:pStyle w:val="Tablea"/>
            </w:pPr>
            <w:r w:rsidRPr="00D1713C">
              <w:t xml:space="preserve">(c) </w:t>
            </w:r>
            <w:r w:rsidR="00210DEA" w:rsidRPr="00D1713C">
              <w:t>in the case of a direct interest in an Australian entity—</w:t>
            </w:r>
            <w:r w:rsidRPr="00D1713C">
              <w:t>the Australian entity ceases to exist; or</w:t>
            </w:r>
          </w:p>
          <w:p w14:paraId="2ADB9942" w14:textId="77777777" w:rsidR="00210DEA" w:rsidRPr="00D1713C" w:rsidRDefault="00210DEA" w:rsidP="00B324BB">
            <w:pPr>
              <w:pStyle w:val="Tablea"/>
            </w:pPr>
            <w:r w:rsidRPr="00D1713C">
              <w:t>(d) in the case of a direct interest in an Australian business—the Australian business ceases to be carried on; or</w:t>
            </w:r>
          </w:p>
          <w:p w14:paraId="459341CF" w14:textId="77777777" w:rsidR="00B324BB" w:rsidRPr="00D1713C" w:rsidRDefault="00B324BB" w:rsidP="00B324BB">
            <w:pPr>
              <w:pStyle w:val="Tablea"/>
            </w:pPr>
            <w:r w:rsidRPr="00D1713C">
              <w:t>(</w:t>
            </w:r>
            <w:r w:rsidR="00210DEA" w:rsidRPr="00D1713C">
              <w:t>e</w:t>
            </w:r>
            <w:r w:rsidRPr="00D1713C">
              <w:t>) the foreign person ceases to be a foreign government investor</w:t>
            </w:r>
            <w:r w:rsidR="002175CE" w:rsidRPr="00D1713C">
              <w:t>.</w:t>
            </w:r>
          </w:p>
        </w:tc>
      </w:tr>
      <w:tr w:rsidR="001C6519" w:rsidRPr="00D1713C" w14:paraId="7CDB6DC1" w14:textId="77777777" w:rsidTr="001F299E">
        <w:tc>
          <w:tcPr>
            <w:tcW w:w="704" w:type="dxa"/>
            <w:shd w:val="clear" w:color="auto" w:fill="auto"/>
          </w:tcPr>
          <w:p w14:paraId="5123FACA" w14:textId="77777777" w:rsidR="001C6519" w:rsidRPr="00D1713C" w:rsidRDefault="001C6519" w:rsidP="001C6519">
            <w:pPr>
              <w:pStyle w:val="Tabletext"/>
            </w:pPr>
            <w:r w:rsidRPr="00D1713C">
              <w:t>3</w:t>
            </w:r>
          </w:p>
        </w:tc>
        <w:tc>
          <w:tcPr>
            <w:tcW w:w="3544" w:type="dxa"/>
            <w:shd w:val="clear" w:color="auto" w:fill="auto"/>
          </w:tcPr>
          <w:p w14:paraId="6C5903A7" w14:textId="77777777" w:rsidR="001C6519" w:rsidRPr="00D1713C" w:rsidRDefault="0070283B" w:rsidP="001C6519">
            <w:pPr>
              <w:pStyle w:val="Tabletext"/>
            </w:pPr>
            <w:r w:rsidRPr="00D1713C">
              <w:t>paragraph 5</w:t>
            </w:r>
            <w:r w:rsidR="00B324BB" w:rsidRPr="00D1713C">
              <w:t xml:space="preserve">6(1)(b) </w:t>
            </w:r>
            <w:r w:rsidR="00210DEA" w:rsidRPr="00D1713C">
              <w:t xml:space="preserve">of this instrument </w:t>
            </w:r>
            <w:r w:rsidR="00B324BB" w:rsidRPr="00D1713C">
              <w:t>(a foreign government investor starting an Australian business)</w:t>
            </w:r>
            <w:r w:rsidR="00210DEA" w:rsidRPr="00D1713C">
              <w:t xml:space="preserve"> applies to the action</w:t>
            </w:r>
            <w:r w:rsidR="002175CE" w:rsidRPr="00D1713C">
              <w:t>.</w:t>
            </w:r>
          </w:p>
        </w:tc>
        <w:tc>
          <w:tcPr>
            <w:tcW w:w="4168" w:type="dxa"/>
            <w:gridSpan w:val="2"/>
            <w:shd w:val="clear" w:color="auto" w:fill="auto"/>
          </w:tcPr>
          <w:p w14:paraId="2DEE0991" w14:textId="77777777" w:rsidR="00B324BB" w:rsidRPr="00D1713C" w:rsidRDefault="00B324BB" w:rsidP="00B324BB">
            <w:pPr>
              <w:pStyle w:val="Tablea"/>
            </w:pPr>
            <w:r w:rsidRPr="00D1713C">
              <w:t xml:space="preserve">(a) the foreign person no longer carries on the Australian business mentioned in </w:t>
            </w:r>
            <w:r w:rsidR="0070283B" w:rsidRPr="00D1713C">
              <w:t>paragraph 5</w:t>
            </w:r>
            <w:r w:rsidRPr="00D1713C">
              <w:t>6(1)(b); or</w:t>
            </w:r>
          </w:p>
          <w:p w14:paraId="1FF1C8BC" w14:textId="77777777" w:rsidR="00B324BB" w:rsidRPr="00D1713C" w:rsidRDefault="00B324BB" w:rsidP="00B324BB">
            <w:pPr>
              <w:pStyle w:val="Tablea"/>
            </w:pPr>
            <w:r w:rsidRPr="00D1713C">
              <w:t>(b) the Australian business ceases to be an Australian business; or</w:t>
            </w:r>
          </w:p>
          <w:p w14:paraId="19AE8B99" w14:textId="77777777" w:rsidR="00B324BB" w:rsidRPr="00D1713C" w:rsidRDefault="00B324BB" w:rsidP="00B324BB">
            <w:pPr>
              <w:pStyle w:val="Tablea"/>
            </w:pPr>
            <w:r w:rsidRPr="00D1713C">
              <w:t xml:space="preserve">(c) the Australian business ceases to </w:t>
            </w:r>
            <w:r w:rsidR="00F4622E" w:rsidRPr="00D1713C">
              <w:t>be carried on</w:t>
            </w:r>
            <w:r w:rsidRPr="00D1713C">
              <w:t>; or</w:t>
            </w:r>
          </w:p>
          <w:p w14:paraId="582E2201" w14:textId="77777777" w:rsidR="001C6519" w:rsidRPr="00D1713C" w:rsidRDefault="00B324BB" w:rsidP="00B324BB">
            <w:pPr>
              <w:pStyle w:val="Tablea"/>
            </w:pPr>
            <w:r w:rsidRPr="00D1713C">
              <w:t>(d) the foreign person ceases to be a foreign government investor</w:t>
            </w:r>
            <w:r w:rsidR="002175CE" w:rsidRPr="00D1713C">
              <w:t>.</w:t>
            </w:r>
          </w:p>
        </w:tc>
      </w:tr>
      <w:tr w:rsidR="001C6519" w:rsidRPr="00D1713C" w14:paraId="61932DED" w14:textId="77777777" w:rsidTr="001F299E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14:paraId="090E8CD0" w14:textId="77777777" w:rsidR="001C6519" w:rsidRPr="00D1713C" w:rsidRDefault="001C6519" w:rsidP="001C6519">
            <w:pPr>
              <w:pStyle w:val="Tabletext"/>
            </w:pPr>
            <w:r w:rsidRPr="00D1713C">
              <w:t>4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shd w:val="clear" w:color="auto" w:fill="auto"/>
          </w:tcPr>
          <w:p w14:paraId="0E3CB93E" w14:textId="77777777" w:rsidR="001C6519" w:rsidRPr="00D1713C" w:rsidRDefault="00D60048" w:rsidP="001C6519">
            <w:pPr>
              <w:pStyle w:val="Tabletext"/>
            </w:pPr>
            <w:r>
              <w:t>subparagraph 5</w:t>
            </w:r>
            <w:r w:rsidR="000D035F" w:rsidRPr="00D1713C">
              <w:t>6(1)(c)(</w:t>
            </w:r>
            <w:proofErr w:type="spellStart"/>
            <w:r w:rsidR="000D035F" w:rsidRPr="00D1713C">
              <w:t>i</w:t>
            </w:r>
            <w:proofErr w:type="spellEnd"/>
            <w:r w:rsidR="000D035F" w:rsidRPr="00D1713C">
              <w:t xml:space="preserve">) </w:t>
            </w:r>
            <w:r w:rsidR="00F4622E" w:rsidRPr="00D1713C">
              <w:t xml:space="preserve">of this </w:t>
            </w:r>
            <w:r w:rsidR="00F4622E" w:rsidRPr="00D1713C">
              <w:lastRenderedPageBreak/>
              <w:t xml:space="preserve">instrument </w:t>
            </w:r>
            <w:r w:rsidR="000D035F" w:rsidRPr="00D1713C">
              <w:t>(a foreign government investor acquiring a</w:t>
            </w:r>
            <w:r w:rsidR="00FD3BFB" w:rsidRPr="00D1713C">
              <w:t>n</w:t>
            </w:r>
            <w:r w:rsidR="000D035F" w:rsidRPr="00D1713C">
              <w:t xml:space="preserve"> interest in a tenement)</w:t>
            </w:r>
            <w:r w:rsidR="00F4622E" w:rsidRPr="00D1713C">
              <w:t xml:space="preserve"> applies to the action</w:t>
            </w:r>
            <w:r w:rsidR="002175CE" w:rsidRPr="00D1713C">
              <w:t>.</w:t>
            </w:r>
          </w:p>
        </w:tc>
        <w:tc>
          <w:tcPr>
            <w:tcW w:w="416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A9B4368" w14:textId="77777777" w:rsidR="000D035F" w:rsidRPr="00D1713C" w:rsidRDefault="000D035F" w:rsidP="000D035F">
            <w:pPr>
              <w:pStyle w:val="Tablea"/>
            </w:pPr>
            <w:r w:rsidRPr="00D1713C">
              <w:lastRenderedPageBreak/>
              <w:t xml:space="preserve">(a) the foreign person </w:t>
            </w:r>
            <w:r w:rsidR="00F4622E" w:rsidRPr="00D1713C">
              <w:t xml:space="preserve">ceases to hold the interest </w:t>
            </w:r>
            <w:r w:rsidRPr="00D1713C">
              <w:lastRenderedPageBreak/>
              <w:t xml:space="preserve">in the tenement mentioned in </w:t>
            </w:r>
            <w:r w:rsidR="00D60048">
              <w:t>subparagraph 5</w:t>
            </w:r>
            <w:r w:rsidRPr="00D1713C">
              <w:t>6(1)(c)(</w:t>
            </w:r>
            <w:proofErr w:type="spellStart"/>
            <w:r w:rsidRPr="00D1713C">
              <w:t>i</w:t>
            </w:r>
            <w:proofErr w:type="spellEnd"/>
            <w:r w:rsidRPr="00D1713C">
              <w:t>); or</w:t>
            </w:r>
          </w:p>
          <w:p w14:paraId="4175DC5A" w14:textId="77777777" w:rsidR="000D035F" w:rsidRPr="00D1713C" w:rsidRDefault="000D035F" w:rsidP="000D035F">
            <w:pPr>
              <w:pStyle w:val="Tablea"/>
            </w:pPr>
            <w:r w:rsidRPr="00D1713C">
              <w:t>(b) the foreign person ceases to be a foreign government investor</w:t>
            </w:r>
            <w:r w:rsidR="002175CE" w:rsidRPr="00D1713C">
              <w:t>.</w:t>
            </w:r>
          </w:p>
        </w:tc>
      </w:tr>
      <w:tr w:rsidR="00CC2313" w:rsidRPr="00D1713C" w14:paraId="63A8A016" w14:textId="77777777" w:rsidTr="001F299E">
        <w:tc>
          <w:tcPr>
            <w:tcW w:w="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655D701" w14:textId="77777777" w:rsidR="00CC2313" w:rsidRPr="00D1713C" w:rsidRDefault="00CC2313" w:rsidP="00CC2313">
            <w:pPr>
              <w:pStyle w:val="Tabletext"/>
            </w:pPr>
            <w:r w:rsidRPr="00D1713C">
              <w:lastRenderedPageBreak/>
              <w:t>5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6262F83" w14:textId="77777777" w:rsidR="00CC2313" w:rsidRPr="00D1713C" w:rsidRDefault="00D60048" w:rsidP="00CC2313">
            <w:pPr>
              <w:pStyle w:val="Tabletext"/>
            </w:pPr>
            <w:r>
              <w:t>subparagraph 5</w:t>
            </w:r>
            <w:r w:rsidR="00CC2313" w:rsidRPr="00D1713C">
              <w:t xml:space="preserve">6(1)(c)(ii) </w:t>
            </w:r>
            <w:r w:rsidR="002E05C3" w:rsidRPr="00D1713C">
              <w:t xml:space="preserve">of this instrument </w:t>
            </w:r>
            <w:r w:rsidR="00CC2313" w:rsidRPr="00D1713C">
              <w:t xml:space="preserve">(a foreign government investor acquiring </w:t>
            </w:r>
            <w:r w:rsidR="002E05C3" w:rsidRPr="00D1713C">
              <w:t xml:space="preserve">an interest of at least 10% in securities in a mining, </w:t>
            </w:r>
            <w:proofErr w:type="gramStart"/>
            <w:r w:rsidR="002E05C3" w:rsidRPr="00D1713C">
              <w:t>production</w:t>
            </w:r>
            <w:proofErr w:type="gramEnd"/>
            <w:r w:rsidR="002E05C3" w:rsidRPr="00D1713C">
              <w:t xml:space="preserve"> or exploration entity</w:t>
            </w:r>
            <w:r w:rsidR="00CC2313" w:rsidRPr="00D1713C">
              <w:t>)</w:t>
            </w:r>
            <w:r w:rsidR="003F3A5E" w:rsidRPr="00D1713C">
              <w:t xml:space="preserve"> applies to the action</w:t>
            </w:r>
            <w:r w:rsidR="002175CE" w:rsidRPr="00D1713C">
              <w:t>.</w:t>
            </w:r>
          </w:p>
        </w:tc>
        <w:tc>
          <w:tcPr>
            <w:tcW w:w="416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1F96885" w14:textId="77777777" w:rsidR="00CC2313" w:rsidRPr="00D1713C" w:rsidRDefault="00CC2313" w:rsidP="00CC2313">
            <w:pPr>
              <w:pStyle w:val="Tablea"/>
            </w:pPr>
            <w:r w:rsidRPr="00D1713C">
              <w:t xml:space="preserve">(a) the foreign person no longer holds an interest of any percentage in the </w:t>
            </w:r>
            <w:r w:rsidR="002E05C3" w:rsidRPr="00D1713C">
              <w:t xml:space="preserve">mining, production or exploration entity </w:t>
            </w:r>
            <w:r w:rsidRPr="00D1713C">
              <w:t xml:space="preserve">mentioned in </w:t>
            </w:r>
            <w:r w:rsidR="00D60048">
              <w:t>subparagraph 5</w:t>
            </w:r>
            <w:r w:rsidRPr="00D1713C">
              <w:t>6(1)(c)(ii); or</w:t>
            </w:r>
          </w:p>
          <w:p w14:paraId="582B6512" w14:textId="77777777" w:rsidR="00CC2313" w:rsidRPr="00D1713C" w:rsidRDefault="00CC2313" w:rsidP="00CC2313">
            <w:pPr>
              <w:pStyle w:val="Tablea"/>
            </w:pPr>
            <w:r w:rsidRPr="00D1713C">
              <w:t xml:space="preserve">(b) the </w:t>
            </w:r>
            <w:r w:rsidR="003F3A5E" w:rsidRPr="00D1713C">
              <w:t xml:space="preserve">mining, production or exploration entity </w:t>
            </w:r>
            <w:r w:rsidRPr="00D1713C">
              <w:t xml:space="preserve">ceases to </w:t>
            </w:r>
            <w:r w:rsidR="005013D4" w:rsidRPr="00D1713C">
              <w:t xml:space="preserve">be a mining, </w:t>
            </w:r>
            <w:proofErr w:type="gramStart"/>
            <w:r w:rsidR="005013D4" w:rsidRPr="00D1713C">
              <w:t>production</w:t>
            </w:r>
            <w:proofErr w:type="gramEnd"/>
            <w:r w:rsidR="005013D4" w:rsidRPr="00D1713C">
              <w:t xml:space="preserve"> or exploration entity</w:t>
            </w:r>
            <w:r w:rsidRPr="00D1713C">
              <w:t>; or</w:t>
            </w:r>
          </w:p>
          <w:p w14:paraId="13D14A92" w14:textId="77777777" w:rsidR="00CC2313" w:rsidRPr="00D1713C" w:rsidRDefault="00CC2313" w:rsidP="003F3A5E">
            <w:pPr>
              <w:pStyle w:val="Tablea"/>
            </w:pPr>
            <w:r w:rsidRPr="00D1713C">
              <w:t xml:space="preserve">(c) the </w:t>
            </w:r>
            <w:r w:rsidR="003F3A5E" w:rsidRPr="00D1713C">
              <w:t xml:space="preserve">mining, production or exploration entity </w:t>
            </w:r>
            <w:r w:rsidRPr="00D1713C">
              <w:t>ceases to exist</w:t>
            </w:r>
            <w:r w:rsidR="005013D4" w:rsidRPr="00D1713C">
              <w:t>; or</w:t>
            </w:r>
          </w:p>
          <w:p w14:paraId="5F268426" w14:textId="77777777" w:rsidR="005013D4" w:rsidRPr="00D1713C" w:rsidRDefault="005013D4" w:rsidP="005013D4">
            <w:pPr>
              <w:pStyle w:val="Tablea"/>
            </w:pPr>
            <w:r w:rsidRPr="00D1713C">
              <w:t>(d) the foreign person ceases to be a foreign government investor</w:t>
            </w:r>
            <w:r w:rsidR="002175CE" w:rsidRPr="00D1713C">
              <w:t>.</w:t>
            </w:r>
          </w:p>
        </w:tc>
      </w:tr>
    </w:tbl>
    <w:p w14:paraId="5712569D" w14:textId="77777777" w:rsidR="00FD3BFB" w:rsidRPr="00D1713C" w:rsidRDefault="00FD3BFB" w:rsidP="00FD3BFB">
      <w:pPr>
        <w:pStyle w:val="subsection"/>
      </w:pPr>
      <w:r w:rsidRPr="00D1713C">
        <w:tab/>
        <w:t>(3)</w:t>
      </w:r>
      <w:r w:rsidRPr="00D1713C">
        <w:tab/>
        <w:t xml:space="preserve">Disregard any interest that is an equitable interest for the purposes of working out whether a registered circumstance exists, or has ceased, under an item of the table in </w:t>
      </w:r>
      <w:r w:rsidR="00294ABB" w:rsidRPr="00D1713C">
        <w:t>subsection (</w:t>
      </w:r>
      <w:r w:rsidRPr="00D1713C">
        <w:t>2)</w:t>
      </w:r>
      <w:r w:rsidR="002175CE" w:rsidRPr="00D1713C">
        <w:t>.</w:t>
      </w:r>
    </w:p>
    <w:p w14:paraId="7591B114" w14:textId="77777777" w:rsidR="00FD3BFB" w:rsidRPr="00D1713C" w:rsidRDefault="00FD3BFB" w:rsidP="00FD3BFB">
      <w:pPr>
        <w:pStyle w:val="notetext"/>
      </w:pPr>
      <w:r w:rsidRPr="00D1713C">
        <w:t>Note:</w:t>
      </w:r>
      <w:r w:rsidRPr="00D1713C">
        <w:tab/>
        <w:t xml:space="preserve">The requirement to give a register notice under </w:t>
      </w:r>
      <w:r w:rsidR="00294ABB" w:rsidRPr="00D1713C">
        <w:t>subsection (</w:t>
      </w:r>
      <w:r w:rsidRPr="00D1713C">
        <w:t xml:space="preserve">1) applies </w:t>
      </w:r>
      <w:proofErr w:type="gramStart"/>
      <w:r w:rsidRPr="00D1713C">
        <w:t>whether or not</w:t>
      </w:r>
      <w:proofErr w:type="gramEnd"/>
      <w:r w:rsidRPr="00D1713C">
        <w:t xml:space="preserve"> an interest is an equitable interest</w:t>
      </w:r>
      <w:r w:rsidR="002175CE" w:rsidRPr="00D1713C">
        <w:t>.</w:t>
      </w:r>
      <w:r w:rsidRPr="00D1713C">
        <w:t xml:space="preserve"> However, a notice of an action that relates only to an equitable interest does not cause a registered circumstance to exist under the table</w:t>
      </w:r>
      <w:r w:rsidR="002175CE" w:rsidRPr="00D1713C">
        <w:t>.</w:t>
      </w:r>
    </w:p>
    <w:p w14:paraId="7143499E" w14:textId="77777777" w:rsidR="006107E5" w:rsidRPr="00D1713C" w:rsidRDefault="006107E5" w:rsidP="006107E5">
      <w:pPr>
        <w:pStyle w:val="SubsectionHead"/>
      </w:pPr>
      <w:r w:rsidRPr="00D1713C">
        <w:t>Registrable event day</w:t>
      </w:r>
    </w:p>
    <w:p w14:paraId="3D6C2E41" w14:textId="77777777" w:rsidR="00F768D7" w:rsidRPr="00D1713C" w:rsidRDefault="00F768D7" w:rsidP="00F768D7">
      <w:pPr>
        <w:pStyle w:val="subsection"/>
      </w:pPr>
      <w:r w:rsidRPr="00D1713C">
        <w:tab/>
        <w:t>(4)</w:t>
      </w:r>
      <w:r w:rsidRPr="00D1713C">
        <w:tab/>
        <w:t xml:space="preserve">For the purposes of </w:t>
      </w:r>
      <w:r w:rsidR="00D60048">
        <w:t>paragraph 1</w:t>
      </w:r>
      <w:r w:rsidRPr="00D1713C">
        <w:t>30ZU(1)(b) of the Act, the registrable event day for a register notice under this section is:</w:t>
      </w:r>
    </w:p>
    <w:p w14:paraId="7A375731" w14:textId="77777777" w:rsidR="00F768D7" w:rsidRPr="00D1713C" w:rsidRDefault="00F768D7" w:rsidP="00F768D7">
      <w:pPr>
        <w:pStyle w:val="paragraph"/>
      </w:pPr>
      <w:r w:rsidRPr="00D1713C">
        <w:tab/>
        <w:t>(a)</w:t>
      </w:r>
      <w:r w:rsidRPr="00D1713C">
        <w:tab/>
        <w:t xml:space="preserve">if </w:t>
      </w:r>
      <w:r w:rsidR="00D60048">
        <w:t>paragraph (</w:t>
      </w:r>
      <w:r w:rsidRPr="00D1713C">
        <w:t>1)(a), and item 3 of the table in subsection (2), of this section apply—the first day any notice is given, or any certificate is issued, of a kind mentioned in subsection (</w:t>
      </w:r>
      <w:r>
        <w:t>5</w:t>
      </w:r>
      <w:r w:rsidRPr="00D1713C">
        <w:t>) of this section for the business mentioned in that table item; or</w:t>
      </w:r>
    </w:p>
    <w:p w14:paraId="3818DC00" w14:textId="77777777" w:rsidR="00F768D7" w:rsidRPr="00D1713C" w:rsidRDefault="00F768D7" w:rsidP="00F768D7">
      <w:pPr>
        <w:pStyle w:val="paragraph"/>
      </w:pPr>
      <w:r w:rsidRPr="00D1713C">
        <w:tab/>
        <w:t>(b)</w:t>
      </w:r>
      <w:r w:rsidRPr="00D1713C">
        <w:tab/>
        <w:t xml:space="preserve">if </w:t>
      </w:r>
      <w:r w:rsidR="00D60048">
        <w:t>paragraph (</w:t>
      </w:r>
      <w:r w:rsidRPr="00D1713C">
        <w:t>1)(b) of this section applies—the day on which the no objection notification or notice imposing conditions is given; or</w:t>
      </w:r>
    </w:p>
    <w:p w14:paraId="2CBCC6BD" w14:textId="77777777" w:rsidR="00F768D7" w:rsidRPr="00D1713C" w:rsidRDefault="00F768D7" w:rsidP="00F768D7">
      <w:pPr>
        <w:pStyle w:val="paragraph"/>
      </w:pPr>
      <w:r w:rsidRPr="00D1713C">
        <w:tab/>
        <w:t>(c)</w:t>
      </w:r>
      <w:r w:rsidRPr="00D1713C">
        <w:tab/>
        <w:t>otherwise—the day on which the foreign person takes the action.</w:t>
      </w:r>
    </w:p>
    <w:p w14:paraId="61211939" w14:textId="77777777" w:rsidR="00F768D7" w:rsidRPr="00D1713C" w:rsidRDefault="00F768D7" w:rsidP="00F768D7">
      <w:pPr>
        <w:pStyle w:val="subsection"/>
      </w:pPr>
      <w:r w:rsidRPr="00D1713C">
        <w:tab/>
        <w:t>(</w:t>
      </w:r>
      <w:r>
        <w:t>5</w:t>
      </w:r>
      <w:r w:rsidRPr="00D1713C">
        <w:t>)</w:t>
      </w:r>
      <w:r w:rsidRPr="00D1713C">
        <w:tab/>
        <w:t xml:space="preserve">For the purposes of </w:t>
      </w:r>
      <w:r w:rsidR="00D60048">
        <w:t>paragraph (</w:t>
      </w:r>
      <w:r>
        <w:t>4</w:t>
      </w:r>
      <w:r w:rsidRPr="00D1713C">
        <w:t>)(</w:t>
      </w:r>
      <w:r>
        <w:t>a</w:t>
      </w:r>
      <w:r w:rsidRPr="00D1713C">
        <w:t>), the kinds of notices or certificates are as follows:</w:t>
      </w:r>
    </w:p>
    <w:p w14:paraId="4DD1945F" w14:textId="77777777" w:rsidR="00F768D7" w:rsidRPr="00D1713C" w:rsidRDefault="00F768D7" w:rsidP="00F768D7">
      <w:pPr>
        <w:pStyle w:val="paragraph"/>
      </w:pPr>
      <w:r w:rsidRPr="00D1713C">
        <w:tab/>
        <w:t>(a)</w:t>
      </w:r>
      <w:r w:rsidRPr="00D1713C">
        <w:tab/>
        <w:t xml:space="preserve">a notice under subsection 11(3) of the </w:t>
      </w:r>
      <w:r w:rsidRPr="00D1713C">
        <w:rPr>
          <w:i/>
        </w:rPr>
        <w:t>A New Tax System (Australian Business Number) Act 1999</w:t>
      </w:r>
      <w:r w:rsidRPr="00D1713C">
        <w:t xml:space="preserve"> of an ABN (within the meaning of that Act</w:t>
      </w:r>
      <w:proofErr w:type="gramStart"/>
      <w:r w:rsidRPr="00D1713C">
        <w:t>);</w:t>
      </w:r>
      <w:proofErr w:type="gramEnd"/>
    </w:p>
    <w:p w14:paraId="7C35D33B" w14:textId="77777777" w:rsidR="00F768D7" w:rsidRPr="00D1713C" w:rsidRDefault="00F768D7" w:rsidP="00F768D7">
      <w:pPr>
        <w:pStyle w:val="paragraph"/>
      </w:pPr>
      <w:r w:rsidRPr="00D1713C">
        <w:tab/>
        <w:t>(b)</w:t>
      </w:r>
      <w:r w:rsidRPr="00D1713C">
        <w:tab/>
        <w:t xml:space="preserve">a certificate under </w:t>
      </w:r>
      <w:r w:rsidR="00D60048">
        <w:t>paragraph 1</w:t>
      </w:r>
      <w:r w:rsidRPr="00D1713C">
        <w:t xml:space="preserve">18(1)(c) or 601BD(1)(c) of the </w:t>
      </w:r>
      <w:r w:rsidRPr="00D1713C">
        <w:rPr>
          <w:i/>
        </w:rPr>
        <w:t>Corporations Act 2001</w:t>
      </w:r>
      <w:r w:rsidRPr="00D1713C">
        <w:t xml:space="preserve"> stating an ACN (within the meaning of that Act).</w:t>
      </w:r>
    </w:p>
    <w:p w14:paraId="37F56CA7" w14:textId="77777777" w:rsidR="00616F99" w:rsidRPr="00D1713C" w:rsidRDefault="00616F99" w:rsidP="00616F99">
      <w:pPr>
        <w:pStyle w:val="SubsectionHead"/>
      </w:pPr>
      <w:r w:rsidRPr="00D1713C">
        <w:t>Change in interest in an entity or bu</w:t>
      </w:r>
      <w:r w:rsidR="00626028" w:rsidRPr="00D1713C">
        <w:t>siness</w:t>
      </w:r>
    </w:p>
    <w:p w14:paraId="5D562400" w14:textId="77777777" w:rsidR="008F7EF9" w:rsidRPr="00D1713C" w:rsidRDefault="008F7EF9" w:rsidP="008F7EF9">
      <w:pPr>
        <w:pStyle w:val="subsection"/>
      </w:pPr>
      <w:r w:rsidRPr="00D1713C">
        <w:tab/>
        <w:t>(</w:t>
      </w:r>
      <w:r w:rsidR="00F768D7">
        <w:t>6</w:t>
      </w:r>
      <w:r w:rsidRPr="00D1713C">
        <w:t>)</w:t>
      </w:r>
      <w:r w:rsidRPr="00D1713C">
        <w:tab/>
        <w:t xml:space="preserve">For the purposes of </w:t>
      </w:r>
      <w:r w:rsidR="00D60048">
        <w:t>paragraph 1</w:t>
      </w:r>
      <w:r w:rsidRPr="00D1713C">
        <w:t xml:space="preserve">30ZN(4)(g) of the Act, </w:t>
      </w:r>
      <w:r w:rsidR="00240C5E" w:rsidRPr="00D1713C">
        <w:t>section 1</w:t>
      </w:r>
      <w:r w:rsidRPr="00D1713C">
        <w:t xml:space="preserve">30ZN of the Act applies to a registered circumstance mentioned in </w:t>
      </w:r>
      <w:r w:rsidR="0070283B" w:rsidRPr="00D1713C">
        <w:t>item 1</w:t>
      </w:r>
      <w:r w:rsidRPr="00D1713C">
        <w:t xml:space="preserve">, 2 or 5 of the table in </w:t>
      </w:r>
      <w:r w:rsidR="00294ABB" w:rsidRPr="00D1713C">
        <w:t>subsection (</w:t>
      </w:r>
      <w:r w:rsidRPr="00D1713C">
        <w:t>2) of this section</w:t>
      </w:r>
      <w:r w:rsidR="002175CE" w:rsidRPr="00D1713C">
        <w:t>.</w:t>
      </w:r>
    </w:p>
    <w:p w14:paraId="4CAFEBF7" w14:textId="77777777" w:rsidR="00FD3BFB" w:rsidRPr="00D1713C" w:rsidRDefault="00FD3BFB" w:rsidP="006107E5">
      <w:pPr>
        <w:pStyle w:val="SubsectionHead"/>
      </w:pPr>
      <w:r w:rsidRPr="00D1713C">
        <w:lastRenderedPageBreak/>
        <w:t>Application—Register commencement day</w:t>
      </w:r>
    </w:p>
    <w:p w14:paraId="13FC4603" w14:textId="77777777" w:rsidR="00FD3BFB" w:rsidRPr="00D1713C" w:rsidRDefault="00FD3BFB" w:rsidP="00FD3BFB">
      <w:pPr>
        <w:pStyle w:val="subsection"/>
      </w:pPr>
      <w:r w:rsidRPr="00D1713C">
        <w:tab/>
        <w:t>(</w:t>
      </w:r>
      <w:r w:rsidR="00F768D7">
        <w:t>7</w:t>
      </w:r>
      <w:r w:rsidRPr="00D1713C">
        <w:t>)</w:t>
      </w:r>
      <w:r w:rsidRPr="00D1713C">
        <w:tab/>
        <w:t>This section applies to actions taken on or after the Register commencement day</w:t>
      </w:r>
      <w:r w:rsidR="00E27CC9" w:rsidRPr="00D1713C">
        <w:t xml:space="preserve"> (regardless of when any notification or notice, other than the register notice, mentioned in </w:t>
      </w:r>
      <w:r w:rsidR="00294ABB" w:rsidRPr="00D1713C">
        <w:t>subsection (</w:t>
      </w:r>
      <w:r w:rsidR="00E27CC9" w:rsidRPr="00D1713C">
        <w:t>1) is given)</w:t>
      </w:r>
      <w:r w:rsidR="002175CE" w:rsidRPr="00D1713C">
        <w:t>.</w:t>
      </w:r>
    </w:p>
    <w:p w14:paraId="5016AE6A" w14:textId="77777777" w:rsidR="0046158A" w:rsidRPr="00D1713C" w:rsidRDefault="0046158A" w:rsidP="0046158A">
      <w:pPr>
        <w:pStyle w:val="ActHead4"/>
      </w:pPr>
      <w:bookmarkStart w:id="24" w:name="_Toc128050259"/>
      <w:bookmarkStart w:id="25" w:name="_Toc128050423"/>
      <w:r w:rsidRPr="00D96F3A">
        <w:rPr>
          <w:rStyle w:val="CharSubdNo"/>
        </w:rPr>
        <w:t>Subdivision B</w:t>
      </w:r>
      <w:r w:rsidRPr="00D1713C">
        <w:t>—</w:t>
      </w:r>
      <w:r w:rsidRPr="00D96F3A">
        <w:rPr>
          <w:rStyle w:val="CharSubdText"/>
        </w:rPr>
        <w:t>Actions covered by exemption certificates</w:t>
      </w:r>
      <w:bookmarkEnd w:id="24"/>
      <w:bookmarkEnd w:id="25"/>
    </w:p>
    <w:p w14:paraId="112E03BC" w14:textId="77777777" w:rsidR="00972C99" w:rsidRPr="00D1713C" w:rsidRDefault="002175CE" w:rsidP="00972C99">
      <w:pPr>
        <w:pStyle w:val="ActHead5"/>
      </w:pPr>
      <w:bookmarkStart w:id="26" w:name="_Toc128050260"/>
      <w:bookmarkStart w:id="27" w:name="_Toc128050424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C</w:t>
      </w:r>
      <w:r w:rsidR="00972C99" w:rsidRPr="00D1713C">
        <w:t xml:space="preserve">  Requirement</w:t>
      </w:r>
      <w:proofErr w:type="gramEnd"/>
      <w:r w:rsidR="00972C99" w:rsidRPr="00D1713C">
        <w:t xml:space="preserve"> to give register notice—actions relating to land</w:t>
      </w:r>
      <w:r w:rsidR="00B00A17" w:rsidRPr="00D1713C">
        <w:t xml:space="preserve"> that </w:t>
      </w:r>
      <w:r w:rsidR="005724F7" w:rsidRPr="00D1713C">
        <w:t xml:space="preserve">would be significant actions, </w:t>
      </w:r>
      <w:r w:rsidR="006A2C24" w:rsidRPr="00D1713C">
        <w:t xml:space="preserve">notifiable actions, </w:t>
      </w:r>
      <w:r w:rsidR="005724F7" w:rsidRPr="00D1713C">
        <w:t>notifiable national security actions or reviewable national security actions if not</w:t>
      </w:r>
      <w:r w:rsidR="00B00A17" w:rsidRPr="00D1713C">
        <w:t xml:space="preserve"> covered by exemption certificates</w:t>
      </w:r>
      <w:bookmarkEnd w:id="26"/>
      <w:bookmarkEnd w:id="27"/>
    </w:p>
    <w:p w14:paraId="2D51F400" w14:textId="77777777" w:rsidR="00972C99" w:rsidRDefault="00972C99" w:rsidP="00972C99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 the foreign person takes an action:</w:t>
      </w:r>
    </w:p>
    <w:p w14:paraId="3C0A8063" w14:textId="77777777" w:rsidR="002E0918" w:rsidRDefault="002E0918" w:rsidP="008322ED">
      <w:pPr>
        <w:pStyle w:val="paragraph"/>
      </w:pPr>
      <w:r>
        <w:tab/>
        <w:t>(a)</w:t>
      </w:r>
      <w:r>
        <w:tab/>
      </w:r>
      <w:r w:rsidR="004766B4">
        <w:t xml:space="preserve">that </w:t>
      </w:r>
      <w:r>
        <w:t xml:space="preserve">is an acquisition of an interest to which </w:t>
      </w:r>
      <w:r w:rsidR="00D60048">
        <w:t>paragraph 1</w:t>
      </w:r>
      <w:r>
        <w:t>30ZA(1)(a) or (b) of the Act</w:t>
      </w:r>
      <w:r w:rsidR="00BD394D">
        <w:t>, as affected by section 58L of this instrument,</w:t>
      </w:r>
      <w:r>
        <w:t xml:space="preserve"> applies (about certain interests in Australian land); and</w:t>
      </w:r>
    </w:p>
    <w:p w14:paraId="79EC2E61" w14:textId="77777777" w:rsidR="002E0918" w:rsidRDefault="002E0918" w:rsidP="008322ED">
      <w:pPr>
        <w:pStyle w:val="paragraph"/>
      </w:pPr>
      <w:r>
        <w:tab/>
        <w:t>(b)</w:t>
      </w:r>
      <w:r>
        <w:tab/>
      </w:r>
      <w:r w:rsidR="004766B4">
        <w:t>that:</w:t>
      </w:r>
    </w:p>
    <w:p w14:paraId="74BC25F6" w14:textId="77777777" w:rsidR="00972C99" w:rsidRPr="004766B4" w:rsidRDefault="00972C99" w:rsidP="004766B4">
      <w:pPr>
        <w:pStyle w:val="paragraphsub"/>
      </w:pPr>
      <w:r w:rsidRPr="00D1713C">
        <w:tab/>
        <w:t>(</w:t>
      </w:r>
      <w:proofErr w:type="spellStart"/>
      <w:r w:rsidR="004766B4">
        <w:t>i</w:t>
      </w:r>
      <w:proofErr w:type="spellEnd"/>
      <w:r w:rsidRPr="00D1713C">
        <w:t>)</w:t>
      </w:r>
      <w:r w:rsidRPr="00D1713C">
        <w:tab/>
        <w:t>is</w:t>
      </w:r>
      <w:r w:rsidRPr="004766B4">
        <w:t xml:space="preserve"> not a significant action only because of</w:t>
      </w:r>
      <w:r w:rsidR="008322ED" w:rsidRPr="004766B4">
        <w:t xml:space="preserve"> </w:t>
      </w:r>
      <w:r w:rsidR="0070283B" w:rsidRPr="004766B4">
        <w:t>subsection 4</w:t>
      </w:r>
      <w:r w:rsidRPr="004766B4">
        <w:t>5(1) or (2) of the Act</w:t>
      </w:r>
      <w:r w:rsidR="00E56C9E" w:rsidRPr="004766B4">
        <w:t xml:space="preserve"> (about exemption certificates)</w:t>
      </w:r>
      <w:r w:rsidRPr="004766B4">
        <w:t>; or</w:t>
      </w:r>
    </w:p>
    <w:p w14:paraId="71094FC4" w14:textId="77777777" w:rsidR="00907A53" w:rsidRPr="004766B4" w:rsidRDefault="00907A53" w:rsidP="004766B4">
      <w:pPr>
        <w:pStyle w:val="paragraphsub"/>
      </w:pPr>
      <w:r w:rsidRPr="004766B4">
        <w:tab/>
        <w:t>(</w:t>
      </w:r>
      <w:r w:rsidR="004766B4">
        <w:t>ii</w:t>
      </w:r>
      <w:r w:rsidRPr="004766B4">
        <w:t>)</w:t>
      </w:r>
      <w:r w:rsidRPr="004766B4">
        <w:tab/>
        <w:t>is neither a significant action nor a notifiable action only because of section 43A of this instrument (about exemption certificates); or</w:t>
      </w:r>
    </w:p>
    <w:p w14:paraId="0D4606B8" w14:textId="77777777" w:rsidR="00972C99" w:rsidRPr="004766B4" w:rsidRDefault="00972C99" w:rsidP="004766B4">
      <w:pPr>
        <w:pStyle w:val="paragraphsub"/>
      </w:pPr>
      <w:r w:rsidRPr="004766B4">
        <w:tab/>
        <w:t>(</w:t>
      </w:r>
      <w:r w:rsidR="004766B4">
        <w:t>iii</w:t>
      </w:r>
      <w:r w:rsidRPr="004766B4">
        <w:t>)</w:t>
      </w:r>
      <w:r w:rsidRPr="004766B4">
        <w:tab/>
      </w:r>
      <w:r w:rsidR="008322ED" w:rsidRPr="004766B4">
        <w:t xml:space="preserve">is </w:t>
      </w:r>
      <w:r w:rsidR="00292FBA" w:rsidRPr="004766B4">
        <w:t>an action to which</w:t>
      </w:r>
      <w:r w:rsidR="008322ED" w:rsidRPr="004766B4">
        <w:t xml:space="preserve"> </w:t>
      </w:r>
      <w:r w:rsidR="0070283B" w:rsidRPr="004766B4">
        <w:t>paragraph 5</w:t>
      </w:r>
      <w:r w:rsidR="008322ED" w:rsidRPr="004766B4">
        <w:t>5B(1)(d) of the Act</w:t>
      </w:r>
      <w:r w:rsidR="00292FBA" w:rsidRPr="004766B4">
        <w:t xml:space="preserve"> applies</w:t>
      </w:r>
      <w:r w:rsidR="008322ED" w:rsidRPr="004766B4">
        <w:t xml:space="preserve">, and </w:t>
      </w:r>
      <w:r w:rsidRPr="004766B4">
        <w:t xml:space="preserve">is not a notifiable national security action only because of </w:t>
      </w:r>
      <w:r w:rsidR="0070283B" w:rsidRPr="004766B4">
        <w:t>subsection 4</w:t>
      </w:r>
      <w:r w:rsidR="008322ED" w:rsidRPr="004766B4">
        <w:t>3</w:t>
      </w:r>
      <w:proofErr w:type="gramStart"/>
      <w:r w:rsidR="008322ED" w:rsidRPr="004766B4">
        <w:t>BA(</w:t>
      </w:r>
      <w:proofErr w:type="gramEnd"/>
      <w:r w:rsidR="008322ED" w:rsidRPr="004766B4">
        <w:t xml:space="preserve">4) </w:t>
      </w:r>
      <w:r w:rsidRPr="004766B4">
        <w:t>of this instrument</w:t>
      </w:r>
      <w:r w:rsidR="00E56C9E" w:rsidRPr="004766B4">
        <w:t xml:space="preserve"> (about exemption certificates)</w:t>
      </w:r>
      <w:r w:rsidRPr="004766B4">
        <w:t>; or</w:t>
      </w:r>
    </w:p>
    <w:p w14:paraId="527C85B4" w14:textId="77777777" w:rsidR="00972C99" w:rsidRDefault="00972C99" w:rsidP="004766B4">
      <w:pPr>
        <w:pStyle w:val="paragraphsub"/>
      </w:pPr>
      <w:r w:rsidRPr="004766B4">
        <w:tab/>
        <w:t>(</w:t>
      </w:r>
      <w:r w:rsidR="004766B4">
        <w:t>iv</w:t>
      </w:r>
      <w:r w:rsidRPr="004766B4">
        <w:t>)</w:t>
      </w:r>
      <w:r w:rsidRPr="004766B4">
        <w:tab/>
      </w:r>
      <w:r w:rsidR="008322ED" w:rsidRPr="004766B4">
        <w:t xml:space="preserve">is </w:t>
      </w:r>
      <w:r w:rsidR="00292FBA" w:rsidRPr="004766B4">
        <w:t>an a</w:t>
      </w:r>
      <w:r w:rsidR="00292FBA" w:rsidRPr="00D1713C">
        <w:t>ction to which</w:t>
      </w:r>
      <w:r w:rsidR="008322ED" w:rsidRPr="00D1713C">
        <w:t xml:space="preserve"> paragraphs 55F(a) and (b) of the Act</w:t>
      </w:r>
      <w:r w:rsidR="00292FBA" w:rsidRPr="00D1713C">
        <w:t xml:space="preserve"> apply</w:t>
      </w:r>
      <w:r w:rsidR="008322ED" w:rsidRPr="00D1713C">
        <w:t xml:space="preserve">, and </w:t>
      </w:r>
      <w:r w:rsidRPr="00D1713C">
        <w:t xml:space="preserve">is not a reviewable national security action only because of </w:t>
      </w:r>
      <w:r w:rsidR="0070283B" w:rsidRPr="00D1713C">
        <w:t>subsection 4</w:t>
      </w:r>
      <w:r w:rsidR="002641FD" w:rsidRPr="00D1713C">
        <w:t>3</w:t>
      </w:r>
      <w:proofErr w:type="gramStart"/>
      <w:r w:rsidR="002641FD" w:rsidRPr="00D1713C">
        <w:t>BB(</w:t>
      </w:r>
      <w:proofErr w:type="gramEnd"/>
      <w:r w:rsidR="002641FD" w:rsidRPr="00D1713C">
        <w:t>4)</w:t>
      </w:r>
      <w:r w:rsidRPr="00D1713C">
        <w:t xml:space="preserve"> of this instrument</w:t>
      </w:r>
      <w:r w:rsidR="00E56C9E" w:rsidRPr="00D1713C">
        <w:t xml:space="preserve"> (about exemption certificates)</w:t>
      </w:r>
      <w:r w:rsidR="004766B4">
        <w:t>.</w:t>
      </w:r>
    </w:p>
    <w:p w14:paraId="0E222176" w14:textId="77777777" w:rsidR="00EB0D5C" w:rsidRDefault="00EB0D5C" w:rsidP="00FB307D">
      <w:pPr>
        <w:pStyle w:val="notetext"/>
      </w:pPr>
      <w:r>
        <w:t>Note 1:</w:t>
      </w:r>
      <w:r>
        <w:tab/>
      </w:r>
      <w:r w:rsidR="00D60048">
        <w:t>Subparagraph (</w:t>
      </w:r>
      <w:r w:rsidR="004766B4">
        <w:t>b</w:t>
      </w:r>
      <w:r>
        <w:t>)</w:t>
      </w:r>
      <w:r w:rsidR="004766B4">
        <w:t>(</w:t>
      </w:r>
      <w:proofErr w:type="spellStart"/>
      <w:r w:rsidR="004766B4">
        <w:t>i</w:t>
      </w:r>
      <w:proofErr w:type="spellEnd"/>
      <w:r w:rsidR="004766B4">
        <w:t>)</w:t>
      </w:r>
      <w:r w:rsidR="006A0969">
        <w:t xml:space="preserve"> includes, for example</w:t>
      </w:r>
      <w:r>
        <w:t xml:space="preserve">, </w:t>
      </w:r>
      <w:r w:rsidR="006A0969">
        <w:t xml:space="preserve">an action to which </w:t>
      </w:r>
      <w:r w:rsidR="00D60048">
        <w:t>subparagraph 5</w:t>
      </w:r>
      <w:r w:rsidR="006A0969">
        <w:t>6(1)(c)(</w:t>
      </w:r>
      <w:proofErr w:type="spellStart"/>
      <w:r w:rsidR="006A0969">
        <w:t>i</w:t>
      </w:r>
      <w:proofErr w:type="spellEnd"/>
      <w:r w:rsidR="006A0969">
        <w:t xml:space="preserve">) of this instrument applies </w:t>
      </w:r>
      <w:r w:rsidR="00BD394D">
        <w:t>that</w:t>
      </w:r>
      <w:r w:rsidR="006A0969">
        <w:t xml:space="preserve"> is the acquisition by the</w:t>
      </w:r>
      <w:r>
        <w:t xml:space="preserve"> person </w:t>
      </w:r>
      <w:r w:rsidR="006A0969">
        <w:t>(as</w:t>
      </w:r>
      <w:r>
        <w:t xml:space="preserve"> a foreign government investor</w:t>
      </w:r>
      <w:r w:rsidR="006A0969">
        <w:t>) of</w:t>
      </w:r>
      <w:r w:rsidR="00FB307D">
        <w:t xml:space="preserve"> a legal interest in a </w:t>
      </w:r>
      <w:r w:rsidR="00FB307D" w:rsidRPr="00FB307D">
        <w:t>mining or production tenement</w:t>
      </w:r>
      <w:r>
        <w:t>.</w:t>
      </w:r>
    </w:p>
    <w:p w14:paraId="4E6A61E4" w14:textId="77777777" w:rsidR="002641FD" w:rsidRPr="00D1713C" w:rsidRDefault="002641FD" w:rsidP="002641FD">
      <w:pPr>
        <w:pStyle w:val="notetext"/>
      </w:pPr>
      <w:r w:rsidRPr="00D1713C">
        <w:t>Note</w:t>
      </w:r>
      <w:r w:rsidR="00EB0D5C">
        <w:t xml:space="preserve"> 2</w:t>
      </w:r>
      <w:r w:rsidRPr="00D1713C">
        <w:t>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623A403E" w14:textId="77777777" w:rsidR="00E56C9E" w:rsidRDefault="00E56C9E" w:rsidP="00E56C9E">
      <w:pPr>
        <w:pStyle w:val="subsection"/>
      </w:pPr>
      <w:r w:rsidRPr="00D1713C">
        <w:tab/>
        <w:t>(2)</w:t>
      </w:r>
      <w:r w:rsidRPr="00D1713C">
        <w:tab/>
        <w:t xml:space="preserve">For the purposes of paragraphs 130ZU(1)(b), (c) and (d) of the Act, if a foreign person gives </w:t>
      </w:r>
      <w:r w:rsidR="00292FBA" w:rsidRPr="00D1713C">
        <w:t xml:space="preserve">a </w:t>
      </w:r>
      <w:r w:rsidRPr="00D1713C">
        <w:t xml:space="preserve">register notice under this section in relation to an action mentioned in </w:t>
      </w:r>
      <w:r w:rsidR="00294ABB" w:rsidRPr="00D1713C">
        <w:t>subsection (</w:t>
      </w:r>
      <w:r w:rsidRPr="00D1713C">
        <w:t xml:space="preserve">1) of this section, </w:t>
      </w:r>
      <w:r w:rsidR="0070283B" w:rsidRPr="00D1713C">
        <w:t>subsections 1</w:t>
      </w:r>
      <w:r w:rsidRPr="00D1713C">
        <w:t xml:space="preserve">30ZA(2) to (5) of the Act apply in relation to the action as if the foreign person had given the register notice under </w:t>
      </w:r>
      <w:r w:rsidR="0070283B" w:rsidRPr="00D1713C">
        <w:t>subsection 1</w:t>
      </w:r>
      <w:r w:rsidRPr="00D1713C">
        <w:t>30ZA(1) of the Act in relation to the action</w:t>
      </w:r>
      <w:r w:rsidR="002175CE" w:rsidRPr="00D1713C">
        <w:t>.</w:t>
      </w:r>
    </w:p>
    <w:p w14:paraId="6FBF713F" w14:textId="77777777" w:rsidR="00F91026" w:rsidRPr="00D1713C" w:rsidRDefault="002175CE" w:rsidP="00F91026">
      <w:pPr>
        <w:pStyle w:val="ActHead5"/>
      </w:pPr>
      <w:bookmarkStart w:id="28" w:name="_Toc128050261"/>
      <w:bookmarkStart w:id="29" w:name="_Toc128050425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D</w:t>
      </w:r>
      <w:r w:rsidR="00F91026" w:rsidRPr="00D1713C">
        <w:t xml:space="preserve">  Requirement</w:t>
      </w:r>
      <w:proofErr w:type="gramEnd"/>
      <w:r w:rsidR="00F91026" w:rsidRPr="00D1713C">
        <w:t xml:space="preserve"> to give register notice—actions relating to tenements that would be significant actions, notifiable actions or notifiable national security actions if not covered by exemption certificates</w:t>
      </w:r>
      <w:bookmarkEnd w:id="28"/>
      <w:bookmarkEnd w:id="29"/>
    </w:p>
    <w:p w14:paraId="1E687F37" w14:textId="77777777" w:rsidR="00F91026" w:rsidRPr="00D1713C" w:rsidRDefault="00F91026" w:rsidP="00F91026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 the foreign person takes an action that:</w:t>
      </w:r>
    </w:p>
    <w:p w14:paraId="29E5283D" w14:textId="77777777" w:rsidR="00F91026" w:rsidRPr="00D1713C" w:rsidRDefault="00F91026" w:rsidP="00F91026">
      <w:pPr>
        <w:pStyle w:val="paragraph"/>
      </w:pPr>
      <w:r w:rsidRPr="00D1713C">
        <w:lastRenderedPageBreak/>
        <w:tab/>
        <w:t>(a)</w:t>
      </w:r>
      <w:r w:rsidRPr="00D1713C">
        <w:tab/>
        <w:t xml:space="preserve">is </w:t>
      </w:r>
      <w:r w:rsidR="00292FBA" w:rsidRPr="00D1713C">
        <w:t>an action to which</w:t>
      </w:r>
      <w:r w:rsidRPr="00D1713C">
        <w:t xml:space="preserve"> </w:t>
      </w:r>
      <w:r w:rsidR="0070283B" w:rsidRPr="00D1713C">
        <w:t>sub</w:t>
      </w:r>
      <w:r w:rsidR="00D60048">
        <w:t>paragraph 4</w:t>
      </w:r>
      <w:r w:rsidRPr="00D1713C">
        <w:t>3(1)(a)(</w:t>
      </w:r>
      <w:proofErr w:type="spellStart"/>
      <w:r w:rsidRPr="00D1713C">
        <w:t>i</w:t>
      </w:r>
      <w:proofErr w:type="spellEnd"/>
      <w:r w:rsidRPr="00D1713C">
        <w:t>) of this instrument</w:t>
      </w:r>
      <w:r w:rsidR="00292FBA" w:rsidRPr="00D1713C">
        <w:t xml:space="preserve"> applies</w:t>
      </w:r>
      <w:r w:rsidRPr="00D1713C">
        <w:t xml:space="preserve">, </w:t>
      </w:r>
      <w:r w:rsidR="00292FBA" w:rsidRPr="00D1713C">
        <w:t xml:space="preserve">and </w:t>
      </w:r>
      <w:r w:rsidRPr="00D1713C">
        <w:t xml:space="preserve">is neither a significant action nor a notifiable action only because of </w:t>
      </w:r>
      <w:r w:rsidR="0070283B" w:rsidRPr="00D1713C">
        <w:t>subsection 4</w:t>
      </w:r>
      <w:r w:rsidRPr="00D1713C">
        <w:t>3(4) of this instrument (about exemption certificates); or</w:t>
      </w:r>
    </w:p>
    <w:p w14:paraId="57457C08" w14:textId="77777777" w:rsidR="00F91026" w:rsidRPr="00D1713C" w:rsidRDefault="00F91026" w:rsidP="00F91026">
      <w:pPr>
        <w:pStyle w:val="paragraph"/>
      </w:pPr>
      <w:r w:rsidRPr="00D1713C">
        <w:tab/>
        <w:t>(b)</w:t>
      </w:r>
      <w:r w:rsidRPr="00D1713C">
        <w:tab/>
        <w:t xml:space="preserve">is </w:t>
      </w:r>
      <w:r w:rsidR="00292FBA" w:rsidRPr="00D1713C">
        <w:t>an action to which</w:t>
      </w:r>
      <w:r w:rsidRPr="00D1713C">
        <w:t xml:space="preserve"> </w:t>
      </w:r>
      <w:r w:rsidR="0070283B" w:rsidRPr="00D1713C">
        <w:t>paragraph 5</w:t>
      </w:r>
      <w:r w:rsidRPr="00D1713C">
        <w:t>5B(1)(</w:t>
      </w:r>
      <w:r w:rsidR="001B476B" w:rsidRPr="00D1713C">
        <w:t>e</w:t>
      </w:r>
      <w:r w:rsidRPr="00D1713C">
        <w:t>) of the Act</w:t>
      </w:r>
      <w:r w:rsidR="00292FBA" w:rsidRPr="00D1713C">
        <w:t xml:space="preserve"> applies</w:t>
      </w:r>
      <w:r w:rsidRPr="00D1713C">
        <w:t xml:space="preserve">, and is not a notifiable national security action only because of </w:t>
      </w:r>
      <w:r w:rsidR="0070283B" w:rsidRPr="00D1713C">
        <w:t>subsection 4</w:t>
      </w:r>
      <w:r w:rsidRPr="00D1713C">
        <w:t>3</w:t>
      </w:r>
      <w:proofErr w:type="gramStart"/>
      <w:r w:rsidRPr="00D1713C">
        <w:t>BA(</w:t>
      </w:r>
      <w:proofErr w:type="gramEnd"/>
      <w:r w:rsidRPr="00D1713C">
        <w:t>4) of this instrument (about exemption certificates)</w:t>
      </w:r>
      <w:r w:rsidR="002175CE" w:rsidRPr="00D1713C">
        <w:t>.</w:t>
      </w:r>
    </w:p>
    <w:p w14:paraId="1FB430E0" w14:textId="77777777" w:rsidR="00EB0D5C" w:rsidRDefault="00EB0D5C" w:rsidP="00F91026">
      <w:pPr>
        <w:pStyle w:val="notetext"/>
      </w:pPr>
      <w:r>
        <w:t>Note 1:</w:t>
      </w:r>
      <w:r>
        <w:tab/>
        <w:t xml:space="preserve">For </w:t>
      </w:r>
      <w:r w:rsidR="00D60048">
        <w:t>paragraph (</w:t>
      </w:r>
      <w:r>
        <w:t xml:space="preserve">a), if the person is a foreign government investor, the action may also be one to which </w:t>
      </w:r>
      <w:r w:rsidR="00D60048">
        <w:t>subparagraph 5</w:t>
      </w:r>
      <w:r>
        <w:t>6(1)(c)(</w:t>
      </w:r>
      <w:proofErr w:type="spellStart"/>
      <w:r>
        <w:t>i</w:t>
      </w:r>
      <w:proofErr w:type="spellEnd"/>
      <w:r>
        <w:t>) of this instrument applies.</w:t>
      </w:r>
    </w:p>
    <w:p w14:paraId="5EC3BF6A" w14:textId="77777777" w:rsidR="00F91026" w:rsidRPr="00D1713C" w:rsidRDefault="00F91026" w:rsidP="00F91026">
      <w:pPr>
        <w:pStyle w:val="notetext"/>
      </w:pPr>
      <w:r w:rsidRPr="00D1713C">
        <w:t>Note</w:t>
      </w:r>
      <w:r w:rsidR="00EB0D5C">
        <w:t xml:space="preserve"> 2</w:t>
      </w:r>
      <w:r w:rsidRPr="00D1713C">
        <w:t>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16932EA3" w14:textId="77777777" w:rsidR="001B476B" w:rsidRPr="00D1713C" w:rsidRDefault="00F91026" w:rsidP="00F91026">
      <w:pPr>
        <w:pStyle w:val="subsection"/>
      </w:pPr>
      <w:r w:rsidRPr="00D1713C">
        <w:tab/>
        <w:t>(2)</w:t>
      </w:r>
      <w:r w:rsidRPr="00D1713C">
        <w:tab/>
        <w:t xml:space="preserve">For the purposes of paragraphs 130ZU(1)(b), (c) and (d) of the Act, if a foreign person gives </w:t>
      </w:r>
      <w:r w:rsidR="00292FBA" w:rsidRPr="00D1713C">
        <w:t xml:space="preserve">a </w:t>
      </w:r>
      <w:r w:rsidRPr="00D1713C">
        <w:t xml:space="preserve">register notice under this section in relation to an action mentioned in </w:t>
      </w:r>
      <w:r w:rsidR="00294ABB" w:rsidRPr="00D1713C">
        <w:t>subsection (</w:t>
      </w:r>
      <w:r w:rsidRPr="00D1713C">
        <w:t xml:space="preserve">1) of this section, </w:t>
      </w:r>
      <w:r w:rsidR="0070283B" w:rsidRPr="00D1713C">
        <w:t>subsections 1</w:t>
      </w:r>
      <w:r w:rsidRPr="00D1713C">
        <w:t>30</w:t>
      </w:r>
      <w:proofErr w:type="gramStart"/>
      <w:r w:rsidRPr="00D1713C">
        <w:t>Z</w:t>
      </w:r>
      <w:r w:rsidR="001B476B" w:rsidRPr="00D1713C">
        <w:t>B</w:t>
      </w:r>
      <w:r w:rsidRPr="00D1713C">
        <w:t>(</w:t>
      </w:r>
      <w:proofErr w:type="gramEnd"/>
      <w:r w:rsidRPr="00D1713C">
        <w:t>2)</w:t>
      </w:r>
      <w:r w:rsidR="00037E55" w:rsidRPr="00D1713C">
        <w:t>, (3), (4) and (6)</w:t>
      </w:r>
      <w:r w:rsidRPr="00D1713C">
        <w:t xml:space="preserve"> of the Act apply in relation to the action as if</w:t>
      </w:r>
      <w:r w:rsidR="001B476B" w:rsidRPr="00D1713C">
        <w:t>:</w:t>
      </w:r>
    </w:p>
    <w:p w14:paraId="2770D0A0" w14:textId="77777777" w:rsidR="00F91026" w:rsidRPr="00D1713C" w:rsidRDefault="001B476B" w:rsidP="001B476B">
      <w:pPr>
        <w:pStyle w:val="paragraph"/>
      </w:pPr>
      <w:r w:rsidRPr="00D1713C">
        <w:tab/>
        <w:t>(a)</w:t>
      </w:r>
      <w:r w:rsidRPr="00D1713C">
        <w:tab/>
      </w:r>
      <w:r w:rsidR="00F91026" w:rsidRPr="00D1713C">
        <w:t xml:space="preserve">the foreign person had given the register notice under </w:t>
      </w:r>
      <w:r w:rsidR="0070283B" w:rsidRPr="00D1713C">
        <w:t>subsection 1</w:t>
      </w:r>
      <w:r w:rsidR="00F91026" w:rsidRPr="00D1713C">
        <w:t>30</w:t>
      </w:r>
      <w:proofErr w:type="gramStart"/>
      <w:r w:rsidR="00F91026" w:rsidRPr="00D1713C">
        <w:t>Z</w:t>
      </w:r>
      <w:r w:rsidRPr="00D1713C">
        <w:t>B(</w:t>
      </w:r>
      <w:proofErr w:type="gramEnd"/>
      <w:r w:rsidR="00F91026" w:rsidRPr="00D1713C">
        <w:t>1) of the Act in relation to the action</w:t>
      </w:r>
      <w:r w:rsidRPr="00D1713C">
        <w:t>; and</w:t>
      </w:r>
    </w:p>
    <w:p w14:paraId="2E004073" w14:textId="77777777" w:rsidR="001B476B" w:rsidRPr="00D1713C" w:rsidRDefault="001B476B" w:rsidP="003751AA">
      <w:pPr>
        <w:pStyle w:val="paragraph"/>
      </w:pPr>
      <w:r w:rsidRPr="00D1713C">
        <w:tab/>
        <w:t>(b)</w:t>
      </w:r>
      <w:r w:rsidRPr="00D1713C">
        <w:tab/>
      </w:r>
      <w:r w:rsidR="00037E55" w:rsidRPr="00D1713C">
        <w:rPr>
          <w:b/>
          <w:i/>
        </w:rPr>
        <w:t>interest</w:t>
      </w:r>
      <w:r w:rsidR="00037E55" w:rsidRPr="00D1713C">
        <w:t xml:space="preserve"> has the same meaning in relation to</w:t>
      </w:r>
      <w:r w:rsidR="003751AA" w:rsidRPr="00D1713C">
        <w:t xml:space="preserve"> </w:t>
      </w:r>
      <w:r w:rsidRPr="00D1713C">
        <w:t>a tenement covered by:</w:t>
      </w:r>
    </w:p>
    <w:p w14:paraId="5AB549B4" w14:textId="77777777" w:rsidR="001B476B" w:rsidRPr="00D1713C" w:rsidRDefault="001B476B" w:rsidP="001B476B">
      <w:pPr>
        <w:pStyle w:val="paragraphsub"/>
      </w:pPr>
      <w:r w:rsidRPr="00D1713C">
        <w:tab/>
        <w:t>(</w:t>
      </w:r>
      <w:proofErr w:type="spellStart"/>
      <w:r w:rsidRPr="00D1713C">
        <w:t>i</w:t>
      </w:r>
      <w:proofErr w:type="spellEnd"/>
      <w:r w:rsidRPr="00D1713C">
        <w:t>)</w:t>
      </w:r>
      <w:r w:rsidRPr="00D1713C">
        <w:tab/>
      </w:r>
      <w:r w:rsidR="0070283B" w:rsidRPr="00D1713C">
        <w:t>sub</w:t>
      </w:r>
      <w:r w:rsidR="00D60048">
        <w:t>paragraph 4</w:t>
      </w:r>
      <w:r w:rsidRPr="00D1713C">
        <w:t>3(1)(a)(</w:t>
      </w:r>
      <w:proofErr w:type="spellStart"/>
      <w:r w:rsidRPr="00D1713C">
        <w:t>i</w:t>
      </w:r>
      <w:proofErr w:type="spellEnd"/>
      <w:r w:rsidRPr="00D1713C">
        <w:t>) of this instrument; or</w:t>
      </w:r>
    </w:p>
    <w:p w14:paraId="77D954A1" w14:textId="77777777" w:rsidR="001B476B" w:rsidRPr="00D1713C" w:rsidRDefault="001B476B" w:rsidP="001B476B">
      <w:pPr>
        <w:pStyle w:val="paragraphsub"/>
      </w:pPr>
      <w:r w:rsidRPr="00D1713C">
        <w:tab/>
        <w:t>(ii)</w:t>
      </w:r>
      <w:r w:rsidRPr="00D1713C">
        <w:tab/>
      </w:r>
      <w:r w:rsidR="0070283B" w:rsidRPr="00D1713C">
        <w:t>paragraph 5</w:t>
      </w:r>
      <w:r w:rsidRPr="00D1713C">
        <w:t xml:space="preserve">5B(1)(e) of the </w:t>
      </w:r>
      <w:proofErr w:type="gramStart"/>
      <w:r w:rsidRPr="00D1713C">
        <w:t>Act;</w:t>
      </w:r>
      <w:proofErr w:type="gramEnd"/>
    </w:p>
    <w:p w14:paraId="6790A750" w14:textId="77777777" w:rsidR="001B476B" w:rsidRPr="00D1713C" w:rsidRDefault="001B476B" w:rsidP="001B476B">
      <w:pPr>
        <w:pStyle w:val="paragraph"/>
      </w:pPr>
      <w:r w:rsidRPr="00D1713C">
        <w:tab/>
      </w:r>
      <w:r w:rsidRPr="00D1713C">
        <w:tab/>
      </w:r>
      <w:r w:rsidR="003751AA" w:rsidRPr="00D1713C">
        <w:t>as it has in relation to Australian land</w:t>
      </w:r>
      <w:r w:rsidR="002175CE" w:rsidRPr="00D1713C">
        <w:t>.</w:t>
      </w:r>
    </w:p>
    <w:p w14:paraId="336F8799" w14:textId="77777777" w:rsidR="003751AA" w:rsidRPr="00D1713C" w:rsidRDefault="002175CE" w:rsidP="003751AA">
      <w:pPr>
        <w:pStyle w:val="ActHead5"/>
      </w:pPr>
      <w:bookmarkStart w:id="30" w:name="_Toc128050262"/>
      <w:bookmarkStart w:id="31" w:name="_Toc128050426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E</w:t>
      </w:r>
      <w:r w:rsidR="003751AA" w:rsidRPr="00D1713C">
        <w:t xml:space="preserve">  Requirement</w:t>
      </w:r>
      <w:proofErr w:type="gramEnd"/>
      <w:r w:rsidR="003751AA" w:rsidRPr="00D1713C">
        <w:t xml:space="preserve"> to give register notice—actions relating to entities that would be significant actions </w:t>
      </w:r>
      <w:r w:rsidR="003E57F8" w:rsidRPr="00D1713C">
        <w:t xml:space="preserve">or notifiable actions </w:t>
      </w:r>
      <w:r w:rsidR="003751AA" w:rsidRPr="00D1713C">
        <w:t>if not covered by exemption certificates</w:t>
      </w:r>
      <w:bookmarkEnd w:id="30"/>
      <w:bookmarkEnd w:id="31"/>
    </w:p>
    <w:p w14:paraId="58B1C2C3" w14:textId="77777777" w:rsidR="003751AA" w:rsidRPr="00D1713C" w:rsidRDefault="003751AA" w:rsidP="003751AA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 the foreign person takes an action that:</w:t>
      </w:r>
    </w:p>
    <w:p w14:paraId="368985F0" w14:textId="77777777" w:rsidR="003751AA" w:rsidRPr="00D1713C" w:rsidRDefault="003751AA" w:rsidP="003751AA">
      <w:pPr>
        <w:pStyle w:val="paragraph"/>
      </w:pPr>
      <w:r w:rsidRPr="00D1713C">
        <w:tab/>
        <w:t>(a)</w:t>
      </w:r>
      <w:r w:rsidRPr="00D1713C">
        <w:tab/>
      </w:r>
      <w:r w:rsidR="00DC5E52" w:rsidRPr="00D1713C">
        <w:t xml:space="preserve">is an acquisition by </w:t>
      </w:r>
      <w:r w:rsidR="002E272B">
        <w:t>the</w:t>
      </w:r>
      <w:r w:rsidR="00DC5E52" w:rsidRPr="00D1713C">
        <w:t xml:space="preserve"> foreign person of an interest in securities of an entity, </w:t>
      </w:r>
      <w:r w:rsidR="008D0AE6" w:rsidRPr="00D1713C">
        <w:t xml:space="preserve">and is neither a significant action nor a notifiable action only because of </w:t>
      </w:r>
      <w:r w:rsidR="0070283B" w:rsidRPr="00D1713C">
        <w:t>section 4</w:t>
      </w:r>
      <w:r w:rsidRPr="00D1713C">
        <w:t>2</w:t>
      </w:r>
      <w:r w:rsidR="008D0AE6">
        <w:t xml:space="preserve"> </w:t>
      </w:r>
      <w:r w:rsidRPr="00D1713C">
        <w:t>of this instrument (about exemption certificates); or</w:t>
      </w:r>
    </w:p>
    <w:p w14:paraId="54E40C85" w14:textId="77777777" w:rsidR="003751AA" w:rsidRDefault="003751AA" w:rsidP="003751AA">
      <w:pPr>
        <w:pStyle w:val="paragraph"/>
      </w:pPr>
      <w:r w:rsidRPr="00D1713C">
        <w:tab/>
        <w:t>(</w:t>
      </w:r>
      <w:r w:rsidR="008D0AE6">
        <w:t>b</w:t>
      </w:r>
      <w:r w:rsidRPr="00D1713C">
        <w:t>)</w:t>
      </w:r>
      <w:r w:rsidRPr="00D1713C">
        <w:tab/>
        <w:t xml:space="preserve">is </w:t>
      </w:r>
      <w:r w:rsidR="00E535DC" w:rsidRPr="00D1713C">
        <w:t xml:space="preserve">an acquisition by </w:t>
      </w:r>
      <w:r w:rsidR="002E272B">
        <w:t>the</w:t>
      </w:r>
      <w:r w:rsidR="00E535DC" w:rsidRPr="00D1713C">
        <w:t xml:space="preserve"> foreign person of an interest in securities in a mining, </w:t>
      </w:r>
      <w:proofErr w:type="gramStart"/>
      <w:r w:rsidR="00E535DC" w:rsidRPr="00D1713C">
        <w:t>production</w:t>
      </w:r>
      <w:proofErr w:type="gramEnd"/>
      <w:r w:rsidR="00E535DC" w:rsidRPr="00D1713C">
        <w:t xml:space="preserve"> or exploration entity</w:t>
      </w:r>
      <w:r w:rsidRPr="00D1713C">
        <w:t xml:space="preserve">, </w:t>
      </w:r>
      <w:r w:rsidR="00DC5E52" w:rsidRPr="00D1713C">
        <w:t xml:space="preserve">and </w:t>
      </w:r>
      <w:r w:rsidRPr="00D1713C">
        <w:t xml:space="preserve">is </w:t>
      </w:r>
      <w:r w:rsidR="003E57F8" w:rsidRPr="00D1713C">
        <w:t>neither</w:t>
      </w:r>
      <w:r w:rsidRPr="00D1713C">
        <w:t xml:space="preserve"> a significant action </w:t>
      </w:r>
      <w:r w:rsidR="003E57F8" w:rsidRPr="00D1713C">
        <w:t xml:space="preserve">nor a notifiable action </w:t>
      </w:r>
      <w:r w:rsidRPr="00D1713C">
        <w:t xml:space="preserve">only because of </w:t>
      </w:r>
      <w:r w:rsidR="0070283B" w:rsidRPr="00D1713C">
        <w:t>subsection 4</w:t>
      </w:r>
      <w:r w:rsidRPr="00D1713C">
        <w:t>3(4) of this instrument (about exemption certificates)</w:t>
      </w:r>
      <w:r w:rsidR="00A859B0">
        <w:t>; or</w:t>
      </w:r>
    </w:p>
    <w:p w14:paraId="4BC13D55" w14:textId="77777777" w:rsidR="00160968" w:rsidRDefault="00A859B0" w:rsidP="004F0FE0">
      <w:pPr>
        <w:pStyle w:val="paragraph"/>
      </w:pPr>
      <w:r>
        <w:tab/>
      </w:r>
      <w:r w:rsidR="004F0FE0">
        <w:t>(</w:t>
      </w:r>
      <w:r w:rsidR="008D0AE6">
        <w:t>c</w:t>
      </w:r>
      <w:r w:rsidR="004F0FE0">
        <w:t>)</w:t>
      </w:r>
      <w:r w:rsidR="004F0FE0">
        <w:tab/>
        <w:t xml:space="preserve">is an </w:t>
      </w:r>
      <w:r w:rsidR="004F0FE0" w:rsidRPr="004F0FE0">
        <w:t>acqui</w:t>
      </w:r>
      <w:r w:rsidR="004F0FE0">
        <w:t>sition</w:t>
      </w:r>
      <w:r w:rsidR="00056CEE">
        <w:t xml:space="preserve"> by the foreign person</w:t>
      </w:r>
      <w:r w:rsidR="00160968">
        <w:t>:</w:t>
      </w:r>
    </w:p>
    <w:p w14:paraId="4F5AB8C0" w14:textId="77777777" w:rsidR="00160968" w:rsidRDefault="00160968" w:rsidP="00160968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4F0FE0">
        <w:t>of</w:t>
      </w:r>
      <w:r w:rsidR="004F0FE0" w:rsidRPr="004F0FE0">
        <w:t xml:space="preserve"> </w:t>
      </w:r>
      <w:r w:rsidR="002E272B">
        <w:t>a</w:t>
      </w:r>
      <w:r w:rsidR="004F0FE0" w:rsidRPr="004F0FE0">
        <w:t xml:space="preserve"> direct interest </w:t>
      </w:r>
      <w:r w:rsidR="004F0FE0" w:rsidRPr="002E272B">
        <w:t>in an entity</w:t>
      </w:r>
      <w:r w:rsidR="004F0FE0" w:rsidRPr="004F0FE0">
        <w:t xml:space="preserve"> that wholly or partly carries on an Australian media business</w:t>
      </w:r>
      <w:r>
        <w:t>; or</w:t>
      </w:r>
    </w:p>
    <w:p w14:paraId="666E738A" w14:textId="77777777" w:rsidR="00160968" w:rsidRDefault="00160968" w:rsidP="00160968">
      <w:pPr>
        <w:pStyle w:val="paragraphsub"/>
      </w:pPr>
      <w:r>
        <w:tab/>
        <w:t>(ii)</w:t>
      </w:r>
      <w:r>
        <w:tab/>
      </w:r>
      <w:r w:rsidR="00056CEE">
        <w:t>(as</w:t>
      </w:r>
      <w:r>
        <w:t xml:space="preserve"> a </w:t>
      </w:r>
      <w:r w:rsidRPr="00160968">
        <w:t>foreign government investor</w:t>
      </w:r>
      <w:r w:rsidR="00056CEE">
        <w:t>)</w:t>
      </w:r>
      <w:r w:rsidR="004F0FE0">
        <w:t xml:space="preserve"> </w:t>
      </w:r>
      <w:r>
        <w:t xml:space="preserve">of </w:t>
      </w:r>
      <w:r w:rsidRPr="00160968">
        <w:t xml:space="preserve">a direct interest in an Australian </w:t>
      </w:r>
      <w:proofErr w:type="gramStart"/>
      <w:r w:rsidRPr="00160968">
        <w:t>entity</w:t>
      </w:r>
      <w:r>
        <w:t>;</w:t>
      </w:r>
      <w:proofErr w:type="gramEnd"/>
    </w:p>
    <w:p w14:paraId="36537483" w14:textId="77777777" w:rsidR="00A859B0" w:rsidRDefault="00160968" w:rsidP="00160968">
      <w:pPr>
        <w:pStyle w:val="paragraph"/>
      </w:pPr>
      <w:r>
        <w:tab/>
      </w:r>
      <w:r>
        <w:tab/>
      </w:r>
      <w:r w:rsidR="004F0FE0" w:rsidRPr="00D1713C">
        <w:t xml:space="preserve">and is neither a significant action nor a notifiable action only because of </w:t>
      </w:r>
      <w:r w:rsidR="004F0FE0" w:rsidRPr="002E272B">
        <w:t>section 42</w:t>
      </w:r>
      <w:r w:rsidR="00147509">
        <w:t xml:space="preserve"> </w:t>
      </w:r>
      <w:r w:rsidR="004F0FE0" w:rsidRPr="00D1713C">
        <w:t>of this instrument (about exemption certificates)</w:t>
      </w:r>
      <w:r>
        <w:t>.</w:t>
      </w:r>
    </w:p>
    <w:p w14:paraId="3AA99756" w14:textId="77777777" w:rsidR="008D0AE6" w:rsidRDefault="008D0AE6" w:rsidP="008D0AE6">
      <w:pPr>
        <w:pStyle w:val="notetext"/>
      </w:pPr>
      <w:r>
        <w:t>Note 1:</w:t>
      </w:r>
      <w:r>
        <w:tab/>
        <w:t xml:space="preserve">For </w:t>
      </w:r>
      <w:r w:rsidR="00D60048">
        <w:t>paragraph (</w:t>
      </w:r>
      <w:r>
        <w:t xml:space="preserve">a) or (b), if the person is a foreign government investor, the action may also be one to which </w:t>
      </w:r>
      <w:r w:rsidR="00D60048">
        <w:t>subparagraph 5</w:t>
      </w:r>
      <w:r>
        <w:t>6(1)(c)(ii) of this instrument applies.</w:t>
      </w:r>
    </w:p>
    <w:p w14:paraId="171F9E9A" w14:textId="77777777" w:rsidR="003751AA" w:rsidRPr="00D1713C" w:rsidRDefault="003751AA" w:rsidP="003751AA">
      <w:pPr>
        <w:pStyle w:val="notetext"/>
      </w:pPr>
      <w:r w:rsidRPr="00D1713C">
        <w:t>Note</w:t>
      </w:r>
      <w:r w:rsidR="008D0AE6">
        <w:t xml:space="preserve"> 2</w:t>
      </w:r>
      <w:r w:rsidRPr="00D1713C">
        <w:t>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3314440D" w14:textId="77777777" w:rsidR="00D525B5" w:rsidRPr="00D1713C" w:rsidRDefault="00D525B5" w:rsidP="00D525B5">
      <w:pPr>
        <w:pStyle w:val="subsection"/>
      </w:pPr>
      <w:r w:rsidRPr="00D1713C">
        <w:tab/>
        <w:t>(2)</w:t>
      </w:r>
      <w:r w:rsidRPr="00D1713C">
        <w:tab/>
        <w:t xml:space="preserve">For the purposes of paragraphs 130ZU(1)(b), (c) and (d) of the Act, if a foreign person gives a register notice under this section in relation to an action </w:t>
      </w:r>
      <w:r w:rsidRPr="00D1713C">
        <w:lastRenderedPageBreak/>
        <w:t>mentioned in subsection (1) of this section, subsections 130</w:t>
      </w:r>
      <w:proofErr w:type="gramStart"/>
      <w:r w:rsidRPr="00D1713C">
        <w:t>ZH(</w:t>
      </w:r>
      <w:proofErr w:type="gramEnd"/>
      <w:r w:rsidRPr="00D1713C">
        <w:t>2) to (5) of the Act apply in relation to the action as if:</w:t>
      </w:r>
    </w:p>
    <w:p w14:paraId="2B8372DA" w14:textId="77777777" w:rsidR="00D525B5" w:rsidRPr="00D1713C" w:rsidRDefault="00D525B5" w:rsidP="00D525B5">
      <w:pPr>
        <w:pStyle w:val="paragraph"/>
      </w:pPr>
      <w:r w:rsidRPr="00D1713C">
        <w:tab/>
        <w:t>(a)</w:t>
      </w:r>
      <w:r w:rsidRPr="00D1713C">
        <w:tab/>
        <w:t>the foreign person had given the register notice under subsection 130</w:t>
      </w:r>
      <w:proofErr w:type="gramStart"/>
      <w:r w:rsidRPr="00D1713C">
        <w:t>ZH(</w:t>
      </w:r>
      <w:proofErr w:type="gramEnd"/>
      <w:r w:rsidRPr="00D1713C">
        <w:t>1) of the Act in relation to the action; and</w:t>
      </w:r>
    </w:p>
    <w:p w14:paraId="6CD9DDA6" w14:textId="77777777" w:rsidR="00373A1C" w:rsidRDefault="00373A1C" w:rsidP="00373A1C">
      <w:pPr>
        <w:pStyle w:val="paragraph"/>
      </w:pPr>
      <w:r w:rsidRPr="00D1713C">
        <w:tab/>
        <w:t>(b)</w:t>
      </w:r>
      <w:r w:rsidRPr="00D1713C">
        <w:tab/>
      </w:r>
      <w:r>
        <w:t xml:space="preserve">if </w:t>
      </w:r>
      <w:r w:rsidR="00D60048">
        <w:t>subparagraph (</w:t>
      </w:r>
      <w:r>
        <w:t>1)(c)(</w:t>
      </w:r>
      <w:proofErr w:type="spellStart"/>
      <w:r>
        <w:t>i</w:t>
      </w:r>
      <w:proofErr w:type="spellEnd"/>
      <w:r>
        <w:t xml:space="preserve">) of this section applies to the action—the entity mentioned in that subparagraph were an Australian entity that </w:t>
      </w:r>
      <w:proofErr w:type="gramStart"/>
      <w:r>
        <w:t>is an agribusiness at all times</w:t>
      </w:r>
      <w:proofErr w:type="gramEnd"/>
      <w:r>
        <w:t xml:space="preserve"> while it </w:t>
      </w:r>
      <w:r w:rsidRPr="008F4F83">
        <w:t>wholly or partly carries on an Australian media business</w:t>
      </w:r>
      <w:r>
        <w:t>; and</w:t>
      </w:r>
    </w:p>
    <w:p w14:paraId="7D191BF1" w14:textId="77777777" w:rsidR="00160968" w:rsidRDefault="00160968" w:rsidP="00D525B5">
      <w:pPr>
        <w:pStyle w:val="paragraph"/>
      </w:pPr>
      <w:r>
        <w:tab/>
        <w:t>(c)</w:t>
      </w:r>
      <w:r>
        <w:tab/>
        <w:t xml:space="preserve">if </w:t>
      </w:r>
      <w:r w:rsidR="00D60048">
        <w:t>subparagraph (</w:t>
      </w:r>
      <w:r>
        <w:t>1)(</w:t>
      </w:r>
      <w:r w:rsidR="00373A1C">
        <w:t>c</w:t>
      </w:r>
      <w:r>
        <w:t>)(ii) of this section applies to the action—</w:t>
      </w:r>
      <w:r w:rsidR="00373A1C">
        <w:t xml:space="preserve">the </w:t>
      </w:r>
      <w:r>
        <w:t xml:space="preserve">entity mentioned in that </w:t>
      </w:r>
      <w:r w:rsidR="00373A1C">
        <w:t>sub</w:t>
      </w:r>
      <w:r>
        <w:t xml:space="preserve">paragraph </w:t>
      </w:r>
      <w:r w:rsidR="00373A1C">
        <w:t>need not be</w:t>
      </w:r>
      <w:r>
        <w:t xml:space="preserve"> an agribusiness; and</w:t>
      </w:r>
    </w:p>
    <w:p w14:paraId="4751E975" w14:textId="77777777" w:rsidR="00D525B5" w:rsidRPr="00D1713C" w:rsidRDefault="00D525B5" w:rsidP="00D525B5">
      <w:pPr>
        <w:pStyle w:val="paragraph"/>
      </w:pPr>
      <w:r w:rsidRPr="00D1713C">
        <w:tab/>
        <w:t>(</w:t>
      </w:r>
      <w:r w:rsidR="00160968">
        <w:t>d</w:t>
      </w:r>
      <w:r w:rsidRPr="00D1713C">
        <w:t>)</w:t>
      </w:r>
      <w:r w:rsidRPr="00D1713C">
        <w:tab/>
        <w:t>for the purposes of 130</w:t>
      </w:r>
      <w:proofErr w:type="gramStart"/>
      <w:r w:rsidRPr="00D1713C">
        <w:t>ZH(</w:t>
      </w:r>
      <w:proofErr w:type="gramEnd"/>
      <w:r w:rsidRPr="00D1713C">
        <w:t>4) of the Act—</w:t>
      </w:r>
      <w:r w:rsidR="00D60048">
        <w:t>paragraph 1</w:t>
      </w:r>
      <w:r w:rsidRPr="00D1713C">
        <w:t>30ZH(1)(a) of the Act applies in relation to the action.</w:t>
      </w:r>
    </w:p>
    <w:p w14:paraId="2C75FF8D" w14:textId="77777777" w:rsidR="00D525B5" w:rsidRPr="00D525B5" w:rsidRDefault="00D525B5" w:rsidP="00D525B5">
      <w:pPr>
        <w:pStyle w:val="notetext"/>
      </w:pPr>
      <w:r>
        <w:t>Note:</w:t>
      </w:r>
      <w:r>
        <w:tab/>
        <w:t xml:space="preserve">If </w:t>
      </w:r>
      <w:r w:rsidR="00D60048">
        <w:t>paragraph (</w:t>
      </w:r>
      <w:r>
        <w:t>1)(a)</w:t>
      </w:r>
      <w:r w:rsidR="008D0AE6">
        <w:t xml:space="preserve"> or</w:t>
      </w:r>
      <w:r w:rsidR="009570D5">
        <w:t xml:space="preserve"> (b) applies to the action, </w:t>
      </w:r>
      <w:r w:rsidR="00D60048">
        <w:t>paragraph 4</w:t>
      </w:r>
      <w:r w:rsidR="009570D5" w:rsidRPr="00D1713C">
        <w:t>0(2)(b) (acquiring interests in securities in entity) of the Act applies to the action</w:t>
      </w:r>
      <w:r w:rsidR="009570D5">
        <w:t>.</w:t>
      </w:r>
    </w:p>
    <w:p w14:paraId="45D99A17" w14:textId="77777777" w:rsidR="007142D5" w:rsidRPr="00D1713C" w:rsidRDefault="007142D5" w:rsidP="007142D5">
      <w:pPr>
        <w:pStyle w:val="subsection"/>
      </w:pPr>
      <w:r w:rsidRPr="00D1713C">
        <w:tab/>
        <w:t>(3)</w:t>
      </w:r>
      <w:r w:rsidRPr="00D1713C">
        <w:tab/>
        <w:t xml:space="preserve">For the purposes of </w:t>
      </w:r>
      <w:r w:rsidR="00D60048">
        <w:t>paragraph 1</w:t>
      </w:r>
      <w:r w:rsidRPr="00D1713C">
        <w:t xml:space="preserve">30ZN(4)(g) of the Act, section 130ZN of the Act applies to a registered circumstance mentioned in </w:t>
      </w:r>
      <w:r w:rsidR="0070283B" w:rsidRPr="00D1713C">
        <w:t>item </w:t>
      </w:r>
      <w:r w:rsidR="009570D5">
        <w:t xml:space="preserve">1 or </w:t>
      </w:r>
      <w:r w:rsidR="0070283B" w:rsidRPr="00D1713C">
        <w:t>2</w:t>
      </w:r>
      <w:r w:rsidRPr="00D1713C">
        <w:t xml:space="preserve"> of the table in </w:t>
      </w:r>
      <w:r w:rsidR="0070283B" w:rsidRPr="00D1713C">
        <w:t>subsection 1</w:t>
      </w:r>
      <w:r w:rsidRPr="00D1713C">
        <w:t>30</w:t>
      </w:r>
      <w:proofErr w:type="gramStart"/>
      <w:r w:rsidRPr="00D1713C">
        <w:t>ZH(</w:t>
      </w:r>
      <w:proofErr w:type="gramEnd"/>
      <w:r w:rsidRPr="00D1713C">
        <w:t xml:space="preserve">2) of the Act (as that table item applies because of </w:t>
      </w:r>
      <w:r w:rsidR="00294ABB" w:rsidRPr="00D1713C">
        <w:t>subsection (</w:t>
      </w:r>
      <w:r w:rsidRPr="00D1713C">
        <w:t>2) of this section)</w:t>
      </w:r>
      <w:r w:rsidR="002175CE" w:rsidRPr="00D1713C">
        <w:t>.</w:t>
      </w:r>
    </w:p>
    <w:p w14:paraId="47F94457" w14:textId="77777777" w:rsidR="00DC5E52" w:rsidRPr="00D1713C" w:rsidRDefault="002175CE" w:rsidP="00DC5E52">
      <w:pPr>
        <w:pStyle w:val="ActHead5"/>
      </w:pPr>
      <w:bookmarkStart w:id="32" w:name="_Toc128050263"/>
      <w:bookmarkStart w:id="33" w:name="_Toc128050427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F</w:t>
      </w:r>
      <w:r w:rsidR="00DC5E52" w:rsidRPr="00D1713C">
        <w:t xml:space="preserve">  Requirement</w:t>
      </w:r>
      <w:proofErr w:type="gramEnd"/>
      <w:r w:rsidR="00DC5E52" w:rsidRPr="00D1713C">
        <w:t xml:space="preserve"> to give register notice—actions relating to businesses that would be significant actions </w:t>
      </w:r>
      <w:r w:rsidR="00464917" w:rsidRPr="00D1713C">
        <w:t xml:space="preserve">or notifiable actions </w:t>
      </w:r>
      <w:r w:rsidR="00DC5E52" w:rsidRPr="00D1713C">
        <w:t>if not covered by exemption certificates</w:t>
      </w:r>
      <w:bookmarkEnd w:id="32"/>
      <w:bookmarkEnd w:id="33"/>
    </w:p>
    <w:p w14:paraId="40BF8B3B" w14:textId="77777777" w:rsidR="00DC5E52" w:rsidRPr="00D1713C" w:rsidRDefault="00DC5E52" w:rsidP="00DC5E52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 the foreign person takes an action that:</w:t>
      </w:r>
    </w:p>
    <w:p w14:paraId="0F4D372B" w14:textId="77777777" w:rsidR="00A50B85" w:rsidRDefault="00147509" w:rsidP="00147509">
      <w:pPr>
        <w:pStyle w:val="paragraph"/>
      </w:pPr>
      <w:r w:rsidRPr="00D1713C">
        <w:tab/>
        <w:t>(a)</w:t>
      </w:r>
      <w:r w:rsidRPr="00D1713C">
        <w:tab/>
        <w:t>is an acquisition</w:t>
      </w:r>
      <w:r w:rsidR="00A808B6">
        <w:t xml:space="preserve"> </w:t>
      </w:r>
      <w:r w:rsidR="00A808B6" w:rsidRPr="00D1713C">
        <w:t xml:space="preserve">by </w:t>
      </w:r>
      <w:r w:rsidR="00A808B6">
        <w:t>the</w:t>
      </w:r>
      <w:r w:rsidR="00A808B6" w:rsidRPr="00D1713C">
        <w:t xml:space="preserve"> foreign person</w:t>
      </w:r>
      <w:r w:rsidR="00A50B85">
        <w:t>:</w:t>
      </w:r>
    </w:p>
    <w:p w14:paraId="204A3335" w14:textId="77777777" w:rsidR="00147509" w:rsidRDefault="00A50B85" w:rsidP="00A50B8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160968" w:rsidRPr="00D1713C">
        <w:t>of</w:t>
      </w:r>
      <w:r w:rsidR="00160968">
        <w:t xml:space="preserve"> </w:t>
      </w:r>
      <w:r w:rsidR="00147509" w:rsidRPr="00D1713C">
        <w:t>an interest in assets of an Australian business</w:t>
      </w:r>
      <w:r>
        <w:t>; or</w:t>
      </w:r>
    </w:p>
    <w:p w14:paraId="599B2FC6" w14:textId="77777777" w:rsidR="00160968" w:rsidRDefault="00A50B85" w:rsidP="00A50B85">
      <w:pPr>
        <w:pStyle w:val="paragraphsub"/>
      </w:pPr>
      <w:r>
        <w:tab/>
        <w:t>(ii)</w:t>
      </w:r>
      <w:r>
        <w:tab/>
      </w:r>
      <w:r w:rsidR="00160968" w:rsidRPr="00D1713C">
        <w:t>of</w:t>
      </w:r>
      <w:r w:rsidR="00160968">
        <w:t xml:space="preserve"> </w:t>
      </w:r>
      <w:r>
        <w:t>a</w:t>
      </w:r>
      <w:r w:rsidRPr="004F0FE0">
        <w:t xml:space="preserve"> direct interest </w:t>
      </w:r>
      <w:r w:rsidRPr="002E272B">
        <w:t>in a</w:t>
      </w:r>
      <w:r>
        <w:t xml:space="preserve"> business</w:t>
      </w:r>
      <w:r w:rsidRPr="004F0FE0">
        <w:t xml:space="preserve"> that wholly or partly carries on an Australian media business</w:t>
      </w:r>
      <w:r>
        <w:t>;</w:t>
      </w:r>
      <w:r w:rsidR="00160968">
        <w:t xml:space="preserve"> or</w:t>
      </w:r>
    </w:p>
    <w:p w14:paraId="3184AF9F" w14:textId="77777777" w:rsidR="00A50B85" w:rsidRDefault="00160968" w:rsidP="00A50B85">
      <w:pPr>
        <w:pStyle w:val="paragraphsub"/>
      </w:pPr>
      <w:r>
        <w:tab/>
        <w:t>(iii)</w:t>
      </w:r>
      <w:r>
        <w:tab/>
      </w:r>
      <w:r w:rsidR="00A808B6">
        <w:t xml:space="preserve">(as a </w:t>
      </w:r>
      <w:r w:rsidR="00A808B6" w:rsidRPr="00160968">
        <w:t>foreign government investor</w:t>
      </w:r>
      <w:r w:rsidR="00A808B6">
        <w:t xml:space="preserve">) </w:t>
      </w:r>
      <w:r>
        <w:t xml:space="preserve">of </w:t>
      </w:r>
      <w:r w:rsidRPr="00160968">
        <w:t xml:space="preserve">a direct interest in an Australian </w:t>
      </w:r>
      <w:r w:rsidR="00A808B6">
        <w:t>business</w:t>
      </w:r>
      <w:r>
        <w:t>;</w:t>
      </w:r>
      <w:r w:rsidR="00A50B85">
        <w:t xml:space="preserve"> and</w:t>
      </w:r>
    </w:p>
    <w:p w14:paraId="4A5247CB" w14:textId="77777777" w:rsidR="00147509" w:rsidRDefault="00A50B85" w:rsidP="00147509">
      <w:pPr>
        <w:pStyle w:val="paragraph"/>
      </w:pPr>
      <w:r>
        <w:tab/>
        <w:t>(b)</w:t>
      </w:r>
      <w:r>
        <w:tab/>
      </w:r>
      <w:r w:rsidRPr="00D1713C">
        <w:t xml:space="preserve">is neither a significant action nor a notifiable action only because of </w:t>
      </w:r>
      <w:r w:rsidRPr="002E272B">
        <w:t>s</w:t>
      </w:r>
      <w:r w:rsidR="00A808B6">
        <w:t>ect</w:t>
      </w:r>
      <w:r w:rsidRPr="002E272B">
        <w:t>ion 42</w:t>
      </w:r>
      <w:r>
        <w:t xml:space="preserve"> </w:t>
      </w:r>
      <w:r w:rsidRPr="00D1713C">
        <w:t>of this instrument (about exemption certificates)</w:t>
      </w:r>
      <w:r>
        <w:t>.</w:t>
      </w:r>
    </w:p>
    <w:p w14:paraId="51991933" w14:textId="77777777" w:rsidR="00DC5E52" w:rsidRPr="00D1713C" w:rsidRDefault="00DC5E52" w:rsidP="00DC5E52">
      <w:pPr>
        <w:pStyle w:val="notetext"/>
      </w:pPr>
      <w:r w:rsidRPr="00D1713C">
        <w:t>Note: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7968AD4A" w14:textId="77777777" w:rsidR="00DC5E52" w:rsidRPr="00D1713C" w:rsidRDefault="00DC5E52" w:rsidP="00DC5E52">
      <w:pPr>
        <w:pStyle w:val="subsection"/>
      </w:pPr>
      <w:r w:rsidRPr="00D1713C">
        <w:tab/>
        <w:t>(2)</w:t>
      </w:r>
      <w:r w:rsidRPr="00D1713C">
        <w:tab/>
        <w:t xml:space="preserve">For the purposes of paragraphs 130ZU(1)(b), (c) and (d) of the Act, if a foreign person gives </w:t>
      </w:r>
      <w:r w:rsidR="00DA4B6A" w:rsidRPr="00D1713C">
        <w:t xml:space="preserve">a </w:t>
      </w:r>
      <w:r w:rsidRPr="00D1713C">
        <w:t xml:space="preserve">register notice under this section in relation to an action mentioned in </w:t>
      </w:r>
      <w:r w:rsidR="00294ABB" w:rsidRPr="00D1713C">
        <w:t>subsection (</w:t>
      </w:r>
      <w:r w:rsidRPr="00D1713C">
        <w:t xml:space="preserve">1) of this section, </w:t>
      </w:r>
      <w:r w:rsidR="0070283B" w:rsidRPr="00D1713C">
        <w:t>subsections 1</w:t>
      </w:r>
      <w:r w:rsidRPr="00D1713C">
        <w:t>30</w:t>
      </w:r>
      <w:proofErr w:type="gramStart"/>
      <w:r w:rsidRPr="00D1713C">
        <w:t>ZI(</w:t>
      </w:r>
      <w:proofErr w:type="gramEnd"/>
      <w:r w:rsidRPr="00D1713C">
        <w:t>2) to (5) of the Act apply in relation to the action as if:</w:t>
      </w:r>
    </w:p>
    <w:p w14:paraId="3FCCE213" w14:textId="77777777" w:rsidR="00DC5E52" w:rsidRPr="00D1713C" w:rsidRDefault="00DC5E52" w:rsidP="00DC5E52">
      <w:pPr>
        <w:pStyle w:val="paragraph"/>
      </w:pPr>
      <w:r w:rsidRPr="00D1713C">
        <w:tab/>
        <w:t>(a)</w:t>
      </w:r>
      <w:r w:rsidRPr="00D1713C">
        <w:tab/>
        <w:t xml:space="preserve">the foreign person had given the register notice under </w:t>
      </w:r>
      <w:r w:rsidR="0070283B" w:rsidRPr="00D1713C">
        <w:t>subsection 1</w:t>
      </w:r>
      <w:r w:rsidRPr="00D1713C">
        <w:t>30</w:t>
      </w:r>
      <w:proofErr w:type="gramStart"/>
      <w:r w:rsidRPr="00D1713C">
        <w:t>ZI(</w:t>
      </w:r>
      <w:proofErr w:type="gramEnd"/>
      <w:r w:rsidRPr="00D1713C">
        <w:t>1) of the Act in relation to the action; and</w:t>
      </w:r>
    </w:p>
    <w:p w14:paraId="3209C5D9" w14:textId="77777777" w:rsidR="00A50B85" w:rsidRDefault="00A50B85" w:rsidP="00A50B85">
      <w:pPr>
        <w:pStyle w:val="paragraph"/>
      </w:pPr>
      <w:r w:rsidRPr="00D1713C">
        <w:tab/>
        <w:t>(b)</w:t>
      </w:r>
      <w:r w:rsidRPr="00D1713C">
        <w:tab/>
      </w:r>
      <w:r>
        <w:t xml:space="preserve">if </w:t>
      </w:r>
      <w:r w:rsidR="00D60048">
        <w:t>subparagraph (</w:t>
      </w:r>
      <w:r>
        <w:t>1)(a)(ii) of this section applies to the action—the first</w:t>
      </w:r>
      <w:r w:rsidR="00FB6C60">
        <w:noBreakHyphen/>
      </w:r>
      <w:r>
        <w:t xml:space="preserve">mentioned business in that </w:t>
      </w:r>
      <w:r w:rsidR="00D33325">
        <w:t>sub</w:t>
      </w:r>
      <w:r>
        <w:t xml:space="preserve">paragraph </w:t>
      </w:r>
      <w:proofErr w:type="gramStart"/>
      <w:r>
        <w:t>were an agribusiness at all times</w:t>
      </w:r>
      <w:proofErr w:type="gramEnd"/>
      <w:r>
        <w:t xml:space="preserve"> while it </w:t>
      </w:r>
      <w:r w:rsidRPr="008F4F83">
        <w:t>wholly or partly carries on an Australian media business</w:t>
      </w:r>
      <w:r>
        <w:t>; and</w:t>
      </w:r>
    </w:p>
    <w:p w14:paraId="3BF7F298" w14:textId="77777777" w:rsidR="00160968" w:rsidRDefault="00160968" w:rsidP="00160968">
      <w:pPr>
        <w:pStyle w:val="paragraph"/>
      </w:pPr>
      <w:r>
        <w:tab/>
        <w:t>(c)</w:t>
      </w:r>
      <w:r>
        <w:tab/>
        <w:t xml:space="preserve">if </w:t>
      </w:r>
      <w:r w:rsidR="00D60048">
        <w:t>subparagraph (</w:t>
      </w:r>
      <w:r>
        <w:t>1)(</w:t>
      </w:r>
      <w:r w:rsidR="00164FC4">
        <w:t>a</w:t>
      </w:r>
      <w:r>
        <w:t>)(iii) of this section applies to the action—</w:t>
      </w:r>
      <w:r w:rsidR="00D33325">
        <w:t>the business mentioned in that subparagraph need not be an agribusiness</w:t>
      </w:r>
      <w:r>
        <w:t>; and</w:t>
      </w:r>
    </w:p>
    <w:p w14:paraId="3222861D" w14:textId="77777777" w:rsidR="00DC5E52" w:rsidRPr="00D1713C" w:rsidRDefault="00DC5E52" w:rsidP="00DC5E52">
      <w:pPr>
        <w:pStyle w:val="paragraph"/>
      </w:pPr>
      <w:r w:rsidRPr="00D1713C">
        <w:tab/>
        <w:t>(</w:t>
      </w:r>
      <w:r w:rsidR="00160968">
        <w:t>d</w:t>
      </w:r>
      <w:r w:rsidRPr="00D1713C">
        <w:t>)</w:t>
      </w:r>
      <w:r w:rsidRPr="00D1713C">
        <w:tab/>
        <w:t>for the purposes of 130</w:t>
      </w:r>
      <w:proofErr w:type="gramStart"/>
      <w:r w:rsidRPr="00D1713C">
        <w:t>ZI(</w:t>
      </w:r>
      <w:proofErr w:type="gramEnd"/>
      <w:r w:rsidRPr="00D1713C">
        <w:t>4) of the Act—</w:t>
      </w:r>
      <w:r w:rsidR="00D60048">
        <w:t>paragraph 1</w:t>
      </w:r>
      <w:r w:rsidRPr="00D1713C">
        <w:t>30Z</w:t>
      </w:r>
      <w:r w:rsidR="00932F69" w:rsidRPr="00D1713C">
        <w:t>I</w:t>
      </w:r>
      <w:r w:rsidRPr="00D1713C">
        <w:t>(1)(a) of the Act applies in relation to the action</w:t>
      </w:r>
      <w:r w:rsidR="002175CE" w:rsidRPr="00D1713C">
        <w:t>.</w:t>
      </w:r>
    </w:p>
    <w:p w14:paraId="717FD8A7" w14:textId="77777777" w:rsidR="00A50B85" w:rsidRPr="00D525B5" w:rsidRDefault="00A50B85" w:rsidP="00A50B85">
      <w:pPr>
        <w:pStyle w:val="notetext"/>
      </w:pPr>
      <w:r>
        <w:lastRenderedPageBreak/>
        <w:t>Note:</w:t>
      </w:r>
      <w:r>
        <w:tab/>
        <w:t xml:space="preserve">If </w:t>
      </w:r>
      <w:r w:rsidR="00D60048">
        <w:t>subparagraph (</w:t>
      </w:r>
      <w:r>
        <w:t>1)(a)(</w:t>
      </w:r>
      <w:proofErr w:type="spellStart"/>
      <w:r>
        <w:t>i</w:t>
      </w:r>
      <w:proofErr w:type="spellEnd"/>
      <w:r>
        <w:t xml:space="preserve">) applies to the action, </w:t>
      </w:r>
      <w:r w:rsidR="00D60048">
        <w:t>paragraph 4</w:t>
      </w:r>
      <w:r>
        <w:t>1</w:t>
      </w:r>
      <w:r w:rsidRPr="00D1713C">
        <w:t>(2)(b) (</w:t>
      </w:r>
      <w:r w:rsidRPr="00A50B85">
        <w:t>acquiring interests in assets of Australian business</w:t>
      </w:r>
      <w:r w:rsidRPr="00D1713C">
        <w:t>) of the Act applies to the action</w:t>
      </w:r>
      <w:r>
        <w:t>.</w:t>
      </w:r>
    </w:p>
    <w:p w14:paraId="50A781DE" w14:textId="77777777" w:rsidR="00783A48" w:rsidRPr="00D1713C" w:rsidRDefault="00783A48" w:rsidP="00783A48">
      <w:pPr>
        <w:pStyle w:val="subsection"/>
      </w:pPr>
      <w:r w:rsidRPr="00D1713C">
        <w:tab/>
        <w:t>(3)</w:t>
      </w:r>
      <w:r w:rsidRPr="00D1713C">
        <w:tab/>
        <w:t xml:space="preserve">For the purposes of </w:t>
      </w:r>
      <w:r w:rsidR="00D60048">
        <w:t>paragraph 1</w:t>
      </w:r>
      <w:r w:rsidRPr="00D1713C">
        <w:t xml:space="preserve">30ZN(4)(g) of the Act, section 130ZN of the Act applies to a registered circumstance mentioned in </w:t>
      </w:r>
      <w:r w:rsidR="0070283B" w:rsidRPr="00D1713C">
        <w:t>item </w:t>
      </w:r>
      <w:r w:rsidR="00A50B85">
        <w:t xml:space="preserve">1 or </w:t>
      </w:r>
      <w:r w:rsidR="0070283B" w:rsidRPr="00D1713C">
        <w:t>2</w:t>
      </w:r>
      <w:r w:rsidRPr="00D1713C">
        <w:t xml:space="preserve"> of the table in </w:t>
      </w:r>
      <w:r w:rsidR="0070283B" w:rsidRPr="00D1713C">
        <w:t>subsection 1</w:t>
      </w:r>
      <w:r w:rsidRPr="00D1713C">
        <w:t>30</w:t>
      </w:r>
      <w:proofErr w:type="gramStart"/>
      <w:r w:rsidRPr="00D1713C">
        <w:t>ZI(</w:t>
      </w:r>
      <w:proofErr w:type="gramEnd"/>
      <w:r w:rsidRPr="00D1713C">
        <w:t xml:space="preserve">2) of the Act (as that table item applies because of </w:t>
      </w:r>
      <w:r w:rsidR="00294ABB" w:rsidRPr="00D1713C">
        <w:t>subsection (</w:t>
      </w:r>
      <w:r w:rsidRPr="00D1713C">
        <w:t>2) of this section)</w:t>
      </w:r>
      <w:r w:rsidR="002175CE" w:rsidRPr="00D1713C">
        <w:t>.</w:t>
      </w:r>
    </w:p>
    <w:p w14:paraId="452DFD96" w14:textId="77777777" w:rsidR="00B00A17" w:rsidRPr="00D1713C" w:rsidRDefault="002175CE" w:rsidP="00B00A17">
      <w:pPr>
        <w:pStyle w:val="ActHead5"/>
      </w:pPr>
      <w:bookmarkStart w:id="34" w:name="_Toc128050264"/>
      <w:bookmarkStart w:id="35" w:name="_Toc128050428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G</w:t>
      </w:r>
      <w:r w:rsidR="00B00A17" w:rsidRPr="00D1713C">
        <w:t xml:space="preserve">  Requirement</w:t>
      </w:r>
      <w:proofErr w:type="gramEnd"/>
      <w:r w:rsidR="00B00A17" w:rsidRPr="00D1713C">
        <w:t xml:space="preserve"> to give register notice—actions that would be notifiable national security actions if not covered by exemption certificates</w:t>
      </w:r>
      <w:bookmarkEnd w:id="34"/>
      <w:bookmarkEnd w:id="35"/>
    </w:p>
    <w:p w14:paraId="10663877" w14:textId="77777777" w:rsidR="00B00A17" w:rsidRPr="00D1713C" w:rsidRDefault="00B00A17" w:rsidP="00B00A17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 the foreign person takes an action that:</w:t>
      </w:r>
    </w:p>
    <w:p w14:paraId="3C90DFF5" w14:textId="77777777" w:rsidR="00B00A17" w:rsidRPr="00D1713C" w:rsidRDefault="00B00A17" w:rsidP="00B00A17">
      <w:pPr>
        <w:pStyle w:val="paragraph"/>
      </w:pPr>
      <w:r w:rsidRPr="00D1713C">
        <w:tab/>
        <w:t>(a)</w:t>
      </w:r>
      <w:r w:rsidRPr="00D1713C">
        <w:tab/>
        <w:t xml:space="preserve">is </w:t>
      </w:r>
      <w:r w:rsidR="00DA4B6A" w:rsidRPr="00D1713C">
        <w:t>an action to which</w:t>
      </w:r>
      <w:r w:rsidRPr="00D1713C">
        <w:t xml:space="preserve"> </w:t>
      </w:r>
      <w:r w:rsidR="0070283B" w:rsidRPr="00D1713C">
        <w:t>paragraph 5</w:t>
      </w:r>
      <w:r w:rsidRPr="00D1713C">
        <w:t>5B(1)(a), (b) or (c) of the Act</w:t>
      </w:r>
      <w:r w:rsidR="00DA4B6A" w:rsidRPr="00D1713C">
        <w:t xml:space="preserve"> applies</w:t>
      </w:r>
      <w:r w:rsidRPr="00D1713C">
        <w:t>; and</w:t>
      </w:r>
    </w:p>
    <w:p w14:paraId="1CEC92B9" w14:textId="77777777" w:rsidR="00B00A17" w:rsidRPr="00D1713C" w:rsidRDefault="00B00A17" w:rsidP="00B00A17">
      <w:pPr>
        <w:pStyle w:val="paragraph"/>
      </w:pPr>
      <w:r w:rsidRPr="00D1713C">
        <w:tab/>
        <w:t>(b)</w:t>
      </w:r>
      <w:r w:rsidRPr="00D1713C">
        <w:tab/>
        <w:t xml:space="preserve">is not a notifiable national security action only because of </w:t>
      </w:r>
      <w:r w:rsidR="0070283B" w:rsidRPr="00D1713C">
        <w:t>subsection 4</w:t>
      </w:r>
      <w:r w:rsidRPr="00D1713C">
        <w:t>3</w:t>
      </w:r>
      <w:proofErr w:type="gramStart"/>
      <w:r w:rsidRPr="00D1713C">
        <w:t>BA(</w:t>
      </w:r>
      <w:proofErr w:type="gramEnd"/>
      <w:r w:rsidRPr="00D1713C">
        <w:t>4) of this instrument (about exemption certificates)</w:t>
      </w:r>
      <w:r w:rsidR="002175CE" w:rsidRPr="00D1713C">
        <w:t>.</w:t>
      </w:r>
    </w:p>
    <w:p w14:paraId="3AC57915" w14:textId="77777777" w:rsidR="00B00A17" w:rsidRPr="00D1713C" w:rsidRDefault="00B00A17" w:rsidP="00B00A17">
      <w:pPr>
        <w:pStyle w:val="notetext"/>
      </w:pPr>
      <w:r w:rsidRPr="00D1713C">
        <w:t>Note: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44C2E51C" w14:textId="77777777" w:rsidR="00BA4F75" w:rsidRPr="00D1713C" w:rsidRDefault="00BA4F75" w:rsidP="00BA4F75">
      <w:pPr>
        <w:pStyle w:val="subsection"/>
      </w:pPr>
      <w:r w:rsidRPr="00D1713C">
        <w:tab/>
        <w:t>(2)</w:t>
      </w:r>
      <w:r w:rsidRPr="00D1713C">
        <w:tab/>
        <w:t xml:space="preserve">For the purposes of paragraphs 130ZU(1)(b), (c) and (d) of the Act, if a foreign person gives a register notice under this section in relation to an action mentioned in </w:t>
      </w:r>
      <w:r w:rsidR="00294ABB" w:rsidRPr="00D1713C">
        <w:t>subsection (</w:t>
      </w:r>
      <w:r w:rsidRPr="00D1713C">
        <w:t>1) of this section, subsections 130</w:t>
      </w:r>
      <w:proofErr w:type="gramStart"/>
      <w:r w:rsidRPr="00D1713C">
        <w:t>ZK(</w:t>
      </w:r>
      <w:proofErr w:type="gramEnd"/>
      <w:r w:rsidRPr="00D1713C">
        <w:t>2) to (5) of the Act apply in relation to the action as if:</w:t>
      </w:r>
    </w:p>
    <w:p w14:paraId="03DC2BC8" w14:textId="77777777" w:rsidR="00BA4F75" w:rsidRPr="00D1713C" w:rsidRDefault="00BA4F75" w:rsidP="00BA4F75">
      <w:pPr>
        <w:pStyle w:val="paragraph"/>
      </w:pPr>
      <w:r w:rsidRPr="00D1713C">
        <w:tab/>
        <w:t>(a)</w:t>
      </w:r>
      <w:r w:rsidRPr="00D1713C">
        <w:tab/>
        <w:t>the foreign person had given the register notice under subsection 130</w:t>
      </w:r>
      <w:proofErr w:type="gramStart"/>
      <w:r w:rsidRPr="00D1713C">
        <w:t>ZK(</w:t>
      </w:r>
      <w:proofErr w:type="gramEnd"/>
      <w:r w:rsidRPr="00D1713C">
        <w:t>1) of the Act in relation to the action; and</w:t>
      </w:r>
    </w:p>
    <w:p w14:paraId="30884B82" w14:textId="77777777" w:rsidR="00BA4F75" w:rsidRPr="00D1713C" w:rsidRDefault="00BA4F75" w:rsidP="00BA4F75">
      <w:pPr>
        <w:pStyle w:val="paragraph"/>
      </w:pPr>
      <w:r w:rsidRPr="00D1713C">
        <w:tab/>
        <w:t>(b)</w:t>
      </w:r>
      <w:r w:rsidRPr="00D1713C">
        <w:tab/>
        <w:t>subsection 130</w:t>
      </w:r>
      <w:proofErr w:type="gramStart"/>
      <w:r w:rsidRPr="00D1713C">
        <w:t>ZK(</w:t>
      </w:r>
      <w:proofErr w:type="gramEnd"/>
      <w:r w:rsidRPr="00D1713C">
        <w:t>4) of the Act provided that the registrable event day for the register notice were:</w:t>
      </w:r>
    </w:p>
    <w:p w14:paraId="77C58860" w14:textId="77777777" w:rsidR="00BA4F75" w:rsidRPr="00D1713C" w:rsidRDefault="00BA4F75" w:rsidP="00BA4F75">
      <w:pPr>
        <w:pStyle w:val="paragraphsub"/>
      </w:pPr>
      <w:r w:rsidRPr="00D1713C">
        <w:tab/>
        <w:t>(</w:t>
      </w:r>
      <w:proofErr w:type="spellStart"/>
      <w:r w:rsidRPr="00D1713C">
        <w:t>i</w:t>
      </w:r>
      <w:proofErr w:type="spellEnd"/>
      <w:r w:rsidRPr="00D1713C">
        <w:t>)</w:t>
      </w:r>
      <w:r w:rsidRPr="00D1713C">
        <w:tab/>
        <w:t>if the register notice relates to item 1 of the table in subsection 130</w:t>
      </w:r>
      <w:proofErr w:type="gramStart"/>
      <w:r w:rsidRPr="00D1713C">
        <w:t>ZK(</w:t>
      </w:r>
      <w:proofErr w:type="gramEnd"/>
      <w:r w:rsidRPr="00D1713C">
        <w:t>2) of the Act—the first day a</w:t>
      </w:r>
      <w:r w:rsidR="00FD6CC8" w:rsidRPr="00D1713C">
        <w:t>ny</w:t>
      </w:r>
      <w:r w:rsidRPr="00D1713C">
        <w:t xml:space="preserve"> notice</w:t>
      </w:r>
      <w:r w:rsidR="00FD6CC8" w:rsidRPr="00D1713C">
        <w:t xml:space="preserve"> is given, or any certificate is issued,</w:t>
      </w:r>
      <w:r w:rsidRPr="00D1713C">
        <w:t xml:space="preserve"> </w:t>
      </w:r>
      <w:r w:rsidR="00FD6CC8" w:rsidRPr="00D1713C">
        <w:t>of a kind mentioned in</w:t>
      </w:r>
      <w:r w:rsidRPr="00D1713C">
        <w:t xml:space="preserve"> </w:t>
      </w:r>
      <w:r w:rsidR="00294ABB" w:rsidRPr="00D1713C">
        <w:t>subsection (</w:t>
      </w:r>
      <w:r w:rsidRPr="00D1713C">
        <w:t>3) of this section for the business mentioned in that table item; or</w:t>
      </w:r>
    </w:p>
    <w:p w14:paraId="700DB605" w14:textId="77777777" w:rsidR="00BA4F75" w:rsidRPr="00D1713C" w:rsidRDefault="00BA4F75" w:rsidP="00BA4F75">
      <w:pPr>
        <w:pStyle w:val="paragraphsub"/>
      </w:pPr>
      <w:r w:rsidRPr="00D1713C">
        <w:tab/>
        <w:t>(ii)</w:t>
      </w:r>
      <w:r w:rsidRPr="00D1713C">
        <w:tab/>
        <w:t>otherwise—the day on which the foreign person takes the action.</w:t>
      </w:r>
    </w:p>
    <w:p w14:paraId="590CD46D" w14:textId="77777777" w:rsidR="00BA4F75" w:rsidRPr="00D1713C" w:rsidRDefault="00BA4F75" w:rsidP="00B00A17">
      <w:pPr>
        <w:pStyle w:val="subsection"/>
      </w:pPr>
      <w:r w:rsidRPr="00D1713C">
        <w:tab/>
        <w:t>(3)</w:t>
      </w:r>
      <w:r w:rsidRPr="00D1713C">
        <w:tab/>
        <w:t xml:space="preserve">For the purposes of </w:t>
      </w:r>
      <w:r w:rsidR="00D60048">
        <w:t>subparagraph (</w:t>
      </w:r>
      <w:r w:rsidRPr="00D1713C">
        <w:t>2)(b)(</w:t>
      </w:r>
      <w:proofErr w:type="spellStart"/>
      <w:r w:rsidRPr="00D1713C">
        <w:t>i</w:t>
      </w:r>
      <w:proofErr w:type="spellEnd"/>
      <w:r w:rsidRPr="00D1713C">
        <w:t xml:space="preserve">), the </w:t>
      </w:r>
      <w:r w:rsidR="00FD6CC8" w:rsidRPr="00D1713C">
        <w:t xml:space="preserve">kinds of </w:t>
      </w:r>
      <w:r w:rsidRPr="00D1713C">
        <w:t xml:space="preserve">notices </w:t>
      </w:r>
      <w:r w:rsidR="00FD6CC8" w:rsidRPr="00D1713C">
        <w:t xml:space="preserve">or certificates </w:t>
      </w:r>
      <w:r w:rsidRPr="00D1713C">
        <w:t>are</w:t>
      </w:r>
      <w:r w:rsidR="00FD6CC8" w:rsidRPr="00D1713C">
        <w:t xml:space="preserve"> as follows</w:t>
      </w:r>
      <w:r w:rsidRPr="00D1713C">
        <w:t>:</w:t>
      </w:r>
    </w:p>
    <w:p w14:paraId="5C3E481E" w14:textId="77777777" w:rsidR="00BA4F75" w:rsidRPr="00D1713C" w:rsidRDefault="00BA4F75" w:rsidP="00BA4F75">
      <w:pPr>
        <w:pStyle w:val="paragraph"/>
      </w:pPr>
      <w:r w:rsidRPr="00D1713C">
        <w:tab/>
        <w:t>(a)</w:t>
      </w:r>
      <w:r w:rsidRPr="00D1713C">
        <w:tab/>
        <w:t xml:space="preserve">a notice under subsection 11(3) of the </w:t>
      </w:r>
      <w:r w:rsidRPr="00D1713C">
        <w:rPr>
          <w:i/>
        </w:rPr>
        <w:t>A New Tax System (Australian Business Number) Act 1999</w:t>
      </w:r>
      <w:r w:rsidRPr="00D1713C">
        <w:t xml:space="preserve"> of </w:t>
      </w:r>
      <w:r w:rsidR="00FD6CC8" w:rsidRPr="00D1713C">
        <w:t>an</w:t>
      </w:r>
      <w:r w:rsidRPr="00D1713C">
        <w:t xml:space="preserve"> ABN (within the meaning of that Act</w:t>
      </w:r>
      <w:proofErr w:type="gramStart"/>
      <w:r w:rsidRPr="00D1713C">
        <w:t>);</w:t>
      </w:r>
      <w:proofErr w:type="gramEnd"/>
    </w:p>
    <w:p w14:paraId="5C617DAA" w14:textId="77777777" w:rsidR="00BA4F75" w:rsidRPr="00D1713C" w:rsidRDefault="00BA4F75" w:rsidP="00BA4F75">
      <w:pPr>
        <w:pStyle w:val="paragraph"/>
      </w:pPr>
      <w:r w:rsidRPr="00D1713C">
        <w:tab/>
        <w:t>(b)</w:t>
      </w:r>
      <w:r w:rsidRPr="00D1713C">
        <w:tab/>
        <w:t>a</w:t>
      </w:r>
      <w:r w:rsidR="00FD6CC8" w:rsidRPr="00D1713C">
        <w:t xml:space="preserve"> certificate under </w:t>
      </w:r>
      <w:r w:rsidR="00D60048">
        <w:t>paragraph 1</w:t>
      </w:r>
      <w:r w:rsidR="00FD6CC8" w:rsidRPr="00D1713C">
        <w:t xml:space="preserve">18(1)(c) or 601BD(1)(c) of the </w:t>
      </w:r>
      <w:r w:rsidR="00FD6CC8" w:rsidRPr="00D1713C">
        <w:rPr>
          <w:i/>
        </w:rPr>
        <w:t>Corporations Act 2001</w:t>
      </w:r>
      <w:r w:rsidR="00FD6CC8" w:rsidRPr="00D1713C">
        <w:t xml:space="preserve"> stat</w:t>
      </w:r>
      <w:r w:rsidR="008848A8" w:rsidRPr="00D1713C">
        <w:t>ing</w:t>
      </w:r>
      <w:r w:rsidR="00FD6CC8" w:rsidRPr="00D1713C">
        <w:t xml:space="preserve"> an ACN (within the meaning of that Act).</w:t>
      </w:r>
    </w:p>
    <w:p w14:paraId="231EC9A3" w14:textId="77777777" w:rsidR="00F04ECE" w:rsidRPr="00D1713C" w:rsidRDefault="005724F7" w:rsidP="005724F7">
      <w:pPr>
        <w:pStyle w:val="subsection"/>
      </w:pPr>
      <w:r w:rsidRPr="00D1713C">
        <w:tab/>
        <w:t>(</w:t>
      </w:r>
      <w:r w:rsidR="008848A8" w:rsidRPr="00D1713C">
        <w:t>4</w:t>
      </w:r>
      <w:r w:rsidRPr="00D1713C">
        <w:t>)</w:t>
      </w:r>
      <w:r w:rsidRPr="00D1713C">
        <w:tab/>
        <w:t xml:space="preserve">For the purposes of </w:t>
      </w:r>
      <w:r w:rsidR="00D60048">
        <w:t>paragraph 1</w:t>
      </w:r>
      <w:r w:rsidRPr="00D1713C">
        <w:t xml:space="preserve">30ZN(4)(g) of the Act, section 130ZN of the Act applies to a registered circumstance mentioned in </w:t>
      </w:r>
      <w:r w:rsidR="0070283B" w:rsidRPr="00D1713C">
        <w:t>item 2</w:t>
      </w:r>
      <w:r w:rsidR="00F04ECE" w:rsidRPr="00D1713C">
        <w:t xml:space="preserve"> or 3 of the table in </w:t>
      </w:r>
      <w:r w:rsidR="0070283B" w:rsidRPr="00D1713C">
        <w:t>subsection 1</w:t>
      </w:r>
      <w:r w:rsidR="00F04ECE" w:rsidRPr="00D1713C">
        <w:t>30</w:t>
      </w:r>
      <w:proofErr w:type="gramStart"/>
      <w:r w:rsidR="00F04ECE" w:rsidRPr="00D1713C">
        <w:t>ZK(</w:t>
      </w:r>
      <w:proofErr w:type="gramEnd"/>
      <w:r w:rsidR="00F04ECE" w:rsidRPr="00D1713C">
        <w:t xml:space="preserve">2) of the Act (as those table items apply because of </w:t>
      </w:r>
      <w:r w:rsidR="00294ABB" w:rsidRPr="00D1713C">
        <w:t>subsection (</w:t>
      </w:r>
      <w:r w:rsidR="00F04ECE" w:rsidRPr="00D1713C">
        <w:t>2) of this section)</w:t>
      </w:r>
      <w:r w:rsidR="002175CE" w:rsidRPr="00D1713C">
        <w:t>.</w:t>
      </w:r>
    </w:p>
    <w:p w14:paraId="6F2A34C0" w14:textId="77777777" w:rsidR="00AA463D" w:rsidRPr="00D1713C" w:rsidRDefault="002175CE" w:rsidP="00AA463D">
      <w:pPr>
        <w:pStyle w:val="ActHead5"/>
      </w:pPr>
      <w:bookmarkStart w:id="36" w:name="_Toc128050265"/>
      <w:bookmarkStart w:id="37" w:name="_Toc128050429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H</w:t>
      </w:r>
      <w:r w:rsidR="00AA463D" w:rsidRPr="00D1713C">
        <w:t xml:space="preserve">  Requirement</w:t>
      </w:r>
      <w:proofErr w:type="gramEnd"/>
      <w:r w:rsidR="00AA463D" w:rsidRPr="00D1713C">
        <w:t xml:space="preserve"> to give register notice—actions </w:t>
      </w:r>
      <w:r w:rsidR="00AD309F" w:rsidRPr="00D1713C">
        <w:t xml:space="preserve">relating to entities </w:t>
      </w:r>
      <w:r w:rsidR="00AA463D" w:rsidRPr="00D1713C">
        <w:t>that would be reviewable national security actions if not covered by exemption certificates</w:t>
      </w:r>
      <w:bookmarkEnd w:id="36"/>
      <w:bookmarkEnd w:id="37"/>
    </w:p>
    <w:p w14:paraId="41368EFA" w14:textId="77777777" w:rsidR="00AA463D" w:rsidRPr="00D1713C" w:rsidRDefault="00AA463D" w:rsidP="00AA463D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 the foreign person takes an action that:</w:t>
      </w:r>
    </w:p>
    <w:p w14:paraId="6517F5F1" w14:textId="77777777" w:rsidR="00AA463D" w:rsidRPr="00D1713C" w:rsidRDefault="00AA463D" w:rsidP="00AA463D">
      <w:pPr>
        <w:pStyle w:val="paragraph"/>
      </w:pPr>
      <w:r w:rsidRPr="00D1713C">
        <w:lastRenderedPageBreak/>
        <w:tab/>
        <w:t>(a)</w:t>
      </w:r>
      <w:r w:rsidRPr="00D1713C">
        <w:tab/>
        <w:t xml:space="preserve">is </w:t>
      </w:r>
      <w:r w:rsidR="00EB0BA3" w:rsidRPr="00D1713C">
        <w:t>an action to which</w:t>
      </w:r>
      <w:r w:rsidRPr="00D1713C">
        <w:t xml:space="preserve"> </w:t>
      </w:r>
      <w:r w:rsidR="00EB0BA3" w:rsidRPr="00D1713C">
        <w:t>paragraphs</w:t>
      </w:r>
      <w:r w:rsidR="0070283B" w:rsidRPr="00D1713C">
        <w:t> 5</w:t>
      </w:r>
      <w:r w:rsidRPr="00D1713C">
        <w:t>5D(1)</w:t>
      </w:r>
      <w:r w:rsidR="00EB0BA3" w:rsidRPr="00D1713C">
        <w:t xml:space="preserve">(a) to (c), </w:t>
      </w:r>
      <w:r w:rsidRPr="00D1713C">
        <w:t>or (2)</w:t>
      </w:r>
      <w:r w:rsidR="00EB0BA3" w:rsidRPr="00D1713C">
        <w:t>(a) to (c),</w:t>
      </w:r>
      <w:r w:rsidRPr="00D1713C">
        <w:t xml:space="preserve"> of the Act</w:t>
      </w:r>
      <w:r w:rsidR="00EB0BA3" w:rsidRPr="00D1713C">
        <w:t xml:space="preserve"> apply</w:t>
      </w:r>
      <w:r w:rsidRPr="00D1713C">
        <w:t>; and</w:t>
      </w:r>
    </w:p>
    <w:p w14:paraId="634318AF" w14:textId="77777777" w:rsidR="00AA463D" w:rsidRPr="00D1713C" w:rsidRDefault="00AA463D" w:rsidP="00AA463D">
      <w:pPr>
        <w:pStyle w:val="paragraph"/>
      </w:pPr>
      <w:r w:rsidRPr="00D1713C">
        <w:tab/>
        <w:t>(b)</w:t>
      </w:r>
      <w:r w:rsidRPr="00D1713C">
        <w:tab/>
        <w:t xml:space="preserve">is not a reviewable national security action only because of </w:t>
      </w:r>
      <w:r w:rsidR="0070283B" w:rsidRPr="00D1713C">
        <w:t>subsection 4</w:t>
      </w:r>
      <w:r w:rsidRPr="00D1713C">
        <w:t>3</w:t>
      </w:r>
      <w:proofErr w:type="gramStart"/>
      <w:r w:rsidRPr="00D1713C">
        <w:t>BB(</w:t>
      </w:r>
      <w:proofErr w:type="gramEnd"/>
      <w:r w:rsidRPr="00D1713C">
        <w:t>4) of this instrument (about exemption certificates)</w:t>
      </w:r>
      <w:r w:rsidR="002175CE" w:rsidRPr="00D1713C">
        <w:t>.</w:t>
      </w:r>
    </w:p>
    <w:p w14:paraId="2016CE43" w14:textId="77777777" w:rsidR="00AA463D" w:rsidRPr="00D1713C" w:rsidRDefault="00AA463D" w:rsidP="00AA463D">
      <w:pPr>
        <w:pStyle w:val="notetext"/>
      </w:pPr>
      <w:r w:rsidRPr="00D1713C">
        <w:t>Note: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25F3AE44" w14:textId="77777777" w:rsidR="00AA463D" w:rsidRPr="00D1713C" w:rsidRDefault="00AA463D" w:rsidP="00AA463D">
      <w:pPr>
        <w:pStyle w:val="subsection"/>
      </w:pPr>
      <w:r w:rsidRPr="00D1713C">
        <w:tab/>
        <w:t>(2)</w:t>
      </w:r>
      <w:r w:rsidRPr="00D1713C">
        <w:tab/>
        <w:t xml:space="preserve">For the purposes of paragraphs 130ZU(1)(b), (c) and (d) of the Act, if a foreign person gives </w:t>
      </w:r>
      <w:r w:rsidR="00EB0BA3" w:rsidRPr="00D1713C">
        <w:t xml:space="preserve">a </w:t>
      </w:r>
      <w:r w:rsidRPr="00D1713C">
        <w:t xml:space="preserve">register notice under this section in relation to an action mentioned in </w:t>
      </w:r>
      <w:r w:rsidR="00294ABB" w:rsidRPr="00D1713C">
        <w:t>subsection (</w:t>
      </w:r>
      <w:r w:rsidRPr="00D1713C">
        <w:t xml:space="preserve">1) of this section, </w:t>
      </w:r>
      <w:r w:rsidR="0070283B" w:rsidRPr="00D1713C">
        <w:t>subsections 1</w:t>
      </w:r>
      <w:r w:rsidRPr="00D1713C">
        <w:t>30</w:t>
      </w:r>
      <w:proofErr w:type="gramStart"/>
      <w:r w:rsidRPr="00D1713C">
        <w:t>Z</w:t>
      </w:r>
      <w:r w:rsidR="00AD309F" w:rsidRPr="00D1713C">
        <w:t>L</w:t>
      </w:r>
      <w:r w:rsidRPr="00D1713C">
        <w:t>(</w:t>
      </w:r>
      <w:proofErr w:type="gramEnd"/>
      <w:r w:rsidRPr="00D1713C">
        <w:t>2) to (</w:t>
      </w:r>
      <w:r w:rsidR="00AD309F" w:rsidRPr="00D1713C">
        <w:t>5</w:t>
      </w:r>
      <w:r w:rsidRPr="00D1713C">
        <w:t>) of the Act apply in relation to the action as if:</w:t>
      </w:r>
    </w:p>
    <w:p w14:paraId="10713CF3" w14:textId="77777777" w:rsidR="00AA463D" w:rsidRPr="00D1713C" w:rsidRDefault="00AA463D" w:rsidP="00AA463D">
      <w:pPr>
        <w:pStyle w:val="paragraph"/>
      </w:pPr>
      <w:r w:rsidRPr="00D1713C">
        <w:tab/>
        <w:t>(a)</w:t>
      </w:r>
      <w:r w:rsidRPr="00D1713C">
        <w:tab/>
        <w:t xml:space="preserve">the foreign person had given the register notice under </w:t>
      </w:r>
      <w:r w:rsidR="0070283B" w:rsidRPr="00D1713C">
        <w:t>subsection 1</w:t>
      </w:r>
      <w:r w:rsidRPr="00D1713C">
        <w:t>30</w:t>
      </w:r>
      <w:proofErr w:type="gramStart"/>
      <w:r w:rsidRPr="00D1713C">
        <w:t>Z</w:t>
      </w:r>
      <w:r w:rsidR="00AD309F" w:rsidRPr="00D1713C">
        <w:t>L</w:t>
      </w:r>
      <w:r w:rsidRPr="00D1713C">
        <w:t>(</w:t>
      </w:r>
      <w:proofErr w:type="gramEnd"/>
      <w:r w:rsidRPr="00D1713C">
        <w:t>1) of the Act in relation to the action; and</w:t>
      </w:r>
    </w:p>
    <w:p w14:paraId="633BEC60" w14:textId="77777777" w:rsidR="00AD309F" w:rsidRPr="00D1713C" w:rsidRDefault="00AD309F" w:rsidP="00AA463D">
      <w:pPr>
        <w:pStyle w:val="paragraph"/>
      </w:pPr>
      <w:r w:rsidRPr="00D1713C">
        <w:tab/>
        <w:t>(b)</w:t>
      </w:r>
      <w:r w:rsidRPr="00D1713C">
        <w:tab/>
        <w:t>for the purposes of 130</w:t>
      </w:r>
      <w:proofErr w:type="gramStart"/>
      <w:r w:rsidRPr="00D1713C">
        <w:t>ZL(</w:t>
      </w:r>
      <w:proofErr w:type="gramEnd"/>
      <w:r w:rsidR="005724F7" w:rsidRPr="00D1713C">
        <w:t>4</w:t>
      </w:r>
      <w:r w:rsidRPr="00D1713C">
        <w:t>) of the Act—</w:t>
      </w:r>
      <w:r w:rsidR="00D60048">
        <w:t>paragraph 1</w:t>
      </w:r>
      <w:r w:rsidRPr="00D1713C">
        <w:t>30ZL(1)(a) of the Act applies in relation to the action</w:t>
      </w:r>
      <w:r w:rsidR="002175CE" w:rsidRPr="00D1713C">
        <w:t>.</w:t>
      </w:r>
    </w:p>
    <w:p w14:paraId="0CE7FE43" w14:textId="77777777" w:rsidR="00F04ECE" w:rsidRPr="00D1713C" w:rsidRDefault="00F04ECE" w:rsidP="00F04ECE">
      <w:pPr>
        <w:pStyle w:val="subsection"/>
      </w:pPr>
      <w:r w:rsidRPr="00D1713C">
        <w:tab/>
        <w:t>(3)</w:t>
      </w:r>
      <w:r w:rsidRPr="00D1713C">
        <w:tab/>
        <w:t xml:space="preserve">For the purposes of </w:t>
      </w:r>
      <w:r w:rsidR="00D60048">
        <w:t>paragraph 1</w:t>
      </w:r>
      <w:r w:rsidRPr="00D1713C">
        <w:t xml:space="preserve">30ZN(4)(g) of the Act, section 130ZN of the Act applies to a registered circumstance mentioned in </w:t>
      </w:r>
      <w:r w:rsidR="0070283B" w:rsidRPr="00D1713C">
        <w:t>item 1</w:t>
      </w:r>
      <w:r w:rsidRPr="00D1713C">
        <w:t xml:space="preserve"> of the table in </w:t>
      </w:r>
      <w:r w:rsidR="0070283B" w:rsidRPr="00D1713C">
        <w:t>subsection 1</w:t>
      </w:r>
      <w:r w:rsidRPr="00D1713C">
        <w:t>30</w:t>
      </w:r>
      <w:proofErr w:type="gramStart"/>
      <w:r w:rsidRPr="00D1713C">
        <w:t>ZL(</w:t>
      </w:r>
      <w:proofErr w:type="gramEnd"/>
      <w:r w:rsidRPr="00D1713C">
        <w:t xml:space="preserve">2) of the Act (as that table item applies because of </w:t>
      </w:r>
      <w:r w:rsidR="00294ABB" w:rsidRPr="00D1713C">
        <w:t>subsection (</w:t>
      </w:r>
      <w:r w:rsidRPr="00D1713C">
        <w:t>2) of this section)</w:t>
      </w:r>
      <w:r w:rsidR="002175CE" w:rsidRPr="00D1713C">
        <w:t>.</w:t>
      </w:r>
    </w:p>
    <w:p w14:paraId="3B120C95" w14:textId="77777777" w:rsidR="00781C23" w:rsidRPr="00D1713C" w:rsidRDefault="002175CE" w:rsidP="00781C23">
      <w:pPr>
        <w:pStyle w:val="ActHead5"/>
      </w:pPr>
      <w:bookmarkStart w:id="38" w:name="_Toc128050266"/>
      <w:bookmarkStart w:id="39" w:name="_Toc128050430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J</w:t>
      </w:r>
      <w:r w:rsidR="00781C23" w:rsidRPr="00D1713C">
        <w:t xml:space="preserve">  Requirement</w:t>
      </w:r>
      <w:proofErr w:type="gramEnd"/>
      <w:r w:rsidR="00781C23" w:rsidRPr="00D1713C">
        <w:t xml:space="preserve"> to give register notice—actions relating to businesses that would be reviewable national security actions if not covered by exemption certificates</w:t>
      </w:r>
      <w:bookmarkEnd w:id="38"/>
      <w:bookmarkEnd w:id="39"/>
    </w:p>
    <w:p w14:paraId="3E798B78" w14:textId="77777777" w:rsidR="00AD309F" w:rsidRPr="00D1713C" w:rsidRDefault="00AD309F" w:rsidP="00AD309F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D60048">
        <w:t>paragraph 1</w:t>
      </w:r>
      <w:r w:rsidRPr="00D1713C">
        <w:t>30ZU(1)(a) of the Act, circumstances in which a foreign person must give a register notice to the Registrar are if the foreign person takes an action that:</w:t>
      </w:r>
    </w:p>
    <w:p w14:paraId="57E83E2E" w14:textId="77777777" w:rsidR="00AD309F" w:rsidRPr="00D1713C" w:rsidRDefault="00AD309F" w:rsidP="00AD309F">
      <w:pPr>
        <w:pStyle w:val="paragraph"/>
      </w:pPr>
      <w:r w:rsidRPr="00D1713C">
        <w:tab/>
        <w:t>(a)</w:t>
      </w:r>
      <w:r w:rsidRPr="00D1713C">
        <w:tab/>
        <w:t xml:space="preserve">is </w:t>
      </w:r>
      <w:r w:rsidR="00EB0BA3" w:rsidRPr="00D1713C">
        <w:t>an action to which</w:t>
      </w:r>
      <w:r w:rsidRPr="00D1713C">
        <w:t xml:space="preserve"> </w:t>
      </w:r>
      <w:r w:rsidR="00EB0BA3" w:rsidRPr="00D1713C">
        <w:t>paragraphs</w:t>
      </w:r>
      <w:r w:rsidR="0070283B" w:rsidRPr="00D1713C">
        <w:t> 5</w:t>
      </w:r>
      <w:r w:rsidRPr="00D1713C">
        <w:t>5E(1)</w:t>
      </w:r>
      <w:r w:rsidR="00EB0BA3" w:rsidRPr="00D1713C">
        <w:t>(a) to (c),</w:t>
      </w:r>
      <w:r w:rsidRPr="00D1713C">
        <w:t xml:space="preserve"> or (2)</w:t>
      </w:r>
      <w:r w:rsidR="00EB0BA3" w:rsidRPr="00D1713C">
        <w:t>(a) and (b),</w:t>
      </w:r>
      <w:r w:rsidRPr="00D1713C">
        <w:t xml:space="preserve"> of the Act</w:t>
      </w:r>
      <w:r w:rsidR="00EB0BA3" w:rsidRPr="00D1713C">
        <w:t xml:space="preserve"> apply</w:t>
      </w:r>
      <w:r w:rsidRPr="00D1713C">
        <w:t>; and</w:t>
      </w:r>
    </w:p>
    <w:p w14:paraId="03A63E69" w14:textId="77777777" w:rsidR="00AD309F" w:rsidRPr="00D1713C" w:rsidRDefault="00AD309F" w:rsidP="00AD309F">
      <w:pPr>
        <w:pStyle w:val="paragraph"/>
      </w:pPr>
      <w:r w:rsidRPr="00D1713C">
        <w:tab/>
        <w:t>(b)</w:t>
      </w:r>
      <w:r w:rsidRPr="00D1713C">
        <w:tab/>
        <w:t xml:space="preserve">is not a reviewable national security action only because of </w:t>
      </w:r>
      <w:r w:rsidR="0070283B" w:rsidRPr="00D1713C">
        <w:t>subsection 4</w:t>
      </w:r>
      <w:r w:rsidRPr="00D1713C">
        <w:t>3</w:t>
      </w:r>
      <w:proofErr w:type="gramStart"/>
      <w:r w:rsidRPr="00D1713C">
        <w:t>BB(</w:t>
      </w:r>
      <w:proofErr w:type="gramEnd"/>
      <w:r w:rsidRPr="00D1713C">
        <w:t>4) of this instrument (about exemption certificates)</w:t>
      </w:r>
      <w:r w:rsidR="002175CE" w:rsidRPr="00D1713C">
        <w:t>.</w:t>
      </w:r>
    </w:p>
    <w:p w14:paraId="1BB4F180" w14:textId="77777777" w:rsidR="00AD309F" w:rsidRPr="00D1713C" w:rsidRDefault="00AD309F" w:rsidP="00AD309F">
      <w:pPr>
        <w:pStyle w:val="notetext"/>
      </w:pPr>
      <w:r w:rsidRPr="00D1713C">
        <w:t>Note:</w:t>
      </w:r>
      <w:r w:rsidRPr="00D1713C">
        <w:tab/>
        <w:t xml:space="preserve">The data standards may provide for register notices under multiple provisions to be given in a single notice (see </w:t>
      </w:r>
      <w:r w:rsidR="00D60048">
        <w:t>paragraph 1</w:t>
      </w:r>
      <w:r w:rsidRPr="00D1713C">
        <w:t>30ZZ(2)(j) of the Act)</w:t>
      </w:r>
      <w:r w:rsidR="002175CE" w:rsidRPr="00D1713C">
        <w:t>.</w:t>
      </w:r>
    </w:p>
    <w:p w14:paraId="07A18D8D" w14:textId="77777777" w:rsidR="00781C23" w:rsidRPr="00D1713C" w:rsidRDefault="00781C23" w:rsidP="00781C23">
      <w:pPr>
        <w:pStyle w:val="subsection"/>
      </w:pPr>
      <w:r w:rsidRPr="00D1713C">
        <w:tab/>
        <w:t>(2)</w:t>
      </w:r>
      <w:r w:rsidRPr="00D1713C">
        <w:tab/>
        <w:t xml:space="preserve">For the purposes of paragraphs 130ZU(1)(b), (c) and (d) of the Act, if a foreign person gives </w:t>
      </w:r>
      <w:r w:rsidR="00D732CB" w:rsidRPr="00D1713C">
        <w:t xml:space="preserve">a </w:t>
      </w:r>
      <w:r w:rsidRPr="00D1713C">
        <w:t xml:space="preserve">register notice under this section in relation to an action mentioned in </w:t>
      </w:r>
      <w:r w:rsidR="00294ABB" w:rsidRPr="00D1713C">
        <w:t>subsection (</w:t>
      </w:r>
      <w:r w:rsidRPr="00D1713C">
        <w:t xml:space="preserve">1) of this section, </w:t>
      </w:r>
      <w:r w:rsidR="0070283B" w:rsidRPr="00D1713C">
        <w:t>subsections 1</w:t>
      </w:r>
      <w:r w:rsidRPr="00D1713C">
        <w:t>30</w:t>
      </w:r>
      <w:proofErr w:type="gramStart"/>
      <w:r w:rsidRPr="00D1713C">
        <w:t>ZM(</w:t>
      </w:r>
      <w:proofErr w:type="gramEnd"/>
      <w:r w:rsidRPr="00D1713C">
        <w:t>2) to (5) of the Act apply in relation to the action as if:</w:t>
      </w:r>
    </w:p>
    <w:p w14:paraId="5BC009BA" w14:textId="77777777" w:rsidR="00781C23" w:rsidRPr="00D1713C" w:rsidRDefault="00781C23" w:rsidP="00781C23">
      <w:pPr>
        <w:pStyle w:val="paragraph"/>
      </w:pPr>
      <w:r w:rsidRPr="00D1713C">
        <w:tab/>
        <w:t>(a)</w:t>
      </w:r>
      <w:r w:rsidRPr="00D1713C">
        <w:tab/>
        <w:t xml:space="preserve">the foreign person had given the register notice under </w:t>
      </w:r>
      <w:r w:rsidR="0070283B" w:rsidRPr="00D1713C">
        <w:t>subsection 1</w:t>
      </w:r>
      <w:r w:rsidRPr="00D1713C">
        <w:t>30</w:t>
      </w:r>
      <w:proofErr w:type="gramStart"/>
      <w:r w:rsidRPr="00D1713C">
        <w:t>Z</w:t>
      </w:r>
      <w:r w:rsidR="005724F7" w:rsidRPr="00D1713C">
        <w:t>M</w:t>
      </w:r>
      <w:r w:rsidRPr="00D1713C">
        <w:t>(</w:t>
      </w:r>
      <w:proofErr w:type="gramEnd"/>
      <w:r w:rsidRPr="00D1713C">
        <w:t>1) of the Act in relation to the action; and</w:t>
      </w:r>
    </w:p>
    <w:p w14:paraId="7142048D" w14:textId="77777777" w:rsidR="00575C82" w:rsidRPr="00D1713C" w:rsidRDefault="00575C82" w:rsidP="00575C82">
      <w:pPr>
        <w:pStyle w:val="paragraph"/>
      </w:pPr>
      <w:r w:rsidRPr="00D1713C">
        <w:tab/>
        <w:t>(b)</w:t>
      </w:r>
      <w:r w:rsidRPr="00D1713C">
        <w:tab/>
      </w:r>
      <w:r w:rsidR="0070283B" w:rsidRPr="00D1713C">
        <w:t>subsection 1</w:t>
      </w:r>
      <w:r w:rsidRPr="00D1713C">
        <w:t>30</w:t>
      </w:r>
      <w:proofErr w:type="gramStart"/>
      <w:r w:rsidRPr="00D1713C">
        <w:t>Z</w:t>
      </w:r>
      <w:r w:rsidR="00CE1083" w:rsidRPr="00D1713C">
        <w:t>M</w:t>
      </w:r>
      <w:r w:rsidRPr="00D1713C">
        <w:t>(</w:t>
      </w:r>
      <w:proofErr w:type="gramEnd"/>
      <w:r w:rsidRPr="00D1713C">
        <w:t>4) of the Act provided that the registrable event day</w:t>
      </w:r>
      <w:r w:rsidR="00CE1083" w:rsidRPr="00D1713C">
        <w:t xml:space="preserve"> </w:t>
      </w:r>
      <w:r w:rsidR="00C24B03" w:rsidRPr="00D1713C">
        <w:t xml:space="preserve">for the register notice </w:t>
      </w:r>
      <w:r w:rsidR="00CE1083" w:rsidRPr="00D1713C">
        <w:t>were</w:t>
      </w:r>
      <w:r w:rsidRPr="00D1713C">
        <w:t>:</w:t>
      </w:r>
    </w:p>
    <w:p w14:paraId="0CB58937" w14:textId="77777777" w:rsidR="00575C82" w:rsidRPr="00D1713C" w:rsidRDefault="00575C82" w:rsidP="00575C82">
      <w:pPr>
        <w:pStyle w:val="paragraphsub"/>
      </w:pPr>
      <w:r w:rsidRPr="00D1713C">
        <w:tab/>
        <w:t>(</w:t>
      </w:r>
      <w:proofErr w:type="spellStart"/>
      <w:r w:rsidRPr="00D1713C">
        <w:t>i</w:t>
      </w:r>
      <w:proofErr w:type="spellEnd"/>
      <w:r w:rsidRPr="00D1713C">
        <w:t>)</w:t>
      </w:r>
      <w:r w:rsidRPr="00D1713C">
        <w:tab/>
      </w:r>
      <w:r w:rsidR="00C24B03" w:rsidRPr="00D1713C">
        <w:t>if the</w:t>
      </w:r>
      <w:r w:rsidRPr="00D1713C">
        <w:t xml:space="preserve"> register notice relat</w:t>
      </w:r>
      <w:r w:rsidR="00C24B03" w:rsidRPr="00D1713C">
        <w:t>es</w:t>
      </w:r>
      <w:r w:rsidRPr="00D1713C">
        <w:t xml:space="preserve"> to </w:t>
      </w:r>
      <w:r w:rsidR="0070283B" w:rsidRPr="00D1713C">
        <w:t>item 4</w:t>
      </w:r>
      <w:r w:rsidRPr="00D1713C">
        <w:t xml:space="preserve"> of the table in </w:t>
      </w:r>
      <w:r w:rsidR="0070283B" w:rsidRPr="00D1713C">
        <w:t>subsection 1</w:t>
      </w:r>
      <w:r w:rsidRPr="00D1713C">
        <w:t>30</w:t>
      </w:r>
      <w:proofErr w:type="gramStart"/>
      <w:r w:rsidR="00C24B03" w:rsidRPr="00D1713C">
        <w:t>ZM</w:t>
      </w:r>
      <w:r w:rsidRPr="00D1713C">
        <w:t>(</w:t>
      </w:r>
      <w:proofErr w:type="gramEnd"/>
      <w:r w:rsidRPr="00D1713C">
        <w:t>2) of the Act—</w:t>
      </w:r>
      <w:r w:rsidR="008848A8" w:rsidRPr="00D1713C">
        <w:t xml:space="preserve">the first day any notice is given, or any certificate is issued, of a kind mentioned in </w:t>
      </w:r>
      <w:r w:rsidR="00294ABB" w:rsidRPr="00D1713C">
        <w:t>subsection (</w:t>
      </w:r>
      <w:r w:rsidR="008848A8" w:rsidRPr="00D1713C">
        <w:t>3) of this section for the business mentioned in that table item; or</w:t>
      </w:r>
    </w:p>
    <w:p w14:paraId="2B5DBD5A" w14:textId="77777777" w:rsidR="00575C82" w:rsidRPr="00D1713C" w:rsidRDefault="00575C82" w:rsidP="00575C82">
      <w:pPr>
        <w:pStyle w:val="paragraphsub"/>
      </w:pPr>
      <w:r w:rsidRPr="00D1713C">
        <w:tab/>
        <w:t>(ii)</w:t>
      </w:r>
      <w:r w:rsidRPr="00D1713C">
        <w:tab/>
        <w:t>otherwise—</w:t>
      </w:r>
      <w:r w:rsidR="00CE1083" w:rsidRPr="00D1713C">
        <w:t>the day on which the foreign person takes the action</w:t>
      </w:r>
      <w:r w:rsidR="002175CE" w:rsidRPr="00D1713C">
        <w:t>.</w:t>
      </w:r>
    </w:p>
    <w:p w14:paraId="4635EC47" w14:textId="77777777" w:rsidR="008848A8" w:rsidRPr="00D1713C" w:rsidRDefault="008848A8" w:rsidP="008848A8">
      <w:pPr>
        <w:pStyle w:val="subsection"/>
      </w:pPr>
      <w:r w:rsidRPr="00D1713C">
        <w:tab/>
        <w:t>(3)</w:t>
      </w:r>
      <w:r w:rsidRPr="00D1713C">
        <w:tab/>
        <w:t xml:space="preserve">For the purposes of </w:t>
      </w:r>
      <w:r w:rsidR="00D60048">
        <w:t>subparagraph (</w:t>
      </w:r>
      <w:r w:rsidRPr="00D1713C">
        <w:t>2)(b)(</w:t>
      </w:r>
      <w:proofErr w:type="spellStart"/>
      <w:r w:rsidRPr="00D1713C">
        <w:t>i</w:t>
      </w:r>
      <w:proofErr w:type="spellEnd"/>
      <w:r w:rsidRPr="00D1713C">
        <w:t>), the kinds of notices or certificates are as follows:</w:t>
      </w:r>
    </w:p>
    <w:p w14:paraId="1DB63DAE" w14:textId="77777777" w:rsidR="008848A8" w:rsidRPr="00D1713C" w:rsidRDefault="008848A8" w:rsidP="008848A8">
      <w:pPr>
        <w:pStyle w:val="paragraph"/>
      </w:pPr>
      <w:r w:rsidRPr="00D1713C">
        <w:tab/>
        <w:t>(a)</w:t>
      </w:r>
      <w:r w:rsidRPr="00D1713C">
        <w:tab/>
        <w:t xml:space="preserve">a notice under subsection 11(3) of the </w:t>
      </w:r>
      <w:r w:rsidRPr="00D1713C">
        <w:rPr>
          <w:i/>
        </w:rPr>
        <w:t>A New Tax System (Australian Business Number) Act 1999</w:t>
      </w:r>
      <w:r w:rsidRPr="00D1713C">
        <w:t xml:space="preserve"> of an ABN (within the meaning of that Act</w:t>
      </w:r>
      <w:proofErr w:type="gramStart"/>
      <w:r w:rsidRPr="00D1713C">
        <w:t>);</w:t>
      </w:r>
      <w:proofErr w:type="gramEnd"/>
    </w:p>
    <w:p w14:paraId="73690689" w14:textId="77777777" w:rsidR="008848A8" w:rsidRPr="00D1713C" w:rsidRDefault="008848A8" w:rsidP="008848A8">
      <w:pPr>
        <w:pStyle w:val="paragraph"/>
      </w:pPr>
      <w:r w:rsidRPr="00D1713C">
        <w:lastRenderedPageBreak/>
        <w:tab/>
        <w:t>(b)</w:t>
      </w:r>
      <w:r w:rsidRPr="00D1713C">
        <w:tab/>
        <w:t xml:space="preserve">a certificate under </w:t>
      </w:r>
      <w:r w:rsidR="00D60048">
        <w:t>paragraph 1</w:t>
      </w:r>
      <w:r w:rsidRPr="00D1713C">
        <w:t xml:space="preserve">18(1)(c) or 601BD(1)(c) of the </w:t>
      </w:r>
      <w:r w:rsidRPr="00D1713C">
        <w:rPr>
          <w:i/>
        </w:rPr>
        <w:t>Corporations Act 2001</w:t>
      </w:r>
      <w:r w:rsidRPr="00D1713C">
        <w:t xml:space="preserve"> stating an ACN (within the meaning of that Act).</w:t>
      </w:r>
    </w:p>
    <w:p w14:paraId="1F2CBD2B" w14:textId="77777777" w:rsidR="00F04ECE" w:rsidRPr="00D1713C" w:rsidRDefault="00F04ECE" w:rsidP="00F04ECE">
      <w:pPr>
        <w:pStyle w:val="subsection"/>
      </w:pPr>
      <w:r w:rsidRPr="00D1713C">
        <w:tab/>
        <w:t>(</w:t>
      </w:r>
      <w:r w:rsidR="008848A8" w:rsidRPr="00D1713C">
        <w:t>4</w:t>
      </w:r>
      <w:r w:rsidRPr="00D1713C">
        <w:t>)</w:t>
      </w:r>
      <w:r w:rsidRPr="00D1713C">
        <w:tab/>
        <w:t xml:space="preserve">For the purposes of </w:t>
      </w:r>
      <w:r w:rsidR="00D60048">
        <w:t>paragraph 1</w:t>
      </w:r>
      <w:r w:rsidRPr="00D1713C">
        <w:t xml:space="preserve">30ZN(4)(g) of the Act, section 130ZN of the Act applies to a registered circumstance mentioned in </w:t>
      </w:r>
      <w:r w:rsidR="0070283B" w:rsidRPr="00D1713C">
        <w:t>item 1</w:t>
      </w:r>
      <w:r w:rsidRPr="00D1713C">
        <w:t xml:space="preserve"> or 2 of the table in </w:t>
      </w:r>
      <w:r w:rsidR="0070283B" w:rsidRPr="00D1713C">
        <w:t>subsection 1</w:t>
      </w:r>
      <w:r w:rsidRPr="00D1713C">
        <w:t>30</w:t>
      </w:r>
      <w:proofErr w:type="gramStart"/>
      <w:r w:rsidRPr="00D1713C">
        <w:t>ZM(</w:t>
      </w:r>
      <w:proofErr w:type="gramEnd"/>
      <w:r w:rsidRPr="00D1713C">
        <w:t xml:space="preserve">2) of the Act (as those table items apply because of </w:t>
      </w:r>
      <w:r w:rsidR="00294ABB" w:rsidRPr="00D1713C">
        <w:t>subsection (</w:t>
      </w:r>
      <w:r w:rsidRPr="00D1713C">
        <w:t>2) of this section)</w:t>
      </w:r>
      <w:r w:rsidR="002175CE" w:rsidRPr="00D1713C">
        <w:t>.</w:t>
      </w:r>
    </w:p>
    <w:p w14:paraId="1261D6CB" w14:textId="77777777" w:rsidR="0046158A" w:rsidRPr="00D1713C" w:rsidRDefault="009254AC" w:rsidP="003D09F8">
      <w:pPr>
        <w:pStyle w:val="ActHead3"/>
      </w:pPr>
      <w:bookmarkStart w:id="40" w:name="_Toc128050267"/>
      <w:bookmarkStart w:id="41" w:name="_Toc128050431"/>
      <w:r w:rsidRPr="00D96F3A">
        <w:rPr>
          <w:rStyle w:val="CharDivNo"/>
        </w:rPr>
        <w:t>Division 3</w:t>
      </w:r>
      <w:r w:rsidR="0046158A" w:rsidRPr="00D1713C">
        <w:t>—</w:t>
      </w:r>
      <w:r w:rsidR="0046158A" w:rsidRPr="00D96F3A">
        <w:rPr>
          <w:rStyle w:val="CharDivText"/>
        </w:rPr>
        <w:t>Relationship with other notification provisions</w:t>
      </w:r>
      <w:bookmarkEnd w:id="40"/>
      <w:bookmarkEnd w:id="41"/>
    </w:p>
    <w:p w14:paraId="4E79D7C0" w14:textId="77777777" w:rsidR="00BB5294" w:rsidRDefault="002175CE" w:rsidP="0046158A">
      <w:pPr>
        <w:pStyle w:val="ActHead5"/>
      </w:pPr>
      <w:bookmarkStart w:id="42" w:name="_Toc128050268"/>
      <w:bookmarkStart w:id="43" w:name="_Toc128050432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K</w:t>
      </w:r>
      <w:r w:rsidR="0046158A" w:rsidRPr="00D1713C">
        <w:t xml:space="preserve">  </w:t>
      </w:r>
      <w:r w:rsidR="00BB5294">
        <w:t>Some</w:t>
      </w:r>
      <w:proofErr w:type="gramEnd"/>
      <w:r w:rsidR="00BB5294">
        <w:t xml:space="preserve"> other notification requirements only apply for actions that require registry notices, and where such registry notices are not given</w:t>
      </w:r>
      <w:bookmarkEnd w:id="42"/>
      <w:bookmarkEnd w:id="43"/>
    </w:p>
    <w:p w14:paraId="3356CED2" w14:textId="77777777" w:rsidR="00BB5294" w:rsidRDefault="00CB2509" w:rsidP="00CB2509">
      <w:pPr>
        <w:pStyle w:val="subsection"/>
      </w:pPr>
      <w:r w:rsidRPr="00D1713C">
        <w:tab/>
        <w:t>(1)</w:t>
      </w:r>
      <w:r w:rsidRPr="00D1713C">
        <w:tab/>
        <w:t>For the purposes of paragraph 98C(1)(c) of the Act, requirement</w:t>
      </w:r>
      <w:r w:rsidR="00BB5294">
        <w:t>s</w:t>
      </w:r>
      <w:r w:rsidRPr="00D1713C">
        <w:t xml:space="preserve"> that must be met for subsection 98</w:t>
      </w:r>
      <w:proofErr w:type="gramStart"/>
      <w:r w:rsidRPr="00D1713C">
        <w:t>C(</w:t>
      </w:r>
      <w:proofErr w:type="gramEnd"/>
      <w:r w:rsidRPr="00D1713C">
        <w:t xml:space="preserve">2) of the Act to apply to a person in relation to a core </w:t>
      </w:r>
      <w:r w:rsidR="00D60048">
        <w:t>Part 3</w:t>
      </w:r>
      <w:r w:rsidRPr="00D1713C">
        <w:t xml:space="preserve"> action </w:t>
      </w:r>
      <w:r w:rsidR="00BB5294">
        <w:t>are that:</w:t>
      </w:r>
    </w:p>
    <w:p w14:paraId="2449219D" w14:textId="77777777" w:rsidR="00BB5294" w:rsidRDefault="00BB5294" w:rsidP="00BB5294">
      <w:pPr>
        <w:pStyle w:val="paragraph"/>
      </w:pPr>
      <w:r>
        <w:tab/>
        <w:t>(a)</w:t>
      </w:r>
      <w:r>
        <w:tab/>
        <w:t xml:space="preserve">the core </w:t>
      </w:r>
      <w:r w:rsidR="00D60048">
        <w:t>Part 3</w:t>
      </w:r>
      <w:r>
        <w:t xml:space="preserve"> action is of a kind for which register notices must be given to the Registrar for the purposes of </w:t>
      </w:r>
      <w:r w:rsidR="00D60048">
        <w:t>Part 7</w:t>
      </w:r>
      <w:r>
        <w:t xml:space="preserve">A of the </w:t>
      </w:r>
      <w:proofErr w:type="gramStart"/>
      <w:r>
        <w:t>Act;</w:t>
      </w:r>
      <w:proofErr w:type="gramEnd"/>
      <w:r>
        <w:t xml:space="preserve"> and</w:t>
      </w:r>
    </w:p>
    <w:p w14:paraId="249B36EA" w14:textId="77777777" w:rsidR="00CB2509" w:rsidRPr="00D1713C" w:rsidRDefault="00BB5294" w:rsidP="00BB5294">
      <w:pPr>
        <w:pStyle w:val="paragraph"/>
      </w:pPr>
      <w:r>
        <w:tab/>
        <w:t>(b)</w:t>
      </w:r>
      <w:r>
        <w:tab/>
      </w:r>
      <w:r w:rsidR="00CB2509" w:rsidRPr="00D1713C">
        <w:t xml:space="preserve">the person has not already given </w:t>
      </w:r>
      <w:r>
        <w:t>such</w:t>
      </w:r>
      <w:r w:rsidR="00CB2509" w:rsidRPr="00D1713C">
        <w:t xml:space="preserve"> a register notice to the Registrar </w:t>
      </w:r>
      <w:r>
        <w:t>for</w:t>
      </w:r>
      <w:r w:rsidR="00CB2509" w:rsidRPr="00D1713C">
        <w:t xml:space="preserve"> the action.</w:t>
      </w:r>
    </w:p>
    <w:p w14:paraId="71966F4B" w14:textId="77777777" w:rsidR="00D60048" w:rsidRDefault="00BB5294" w:rsidP="00BB5294">
      <w:pPr>
        <w:pStyle w:val="subsection"/>
      </w:pPr>
      <w:r w:rsidRPr="00D1713C">
        <w:tab/>
        <w:t>(2)</w:t>
      </w:r>
      <w:r w:rsidRPr="00D1713C">
        <w:tab/>
        <w:t>For the purposes of paragraph 98D(1)(c) of the Act, requirement</w:t>
      </w:r>
      <w:r w:rsidR="00055A14">
        <w:t>s</w:t>
      </w:r>
      <w:r w:rsidRPr="00D1713C">
        <w:t xml:space="preserve"> that must be met for subsection 98</w:t>
      </w:r>
      <w:proofErr w:type="gramStart"/>
      <w:r w:rsidRPr="00D1713C">
        <w:t>D(</w:t>
      </w:r>
      <w:proofErr w:type="gramEnd"/>
      <w:r w:rsidRPr="00D1713C">
        <w:t xml:space="preserve">2) of the Act to apply to a person in relation to a core </w:t>
      </w:r>
      <w:r w:rsidR="00D60048">
        <w:t>Part 3</w:t>
      </w:r>
      <w:r w:rsidRPr="00D1713C">
        <w:t xml:space="preserve"> action </w:t>
      </w:r>
      <w:r w:rsidR="00D60048">
        <w:t>are</w:t>
      </w:r>
      <w:r w:rsidRPr="00D1713C">
        <w:t xml:space="preserve"> that</w:t>
      </w:r>
      <w:r w:rsidR="00D60048">
        <w:t>:</w:t>
      </w:r>
    </w:p>
    <w:p w14:paraId="33388A9B" w14:textId="77777777" w:rsidR="00D60048" w:rsidRDefault="00D60048" w:rsidP="00D60048">
      <w:pPr>
        <w:pStyle w:val="paragraph"/>
      </w:pPr>
      <w:r>
        <w:tab/>
        <w:t>(a)</w:t>
      </w:r>
      <w:r>
        <w:tab/>
        <w:t xml:space="preserve">the core Part 3 action is of a kind for which register notices must be given to the Registrar for the purposes of Part 7A of the </w:t>
      </w:r>
      <w:proofErr w:type="gramStart"/>
      <w:r>
        <w:t>Act;</w:t>
      </w:r>
      <w:proofErr w:type="gramEnd"/>
      <w:r>
        <w:t xml:space="preserve"> and</w:t>
      </w:r>
    </w:p>
    <w:p w14:paraId="1B2A279D" w14:textId="77777777" w:rsidR="006927C1" w:rsidRPr="00D1713C" w:rsidRDefault="006927C1" w:rsidP="006927C1">
      <w:pPr>
        <w:pStyle w:val="paragraph"/>
      </w:pPr>
      <w:r>
        <w:tab/>
        <w:t>(b)</w:t>
      </w:r>
      <w:r>
        <w:tab/>
      </w:r>
      <w:r w:rsidRPr="00D1713C">
        <w:t xml:space="preserve">the person has not already given </w:t>
      </w:r>
      <w:r>
        <w:t>such</w:t>
      </w:r>
      <w:r w:rsidRPr="00D1713C">
        <w:t xml:space="preserve"> a register notice to the Registrar </w:t>
      </w:r>
      <w:r>
        <w:t>for</w:t>
      </w:r>
      <w:r w:rsidRPr="00D1713C">
        <w:t xml:space="preserve"> the action.</w:t>
      </w:r>
    </w:p>
    <w:p w14:paraId="3B3E7A91" w14:textId="77777777" w:rsidR="00D60048" w:rsidRDefault="00BB5294" w:rsidP="00BB5294">
      <w:pPr>
        <w:pStyle w:val="subsection"/>
      </w:pPr>
      <w:r w:rsidRPr="00D1713C">
        <w:tab/>
        <w:t>(3)</w:t>
      </w:r>
      <w:r w:rsidRPr="00D1713C">
        <w:tab/>
        <w:t>For the purposes of paragraph 98E(1)(e) of the Act, requirement</w:t>
      </w:r>
      <w:r w:rsidR="00D60048">
        <w:t>s</w:t>
      </w:r>
      <w:r w:rsidRPr="00D1713C">
        <w:t xml:space="preserve"> that must be met for subsection 98</w:t>
      </w:r>
      <w:proofErr w:type="gramStart"/>
      <w:r w:rsidRPr="00D1713C">
        <w:t>E(</w:t>
      </w:r>
      <w:proofErr w:type="gramEnd"/>
      <w:r w:rsidRPr="00D1713C">
        <w:t xml:space="preserve">2) of the Act to apply to a person in relation to a core </w:t>
      </w:r>
      <w:r w:rsidR="00D60048">
        <w:t>Part 3</w:t>
      </w:r>
      <w:r w:rsidRPr="00D1713C">
        <w:t xml:space="preserve"> action </w:t>
      </w:r>
      <w:r w:rsidR="00D60048">
        <w:t>are</w:t>
      </w:r>
      <w:r w:rsidRPr="00D1713C">
        <w:t xml:space="preserve"> that</w:t>
      </w:r>
      <w:r w:rsidR="00D60048">
        <w:t>:</w:t>
      </w:r>
    </w:p>
    <w:p w14:paraId="66F0DFEB" w14:textId="77777777" w:rsidR="00D60048" w:rsidRDefault="00D60048" w:rsidP="00D60048">
      <w:pPr>
        <w:pStyle w:val="paragraph"/>
      </w:pPr>
      <w:r>
        <w:tab/>
        <w:t>(a)</w:t>
      </w:r>
      <w:r>
        <w:tab/>
        <w:t xml:space="preserve">the core Part 3 action is of a kind for which register notices must be given to the Registrar for the purposes of Part 7A of the </w:t>
      </w:r>
      <w:proofErr w:type="gramStart"/>
      <w:r>
        <w:t>Act;</w:t>
      </w:r>
      <w:proofErr w:type="gramEnd"/>
      <w:r>
        <w:t xml:space="preserve"> and</w:t>
      </w:r>
    </w:p>
    <w:p w14:paraId="41CB3301" w14:textId="77777777" w:rsidR="006927C1" w:rsidRPr="00D1713C" w:rsidRDefault="006927C1" w:rsidP="006927C1">
      <w:pPr>
        <w:pStyle w:val="paragraph"/>
      </w:pPr>
      <w:bookmarkStart w:id="44" w:name="_Toc128050269"/>
      <w:bookmarkStart w:id="45" w:name="_Toc128050433"/>
      <w:r>
        <w:tab/>
        <w:t>(b)</w:t>
      </w:r>
      <w:r>
        <w:tab/>
      </w:r>
      <w:r w:rsidRPr="00D1713C">
        <w:t xml:space="preserve">the person has not already given </w:t>
      </w:r>
      <w:r>
        <w:t>such</w:t>
      </w:r>
      <w:r w:rsidRPr="00D1713C">
        <w:t xml:space="preserve"> a register notice to the Registrar </w:t>
      </w:r>
      <w:r>
        <w:t>for</w:t>
      </w:r>
      <w:r w:rsidRPr="00D1713C">
        <w:t xml:space="preserve"> the action.</w:t>
      </w:r>
    </w:p>
    <w:p w14:paraId="2B709823" w14:textId="77777777" w:rsidR="007C75AD" w:rsidRPr="00D1713C" w:rsidRDefault="00294ABB" w:rsidP="003D09F8">
      <w:pPr>
        <w:pStyle w:val="ActHead3"/>
      </w:pPr>
      <w:r w:rsidRPr="00D96F3A">
        <w:rPr>
          <w:rStyle w:val="CharDivNo"/>
        </w:rPr>
        <w:t>Division 4</w:t>
      </w:r>
      <w:r w:rsidR="007C75AD" w:rsidRPr="00D1713C">
        <w:t>—</w:t>
      </w:r>
      <w:r w:rsidR="004A099F" w:rsidRPr="00D96F3A">
        <w:rPr>
          <w:rStyle w:val="CharDivText"/>
        </w:rPr>
        <w:t>Exemption</w:t>
      </w:r>
      <w:r w:rsidR="00422945" w:rsidRPr="00D96F3A">
        <w:rPr>
          <w:rStyle w:val="CharDivText"/>
        </w:rPr>
        <w:t>s</w:t>
      </w:r>
      <w:bookmarkEnd w:id="44"/>
      <w:bookmarkEnd w:id="45"/>
    </w:p>
    <w:p w14:paraId="19894A56" w14:textId="77777777" w:rsidR="007C75AD" w:rsidRPr="00D1713C" w:rsidRDefault="007C75AD" w:rsidP="007C75AD">
      <w:pPr>
        <w:pStyle w:val="ActHead5"/>
      </w:pPr>
      <w:bookmarkStart w:id="46" w:name="_Toc128050270"/>
      <w:bookmarkStart w:id="47" w:name="_Toc128050434"/>
      <w:r w:rsidRPr="00D96F3A">
        <w:rPr>
          <w:rStyle w:val="CharSectno"/>
        </w:rPr>
        <w:t>58</w:t>
      </w:r>
      <w:proofErr w:type="gramStart"/>
      <w:r w:rsidRPr="00D96F3A">
        <w:rPr>
          <w:rStyle w:val="CharSectno"/>
        </w:rPr>
        <w:t>L</w:t>
      </w:r>
      <w:r w:rsidRPr="00D1713C">
        <w:t xml:space="preserve">  Exemption</w:t>
      </w:r>
      <w:proofErr w:type="gramEnd"/>
      <w:r w:rsidRPr="00D1713C">
        <w:t xml:space="preserve"> for </w:t>
      </w:r>
      <w:r w:rsidR="004A099F" w:rsidRPr="00D1713C">
        <w:t>R</w:t>
      </w:r>
      <w:r w:rsidRPr="00D1713C">
        <w:t>egist</w:t>
      </w:r>
      <w:r w:rsidR="004A099F" w:rsidRPr="00D1713C">
        <w:t>e</w:t>
      </w:r>
      <w:r w:rsidRPr="00D1713C">
        <w:t>r purposes for certain kinds of interests in Australian land</w:t>
      </w:r>
      <w:bookmarkEnd w:id="46"/>
      <w:bookmarkEnd w:id="47"/>
    </w:p>
    <w:p w14:paraId="42F593FE" w14:textId="77777777" w:rsidR="007C75AD" w:rsidRPr="00D1713C" w:rsidRDefault="007C75AD" w:rsidP="007C75AD">
      <w:pPr>
        <w:pStyle w:val="subsection"/>
      </w:pPr>
      <w:r w:rsidRPr="00D1713C">
        <w:tab/>
      </w:r>
      <w:r w:rsidRPr="00D1713C">
        <w:tab/>
        <w:t xml:space="preserve">For the purposes of </w:t>
      </w:r>
      <w:r w:rsidR="00294ABB" w:rsidRPr="00D1713C">
        <w:t>paragraph 3</w:t>
      </w:r>
      <w:r w:rsidRPr="00D1713C">
        <w:t xml:space="preserve">7(1)(b) of the Act, </w:t>
      </w:r>
      <w:r w:rsidR="00D60048">
        <w:t>Part 7</w:t>
      </w:r>
      <w:r w:rsidR="00B53B6D" w:rsidRPr="00D1713C">
        <w:t>A of the Act do</w:t>
      </w:r>
      <w:r w:rsidR="00864AA7" w:rsidRPr="00D1713C">
        <w:t>es</w:t>
      </w:r>
      <w:r w:rsidR="00B53B6D" w:rsidRPr="00D1713C">
        <w:t xml:space="preserve"> not apply in relation to a kind of interest in Australian land </w:t>
      </w:r>
      <w:r w:rsidR="006264D8">
        <w:t>that is not one of the following</w:t>
      </w:r>
      <w:r w:rsidR="00B53B6D" w:rsidRPr="00D1713C">
        <w:t>:</w:t>
      </w:r>
    </w:p>
    <w:p w14:paraId="623B4D70" w14:textId="77777777" w:rsidR="00B53B6D" w:rsidRPr="00D1713C" w:rsidRDefault="00B53B6D" w:rsidP="00B53B6D">
      <w:pPr>
        <w:pStyle w:val="paragraph"/>
      </w:pPr>
      <w:r w:rsidRPr="00D1713C">
        <w:tab/>
        <w:t>(a)</w:t>
      </w:r>
      <w:r w:rsidRPr="00D1713C">
        <w:tab/>
        <w:t>a</w:t>
      </w:r>
      <w:r w:rsidR="007777BC">
        <w:t xml:space="preserve"> freehold interest</w:t>
      </w:r>
      <w:r w:rsidRPr="00D1713C">
        <w:t xml:space="preserve"> in </w:t>
      </w:r>
      <w:r w:rsidR="00F02AE5" w:rsidRPr="00D1713C">
        <w:t>Australian</w:t>
      </w:r>
      <w:r w:rsidRPr="00D1713C">
        <w:t xml:space="preserve"> </w:t>
      </w:r>
      <w:proofErr w:type="gramStart"/>
      <w:r w:rsidRPr="00D1713C">
        <w:t>land;</w:t>
      </w:r>
      <w:proofErr w:type="gramEnd"/>
    </w:p>
    <w:p w14:paraId="1816BD8C" w14:textId="77777777" w:rsidR="00B53B6D" w:rsidRPr="00D1713C" w:rsidRDefault="00B53B6D" w:rsidP="00B53B6D">
      <w:pPr>
        <w:pStyle w:val="paragraph"/>
      </w:pPr>
      <w:r w:rsidRPr="00D1713C">
        <w:tab/>
        <w:t>(b)</w:t>
      </w:r>
      <w:r w:rsidRPr="00D1713C">
        <w:tab/>
      </w:r>
      <w:r w:rsidR="00166446" w:rsidRPr="00D1713C">
        <w:t>a</w:t>
      </w:r>
      <w:r w:rsidR="00F02AE5" w:rsidRPr="00D1713C">
        <w:t xml:space="preserve">n interest as lessee in a lease giving rights to occupy Australian land if the term of the lease (including any extension or renewal) is reasonably likely, at the time the interest is acquired, to exceed 5 </w:t>
      </w:r>
      <w:proofErr w:type="gramStart"/>
      <w:r w:rsidR="00F02AE5" w:rsidRPr="00D1713C">
        <w:t>years;</w:t>
      </w:r>
      <w:proofErr w:type="gramEnd"/>
    </w:p>
    <w:p w14:paraId="3B726100" w14:textId="77777777" w:rsidR="00F02AE5" w:rsidRPr="00D1713C" w:rsidRDefault="00F02AE5" w:rsidP="00B53B6D">
      <w:pPr>
        <w:pStyle w:val="paragraph"/>
      </w:pPr>
      <w:r w:rsidRPr="00D1713C">
        <w:tab/>
        <w:t>(c)</w:t>
      </w:r>
      <w:r w:rsidRPr="00D1713C">
        <w:tab/>
      </w:r>
      <w:r w:rsidR="006264D8">
        <w:t>an</w:t>
      </w:r>
      <w:r w:rsidRPr="00D1713C">
        <w:t xml:space="preserve"> interest in a mining or production tenement.</w:t>
      </w:r>
    </w:p>
    <w:p w14:paraId="2E001F3B" w14:textId="77777777" w:rsidR="00864AA7" w:rsidRPr="00D1713C" w:rsidRDefault="00864AA7" w:rsidP="00F02AE5">
      <w:pPr>
        <w:pStyle w:val="notetext"/>
      </w:pPr>
      <w:r w:rsidRPr="00D1713C">
        <w:t>Note 1:</w:t>
      </w:r>
      <w:r w:rsidRPr="00D1713C">
        <w:tab/>
        <w:t xml:space="preserve">This exemption </w:t>
      </w:r>
      <w:r w:rsidR="00197941" w:rsidRPr="00D1713C">
        <w:t xml:space="preserve">extends to regulations made for the purposes of </w:t>
      </w:r>
      <w:r w:rsidR="00D60048">
        <w:t>Part 7</w:t>
      </w:r>
      <w:r w:rsidR="00197941" w:rsidRPr="00D1713C">
        <w:t>A of the Act (for example, section 58C of this instrument).</w:t>
      </w:r>
    </w:p>
    <w:p w14:paraId="55BAF94B" w14:textId="77777777" w:rsidR="00F02AE5" w:rsidRPr="00D1713C" w:rsidRDefault="00F02AE5" w:rsidP="00F02AE5">
      <w:pPr>
        <w:pStyle w:val="notetext"/>
      </w:pPr>
      <w:r w:rsidRPr="00D1713C">
        <w:lastRenderedPageBreak/>
        <w:t>Note</w:t>
      </w:r>
      <w:r w:rsidR="00864AA7" w:rsidRPr="00D1713C">
        <w:t xml:space="preserve"> 2</w:t>
      </w:r>
      <w:r w:rsidRPr="00D1713C">
        <w:t>:</w:t>
      </w:r>
      <w:r w:rsidRPr="00D1713C">
        <w:tab/>
      </w:r>
      <w:r w:rsidR="00D60048">
        <w:t>Part 7</w:t>
      </w:r>
      <w:r w:rsidRPr="00D1713C">
        <w:t>A of the Act continues to apply to interests in exploration tenements, as these interests are not interests in Australian land.</w:t>
      </w:r>
    </w:p>
    <w:p w14:paraId="00FA8A71" w14:textId="77777777" w:rsidR="00F77DFB" w:rsidRPr="00D1713C" w:rsidRDefault="0070283B" w:rsidP="00F77DFB">
      <w:pPr>
        <w:pStyle w:val="ActHead7"/>
      </w:pPr>
      <w:bookmarkStart w:id="48" w:name="_Toc128050271"/>
      <w:bookmarkEnd w:id="7"/>
      <w:bookmarkEnd w:id="8"/>
      <w:bookmarkEnd w:id="9"/>
      <w:bookmarkEnd w:id="10"/>
      <w:bookmarkEnd w:id="11"/>
      <w:bookmarkEnd w:id="12"/>
      <w:bookmarkEnd w:id="13"/>
      <w:r w:rsidRPr="00D96F3A">
        <w:rPr>
          <w:rStyle w:val="CharAmPartNo"/>
        </w:rPr>
        <w:t>Part 2</w:t>
      </w:r>
      <w:r w:rsidR="00F77DFB" w:rsidRPr="00D1713C">
        <w:t>—</w:t>
      </w:r>
      <w:r w:rsidR="00F77DFB" w:rsidRPr="00D96F3A">
        <w:rPr>
          <w:rStyle w:val="CharAmPartText"/>
        </w:rPr>
        <w:t>Replicating existing exemptions</w:t>
      </w:r>
      <w:bookmarkEnd w:id="48"/>
    </w:p>
    <w:p w14:paraId="269DBC83" w14:textId="77777777" w:rsidR="00F77DFB" w:rsidRPr="00D1713C" w:rsidRDefault="00F77DFB" w:rsidP="00F77DFB">
      <w:pPr>
        <w:pStyle w:val="ActHead9"/>
      </w:pPr>
      <w:bookmarkStart w:id="49" w:name="_Toc128050272"/>
      <w:r w:rsidRPr="00D1713C">
        <w:t>Foreign Acquisitions and Takeovers Regulation 2015</w:t>
      </w:r>
      <w:bookmarkEnd w:id="49"/>
    </w:p>
    <w:p w14:paraId="0C55AE8F" w14:textId="77777777" w:rsidR="00F77DFB" w:rsidRPr="00D1713C" w:rsidRDefault="00084C9C" w:rsidP="00F77DFB">
      <w:pPr>
        <w:pStyle w:val="ItemHead"/>
      </w:pPr>
      <w:proofErr w:type="gramStart"/>
      <w:r w:rsidRPr="00D1713C">
        <w:t>2</w:t>
      </w:r>
      <w:r w:rsidR="00F77DFB" w:rsidRPr="00D1713C">
        <w:t xml:space="preserve">  After</w:t>
      </w:r>
      <w:proofErr w:type="gramEnd"/>
      <w:r w:rsidR="00F77DFB" w:rsidRPr="00D1713C">
        <w:t xml:space="preserve"> </w:t>
      </w:r>
      <w:r w:rsidR="00240C5E" w:rsidRPr="00D1713C">
        <w:t>section 2</w:t>
      </w:r>
      <w:r w:rsidR="00F77DFB" w:rsidRPr="00D1713C">
        <w:t>2</w:t>
      </w:r>
    </w:p>
    <w:p w14:paraId="4E164F12" w14:textId="77777777" w:rsidR="00F77DFB" w:rsidRPr="00D1713C" w:rsidRDefault="00F77DFB" w:rsidP="00F77DFB">
      <w:pPr>
        <w:pStyle w:val="Item"/>
      </w:pPr>
      <w:r w:rsidRPr="00D1713C">
        <w:t>Insert:</w:t>
      </w:r>
    </w:p>
    <w:p w14:paraId="48E440B0" w14:textId="77777777" w:rsidR="00F77DFB" w:rsidRPr="00D1713C" w:rsidRDefault="00F77DFB" w:rsidP="00F77DFB">
      <w:pPr>
        <w:pStyle w:val="ActHead5"/>
      </w:pPr>
      <w:bookmarkStart w:id="50" w:name="_Toc128050273"/>
      <w:bookmarkStart w:id="51" w:name="_Toc128050435"/>
      <w:bookmarkStart w:id="52" w:name="inTOC2"/>
      <w:bookmarkStart w:id="53" w:name="inTOC3"/>
      <w:bookmarkStart w:id="54" w:name="inTOC5"/>
      <w:bookmarkStart w:id="55" w:name="inTOC9"/>
      <w:bookmarkStart w:id="56" w:name="inTOC11"/>
      <w:bookmarkStart w:id="57" w:name="inTOC13"/>
      <w:r w:rsidRPr="00D96F3A">
        <w:rPr>
          <w:rStyle w:val="CharSectno"/>
        </w:rPr>
        <w:t>22</w:t>
      </w:r>
      <w:proofErr w:type="gramStart"/>
      <w:r w:rsidRPr="00D96F3A">
        <w:rPr>
          <w:rStyle w:val="CharSectno"/>
        </w:rPr>
        <w:t>A</w:t>
      </w:r>
      <w:r w:rsidRPr="00D1713C">
        <w:t xml:space="preserve">  Rights</w:t>
      </w:r>
      <w:proofErr w:type="gramEnd"/>
      <w:r w:rsidRPr="00D1713C">
        <w:t xml:space="preserve"> that are not registrable water entitlements</w:t>
      </w:r>
      <w:bookmarkEnd w:id="50"/>
      <w:bookmarkEnd w:id="51"/>
    </w:p>
    <w:p w14:paraId="77928BAE" w14:textId="77777777" w:rsidR="00F77DFB" w:rsidRPr="00D1713C" w:rsidRDefault="00F77DFB" w:rsidP="00F77DFB">
      <w:pPr>
        <w:pStyle w:val="subsection"/>
      </w:pPr>
      <w:r w:rsidRPr="00D1713C">
        <w:tab/>
        <w:t>(1)</w:t>
      </w:r>
      <w:r w:rsidRPr="00D1713C">
        <w:tab/>
        <w:t xml:space="preserve">For the purposes of </w:t>
      </w:r>
      <w:r w:rsidR="00240C5E" w:rsidRPr="00D1713C">
        <w:t>paragraph 2</w:t>
      </w:r>
      <w:r w:rsidRPr="00D1713C">
        <w:t>6A</w:t>
      </w:r>
      <w:r w:rsidR="00F05CA2" w:rsidRPr="00D1713C">
        <w:t>(2)</w:t>
      </w:r>
      <w:r w:rsidRPr="00D1713C">
        <w:t xml:space="preserve">(d) of the Act, a right held by an irrigation infrastructure operator </w:t>
      </w:r>
      <w:r w:rsidR="00CD04BD" w:rsidRPr="00D1713C">
        <w:t xml:space="preserve">(within the meaning of the </w:t>
      </w:r>
      <w:r w:rsidR="00CD04BD" w:rsidRPr="00D1713C">
        <w:rPr>
          <w:i/>
        </w:rPr>
        <w:t>Water Act 2007</w:t>
      </w:r>
      <w:r w:rsidR="00CD04BD" w:rsidRPr="00D1713C">
        <w:t xml:space="preserve">) </w:t>
      </w:r>
      <w:r w:rsidRPr="00D1713C">
        <w:t xml:space="preserve">is not a </w:t>
      </w:r>
      <w:r w:rsidRPr="00D1713C">
        <w:rPr>
          <w:b/>
          <w:i/>
        </w:rPr>
        <w:t>registrable water entitlement</w:t>
      </w:r>
      <w:r w:rsidRPr="00D1713C">
        <w:t xml:space="preserve"> to the extent that </w:t>
      </w:r>
      <w:r w:rsidR="008A17B7" w:rsidRPr="00D1713C">
        <w:t>this right</w:t>
      </w:r>
      <w:r w:rsidRPr="00D1713C">
        <w:t>:</w:t>
      </w:r>
    </w:p>
    <w:p w14:paraId="4C059A0E" w14:textId="77777777" w:rsidR="00F77DFB" w:rsidRPr="00D1713C" w:rsidRDefault="00F77DFB" w:rsidP="00F77DFB">
      <w:pPr>
        <w:pStyle w:val="paragraph"/>
      </w:pPr>
      <w:r w:rsidRPr="00D1713C">
        <w:tab/>
        <w:t>(a)</w:t>
      </w:r>
      <w:r w:rsidRPr="00D1713C">
        <w:tab/>
        <w:t xml:space="preserve">is a right to hold or take water from a water resource for another person who has an irrigation right (within the meaning of the </w:t>
      </w:r>
      <w:r w:rsidRPr="00D1713C">
        <w:rPr>
          <w:i/>
        </w:rPr>
        <w:t>Water Act 2007</w:t>
      </w:r>
      <w:r w:rsidRPr="00D1713C">
        <w:t>); or</w:t>
      </w:r>
    </w:p>
    <w:p w14:paraId="0DF3F111" w14:textId="77777777" w:rsidR="00F77DFB" w:rsidRPr="00D1713C" w:rsidRDefault="00F77DFB" w:rsidP="00F77DFB">
      <w:pPr>
        <w:pStyle w:val="paragraph"/>
      </w:pPr>
      <w:r w:rsidRPr="00D1713C">
        <w:tab/>
        <w:t>(b)</w:t>
      </w:r>
      <w:r w:rsidRPr="00D1713C">
        <w:tab/>
        <w:t xml:space="preserve">is a right to deliver water to water users, including water lost in transit from its source to end users due to seepage, leakage, </w:t>
      </w:r>
      <w:proofErr w:type="gramStart"/>
      <w:r w:rsidRPr="00D1713C">
        <w:t>evaporation</w:t>
      </w:r>
      <w:proofErr w:type="gramEnd"/>
      <w:r w:rsidRPr="00D1713C">
        <w:t xml:space="preserve"> or other similar effects</w:t>
      </w:r>
      <w:r w:rsidR="002175CE" w:rsidRPr="00D1713C">
        <w:t>.</w:t>
      </w:r>
    </w:p>
    <w:p w14:paraId="6273D4D1" w14:textId="77777777" w:rsidR="00F77DFB" w:rsidRPr="00D1713C" w:rsidRDefault="00F77DFB" w:rsidP="00F77DFB">
      <w:pPr>
        <w:pStyle w:val="subsection"/>
      </w:pPr>
      <w:r w:rsidRPr="00D1713C">
        <w:tab/>
        <w:t>(2)</w:t>
      </w:r>
      <w:r w:rsidRPr="00D1713C">
        <w:tab/>
      </w:r>
      <w:r w:rsidR="00240C5E" w:rsidRPr="00D1713C">
        <w:t>Subsection (</w:t>
      </w:r>
      <w:r w:rsidRPr="00D1713C">
        <w:t xml:space="preserve">1) applies to rights that start to </w:t>
      </w:r>
      <w:proofErr w:type="gramStart"/>
      <w:r w:rsidRPr="00D1713C">
        <w:t>be held before,</w:t>
      </w:r>
      <w:proofErr w:type="gramEnd"/>
      <w:r w:rsidRPr="00D1713C">
        <w:t xml:space="preserve"> on or after the commencement of this section</w:t>
      </w:r>
      <w:r w:rsidR="002175CE" w:rsidRPr="00D1713C">
        <w:t>.</w:t>
      </w:r>
    </w:p>
    <w:bookmarkEnd w:id="52"/>
    <w:bookmarkEnd w:id="53"/>
    <w:bookmarkEnd w:id="54"/>
    <w:bookmarkEnd w:id="55"/>
    <w:bookmarkEnd w:id="56"/>
    <w:bookmarkEnd w:id="57"/>
    <w:p w14:paraId="10B8463F" w14:textId="77777777" w:rsidR="00F77DFB" w:rsidRPr="00D1713C" w:rsidRDefault="00084C9C" w:rsidP="00F77DFB">
      <w:pPr>
        <w:pStyle w:val="ItemHead"/>
      </w:pPr>
      <w:proofErr w:type="gramStart"/>
      <w:r w:rsidRPr="00D1713C">
        <w:t>3</w:t>
      </w:r>
      <w:r w:rsidR="00F77DFB" w:rsidRPr="00D1713C">
        <w:t xml:space="preserve">  </w:t>
      </w:r>
      <w:r w:rsidR="00240C5E" w:rsidRPr="00D1713C">
        <w:t>Subsection</w:t>
      </w:r>
      <w:proofErr w:type="gramEnd"/>
      <w:r w:rsidR="00240C5E" w:rsidRPr="00D1713C">
        <w:t> 2</w:t>
      </w:r>
      <w:r w:rsidR="00F77DFB" w:rsidRPr="00D1713C">
        <w:t>7(1)</w:t>
      </w:r>
    </w:p>
    <w:p w14:paraId="086B9D15" w14:textId="77777777" w:rsidR="00F77DFB" w:rsidRPr="00D1713C" w:rsidRDefault="00F77DFB" w:rsidP="00F77DFB">
      <w:pPr>
        <w:pStyle w:val="Item"/>
      </w:pPr>
      <w:r w:rsidRPr="00D1713C">
        <w:t xml:space="preserve">After “an interest in securities, assets, a trust, Australian land or a tenement”, insert “, or a registrable water interest, (the </w:t>
      </w:r>
      <w:r w:rsidRPr="00D1713C">
        <w:rPr>
          <w:b/>
          <w:i/>
        </w:rPr>
        <w:t>interest</w:t>
      </w:r>
      <w:r w:rsidRPr="00D1713C">
        <w:t>)”</w:t>
      </w:r>
      <w:r w:rsidR="002175CE" w:rsidRPr="00D1713C">
        <w:t>.</w:t>
      </w:r>
    </w:p>
    <w:sectPr w:rsidR="00F77DFB" w:rsidRPr="00D1713C" w:rsidSect="0028682A">
      <w:type w:val="continuous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0098" w14:textId="77777777" w:rsidR="00464917" w:rsidRDefault="00464917" w:rsidP="00664C63">
      <w:pPr>
        <w:spacing w:line="240" w:lineRule="auto"/>
      </w:pPr>
      <w:r>
        <w:separator/>
      </w:r>
    </w:p>
  </w:endnote>
  <w:endnote w:type="continuationSeparator" w:id="0">
    <w:p w14:paraId="417BCA3E" w14:textId="77777777" w:rsidR="00464917" w:rsidRDefault="00464917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4129" w14:textId="77777777" w:rsidR="00464917" w:rsidRPr="00BB4623" w:rsidRDefault="00464917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4C1D6C61" w14:textId="77777777" w:rsidR="00464917" w:rsidRPr="00BB4623" w:rsidRDefault="00464917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FD39EB4" w14:textId="77777777" w:rsidR="00464917" w:rsidRPr="00BB4623" w:rsidRDefault="00464917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261F" w14:textId="77777777" w:rsidR="00464917" w:rsidRDefault="00464917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64917" w14:paraId="6C760541" w14:textId="77777777" w:rsidTr="00BC112E">
      <w:tc>
        <w:tcPr>
          <w:tcW w:w="5000" w:type="pct"/>
        </w:tcPr>
        <w:p w14:paraId="469565FA" w14:textId="77777777" w:rsidR="00464917" w:rsidRPr="00A6121F" w:rsidRDefault="00464917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464917" w14:paraId="55007A77" w14:textId="77777777" w:rsidTr="00BC112E">
      <w:tc>
        <w:tcPr>
          <w:tcW w:w="5000" w:type="pct"/>
        </w:tcPr>
        <w:p w14:paraId="06B47BDD" w14:textId="77777777" w:rsidR="00464917" w:rsidRPr="00A6121F" w:rsidRDefault="00464917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E671561" w14:textId="77777777" w:rsidR="00464917" w:rsidRPr="00A6121F" w:rsidRDefault="00464917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002DF2C" wp14:editId="793873C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8F8E2" w14:textId="2FA40D8F" w:rsidR="00464917" w:rsidRPr="00324EB0" w:rsidRDefault="003240F1" w:rsidP="00426E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2DF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4F48F8E2" w14:textId="2FA40D8F" w:rsidR="00464917" w:rsidRPr="00324EB0" w:rsidRDefault="003240F1" w:rsidP="00426E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6964" w14:textId="77777777" w:rsidR="00464917" w:rsidRPr="00BB4623" w:rsidRDefault="00464917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D8F7" w14:textId="77777777" w:rsidR="00464917" w:rsidRDefault="00464917" w:rsidP="00664C63">
      <w:pPr>
        <w:spacing w:line="240" w:lineRule="auto"/>
      </w:pPr>
      <w:r>
        <w:separator/>
      </w:r>
    </w:p>
  </w:footnote>
  <w:footnote w:type="continuationSeparator" w:id="0">
    <w:p w14:paraId="60E78C69" w14:textId="77777777" w:rsidR="00464917" w:rsidRDefault="00464917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7EFA" w14:textId="77777777" w:rsidR="00464917" w:rsidRPr="00BB4623" w:rsidRDefault="00464917" w:rsidP="00664C63">
    <w:pPr>
      <w:rPr>
        <w:sz w:val="24"/>
      </w:rPr>
    </w:pPr>
  </w:p>
  <w:p w14:paraId="2FAC1204" w14:textId="77777777" w:rsidR="00464917" w:rsidRPr="00BB4623" w:rsidRDefault="00464917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7758" w14:textId="77777777" w:rsidR="00464917" w:rsidRPr="00BB4623" w:rsidRDefault="00464917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4FE00B" wp14:editId="3D52E40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E5623" w14:textId="37BFF635" w:rsidR="00464917" w:rsidRPr="00324EB0" w:rsidRDefault="000812A0" w:rsidP="00426E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FE00B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5BE5623" w14:textId="37BFF635" w:rsidR="00464917" w:rsidRPr="00324EB0" w:rsidRDefault="000812A0" w:rsidP="00426E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30D4869" w14:textId="77777777" w:rsidR="00464917" w:rsidRPr="00BB4623" w:rsidRDefault="00464917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C661" w14:textId="77777777" w:rsidR="00464917" w:rsidRPr="00BB4623" w:rsidRDefault="00464917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219A"/>
    <w:rsid w:val="00001C80"/>
    <w:rsid w:val="000136AF"/>
    <w:rsid w:val="00014B9A"/>
    <w:rsid w:val="000279D9"/>
    <w:rsid w:val="00031D86"/>
    <w:rsid w:val="00033130"/>
    <w:rsid w:val="00033338"/>
    <w:rsid w:val="000343C6"/>
    <w:rsid w:val="00037E55"/>
    <w:rsid w:val="00042E52"/>
    <w:rsid w:val="00055A14"/>
    <w:rsid w:val="00056CEE"/>
    <w:rsid w:val="00060BB9"/>
    <w:rsid w:val="000614BF"/>
    <w:rsid w:val="00065542"/>
    <w:rsid w:val="00066B42"/>
    <w:rsid w:val="00073C60"/>
    <w:rsid w:val="00076F88"/>
    <w:rsid w:val="000812A0"/>
    <w:rsid w:val="00084C9C"/>
    <w:rsid w:val="00087033"/>
    <w:rsid w:val="000B3895"/>
    <w:rsid w:val="000C30E9"/>
    <w:rsid w:val="000C4B4F"/>
    <w:rsid w:val="000D035F"/>
    <w:rsid w:val="000D05EF"/>
    <w:rsid w:val="000D691E"/>
    <w:rsid w:val="000F21C1"/>
    <w:rsid w:val="000F2C95"/>
    <w:rsid w:val="000F5046"/>
    <w:rsid w:val="000F5CC9"/>
    <w:rsid w:val="001016D1"/>
    <w:rsid w:val="001017B2"/>
    <w:rsid w:val="00102423"/>
    <w:rsid w:val="001026F3"/>
    <w:rsid w:val="0010745C"/>
    <w:rsid w:val="00110587"/>
    <w:rsid w:val="0011206D"/>
    <w:rsid w:val="001243A5"/>
    <w:rsid w:val="00127A7A"/>
    <w:rsid w:val="001411AB"/>
    <w:rsid w:val="00147509"/>
    <w:rsid w:val="00150B76"/>
    <w:rsid w:val="00156A26"/>
    <w:rsid w:val="00160968"/>
    <w:rsid w:val="00162456"/>
    <w:rsid w:val="00164FC4"/>
    <w:rsid w:val="00166446"/>
    <w:rsid w:val="00166C2F"/>
    <w:rsid w:val="0016701B"/>
    <w:rsid w:val="00171395"/>
    <w:rsid w:val="0018435F"/>
    <w:rsid w:val="001939E1"/>
    <w:rsid w:val="00193B3A"/>
    <w:rsid w:val="00195382"/>
    <w:rsid w:val="00197941"/>
    <w:rsid w:val="001A068A"/>
    <w:rsid w:val="001A2E07"/>
    <w:rsid w:val="001B0F61"/>
    <w:rsid w:val="001B20B8"/>
    <w:rsid w:val="001B3F2B"/>
    <w:rsid w:val="001B476B"/>
    <w:rsid w:val="001B6FD7"/>
    <w:rsid w:val="001C6519"/>
    <w:rsid w:val="001C69C4"/>
    <w:rsid w:val="001D14EB"/>
    <w:rsid w:val="001D6181"/>
    <w:rsid w:val="001E177C"/>
    <w:rsid w:val="001E3186"/>
    <w:rsid w:val="001E3590"/>
    <w:rsid w:val="001E55B3"/>
    <w:rsid w:val="001E7407"/>
    <w:rsid w:val="001F299E"/>
    <w:rsid w:val="00204F82"/>
    <w:rsid w:val="00210DEA"/>
    <w:rsid w:val="00216D2A"/>
    <w:rsid w:val="002175CE"/>
    <w:rsid w:val="00221F19"/>
    <w:rsid w:val="0022506A"/>
    <w:rsid w:val="00240749"/>
    <w:rsid w:val="00240939"/>
    <w:rsid w:val="00240C5E"/>
    <w:rsid w:val="0024239A"/>
    <w:rsid w:val="00251DEF"/>
    <w:rsid w:val="002607FD"/>
    <w:rsid w:val="002641FD"/>
    <w:rsid w:val="00265D31"/>
    <w:rsid w:val="0028613E"/>
    <w:rsid w:val="0028682A"/>
    <w:rsid w:val="00292FBA"/>
    <w:rsid w:val="00294ABB"/>
    <w:rsid w:val="0029720C"/>
    <w:rsid w:val="00297ECB"/>
    <w:rsid w:val="002A03FE"/>
    <w:rsid w:val="002A34E2"/>
    <w:rsid w:val="002A4F5A"/>
    <w:rsid w:val="002A6B23"/>
    <w:rsid w:val="002B7C75"/>
    <w:rsid w:val="002C1131"/>
    <w:rsid w:val="002C7D45"/>
    <w:rsid w:val="002D043A"/>
    <w:rsid w:val="002D51DE"/>
    <w:rsid w:val="002E05C3"/>
    <w:rsid w:val="002E0918"/>
    <w:rsid w:val="002E218C"/>
    <w:rsid w:val="002E272B"/>
    <w:rsid w:val="002F040A"/>
    <w:rsid w:val="002F077C"/>
    <w:rsid w:val="002F48EA"/>
    <w:rsid w:val="002F508B"/>
    <w:rsid w:val="00301A42"/>
    <w:rsid w:val="00313C6F"/>
    <w:rsid w:val="00316ACE"/>
    <w:rsid w:val="003240F1"/>
    <w:rsid w:val="003247E4"/>
    <w:rsid w:val="00327727"/>
    <w:rsid w:val="00327E6B"/>
    <w:rsid w:val="003346E0"/>
    <w:rsid w:val="003415D3"/>
    <w:rsid w:val="00352B0F"/>
    <w:rsid w:val="00366A72"/>
    <w:rsid w:val="003707B8"/>
    <w:rsid w:val="003709A0"/>
    <w:rsid w:val="00373A1C"/>
    <w:rsid w:val="003751AA"/>
    <w:rsid w:val="00376A89"/>
    <w:rsid w:val="00383CAA"/>
    <w:rsid w:val="0038571B"/>
    <w:rsid w:val="003C33B4"/>
    <w:rsid w:val="003C33EC"/>
    <w:rsid w:val="003D09F8"/>
    <w:rsid w:val="003D0BFE"/>
    <w:rsid w:val="003D287D"/>
    <w:rsid w:val="003D4958"/>
    <w:rsid w:val="003D5700"/>
    <w:rsid w:val="003D7971"/>
    <w:rsid w:val="003E01E3"/>
    <w:rsid w:val="003E0ACF"/>
    <w:rsid w:val="003E56BE"/>
    <w:rsid w:val="003E57F8"/>
    <w:rsid w:val="003F3A5E"/>
    <w:rsid w:val="003F5F9A"/>
    <w:rsid w:val="003F7757"/>
    <w:rsid w:val="003F78E7"/>
    <w:rsid w:val="00404D2A"/>
    <w:rsid w:val="0040704D"/>
    <w:rsid w:val="004116CD"/>
    <w:rsid w:val="00422945"/>
    <w:rsid w:val="00422B6F"/>
    <w:rsid w:val="00424CA9"/>
    <w:rsid w:val="00426E39"/>
    <w:rsid w:val="004329E1"/>
    <w:rsid w:val="004349B6"/>
    <w:rsid w:val="0043512F"/>
    <w:rsid w:val="00441424"/>
    <w:rsid w:val="0044291A"/>
    <w:rsid w:val="00455F41"/>
    <w:rsid w:val="0046158A"/>
    <w:rsid w:val="00464917"/>
    <w:rsid w:val="004721FC"/>
    <w:rsid w:val="00476126"/>
    <w:rsid w:val="004766B4"/>
    <w:rsid w:val="00477197"/>
    <w:rsid w:val="004860EA"/>
    <w:rsid w:val="00496F97"/>
    <w:rsid w:val="004A099F"/>
    <w:rsid w:val="004A6504"/>
    <w:rsid w:val="004A6FDA"/>
    <w:rsid w:val="004B1F5D"/>
    <w:rsid w:val="004B33F7"/>
    <w:rsid w:val="004C46BE"/>
    <w:rsid w:val="004D0D29"/>
    <w:rsid w:val="004E1CA8"/>
    <w:rsid w:val="004E35CF"/>
    <w:rsid w:val="004E3A5C"/>
    <w:rsid w:val="004F0FE0"/>
    <w:rsid w:val="004F5BC6"/>
    <w:rsid w:val="005013D4"/>
    <w:rsid w:val="0050623D"/>
    <w:rsid w:val="00516B8D"/>
    <w:rsid w:val="005230DA"/>
    <w:rsid w:val="00523A69"/>
    <w:rsid w:val="00532416"/>
    <w:rsid w:val="005332A0"/>
    <w:rsid w:val="00537FBC"/>
    <w:rsid w:val="0054286F"/>
    <w:rsid w:val="005475D3"/>
    <w:rsid w:val="00551862"/>
    <w:rsid w:val="0055552A"/>
    <w:rsid w:val="005572C5"/>
    <w:rsid w:val="00566142"/>
    <w:rsid w:val="005724F7"/>
    <w:rsid w:val="00575C82"/>
    <w:rsid w:val="00584811"/>
    <w:rsid w:val="00593AA6"/>
    <w:rsid w:val="00594161"/>
    <w:rsid w:val="00594749"/>
    <w:rsid w:val="005A1112"/>
    <w:rsid w:val="005A21EE"/>
    <w:rsid w:val="005A6709"/>
    <w:rsid w:val="005B4067"/>
    <w:rsid w:val="005B5EC9"/>
    <w:rsid w:val="005C18D7"/>
    <w:rsid w:val="005C3F41"/>
    <w:rsid w:val="005C47DB"/>
    <w:rsid w:val="005E7D5F"/>
    <w:rsid w:val="005F0A95"/>
    <w:rsid w:val="005F20DF"/>
    <w:rsid w:val="005F545B"/>
    <w:rsid w:val="00600219"/>
    <w:rsid w:val="00602188"/>
    <w:rsid w:val="00607601"/>
    <w:rsid w:val="006107E5"/>
    <w:rsid w:val="006146FD"/>
    <w:rsid w:val="00615F50"/>
    <w:rsid w:val="00616F99"/>
    <w:rsid w:val="00624035"/>
    <w:rsid w:val="00626028"/>
    <w:rsid w:val="006264D8"/>
    <w:rsid w:val="006336AF"/>
    <w:rsid w:val="00635072"/>
    <w:rsid w:val="0064306B"/>
    <w:rsid w:val="00645357"/>
    <w:rsid w:val="00661F72"/>
    <w:rsid w:val="00664C63"/>
    <w:rsid w:val="00664CCE"/>
    <w:rsid w:val="00666906"/>
    <w:rsid w:val="00674B63"/>
    <w:rsid w:val="00677CC2"/>
    <w:rsid w:val="00686804"/>
    <w:rsid w:val="0069207B"/>
    <w:rsid w:val="006927C1"/>
    <w:rsid w:val="006A0969"/>
    <w:rsid w:val="006A2C24"/>
    <w:rsid w:val="006A33E1"/>
    <w:rsid w:val="006B0CF5"/>
    <w:rsid w:val="006B76ED"/>
    <w:rsid w:val="006C48C2"/>
    <w:rsid w:val="006C5791"/>
    <w:rsid w:val="006C67CD"/>
    <w:rsid w:val="006C7F8C"/>
    <w:rsid w:val="006D221E"/>
    <w:rsid w:val="006D623F"/>
    <w:rsid w:val="006D671C"/>
    <w:rsid w:val="006D7324"/>
    <w:rsid w:val="006E08B2"/>
    <w:rsid w:val="006E409A"/>
    <w:rsid w:val="006F1D42"/>
    <w:rsid w:val="006F7286"/>
    <w:rsid w:val="00700B2C"/>
    <w:rsid w:val="0070283B"/>
    <w:rsid w:val="00704DF6"/>
    <w:rsid w:val="00705AE4"/>
    <w:rsid w:val="00713084"/>
    <w:rsid w:val="007142D5"/>
    <w:rsid w:val="00716B07"/>
    <w:rsid w:val="00731E00"/>
    <w:rsid w:val="00733AC9"/>
    <w:rsid w:val="007406D4"/>
    <w:rsid w:val="00742F9F"/>
    <w:rsid w:val="007440B7"/>
    <w:rsid w:val="00756A13"/>
    <w:rsid w:val="007715C9"/>
    <w:rsid w:val="00774EDD"/>
    <w:rsid w:val="007757EC"/>
    <w:rsid w:val="007777BC"/>
    <w:rsid w:val="00781C23"/>
    <w:rsid w:val="00783A48"/>
    <w:rsid w:val="00787037"/>
    <w:rsid w:val="00791CEB"/>
    <w:rsid w:val="00794E19"/>
    <w:rsid w:val="007B13E0"/>
    <w:rsid w:val="007B3321"/>
    <w:rsid w:val="007B4DF2"/>
    <w:rsid w:val="007C074C"/>
    <w:rsid w:val="007C393F"/>
    <w:rsid w:val="007C39A1"/>
    <w:rsid w:val="007C75AD"/>
    <w:rsid w:val="007D02D1"/>
    <w:rsid w:val="007D3C22"/>
    <w:rsid w:val="007D6F3F"/>
    <w:rsid w:val="007D7BF6"/>
    <w:rsid w:val="007D7F85"/>
    <w:rsid w:val="007E335B"/>
    <w:rsid w:val="008023B5"/>
    <w:rsid w:val="00813378"/>
    <w:rsid w:val="008165A0"/>
    <w:rsid w:val="00824584"/>
    <w:rsid w:val="00825020"/>
    <w:rsid w:val="00830815"/>
    <w:rsid w:val="00830A15"/>
    <w:rsid w:val="008322ED"/>
    <w:rsid w:val="00834484"/>
    <w:rsid w:val="00834ED9"/>
    <w:rsid w:val="00841D89"/>
    <w:rsid w:val="00843F68"/>
    <w:rsid w:val="00850764"/>
    <w:rsid w:val="00851861"/>
    <w:rsid w:val="00856A31"/>
    <w:rsid w:val="00856F1A"/>
    <w:rsid w:val="00864AA7"/>
    <w:rsid w:val="00872C6D"/>
    <w:rsid w:val="008754D0"/>
    <w:rsid w:val="00880868"/>
    <w:rsid w:val="008848A8"/>
    <w:rsid w:val="00891FFA"/>
    <w:rsid w:val="00893587"/>
    <w:rsid w:val="008A17B7"/>
    <w:rsid w:val="008A5817"/>
    <w:rsid w:val="008B5478"/>
    <w:rsid w:val="008B7DE8"/>
    <w:rsid w:val="008C021F"/>
    <w:rsid w:val="008C6338"/>
    <w:rsid w:val="008D0AE6"/>
    <w:rsid w:val="008D0EE0"/>
    <w:rsid w:val="008D24EA"/>
    <w:rsid w:val="008E0D2C"/>
    <w:rsid w:val="008E2DF5"/>
    <w:rsid w:val="008E4C26"/>
    <w:rsid w:val="008F3BF8"/>
    <w:rsid w:val="008F4F83"/>
    <w:rsid w:val="008F7EF9"/>
    <w:rsid w:val="00907A53"/>
    <w:rsid w:val="009254AC"/>
    <w:rsid w:val="009264A8"/>
    <w:rsid w:val="0092793B"/>
    <w:rsid w:val="00931718"/>
    <w:rsid w:val="00932377"/>
    <w:rsid w:val="00932F69"/>
    <w:rsid w:val="0093335D"/>
    <w:rsid w:val="009570D5"/>
    <w:rsid w:val="009620C2"/>
    <w:rsid w:val="00964CC3"/>
    <w:rsid w:val="00972C99"/>
    <w:rsid w:val="00974363"/>
    <w:rsid w:val="00977403"/>
    <w:rsid w:val="00977B28"/>
    <w:rsid w:val="00977F42"/>
    <w:rsid w:val="0098615D"/>
    <w:rsid w:val="009975EF"/>
    <w:rsid w:val="009A065E"/>
    <w:rsid w:val="009C219A"/>
    <w:rsid w:val="009D041B"/>
    <w:rsid w:val="009D1079"/>
    <w:rsid w:val="009D1D59"/>
    <w:rsid w:val="009E4570"/>
    <w:rsid w:val="009F0F58"/>
    <w:rsid w:val="009F506B"/>
    <w:rsid w:val="009F6720"/>
    <w:rsid w:val="00A036CC"/>
    <w:rsid w:val="00A04D18"/>
    <w:rsid w:val="00A10959"/>
    <w:rsid w:val="00A2020E"/>
    <w:rsid w:val="00A2024C"/>
    <w:rsid w:val="00A231E2"/>
    <w:rsid w:val="00A24CB9"/>
    <w:rsid w:val="00A25627"/>
    <w:rsid w:val="00A3190B"/>
    <w:rsid w:val="00A35E5C"/>
    <w:rsid w:val="00A40155"/>
    <w:rsid w:val="00A419D2"/>
    <w:rsid w:val="00A50B85"/>
    <w:rsid w:val="00A6121F"/>
    <w:rsid w:val="00A64912"/>
    <w:rsid w:val="00A66A68"/>
    <w:rsid w:val="00A70A74"/>
    <w:rsid w:val="00A74676"/>
    <w:rsid w:val="00A768EF"/>
    <w:rsid w:val="00A777DA"/>
    <w:rsid w:val="00A808B6"/>
    <w:rsid w:val="00A859B0"/>
    <w:rsid w:val="00A85AF0"/>
    <w:rsid w:val="00AA463D"/>
    <w:rsid w:val="00AB1B26"/>
    <w:rsid w:val="00AC10D3"/>
    <w:rsid w:val="00AC451C"/>
    <w:rsid w:val="00AD309F"/>
    <w:rsid w:val="00AD5641"/>
    <w:rsid w:val="00AE143D"/>
    <w:rsid w:val="00AE59F7"/>
    <w:rsid w:val="00AE7BD7"/>
    <w:rsid w:val="00B00A17"/>
    <w:rsid w:val="00B03CCF"/>
    <w:rsid w:val="00B07F02"/>
    <w:rsid w:val="00B13133"/>
    <w:rsid w:val="00B24C1B"/>
    <w:rsid w:val="00B324BB"/>
    <w:rsid w:val="00B33B3C"/>
    <w:rsid w:val="00B340B6"/>
    <w:rsid w:val="00B37F22"/>
    <w:rsid w:val="00B42E51"/>
    <w:rsid w:val="00B45AA5"/>
    <w:rsid w:val="00B53B6D"/>
    <w:rsid w:val="00B61B67"/>
    <w:rsid w:val="00B72138"/>
    <w:rsid w:val="00B733CF"/>
    <w:rsid w:val="00B777EB"/>
    <w:rsid w:val="00B85894"/>
    <w:rsid w:val="00B90D47"/>
    <w:rsid w:val="00B91542"/>
    <w:rsid w:val="00B94EBF"/>
    <w:rsid w:val="00B96B83"/>
    <w:rsid w:val="00BA4F75"/>
    <w:rsid w:val="00BA6C14"/>
    <w:rsid w:val="00BB3062"/>
    <w:rsid w:val="00BB5294"/>
    <w:rsid w:val="00BC112E"/>
    <w:rsid w:val="00BC32FA"/>
    <w:rsid w:val="00BC343C"/>
    <w:rsid w:val="00BD394D"/>
    <w:rsid w:val="00BD5689"/>
    <w:rsid w:val="00BD6B2E"/>
    <w:rsid w:val="00BE719A"/>
    <w:rsid w:val="00BE720A"/>
    <w:rsid w:val="00BF2101"/>
    <w:rsid w:val="00BF2D98"/>
    <w:rsid w:val="00BF402A"/>
    <w:rsid w:val="00BF5D7D"/>
    <w:rsid w:val="00C07005"/>
    <w:rsid w:val="00C12497"/>
    <w:rsid w:val="00C209EF"/>
    <w:rsid w:val="00C24B03"/>
    <w:rsid w:val="00C25255"/>
    <w:rsid w:val="00C255AB"/>
    <w:rsid w:val="00C367FC"/>
    <w:rsid w:val="00C41FE1"/>
    <w:rsid w:val="00C42BF8"/>
    <w:rsid w:val="00C43617"/>
    <w:rsid w:val="00C50043"/>
    <w:rsid w:val="00C6128F"/>
    <w:rsid w:val="00C7573B"/>
    <w:rsid w:val="00C77053"/>
    <w:rsid w:val="00C96584"/>
    <w:rsid w:val="00CA1594"/>
    <w:rsid w:val="00CA3442"/>
    <w:rsid w:val="00CB0677"/>
    <w:rsid w:val="00CB2509"/>
    <w:rsid w:val="00CB35A6"/>
    <w:rsid w:val="00CC03AF"/>
    <w:rsid w:val="00CC2313"/>
    <w:rsid w:val="00CC5350"/>
    <w:rsid w:val="00CD04BD"/>
    <w:rsid w:val="00CD4889"/>
    <w:rsid w:val="00CD4E4C"/>
    <w:rsid w:val="00CD5286"/>
    <w:rsid w:val="00CE1083"/>
    <w:rsid w:val="00CE1BD0"/>
    <w:rsid w:val="00CE6AAF"/>
    <w:rsid w:val="00CF0BB2"/>
    <w:rsid w:val="00CF4975"/>
    <w:rsid w:val="00D06750"/>
    <w:rsid w:val="00D06C37"/>
    <w:rsid w:val="00D07E0E"/>
    <w:rsid w:val="00D100C6"/>
    <w:rsid w:val="00D13441"/>
    <w:rsid w:val="00D1713C"/>
    <w:rsid w:val="00D24E3D"/>
    <w:rsid w:val="00D271B6"/>
    <w:rsid w:val="00D276F3"/>
    <w:rsid w:val="00D3213F"/>
    <w:rsid w:val="00D33325"/>
    <w:rsid w:val="00D35EB8"/>
    <w:rsid w:val="00D3732B"/>
    <w:rsid w:val="00D42950"/>
    <w:rsid w:val="00D51D0D"/>
    <w:rsid w:val="00D525B5"/>
    <w:rsid w:val="00D60048"/>
    <w:rsid w:val="00D611C2"/>
    <w:rsid w:val="00D6230F"/>
    <w:rsid w:val="00D63E86"/>
    <w:rsid w:val="00D643B9"/>
    <w:rsid w:val="00D64F88"/>
    <w:rsid w:val="00D70DFB"/>
    <w:rsid w:val="00D732CB"/>
    <w:rsid w:val="00D766DF"/>
    <w:rsid w:val="00D876F3"/>
    <w:rsid w:val="00D90149"/>
    <w:rsid w:val="00D90C62"/>
    <w:rsid w:val="00D95228"/>
    <w:rsid w:val="00D95E35"/>
    <w:rsid w:val="00D9675F"/>
    <w:rsid w:val="00D96F3A"/>
    <w:rsid w:val="00DA3F87"/>
    <w:rsid w:val="00DA4B6A"/>
    <w:rsid w:val="00DA64C7"/>
    <w:rsid w:val="00DA7A88"/>
    <w:rsid w:val="00DB3679"/>
    <w:rsid w:val="00DB785B"/>
    <w:rsid w:val="00DC16D1"/>
    <w:rsid w:val="00DC5E52"/>
    <w:rsid w:val="00DD495E"/>
    <w:rsid w:val="00DD718D"/>
    <w:rsid w:val="00DD71E2"/>
    <w:rsid w:val="00DE3DDF"/>
    <w:rsid w:val="00DF09AC"/>
    <w:rsid w:val="00DF7EF2"/>
    <w:rsid w:val="00E02976"/>
    <w:rsid w:val="00E05704"/>
    <w:rsid w:val="00E1425E"/>
    <w:rsid w:val="00E16F1F"/>
    <w:rsid w:val="00E2432E"/>
    <w:rsid w:val="00E27CC9"/>
    <w:rsid w:val="00E304A0"/>
    <w:rsid w:val="00E31895"/>
    <w:rsid w:val="00E4146C"/>
    <w:rsid w:val="00E42122"/>
    <w:rsid w:val="00E46EB7"/>
    <w:rsid w:val="00E535DC"/>
    <w:rsid w:val="00E562D6"/>
    <w:rsid w:val="00E56C9E"/>
    <w:rsid w:val="00E733CF"/>
    <w:rsid w:val="00E74DC7"/>
    <w:rsid w:val="00E83810"/>
    <w:rsid w:val="00E9136A"/>
    <w:rsid w:val="00E95BFD"/>
    <w:rsid w:val="00EA01FC"/>
    <w:rsid w:val="00EA0E9D"/>
    <w:rsid w:val="00EA106D"/>
    <w:rsid w:val="00EB0BA3"/>
    <w:rsid w:val="00EB0D5C"/>
    <w:rsid w:val="00EC5026"/>
    <w:rsid w:val="00ED1A6C"/>
    <w:rsid w:val="00ED6FAB"/>
    <w:rsid w:val="00EE3036"/>
    <w:rsid w:val="00EF2E3A"/>
    <w:rsid w:val="00EF59F6"/>
    <w:rsid w:val="00EF62D8"/>
    <w:rsid w:val="00F02AE5"/>
    <w:rsid w:val="00F04ECE"/>
    <w:rsid w:val="00F04ED5"/>
    <w:rsid w:val="00F05CA2"/>
    <w:rsid w:val="00F0733D"/>
    <w:rsid w:val="00F078DC"/>
    <w:rsid w:val="00F138F3"/>
    <w:rsid w:val="00F1779C"/>
    <w:rsid w:val="00F213C1"/>
    <w:rsid w:val="00F252AE"/>
    <w:rsid w:val="00F336B7"/>
    <w:rsid w:val="00F4622E"/>
    <w:rsid w:val="00F5076A"/>
    <w:rsid w:val="00F53479"/>
    <w:rsid w:val="00F558E0"/>
    <w:rsid w:val="00F60549"/>
    <w:rsid w:val="00F60F5C"/>
    <w:rsid w:val="00F70D28"/>
    <w:rsid w:val="00F712C5"/>
    <w:rsid w:val="00F71757"/>
    <w:rsid w:val="00F768D7"/>
    <w:rsid w:val="00F77DFB"/>
    <w:rsid w:val="00F85793"/>
    <w:rsid w:val="00F87150"/>
    <w:rsid w:val="00F91026"/>
    <w:rsid w:val="00F92036"/>
    <w:rsid w:val="00F92AAC"/>
    <w:rsid w:val="00FA3991"/>
    <w:rsid w:val="00FA5BD6"/>
    <w:rsid w:val="00FB307D"/>
    <w:rsid w:val="00FB59AC"/>
    <w:rsid w:val="00FB6C60"/>
    <w:rsid w:val="00FD34AD"/>
    <w:rsid w:val="00FD3BFB"/>
    <w:rsid w:val="00FD686A"/>
    <w:rsid w:val="00FD6CC8"/>
    <w:rsid w:val="00FE43B4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7DC0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B6C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C6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C6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C6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6C6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6C6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6C6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B6C6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6C6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B6C6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B6C60"/>
  </w:style>
  <w:style w:type="paragraph" w:customStyle="1" w:styleId="OPCParaBase">
    <w:name w:val="OPCParaBase"/>
    <w:qFormat/>
    <w:rsid w:val="00FB6C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B6C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B6C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B6C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B6C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B6C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B6C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B6C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B6C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B6C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B6C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B6C60"/>
  </w:style>
  <w:style w:type="paragraph" w:customStyle="1" w:styleId="Blocks">
    <w:name w:val="Blocks"/>
    <w:aliases w:val="bb"/>
    <w:basedOn w:val="OPCParaBase"/>
    <w:qFormat/>
    <w:rsid w:val="00FB6C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B6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B6C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B6C60"/>
    <w:rPr>
      <w:i/>
    </w:rPr>
  </w:style>
  <w:style w:type="paragraph" w:customStyle="1" w:styleId="BoxList">
    <w:name w:val="BoxList"/>
    <w:aliases w:val="bl"/>
    <w:basedOn w:val="BoxText"/>
    <w:qFormat/>
    <w:rsid w:val="00FB6C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B6C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B6C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B6C60"/>
    <w:pPr>
      <w:ind w:left="1985" w:hanging="851"/>
    </w:pPr>
  </w:style>
  <w:style w:type="character" w:customStyle="1" w:styleId="CharAmPartNo">
    <w:name w:val="CharAmPartNo"/>
    <w:basedOn w:val="OPCCharBase"/>
    <w:qFormat/>
    <w:rsid w:val="00FB6C60"/>
  </w:style>
  <w:style w:type="character" w:customStyle="1" w:styleId="CharAmPartText">
    <w:name w:val="CharAmPartText"/>
    <w:basedOn w:val="OPCCharBase"/>
    <w:qFormat/>
    <w:rsid w:val="00FB6C60"/>
  </w:style>
  <w:style w:type="character" w:customStyle="1" w:styleId="CharAmSchNo">
    <w:name w:val="CharAmSchNo"/>
    <w:basedOn w:val="OPCCharBase"/>
    <w:qFormat/>
    <w:rsid w:val="00FB6C60"/>
  </w:style>
  <w:style w:type="character" w:customStyle="1" w:styleId="CharAmSchText">
    <w:name w:val="CharAmSchText"/>
    <w:basedOn w:val="OPCCharBase"/>
    <w:qFormat/>
    <w:rsid w:val="00FB6C60"/>
  </w:style>
  <w:style w:type="character" w:customStyle="1" w:styleId="CharBoldItalic">
    <w:name w:val="CharBoldItalic"/>
    <w:basedOn w:val="OPCCharBase"/>
    <w:uiPriority w:val="1"/>
    <w:qFormat/>
    <w:rsid w:val="00FB6C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FB6C60"/>
  </w:style>
  <w:style w:type="character" w:customStyle="1" w:styleId="CharChapText">
    <w:name w:val="CharChapText"/>
    <w:basedOn w:val="OPCCharBase"/>
    <w:uiPriority w:val="1"/>
    <w:qFormat/>
    <w:rsid w:val="00FB6C60"/>
  </w:style>
  <w:style w:type="character" w:customStyle="1" w:styleId="CharDivNo">
    <w:name w:val="CharDivNo"/>
    <w:basedOn w:val="OPCCharBase"/>
    <w:uiPriority w:val="1"/>
    <w:qFormat/>
    <w:rsid w:val="00FB6C60"/>
  </w:style>
  <w:style w:type="character" w:customStyle="1" w:styleId="CharDivText">
    <w:name w:val="CharDivText"/>
    <w:basedOn w:val="OPCCharBase"/>
    <w:uiPriority w:val="1"/>
    <w:qFormat/>
    <w:rsid w:val="00FB6C60"/>
  </w:style>
  <w:style w:type="character" w:customStyle="1" w:styleId="CharItalic">
    <w:name w:val="CharItalic"/>
    <w:basedOn w:val="OPCCharBase"/>
    <w:uiPriority w:val="1"/>
    <w:qFormat/>
    <w:rsid w:val="00FB6C60"/>
    <w:rPr>
      <w:i/>
    </w:rPr>
  </w:style>
  <w:style w:type="character" w:customStyle="1" w:styleId="CharPartNo">
    <w:name w:val="CharPartNo"/>
    <w:basedOn w:val="OPCCharBase"/>
    <w:uiPriority w:val="1"/>
    <w:qFormat/>
    <w:rsid w:val="00FB6C60"/>
  </w:style>
  <w:style w:type="character" w:customStyle="1" w:styleId="CharPartText">
    <w:name w:val="CharPartText"/>
    <w:basedOn w:val="OPCCharBase"/>
    <w:uiPriority w:val="1"/>
    <w:qFormat/>
    <w:rsid w:val="00FB6C60"/>
  </w:style>
  <w:style w:type="character" w:customStyle="1" w:styleId="CharSectno">
    <w:name w:val="CharSectno"/>
    <w:basedOn w:val="OPCCharBase"/>
    <w:qFormat/>
    <w:rsid w:val="00FB6C60"/>
  </w:style>
  <w:style w:type="character" w:customStyle="1" w:styleId="CharSubdNo">
    <w:name w:val="CharSubdNo"/>
    <w:basedOn w:val="OPCCharBase"/>
    <w:uiPriority w:val="1"/>
    <w:qFormat/>
    <w:rsid w:val="00FB6C60"/>
  </w:style>
  <w:style w:type="character" w:customStyle="1" w:styleId="CharSubdText">
    <w:name w:val="CharSubdText"/>
    <w:basedOn w:val="OPCCharBase"/>
    <w:uiPriority w:val="1"/>
    <w:qFormat/>
    <w:rsid w:val="00FB6C60"/>
  </w:style>
  <w:style w:type="paragraph" w:customStyle="1" w:styleId="CTA--">
    <w:name w:val="CTA --"/>
    <w:basedOn w:val="OPCParaBase"/>
    <w:next w:val="Normal"/>
    <w:rsid w:val="00FB6C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B6C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B6C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B6C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B6C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B6C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B6C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B6C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B6C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B6C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B6C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B6C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B6C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B6C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B6C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B6C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B6C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B6C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B6C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B6C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B6C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B6C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B6C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B6C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B6C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B6C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B6C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B6C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B6C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B6C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B6C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B6C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B6C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B6C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B6C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B6C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B6C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B6C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B6C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B6C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B6C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B6C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B6C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B6C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B6C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B6C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B6C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B6C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B6C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B6C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B6C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B6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B6C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B6C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B6C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B6C6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B6C6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B6C6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B6C6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B6C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B6C6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B6C6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B6C6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B6C6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B6C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B6C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B6C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B6C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B6C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B6C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B6C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B6C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B6C60"/>
    <w:rPr>
      <w:sz w:val="16"/>
    </w:rPr>
  </w:style>
  <w:style w:type="table" w:customStyle="1" w:styleId="CFlag">
    <w:name w:val="CFlag"/>
    <w:basedOn w:val="TableNormal"/>
    <w:uiPriority w:val="99"/>
    <w:rsid w:val="00FB6C60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FB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FB6C60"/>
    <w:pPr>
      <w:spacing w:before="120"/>
    </w:pPr>
  </w:style>
  <w:style w:type="paragraph" w:customStyle="1" w:styleId="CompiledActNo">
    <w:name w:val="CompiledActNo"/>
    <w:basedOn w:val="OPCParaBase"/>
    <w:next w:val="Normal"/>
    <w:rsid w:val="00FB6C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B6C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B6C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B6C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B6C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B6C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B6C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B6C6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B6C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B6C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B6C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B6C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B6C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B6C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B6C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B6C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B6C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B6C60"/>
  </w:style>
  <w:style w:type="character" w:customStyle="1" w:styleId="CharSubPartNoCASA">
    <w:name w:val="CharSubPartNo(CASA)"/>
    <w:basedOn w:val="OPCCharBase"/>
    <w:uiPriority w:val="1"/>
    <w:rsid w:val="00FB6C60"/>
  </w:style>
  <w:style w:type="paragraph" w:customStyle="1" w:styleId="ENoteTTIndentHeadingSub">
    <w:name w:val="ENoteTTIndentHeadingSub"/>
    <w:aliases w:val="enTTHis"/>
    <w:basedOn w:val="OPCParaBase"/>
    <w:rsid w:val="00FB6C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B6C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B6C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B6C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B6C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6C6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B6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B6C60"/>
    <w:rPr>
      <w:sz w:val="22"/>
    </w:rPr>
  </w:style>
  <w:style w:type="paragraph" w:customStyle="1" w:styleId="SOTextNote">
    <w:name w:val="SO TextNote"/>
    <w:aliases w:val="sont"/>
    <w:basedOn w:val="SOText"/>
    <w:qFormat/>
    <w:rsid w:val="00FB6C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B6C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B6C60"/>
    <w:rPr>
      <w:sz w:val="22"/>
    </w:rPr>
  </w:style>
  <w:style w:type="paragraph" w:customStyle="1" w:styleId="FileName">
    <w:name w:val="FileName"/>
    <w:basedOn w:val="Normal"/>
    <w:rsid w:val="00FB6C60"/>
  </w:style>
  <w:style w:type="paragraph" w:customStyle="1" w:styleId="TableHeading">
    <w:name w:val="TableHeading"/>
    <w:aliases w:val="th"/>
    <w:basedOn w:val="OPCParaBase"/>
    <w:next w:val="Tabletext"/>
    <w:rsid w:val="00FB6C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B6C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B6C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B6C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B6C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B6C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B6C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B6C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B6C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B6C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B6C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B6C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B6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C6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B6C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B6C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B6C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B6C6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B6C6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B6C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FB6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6C60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FB6C6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B6C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B6C6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B6C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B6C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B6C60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6C6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6C60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FB6C6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B6C60"/>
    <w:pPr>
      <w:ind w:left="240" w:hanging="240"/>
    </w:pPr>
  </w:style>
  <w:style w:type="paragraph" w:styleId="Index2">
    <w:name w:val="index 2"/>
    <w:basedOn w:val="Normal"/>
    <w:next w:val="Normal"/>
    <w:autoRedefine/>
    <w:rsid w:val="00FB6C60"/>
    <w:pPr>
      <w:ind w:left="480" w:hanging="240"/>
    </w:pPr>
  </w:style>
  <w:style w:type="paragraph" w:styleId="Index3">
    <w:name w:val="index 3"/>
    <w:basedOn w:val="Normal"/>
    <w:next w:val="Normal"/>
    <w:autoRedefine/>
    <w:rsid w:val="00FB6C60"/>
    <w:pPr>
      <w:ind w:left="720" w:hanging="240"/>
    </w:pPr>
  </w:style>
  <w:style w:type="paragraph" w:styleId="Index4">
    <w:name w:val="index 4"/>
    <w:basedOn w:val="Normal"/>
    <w:next w:val="Normal"/>
    <w:autoRedefine/>
    <w:rsid w:val="00FB6C60"/>
    <w:pPr>
      <w:ind w:left="960" w:hanging="240"/>
    </w:pPr>
  </w:style>
  <w:style w:type="paragraph" w:styleId="Index5">
    <w:name w:val="index 5"/>
    <w:basedOn w:val="Normal"/>
    <w:next w:val="Normal"/>
    <w:autoRedefine/>
    <w:rsid w:val="00FB6C60"/>
    <w:pPr>
      <w:ind w:left="1200" w:hanging="240"/>
    </w:pPr>
  </w:style>
  <w:style w:type="paragraph" w:styleId="Index6">
    <w:name w:val="index 6"/>
    <w:basedOn w:val="Normal"/>
    <w:next w:val="Normal"/>
    <w:autoRedefine/>
    <w:rsid w:val="00FB6C60"/>
    <w:pPr>
      <w:ind w:left="1440" w:hanging="240"/>
    </w:pPr>
  </w:style>
  <w:style w:type="paragraph" w:styleId="Index7">
    <w:name w:val="index 7"/>
    <w:basedOn w:val="Normal"/>
    <w:next w:val="Normal"/>
    <w:autoRedefine/>
    <w:rsid w:val="00FB6C60"/>
    <w:pPr>
      <w:ind w:left="1680" w:hanging="240"/>
    </w:pPr>
  </w:style>
  <w:style w:type="paragraph" w:styleId="Index8">
    <w:name w:val="index 8"/>
    <w:basedOn w:val="Normal"/>
    <w:next w:val="Normal"/>
    <w:autoRedefine/>
    <w:rsid w:val="00FB6C60"/>
    <w:pPr>
      <w:ind w:left="1920" w:hanging="240"/>
    </w:pPr>
  </w:style>
  <w:style w:type="paragraph" w:styleId="Index9">
    <w:name w:val="index 9"/>
    <w:basedOn w:val="Normal"/>
    <w:next w:val="Normal"/>
    <w:autoRedefine/>
    <w:rsid w:val="00FB6C60"/>
    <w:pPr>
      <w:ind w:left="2160" w:hanging="240"/>
    </w:pPr>
  </w:style>
  <w:style w:type="paragraph" w:styleId="NormalIndent">
    <w:name w:val="Normal Indent"/>
    <w:basedOn w:val="Normal"/>
    <w:rsid w:val="00FB6C60"/>
    <w:pPr>
      <w:ind w:left="720"/>
    </w:pPr>
  </w:style>
  <w:style w:type="paragraph" w:styleId="FootnoteText">
    <w:name w:val="footnote text"/>
    <w:basedOn w:val="Normal"/>
    <w:link w:val="FootnoteTextChar"/>
    <w:rsid w:val="00FB6C6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B6C60"/>
  </w:style>
  <w:style w:type="paragraph" w:styleId="CommentText">
    <w:name w:val="annotation text"/>
    <w:basedOn w:val="Normal"/>
    <w:link w:val="CommentTextChar"/>
    <w:rsid w:val="00FB6C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6C60"/>
  </w:style>
  <w:style w:type="paragraph" w:styleId="IndexHeading">
    <w:name w:val="index heading"/>
    <w:basedOn w:val="Normal"/>
    <w:next w:val="Index1"/>
    <w:rsid w:val="00FB6C6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B6C6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B6C60"/>
    <w:pPr>
      <w:ind w:left="480" w:hanging="480"/>
    </w:pPr>
  </w:style>
  <w:style w:type="paragraph" w:styleId="EnvelopeAddress">
    <w:name w:val="envelope address"/>
    <w:basedOn w:val="Normal"/>
    <w:rsid w:val="00FB6C6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B6C6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B6C6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B6C60"/>
    <w:rPr>
      <w:sz w:val="16"/>
      <w:szCs w:val="16"/>
    </w:rPr>
  </w:style>
  <w:style w:type="character" w:styleId="PageNumber">
    <w:name w:val="page number"/>
    <w:basedOn w:val="DefaultParagraphFont"/>
    <w:rsid w:val="00FB6C60"/>
  </w:style>
  <w:style w:type="character" w:styleId="EndnoteReference">
    <w:name w:val="endnote reference"/>
    <w:basedOn w:val="DefaultParagraphFont"/>
    <w:rsid w:val="00FB6C60"/>
    <w:rPr>
      <w:vertAlign w:val="superscript"/>
    </w:rPr>
  </w:style>
  <w:style w:type="paragraph" w:styleId="EndnoteText">
    <w:name w:val="endnote text"/>
    <w:basedOn w:val="Normal"/>
    <w:link w:val="EndnoteTextChar"/>
    <w:rsid w:val="00FB6C6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B6C60"/>
  </w:style>
  <w:style w:type="paragraph" w:styleId="TableofAuthorities">
    <w:name w:val="table of authorities"/>
    <w:basedOn w:val="Normal"/>
    <w:next w:val="Normal"/>
    <w:rsid w:val="00FB6C60"/>
    <w:pPr>
      <w:ind w:left="240" w:hanging="240"/>
    </w:pPr>
  </w:style>
  <w:style w:type="paragraph" w:styleId="MacroText">
    <w:name w:val="macro"/>
    <w:link w:val="MacroTextChar"/>
    <w:rsid w:val="00FB6C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B6C6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B6C6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B6C60"/>
    <w:pPr>
      <w:ind w:left="283" w:hanging="283"/>
    </w:pPr>
  </w:style>
  <w:style w:type="paragraph" w:styleId="ListBullet">
    <w:name w:val="List Bullet"/>
    <w:basedOn w:val="Normal"/>
    <w:autoRedefine/>
    <w:rsid w:val="00FB6C6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B6C6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B6C60"/>
    <w:pPr>
      <w:ind w:left="566" w:hanging="283"/>
    </w:pPr>
  </w:style>
  <w:style w:type="paragraph" w:styleId="List3">
    <w:name w:val="List 3"/>
    <w:basedOn w:val="Normal"/>
    <w:rsid w:val="00FB6C60"/>
    <w:pPr>
      <w:ind w:left="849" w:hanging="283"/>
    </w:pPr>
  </w:style>
  <w:style w:type="paragraph" w:styleId="List4">
    <w:name w:val="List 4"/>
    <w:basedOn w:val="Normal"/>
    <w:rsid w:val="00FB6C60"/>
    <w:pPr>
      <w:ind w:left="1132" w:hanging="283"/>
    </w:pPr>
  </w:style>
  <w:style w:type="paragraph" w:styleId="List5">
    <w:name w:val="List 5"/>
    <w:basedOn w:val="Normal"/>
    <w:rsid w:val="00FB6C60"/>
    <w:pPr>
      <w:ind w:left="1415" w:hanging="283"/>
    </w:pPr>
  </w:style>
  <w:style w:type="paragraph" w:styleId="ListBullet2">
    <w:name w:val="List Bullet 2"/>
    <w:basedOn w:val="Normal"/>
    <w:autoRedefine/>
    <w:rsid w:val="00FB6C6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B6C6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B6C6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B6C6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B6C6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B6C6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B6C6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B6C6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B6C6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B6C6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B6C60"/>
    <w:pPr>
      <w:ind w:left="4252"/>
    </w:pPr>
  </w:style>
  <w:style w:type="character" w:customStyle="1" w:styleId="ClosingChar">
    <w:name w:val="Closing Char"/>
    <w:basedOn w:val="DefaultParagraphFont"/>
    <w:link w:val="Closing"/>
    <w:rsid w:val="00FB6C60"/>
    <w:rPr>
      <w:sz w:val="22"/>
    </w:rPr>
  </w:style>
  <w:style w:type="paragraph" w:styleId="Signature">
    <w:name w:val="Signature"/>
    <w:basedOn w:val="Normal"/>
    <w:link w:val="SignatureChar"/>
    <w:rsid w:val="00FB6C6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B6C60"/>
    <w:rPr>
      <w:sz w:val="22"/>
    </w:rPr>
  </w:style>
  <w:style w:type="paragraph" w:styleId="BodyText">
    <w:name w:val="Body Text"/>
    <w:basedOn w:val="Normal"/>
    <w:link w:val="BodyTextChar"/>
    <w:rsid w:val="00FB6C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6C60"/>
    <w:rPr>
      <w:sz w:val="22"/>
    </w:rPr>
  </w:style>
  <w:style w:type="paragraph" w:styleId="BodyTextIndent">
    <w:name w:val="Body Text Indent"/>
    <w:basedOn w:val="Normal"/>
    <w:link w:val="BodyTextIndentChar"/>
    <w:rsid w:val="00FB6C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B6C60"/>
    <w:rPr>
      <w:sz w:val="22"/>
    </w:rPr>
  </w:style>
  <w:style w:type="paragraph" w:styleId="ListContinue">
    <w:name w:val="List Continue"/>
    <w:basedOn w:val="Normal"/>
    <w:rsid w:val="00FB6C60"/>
    <w:pPr>
      <w:spacing w:after="120"/>
      <w:ind w:left="283"/>
    </w:pPr>
  </w:style>
  <w:style w:type="paragraph" w:styleId="ListContinue2">
    <w:name w:val="List Continue 2"/>
    <w:basedOn w:val="Normal"/>
    <w:rsid w:val="00FB6C60"/>
    <w:pPr>
      <w:spacing w:after="120"/>
      <w:ind w:left="566"/>
    </w:pPr>
  </w:style>
  <w:style w:type="paragraph" w:styleId="ListContinue3">
    <w:name w:val="List Continue 3"/>
    <w:basedOn w:val="Normal"/>
    <w:rsid w:val="00FB6C60"/>
    <w:pPr>
      <w:spacing w:after="120"/>
      <w:ind w:left="849"/>
    </w:pPr>
  </w:style>
  <w:style w:type="paragraph" w:styleId="ListContinue4">
    <w:name w:val="List Continue 4"/>
    <w:basedOn w:val="Normal"/>
    <w:rsid w:val="00FB6C60"/>
    <w:pPr>
      <w:spacing w:after="120"/>
      <w:ind w:left="1132"/>
    </w:pPr>
  </w:style>
  <w:style w:type="paragraph" w:styleId="ListContinue5">
    <w:name w:val="List Continue 5"/>
    <w:basedOn w:val="Normal"/>
    <w:rsid w:val="00FB6C6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B6C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B6C6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B6C6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B6C6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B6C60"/>
  </w:style>
  <w:style w:type="character" w:customStyle="1" w:styleId="SalutationChar">
    <w:name w:val="Salutation Char"/>
    <w:basedOn w:val="DefaultParagraphFont"/>
    <w:link w:val="Salutation"/>
    <w:rsid w:val="00FB6C60"/>
    <w:rPr>
      <w:sz w:val="22"/>
    </w:rPr>
  </w:style>
  <w:style w:type="paragraph" w:styleId="Date">
    <w:name w:val="Date"/>
    <w:basedOn w:val="Normal"/>
    <w:next w:val="Normal"/>
    <w:link w:val="DateChar"/>
    <w:rsid w:val="00FB6C60"/>
  </w:style>
  <w:style w:type="character" w:customStyle="1" w:styleId="DateChar">
    <w:name w:val="Date Char"/>
    <w:basedOn w:val="DefaultParagraphFont"/>
    <w:link w:val="Date"/>
    <w:rsid w:val="00FB6C60"/>
    <w:rPr>
      <w:sz w:val="22"/>
    </w:rPr>
  </w:style>
  <w:style w:type="paragraph" w:styleId="BodyTextFirstIndent">
    <w:name w:val="Body Text First Indent"/>
    <w:basedOn w:val="BodyText"/>
    <w:link w:val="BodyTextFirstIndentChar"/>
    <w:rsid w:val="00FB6C6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B6C6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B6C6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B6C60"/>
    <w:rPr>
      <w:sz w:val="22"/>
    </w:rPr>
  </w:style>
  <w:style w:type="paragraph" w:styleId="BodyText2">
    <w:name w:val="Body Text 2"/>
    <w:basedOn w:val="Normal"/>
    <w:link w:val="BodyText2Char"/>
    <w:rsid w:val="00FB6C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B6C60"/>
    <w:rPr>
      <w:sz w:val="22"/>
    </w:rPr>
  </w:style>
  <w:style w:type="paragraph" w:styleId="BodyText3">
    <w:name w:val="Body Text 3"/>
    <w:basedOn w:val="Normal"/>
    <w:link w:val="BodyText3Char"/>
    <w:rsid w:val="00FB6C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6C6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B6C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B6C60"/>
    <w:rPr>
      <w:sz w:val="22"/>
    </w:rPr>
  </w:style>
  <w:style w:type="paragraph" w:styleId="BodyTextIndent3">
    <w:name w:val="Body Text Indent 3"/>
    <w:basedOn w:val="Normal"/>
    <w:link w:val="BodyTextIndent3Char"/>
    <w:rsid w:val="00FB6C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B6C60"/>
    <w:rPr>
      <w:sz w:val="16"/>
      <w:szCs w:val="16"/>
    </w:rPr>
  </w:style>
  <w:style w:type="paragraph" w:styleId="BlockText">
    <w:name w:val="Block Text"/>
    <w:basedOn w:val="Normal"/>
    <w:rsid w:val="00FB6C60"/>
    <w:pPr>
      <w:spacing w:after="120"/>
      <w:ind w:left="1440" w:right="1440"/>
    </w:pPr>
  </w:style>
  <w:style w:type="character" w:styleId="Hyperlink">
    <w:name w:val="Hyperlink"/>
    <w:basedOn w:val="DefaultParagraphFont"/>
    <w:rsid w:val="00FB6C60"/>
    <w:rPr>
      <w:color w:val="0000FF"/>
      <w:u w:val="single"/>
    </w:rPr>
  </w:style>
  <w:style w:type="character" w:styleId="FollowedHyperlink">
    <w:name w:val="FollowedHyperlink"/>
    <w:basedOn w:val="DefaultParagraphFont"/>
    <w:rsid w:val="00FB6C60"/>
    <w:rPr>
      <w:color w:val="800080"/>
      <w:u w:val="single"/>
    </w:rPr>
  </w:style>
  <w:style w:type="character" w:styleId="Strong">
    <w:name w:val="Strong"/>
    <w:basedOn w:val="DefaultParagraphFont"/>
    <w:qFormat/>
    <w:rsid w:val="00FB6C60"/>
    <w:rPr>
      <w:b/>
      <w:bCs/>
    </w:rPr>
  </w:style>
  <w:style w:type="character" w:styleId="Emphasis">
    <w:name w:val="Emphasis"/>
    <w:basedOn w:val="DefaultParagraphFont"/>
    <w:qFormat/>
    <w:rsid w:val="00FB6C60"/>
    <w:rPr>
      <w:i/>
      <w:iCs/>
    </w:rPr>
  </w:style>
  <w:style w:type="paragraph" w:styleId="DocumentMap">
    <w:name w:val="Document Map"/>
    <w:basedOn w:val="Normal"/>
    <w:link w:val="DocumentMapChar"/>
    <w:rsid w:val="00FB6C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B6C6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B6C6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B6C6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B6C60"/>
  </w:style>
  <w:style w:type="character" w:customStyle="1" w:styleId="E-mailSignatureChar">
    <w:name w:val="E-mail Signature Char"/>
    <w:basedOn w:val="DefaultParagraphFont"/>
    <w:link w:val="E-mailSignature"/>
    <w:rsid w:val="00FB6C60"/>
    <w:rPr>
      <w:sz w:val="22"/>
    </w:rPr>
  </w:style>
  <w:style w:type="paragraph" w:styleId="NormalWeb">
    <w:name w:val="Normal (Web)"/>
    <w:basedOn w:val="Normal"/>
    <w:rsid w:val="00FB6C60"/>
  </w:style>
  <w:style w:type="character" w:styleId="HTMLAcronym">
    <w:name w:val="HTML Acronym"/>
    <w:basedOn w:val="DefaultParagraphFont"/>
    <w:rsid w:val="00FB6C60"/>
  </w:style>
  <w:style w:type="paragraph" w:styleId="HTMLAddress">
    <w:name w:val="HTML Address"/>
    <w:basedOn w:val="Normal"/>
    <w:link w:val="HTMLAddressChar"/>
    <w:rsid w:val="00FB6C6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B6C60"/>
    <w:rPr>
      <w:i/>
      <w:iCs/>
      <w:sz w:val="22"/>
    </w:rPr>
  </w:style>
  <w:style w:type="character" w:styleId="HTMLCite">
    <w:name w:val="HTML Cite"/>
    <w:basedOn w:val="DefaultParagraphFont"/>
    <w:rsid w:val="00FB6C60"/>
    <w:rPr>
      <w:i/>
      <w:iCs/>
    </w:rPr>
  </w:style>
  <w:style w:type="character" w:styleId="HTMLCode">
    <w:name w:val="HTML Code"/>
    <w:basedOn w:val="DefaultParagraphFont"/>
    <w:rsid w:val="00FB6C6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B6C60"/>
    <w:rPr>
      <w:i/>
      <w:iCs/>
    </w:rPr>
  </w:style>
  <w:style w:type="character" w:styleId="HTMLKeyboard">
    <w:name w:val="HTML Keyboard"/>
    <w:basedOn w:val="DefaultParagraphFont"/>
    <w:rsid w:val="00FB6C6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B6C6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B6C60"/>
    <w:rPr>
      <w:rFonts w:ascii="Courier New" w:hAnsi="Courier New" w:cs="Courier New"/>
    </w:rPr>
  </w:style>
  <w:style w:type="character" w:styleId="HTMLSample">
    <w:name w:val="HTML Sample"/>
    <w:basedOn w:val="DefaultParagraphFont"/>
    <w:rsid w:val="00FB6C6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B6C6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B6C6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B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C60"/>
    <w:rPr>
      <w:b/>
      <w:bCs/>
    </w:rPr>
  </w:style>
  <w:style w:type="numbering" w:styleId="1ai">
    <w:name w:val="Outline List 1"/>
    <w:basedOn w:val="NoList"/>
    <w:rsid w:val="00FB6C60"/>
    <w:pPr>
      <w:numPr>
        <w:numId w:val="14"/>
      </w:numPr>
    </w:pPr>
  </w:style>
  <w:style w:type="numbering" w:styleId="111111">
    <w:name w:val="Outline List 2"/>
    <w:basedOn w:val="NoList"/>
    <w:rsid w:val="00FB6C60"/>
    <w:pPr>
      <w:numPr>
        <w:numId w:val="15"/>
      </w:numPr>
    </w:pPr>
  </w:style>
  <w:style w:type="numbering" w:styleId="ArticleSection">
    <w:name w:val="Outline List 3"/>
    <w:basedOn w:val="NoList"/>
    <w:rsid w:val="00FB6C60"/>
    <w:pPr>
      <w:numPr>
        <w:numId w:val="17"/>
      </w:numPr>
    </w:pPr>
  </w:style>
  <w:style w:type="table" w:styleId="TableSimple1">
    <w:name w:val="Table Simple 1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B6C6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B6C6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B6C6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B6C6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6C6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B6C6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B6C6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B6C6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B6C6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B6C6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B6C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B6C6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B6C6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B6C6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B6C6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B6C6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B6C6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B6C6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B6C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B6C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B6C6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B6C6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B6C6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B6C6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B6C6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B6C6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B6C6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B6C6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B6C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B6C6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B6C6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B6C6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B6C6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B6C6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B6C6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B6C60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FB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7C73-39FC-4093-812F-1324BA27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11</Pages>
  <Words>3889</Words>
  <Characters>22173</Characters>
  <Application>Microsoft Office Word</Application>
  <DocSecurity>2</DocSecurity>
  <PresentationFormat/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Future Instruments) Instrument 2023: Register of Foreign Ownershipo of Australian Assets</vt:lpstr>
    </vt:vector>
  </TitlesOfParts>
  <Manager/>
  <Company/>
  <LinksUpToDate>false</LinksUpToDate>
  <CharactersWithSpaces>26010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Future Instruments) Instrument 2023: Register of Foreign Ownershipo of Australian Assets</dc:title>
  <dc:subject/>
  <dc:creator/>
  <cp:keywords/>
  <dc:description/>
  <cp:lastModifiedBy/>
  <cp:revision>1</cp:revision>
  <cp:lastPrinted>2023-02-23T01:39:00Z</cp:lastPrinted>
  <dcterms:created xsi:type="dcterms:W3CDTF">2023-02-23T22:29:00Z</dcterms:created>
  <dcterms:modified xsi:type="dcterms:W3CDTF">2023-02-28T03:31:00Z</dcterms:modified>
  <cp:category/>
  <cp:contentStatus/>
  <dc:language/>
  <cp:version/>
</cp:coreProperties>
</file>