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FFE49" w14:textId="78A71643" w:rsidR="00986A46" w:rsidRPr="006E76BE" w:rsidRDefault="003B23D6" w:rsidP="00300C95">
      <w:pPr>
        <w:pStyle w:val="Factsheettitle"/>
        <w:spacing w:before="1440"/>
      </w:pPr>
      <w:r>
        <w:t xml:space="preserve">Regulation </w:t>
      </w:r>
      <w:r w:rsidR="009271C0">
        <w:t>of Payment Service Providers</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14A6C115" w14:textId="77777777" w:rsidTr="00FC2E34">
        <w:tc>
          <w:tcPr>
            <w:tcW w:w="8498" w:type="dxa"/>
            <w:shd w:val="clear" w:color="auto" w:fill="auto"/>
          </w:tcPr>
          <w:p w14:paraId="5B5111C1" w14:textId="14F54AAB" w:rsidR="00942AC5" w:rsidRDefault="009271C0" w:rsidP="00E847A7">
            <w:pPr>
              <w:pStyle w:val="Introtext"/>
            </w:pPr>
            <w:r>
              <w:t>The Albanese</w:t>
            </w:r>
            <w:r w:rsidRPr="009271C0">
              <w:t xml:space="preserve"> Government is updating the payments regulatory framework to ensure it is fit</w:t>
            </w:r>
            <w:r w:rsidR="00D01260">
              <w:t xml:space="preserve"> </w:t>
            </w:r>
            <w:r w:rsidRPr="009271C0">
              <w:t>for</w:t>
            </w:r>
            <w:r w:rsidR="00D01260">
              <w:t xml:space="preserve"> </w:t>
            </w:r>
            <w:r w:rsidRPr="009271C0">
              <w:t xml:space="preserve">purpose for the modern economy. </w:t>
            </w:r>
            <w:r w:rsidR="00EF65D6">
              <w:t>T</w:t>
            </w:r>
            <w:r w:rsidR="00EF65D6">
              <w:rPr>
                <w:rStyle w:val="ui-provider"/>
              </w:rPr>
              <w:t>he proposed licensing framework for payment service providers will ensure</w:t>
            </w:r>
            <w:r w:rsidR="0058336A">
              <w:rPr>
                <w:rStyle w:val="ui-provider"/>
              </w:rPr>
              <w:t xml:space="preserve"> payment services including</w:t>
            </w:r>
            <w:r w:rsidR="00EF65D6">
              <w:rPr>
                <w:rStyle w:val="ui-provider"/>
              </w:rPr>
              <w:t xml:space="preserve"> new payment technologies are appropriately regulated.</w:t>
            </w:r>
            <w:r w:rsidR="00821128">
              <w:t xml:space="preserve"> </w:t>
            </w:r>
          </w:p>
          <w:p w14:paraId="4E5B039F" w14:textId="56D56EE4" w:rsidR="00FC2E34" w:rsidRPr="00E847A7" w:rsidRDefault="003B2F86" w:rsidP="00E847A7">
            <w:pPr>
              <w:pStyle w:val="Introtext"/>
            </w:pPr>
            <w:r>
              <w:t xml:space="preserve">In addition, </w:t>
            </w:r>
            <w:r w:rsidR="009E208C">
              <w:t>the RBA will be able to authorise</w:t>
            </w:r>
            <w:r>
              <w:t xml:space="preserve"> </w:t>
            </w:r>
            <w:r w:rsidR="00170D81">
              <w:t xml:space="preserve">industry bodies </w:t>
            </w:r>
            <w:r w:rsidR="009E208C">
              <w:t xml:space="preserve">to </w:t>
            </w:r>
            <w:r w:rsidR="00942AC5">
              <w:t>ensure better alignment of core</w:t>
            </w:r>
            <w:r>
              <w:t xml:space="preserve"> technical standards </w:t>
            </w:r>
            <w:r w:rsidR="00942AC5">
              <w:t>in</w:t>
            </w:r>
            <w:r>
              <w:t xml:space="preserve"> the payments </w:t>
            </w:r>
            <w:r w:rsidR="00942AC5">
              <w:t>ecosystem</w:t>
            </w:r>
            <w:r>
              <w:t>.</w:t>
            </w:r>
          </w:p>
        </w:tc>
      </w:tr>
    </w:tbl>
    <w:p w14:paraId="5D07D7C9" w14:textId="0708CF2B" w:rsidR="005B744F" w:rsidRDefault="005B744F" w:rsidP="008113BB">
      <w:pPr>
        <w:pStyle w:val="Heading1"/>
      </w:pPr>
      <w:r>
        <w:t>Overview of reforms</w:t>
      </w:r>
    </w:p>
    <w:p w14:paraId="27CF169A" w14:textId="3E2F2EFF" w:rsidR="006B4045" w:rsidRDefault="006B4045" w:rsidP="00455E78">
      <w:pPr>
        <w:spacing w:after="360"/>
      </w:pPr>
      <w:r>
        <w:t xml:space="preserve">The reforms leverage </w:t>
      </w:r>
      <w:r w:rsidRPr="002673FA">
        <w:t>Australia’s existing regulatory architecture</w:t>
      </w:r>
      <w:r w:rsidR="00EE3C93">
        <w:t>, while recognising that i</w:t>
      </w:r>
      <w:r w:rsidR="00EE3C93" w:rsidRPr="00EE3C93">
        <w:t xml:space="preserve">ndustry bodies remain best placed to </w:t>
      </w:r>
      <w:r w:rsidR="00C02549">
        <w:t>develop</w:t>
      </w:r>
      <w:r w:rsidR="00C02549" w:rsidRPr="00EE3C93">
        <w:t xml:space="preserve"> </w:t>
      </w:r>
      <w:r w:rsidR="00EE3C93" w:rsidRPr="00EE3C93">
        <w:t>the technical rules and standards for participants in the ecosystem</w:t>
      </w:r>
      <w:r w:rsidR="00503A01">
        <w:t>.</w:t>
      </w:r>
    </w:p>
    <w:tbl>
      <w:tblPr>
        <w:tblStyle w:val="TableGridLight"/>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90B6F0" w:themeFill="accent5"/>
        <w:tblCellMar>
          <w:top w:w="108" w:type="dxa"/>
          <w:left w:w="284" w:type="dxa"/>
          <w:bottom w:w="108" w:type="dxa"/>
          <w:right w:w="284" w:type="dxa"/>
        </w:tblCellMar>
        <w:tblLook w:val="04A0" w:firstRow="1" w:lastRow="0" w:firstColumn="1" w:lastColumn="0" w:noHBand="0" w:noVBand="1"/>
      </w:tblPr>
      <w:tblGrid>
        <w:gridCol w:w="4141"/>
        <w:gridCol w:w="2176"/>
        <w:gridCol w:w="2167"/>
      </w:tblGrid>
      <w:tr w:rsidR="00455E78" w14:paraId="5BEFE613" w14:textId="77777777" w:rsidTr="00E26B17">
        <w:tc>
          <w:tcPr>
            <w:tcW w:w="4152" w:type="dxa"/>
            <w:shd w:val="clear" w:color="auto" w:fill="90B6F0" w:themeFill="accent5"/>
            <w:vAlign w:val="center"/>
          </w:tcPr>
          <w:p w14:paraId="7F413827" w14:textId="35EA9286" w:rsidR="00455E78" w:rsidRPr="00636B4B" w:rsidRDefault="00455E78" w:rsidP="00455E78">
            <w:pPr>
              <w:pStyle w:val="TableTextLeft"/>
              <w:jc w:val="center"/>
              <w:rPr>
                <w:rStyle w:val="Strong"/>
              </w:rPr>
            </w:pPr>
            <w:r w:rsidRPr="00636B4B">
              <w:rPr>
                <w:rStyle w:val="Strong"/>
              </w:rPr>
              <w:t xml:space="preserve">Prudential </w:t>
            </w:r>
            <w:r w:rsidR="004F670C">
              <w:rPr>
                <w:rStyle w:val="Strong"/>
              </w:rPr>
              <w:t>r</w:t>
            </w:r>
            <w:r w:rsidRPr="00636B4B">
              <w:rPr>
                <w:rStyle w:val="Strong"/>
              </w:rPr>
              <w:t>egulation</w:t>
            </w:r>
          </w:p>
          <w:p w14:paraId="041428E2" w14:textId="77777777" w:rsidR="00455E78" w:rsidRDefault="00455E78" w:rsidP="00455E78">
            <w:pPr>
              <w:pStyle w:val="TableTextLeft"/>
              <w:jc w:val="center"/>
            </w:pPr>
            <w:r>
              <w:t>Major stored</w:t>
            </w:r>
            <w:r>
              <w:noBreakHyphen/>
              <w:t>value facilities and designated PSPs</w:t>
            </w:r>
          </w:p>
        </w:tc>
        <w:tc>
          <w:tcPr>
            <w:tcW w:w="2177" w:type="dxa"/>
            <w:vMerge w:val="restart"/>
            <w:shd w:val="clear" w:color="auto" w:fill="5D779D" w:themeFill="accent3"/>
            <w:vAlign w:val="center"/>
          </w:tcPr>
          <w:p w14:paraId="14711995" w14:textId="77777777" w:rsidR="00455E78" w:rsidRPr="00455E78" w:rsidRDefault="00455E78" w:rsidP="00455E78">
            <w:pPr>
              <w:pStyle w:val="TableTextLeft"/>
              <w:jc w:val="center"/>
              <w:rPr>
                <w:rStyle w:val="Strong"/>
                <w:color w:val="FFFFFF" w:themeColor="background1"/>
              </w:rPr>
            </w:pPr>
            <w:r w:rsidRPr="00455E78">
              <w:rPr>
                <w:rStyle w:val="Strong"/>
                <w:color w:val="FFFFFF" w:themeColor="background1"/>
              </w:rPr>
              <w:t>APRA</w:t>
            </w:r>
          </w:p>
        </w:tc>
        <w:tc>
          <w:tcPr>
            <w:tcW w:w="2169" w:type="dxa"/>
            <w:shd w:val="clear" w:color="auto" w:fill="5F5F5F" w:themeFill="text2"/>
            <w:vAlign w:val="center"/>
          </w:tcPr>
          <w:p w14:paraId="51EF1470" w14:textId="77777777" w:rsidR="00455E78" w:rsidRPr="004F670C" w:rsidRDefault="00455E78" w:rsidP="00455E78">
            <w:pPr>
              <w:pStyle w:val="TableTextLeft"/>
              <w:jc w:val="center"/>
              <w:rPr>
                <w:b/>
                <w:bCs/>
                <w:color w:val="FFFFFF" w:themeColor="background1"/>
              </w:rPr>
            </w:pPr>
            <w:r w:rsidRPr="004F670C">
              <w:rPr>
                <w:b/>
                <w:bCs/>
                <w:color w:val="FFFFFF" w:themeColor="background1"/>
              </w:rPr>
              <w:t>Manage financial and stability risks</w:t>
            </w:r>
          </w:p>
        </w:tc>
      </w:tr>
      <w:tr w:rsidR="00455E78" w14:paraId="6C1BF28B" w14:textId="77777777" w:rsidTr="00E26B17">
        <w:tc>
          <w:tcPr>
            <w:tcW w:w="4152" w:type="dxa"/>
            <w:shd w:val="clear" w:color="auto" w:fill="90B6F0" w:themeFill="accent5"/>
            <w:vAlign w:val="center"/>
          </w:tcPr>
          <w:p w14:paraId="1D5A5B7E" w14:textId="18623AB3" w:rsidR="00455E78" w:rsidRPr="00636B4B" w:rsidRDefault="00455E78" w:rsidP="00455E78">
            <w:pPr>
              <w:pStyle w:val="TableTextLeft"/>
              <w:jc w:val="center"/>
              <w:rPr>
                <w:rStyle w:val="Strong"/>
              </w:rPr>
            </w:pPr>
            <w:r w:rsidRPr="00636B4B">
              <w:rPr>
                <w:rStyle w:val="Strong"/>
              </w:rPr>
              <w:t xml:space="preserve">Prudential </w:t>
            </w:r>
            <w:r w:rsidR="004F670C">
              <w:rPr>
                <w:rStyle w:val="Strong"/>
              </w:rPr>
              <w:t>r</w:t>
            </w:r>
            <w:r w:rsidRPr="00636B4B">
              <w:rPr>
                <w:rStyle w:val="Strong"/>
              </w:rPr>
              <w:t>egulation</w:t>
            </w:r>
          </w:p>
          <w:p w14:paraId="2E74BC87" w14:textId="77777777" w:rsidR="00455E78" w:rsidRDefault="00455E78" w:rsidP="00455E78">
            <w:pPr>
              <w:pStyle w:val="TableTextLeft"/>
              <w:jc w:val="center"/>
            </w:pPr>
            <w:r>
              <w:t>Common access requirements for payments clearing and settlement</w:t>
            </w:r>
          </w:p>
        </w:tc>
        <w:tc>
          <w:tcPr>
            <w:tcW w:w="2177" w:type="dxa"/>
            <w:vMerge/>
            <w:shd w:val="clear" w:color="auto" w:fill="5D779D" w:themeFill="accent3"/>
            <w:vAlign w:val="center"/>
          </w:tcPr>
          <w:p w14:paraId="4F715305" w14:textId="77777777" w:rsidR="00455E78" w:rsidRPr="00455E78" w:rsidRDefault="00455E78" w:rsidP="00455E78">
            <w:pPr>
              <w:pStyle w:val="TableTextLeft"/>
              <w:jc w:val="center"/>
              <w:rPr>
                <w:rStyle w:val="Strong"/>
                <w:color w:val="FFFFFF" w:themeColor="background1"/>
              </w:rPr>
            </w:pPr>
          </w:p>
        </w:tc>
        <w:tc>
          <w:tcPr>
            <w:tcW w:w="2169" w:type="dxa"/>
            <w:shd w:val="clear" w:color="auto" w:fill="5F5F5F" w:themeFill="text2"/>
            <w:vAlign w:val="center"/>
          </w:tcPr>
          <w:p w14:paraId="498AC7B3" w14:textId="77777777" w:rsidR="00455E78" w:rsidRPr="004F670C" w:rsidRDefault="00455E78" w:rsidP="00455E78">
            <w:pPr>
              <w:pStyle w:val="TableTextLeft"/>
              <w:jc w:val="center"/>
              <w:rPr>
                <w:b/>
                <w:bCs/>
                <w:color w:val="FFFFFF" w:themeColor="background1"/>
              </w:rPr>
            </w:pPr>
            <w:r w:rsidRPr="004F670C">
              <w:rPr>
                <w:b/>
                <w:bCs/>
                <w:color w:val="FFFFFF" w:themeColor="background1"/>
              </w:rPr>
              <w:t>Improve access to payment systems</w:t>
            </w:r>
          </w:p>
        </w:tc>
      </w:tr>
      <w:tr w:rsidR="00455E78" w14:paraId="431B3760" w14:textId="77777777" w:rsidTr="00E26B17">
        <w:tc>
          <w:tcPr>
            <w:tcW w:w="4152" w:type="dxa"/>
            <w:shd w:val="clear" w:color="auto" w:fill="B1F0CF" w:themeFill="accent4"/>
            <w:vAlign w:val="center"/>
          </w:tcPr>
          <w:p w14:paraId="0734BA82" w14:textId="77777777" w:rsidR="00455E78" w:rsidRPr="00636B4B" w:rsidRDefault="00455E78" w:rsidP="00455E78">
            <w:pPr>
              <w:pStyle w:val="TableTextLeft"/>
              <w:jc w:val="center"/>
              <w:rPr>
                <w:rStyle w:val="Strong"/>
              </w:rPr>
            </w:pPr>
            <w:r w:rsidRPr="00636B4B">
              <w:rPr>
                <w:rStyle w:val="Strong"/>
              </w:rPr>
              <w:t>Financial services regulation</w:t>
            </w:r>
          </w:p>
          <w:p w14:paraId="0CE3B205" w14:textId="77777777" w:rsidR="00455E78" w:rsidRDefault="00455E78" w:rsidP="00455E78">
            <w:pPr>
              <w:pStyle w:val="TableTextLeft"/>
              <w:jc w:val="center"/>
            </w:pPr>
            <w:r>
              <w:t>All PSPs performing a payment function</w:t>
            </w:r>
          </w:p>
        </w:tc>
        <w:tc>
          <w:tcPr>
            <w:tcW w:w="2177" w:type="dxa"/>
            <w:shd w:val="clear" w:color="auto" w:fill="5D779D" w:themeFill="accent3"/>
            <w:vAlign w:val="center"/>
          </w:tcPr>
          <w:p w14:paraId="1631246A" w14:textId="77777777" w:rsidR="00455E78" w:rsidRPr="00455E78" w:rsidRDefault="00455E78" w:rsidP="00455E78">
            <w:pPr>
              <w:pStyle w:val="TableTextLeft"/>
              <w:jc w:val="center"/>
              <w:rPr>
                <w:rStyle w:val="Strong"/>
                <w:color w:val="FFFFFF" w:themeColor="background1"/>
              </w:rPr>
            </w:pPr>
            <w:r w:rsidRPr="00455E78">
              <w:rPr>
                <w:rStyle w:val="Strong"/>
                <w:color w:val="FFFFFF" w:themeColor="background1"/>
              </w:rPr>
              <w:t>ASIC</w:t>
            </w:r>
          </w:p>
        </w:tc>
        <w:tc>
          <w:tcPr>
            <w:tcW w:w="2169" w:type="dxa"/>
            <w:shd w:val="clear" w:color="auto" w:fill="5F5F5F" w:themeFill="text2"/>
            <w:vAlign w:val="center"/>
          </w:tcPr>
          <w:p w14:paraId="764EABA1" w14:textId="77777777" w:rsidR="00455E78" w:rsidRPr="004F670C" w:rsidRDefault="00455E78" w:rsidP="00455E78">
            <w:pPr>
              <w:pStyle w:val="TableTextLeft"/>
              <w:jc w:val="center"/>
              <w:rPr>
                <w:b/>
                <w:bCs/>
                <w:color w:val="FFFFFF" w:themeColor="background1"/>
              </w:rPr>
            </w:pPr>
            <w:r w:rsidRPr="004F670C">
              <w:rPr>
                <w:b/>
                <w:bCs/>
                <w:color w:val="FFFFFF" w:themeColor="background1"/>
              </w:rPr>
              <w:t>Protect payment service users</w:t>
            </w:r>
          </w:p>
        </w:tc>
      </w:tr>
      <w:tr w:rsidR="00455E78" w14:paraId="5752E540" w14:textId="77777777" w:rsidTr="00E26B17">
        <w:tc>
          <w:tcPr>
            <w:tcW w:w="4152" w:type="dxa"/>
            <w:shd w:val="clear" w:color="auto" w:fill="F0AE81" w:themeFill="accent6"/>
            <w:vAlign w:val="center"/>
          </w:tcPr>
          <w:p w14:paraId="06282955" w14:textId="77777777" w:rsidR="00455E78" w:rsidRPr="00636B4B" w:rsidRDefault="00455E78" w:rsidP="00455E78">
            <w:pPr>
              <w:pStyle w:val="TableTextLeft"/>
              <w:jc w:val="center"/>
              <w:rPr>
                <w:rStyle w:val="Strong"/>
              </w:rPr>
            </w:pPr>
            <w:r w:rsidRPr="00636B4B">
              <w:rPr>
                <w:rStyle w:val="Strong"/>
              </w:rPr>
              <w:t>Technical industry standards</w:t>
            </w:r>
          </w:p>
          <w:p w14:paraId="4DC651FB" w14:textId="77777777" w:rsidR="00455E78" w:rsidRDefault="00455E78" w:rsidP="00455E78">
            <w:pPr>
              <w:pStyle w:val="TableTextLeft"/>
              <w:jc w:val="center"/>
            </w:pPr>
            <w:r>
              <w:t>All payment participants and payment system operators where a standard applies</w:t>
            </w:r>
          </w:p>
        </w:tc>
        <w:tc>
          <w:tcPr>
            <w:tcW w:w="2177" w:type="dxa"/>
            <w:shd w:val="clear" w:color="auto" w:fill="5D779D" w:themeFill="accent3"/>
            <w:vAlign w:val="center"/>
          </w:tcPr>
          <w:p w14:paraId="4C43FB8D" w14:textId="77777777" w:rsidR="00455E78" w:rsidRPr="00455E78" w:rsidRDefault="00455E78" w:rsidP="00455E78">
            <w:pPr>
              <w:pStyle w:val="TableTextLeft"/>
              <w:jc w:val="center"/>
              <w:rPr>
                <w:rStyle w:val="Strong"/>
                <w:color w:val="FFFFFF" w:themeColor="background1"/>
              </w:rPr>
            </w:pPr>
            <w:r w:rsidRPr="00455E78">
              <w:rPr>
                <w:rStyle w:val="Strong"/>
                <w:color w:val="FFFFFF" w:themeColor="background1"/>
              </w:rPr>
              <w:t>Industry body authorised by RBA</w:t>
            </w:r>
          </w:p>
        </w:tc>
        <w:tc>
          <w:tcPr>
            <w:tcW w:w="2169" w:type="dxa"/>
            <w:shd w:val="clear" w:color="auto" w:fill="5F5F5F" w:themeFill="text2"/>
            <w:vAlign w:val="center"/>
          </w:tcPr>
          <w:p w14:paraId="6716233E" w14:textId="77777777" w:rsidR="00455E78" w:rsidRPr="004F670C" w:rsidRDefault="00455E78" w:rsidP="00455E78">
            <w:pPr>
              <w:pStyle w:val="TableTextLeft"/>
              <w:jc w:val="center"/>
              <w:rPr>
                <w:b/>
                <w:bCs/>
                <w:color w:val="FFFFFF" w:themeColor="background1"/>
              </w:rPr>
            </w:pPr>
            <w:r w:rsidRPr="004F670C">
              <w:rPr>
                <w:b/>
                <w:bCs/>
                <w:color w:val="FFFFFF" w:themeColor="background1"/>
              </w:rPr>
              <w:t>Broad and consistent adoption of core standards</w:t>
            </w:r>
          </w:p>
        </w:tc>
      </w:tr>
    </w:tbl>
    <w:p w14:paraId="3DEEFFA0" w14:textId="1B9D774C" w:rsidR="007A6B1C" w:rsidRPr="004D72CA" w:rsidRDefault="007A6B1C" w:rsidP="004D72CA"/>
    <w:p w14:paraId="65597A3A" w14:textId="77777777" w:rsidR="000A12C4" w:rsidRDefault="000A12C4">
      <w:pPr>
        <w:spacing w:before="0" w:after="0"/>
        <w:rPr>
          <w:rFonts w:ascii="Calibri" w:hAnsi="Calibri" w:cs="Arial"/>
          <w:iCs/>
          <w:color w:val="2C384A"/>
          <w:kern w:val="32"/>
          <w:sz w:val="36"/>
          <w:szCs w:val="28"/>
        </w:rPr>
      </w:pPr>
      <w:r>
        <w:br w:type="page"/>
      </w:r>
    </w:p>
    <w:p w14:paraId="50D1A861" w14:textId="4A5480F4" w:rsidR="00A45957" w:rsidRPr="0090719E" w:rsidRDefault="00A45957" w:rsidP="00A45957">
      <w:pPr>
        <w:pStyle w:val="Heading2"/>
      </w:pPr>
      <w:r>
        <w:lastRenderedPageBreak/>
        <w:t>AFS licence for payment service providers</w:t>
      </w:r>
    </w:p>
    <w:p w14:paraId="1A42BC70" w14:textId="77777777" w:rsidR="00A45957" w:rsidRPr="00571E36" w:rsidRDefault="00A45957" w:rsidP="00A45957">
      <w:r w:rsidRPr="00571E36">
        <w:t xml:space="preserve">The </w:t>
      </w:r>
      <w:r w:rsidRPr="00DB0DD8">
        <w:t>following payment functions are proposed to be regulated</w:t>
      </w:r>
      <w:r w:rsidRPr="00571E36">
        <w:t>:</w:t>
      </w:r>
    </w:p>
    <w:p w14:paraId="0D43E0AB" w14:textId="77777777" w:rsidR="00A45957" w:rsidRPr="008113BB" w:rsidRDefault="00A45957" w:rsidP="008113BB">
      <w:pPr>
        <w:pStyle w:val="Bullet"/>
      </w:pPr>
      <w:r w:rsidRPr="008113BB">
        <w:t>Stored-value facilities (‘traditional SVFs’)</w:t>
      </w:r>
    </w:p>
    <w:p w14:paraId="000EBAA5" w14:textId="77777777" w:rsidR="00A45957" w:rsidRPr="008113BB" w:rsidRDefault="00A45957" w:rsidP="008113BB">
      <w:pPr>
        <w:pStyle w:val="Bullet"/>
      </w:pPr>
      <w:r w:rsidRPr="008113BB">
        <w:t>Payment stablecoins (‘payment stablecoin SVFs’)</w:t>
      </w:r>
    </w:p>
    <w:p w14:paraId="501AFA19" w14:textId="77777777" w:rsidR="00A45957" w:rsidRPr="008113BB" w:rsidRDefault="00A45957" w:rsidP="008113BB">
      <w:pPr>
        <w:pStyle w:val="Bullet"/>
      </w:pPr>
      <w:r w:rsidRPr="008113BB">
        <w:t>Payment instruments</w:t>
      </w:r>
    </w:p>
    <w:p w14:paraId="35F966BA" w14:textId="77777777" w:rsidR="00A45957" w:rsidRPr="008113BB" w:rsidRDefault="00A45957" w:rsidP="008113BB">
      <w:pPr>
        <w:pStyle w:val="Bullet"/>
      </w:pPr>
      <w:r w:rsidRPr="008113BB">
        <w:t>Payment initiation services</w:t>
      </w:r>
    </w:p>
    <w:p w14:paraId="3BE6C649" w14:textId="77777777" w:rsidR="00A45957" w:rsidRPr="008113BB" w:rsidRDefault="00A45957" w:rsidP="008113BB">
      <w:pPr>
        <w:pStyle w:val="Bullet"/>
      </w:pPr>
      <w:r w:rsidRPr="008113BB">
        <w:t>Payment facilitation services</w:t>
      </w:r>
    </w:p>
    <w:p w14:paraId="1F51BAC2" w14:textId="77777777" w:rsidR="00A45957" w:rsidRPr="008113BB" w:rsidRDefault="00A45957" w:rsidP="008113BB">
      <w:pPr>
        <w:pStyle w:val="Bullet"/>
      </w:pPr>
      <w:r w:rsidRPr="008113BB">
        <w:t>Payment technology and enablement services</w:t>
      </w:r>
    </w:p>
    <w:p w14:paraId="1D766EF5" w14:textId="04D6EEBA" w:rsidR="00A45957" w:rsidRPr="008113BB" w:rsidRDefault="00A45957" w:rsidP="008113BB">
      <w:pPr>
        <w:pStyle w:val="Bullet"/>
      </w:pPr>
      <w:r w:rsidRPr="008113BB">
        <w:t>Cross-border transfer services</w:t>
      </w:r>
    </w:p>
    <w:p w14:paraId="7A835494" w14:textId="03DCD8A9" w:rsidR="00B4736F" w:rsidRDefault="00A45957" w:rsidP="008F211C">
      <w:r>
        <w:t xml:space="preserve">Payment service providers (PSPs) undertaking </w:t>
      </w:r>
      <w:r w:rsidR="000D7743">
        <w:t>a function above</w:t>
      </w:r>
      <w:r w:rsidR="00A03347">
        <w:t xml:space="preserve"> </w:t>
      </w:r>
      <w:r>
        <w:t>will need to obtain an Australian Financial Services Licence (AFSL). Some PSPs will be subject to additional APRA regulation.</w:t>
      </w:r>
      <w:r w:rsidR="00C8765A">
        <w:t xml:space="preserve"> </w:t>
      </w:r>
    </w:p>
    <w:p w14:paraId="0A680A26" w14:textId="17D97A16" w:rsidR="00A45957" w:rsidRPr="004D72CA" w:rsidRDefault="00C8765A" w:rsidP="008F211C">
      <w:r>
        <w:t xml:space="preserve">Payment stablecoins are proposed to be regulated under the SVF framework as they offer </w:t>
      </w:r>
      <w:r w:rsidRPr="00F026CB">
        <w:t xml:space="preserve">features </w:t>
      </w:r>
      <w:r>
        <w:t>that are</w:t>
      </w:r>
      <w:r w:rsidRPr="00F026CB">
        <w:t xml:space="preserve"> functionally similar to fiat currency held in traditional SVFs</w:t>
      </w:r>
      <w:r>
        <w:t>.</w:t>
      </w:r>
    </w:p>
    <w:p w14:paraId="5B05F1A8" w14:textId="24AFFF15" w:rsidR="00F73783" w:rsidRDefault="00F73783" w:rsidP="00F80874">
      <w:pPr>
        <w:pStyle w:val="Heading3"/>
      </w:pPr>
      <w:r>
        <w:t xml:space="preserve">PSPs will need to meet </w:t>
      </w:r>
      <w:r w:rsidR="000F6263">
        <w:t xml:space="preserve">the </w:t>
      </w:r>
      <w:r>
        <w:t>obligations under the AFSL framework</w:t>
      </w:r>
    </w:p>
    <w:p w14:paraId="7C1D3DB4" w14:textId="2298B6A7" w:rsidR="00CB3684" w:rsidRPr="00CB3684" w:rsidRDefault="00CB3684" w:rsidP="00622526">
      <w:r>
        <w:t xml:space="preserve">These obligations </w:t>
      </w:r>
      <w:r w:rsidR="00C00B68">
        <w:t>include:</w:t>
      </w:r>
    </w:p>
    <w:p w14:paraId="0E148F14" w14:textId="0CF4ED70" w:rsidR="00F73783" w:rsidRPr="008113BB" w:rsidRDefault="00F73783" w:rsidP="008113BB">
      <w:pPr>
        <w:pStyle w:val="Bullet"/>
      </w:pPr>
      <w:r w:rsidRPr="008113BB">
        <w:t>providing financial service</w:t>
      </w:r>
      <w:r w:rsidR="00414643" w:rsidRPr="008113BB">
        <w:t>s</w:t>
      </w:r>
      <w:r w:rsidRPr="008113BB">
        <w:t xml:space="preserve"> efficiently, honestly, and fairly </w:t>
      </w:r>
    </w:p>
    <w:p w14:paraId="45C1ABF6" w14:textId="77777777" w:rsidR="00F73783" w:rsidRPr="008113BB" w:rsidRDefault="00F73783" w:rsidP="008113BB">
      <w:pPr>
        <w:pStyle w:val="Bullet"/>
      </w:pPr>
      <w:r w:rsidRPr="008113BB">
        <w:t>managing conflicts of interest</w:t>
      </w:r>
    </w:p>
    <w:p w14:paraId="31EED0F6" w14:textId="49A5DC08" w:rsidR="00F73783" w:rsidRPr="008113BB" w:rsidRDefault="00F73783" w:rsidP="008113BB">
      <w:pPr>
        <w:pStyle w:val="Bullet"/>
      </w:pPr>
      <w:r w:rsidRPr="008113BB">
        <w:t>having a dispute resolution system</w:t>
      </w:r>
      <w:r w:rsidR="00586D16" w:rsidRPr="008113BB">
        <w:t xml:space="preserve"> </w:t>
      </w:r>
      <w:r w:rsidR="00413F71" w:rsidRPr="008113BB">
        <w:t>for</w:t>
      </w:r>
      <w:r w:rsidR="00595A35" w:rsidRPr="008113BB">
        <w:t xml:space="preserve"> </w:t>
      </w:r>
      <w:r w:rsidR="00586D16" w:rsidRPr="008113BB">
        <w:t>retail clients</w:t>
      </w:r>
    </w:p>
    <w:p w14:paraId="3A41F4EE" w14:textId="2B45970A" w:rsidR="00413F71" w:rsidRPr="008113BB" w:rsidRDefault="00413F71" w:rsidP="008113BB">
      <w:pPr>
        <w:pStyle w:val="Bullet"/>
      </w:pPr>
      <w:r w:rsidRPr="008113BB">
        <w:t>hav</w:t>
      </w:r>
      <w:r w:rsidR="00C96A99" w:rsidRPr="008113BB">
        <w:t>ing</w:t>
      </w:r>
      <w:r w:rsidRPr="008113BB">
        <w:t xml:space="preserve"> arrangements for compensating retail clients</w:t>
      </w:r>
    </w:p>
    <w:p w14:paraId="31D349FB" w14:textId="77777777" w:rsidR="00F73783" w:rsidRPr="008113BB" w:rsidRDefault="00F73783" w:rsidP="008113BB">
      <w:pPr>
        <w:pStyle w:val="Bullet"/>
      </w:pPr>
      <w:r w:rsidRPr="008113BB">
        <w:t>meeting solvency and cash reserve requirements</w:t>
      </w:r>
    </w:p>
    <w:p w14:paraId="77343FAF" w14:textId="48BF59FA" w:rsidR="00F73783" w:rsidRPr="008113BB" w:rsidRDefault="00F73783" w:rsidP="008113BB">
      <w:pPr>
        <w:pStyle w:val="Bullet"/>
      </w:pPr>
      <w:r w:rsidRPr="008113BB">
        <w:t>keeping and submit</w:t>
      </w:r>
      <w:r w:rsidR="00B02DD0" w:rsidRPr="008113BB">
        <w:t>t</w:t>
      </w:r>
      <w:r w:rsidRPr="008113BB">
        <w:t>ing financial records</w:t>
      </w:r>
    </w:p>
    <w:p w14:paraId="4193B9DA" w14:textId="1F3FBC4F" w:rsidR="00F73783" w:rsidRDefault="00896A65" w:rsidP="00F80874">
      <w:pPr>
        <w:pStyle w:val="Heading3"/>
      </w:pPr>
      <w:r>
        <w:t xml:space="preserve">A number of specific </w:t>
      </w:r>
      <w:r w:rsidR="00586D16">
        <w:t>requirements</w:t>
      </w:r>
      <w:r>
        <w:t xml:space="preserve"> will </w:t>
      </w:r>
      <w:r w:rsidR="002A01E2">
        <w:t xml:space="preserve">apply </w:t>
      </w:r>
      <w:r>
        <w:t>to PSPs</w:t>
      </w:r>
    </w:p>
    <w:p w14:paraId="6278C38E" w14:textId="77777777" w:rsidR="008D53C0" w:rsidRPr="00192D22" w:rsidRDefault="008D53C0" w:rsidP="008D53C0">
      <w:r>
        <w:t>These specific requirements include:</w:t>
      </w:r>
    </w:p>
    <w:p w14:paraId="4DF307DC" w14:textId="6D3C8AF9" w:rsidR="008D53C0" w:rsidRPr="008113BB" w:rsidRDefault="3CC20FAF" w:rsidP="008113BB">
      <w:pPr>
        <w:pStyle w:val="Bullet"/>
      </w:pPr>
      <w:r w:rsidRPr="008113BB">
        <w:t>a</w:t>
      </w:r>
      <w:r w:rsidR="6818F486" w:rsidRPr="008113BB">
        <w:t>dditional</w:t>
      </w:r>
      <w:r w:rsidR="00586D16" w:rsidRPr="008113BB">
        <w:t xml:space="preserve"> f</w:t>
      </w:r>
      <w:r w:rsidR="00896A65" w:rsidRPr="008113BB">
        <w:t>inancial requirements</w:t>
      </w:r>
      <w:r w:rsidR="00586D16" w:rsidRPr="008113BB">
        <w:t xml:space="preserve">, including </w:t>
      </w:r>
      <w:r w:rsidR="00896A65" w:rsidRPr="008113BB">
        <w:t xml:space="preserve">holding </w:t>
      </w:r>
      <w:r w:rsidR="00586D16" w:rsidRPr="008113BB">
        <w:t>surplus liquid funds</w:t>
      </w:r>
      <w:r w:rsidR="00896A65" w:rsidRPr="008113BB">
        <w:t xml:space="preserve"> and </w:t>
      </w:r>
      <w:r w:rsidR="00586D16" w:rsidRPr="008113BB">
        <w:t>adjusted surplus liquid funds</w:t>
      </w:r>
    </w:p>
    <w:p w14:paraId="7F8164A0" w14:textId="1E1A6101" w:rsidR="008D53C0" w:rsidRPr="008113BB" w:rsidRDefault="708B70D5" w:rsidP="008113BB">
      <w:pPr>
        <w:pStyle w:val="Bullet"/>
      </w:pPr>
      <w:r w:rsidRPr="008113BB">
        <w:t>c</w:t>
      </w:r>
      <w:r w:rsidR="6818F486" w:rsidRPr="008113BB">
        <w:t xml:space="preserve">lient </w:t>
      </w:r>
      <w:r w:rsidR="008D53C0" w:rsidRPr="008113BB">
        <w:t>money rules for PSPs that hold client funds</w:t>
      </w:r>
      <w:r w:rsidR="001A5905" w:rsidRPr="008113BB">
        <w:t>.</w:t>
      </w:r>
    </w:p>
    <w:p w14:paraId="4129BA4D" w14:textId="75F094A3" w:rsidR="00F80874" w:rsidRDefault="002E5A74" w:rsidP="00F80874">
      <w:pPr>
        <w:pStyle w:val="Heading3"/>
      </w:pPr>
      <w:r>
        <w:t xml:space="preserve">Some </w:t>
      </w:r>
      <w:r w:rsidR="00591BC2">
        <w:t xml:space="preserve">existing </w:t>
      </w:r>
      <w:r>
        <w:t>exemptions will be maintained</w:t>
      </w:r>
    </w:p>
    <w:p w14:paraId="5962CF36" w14:textId="17DE90C3" w:rsidR="002E5A74" w:rsidRDefault="00F80874" w:rsidP="002E5A74">
      <w:pPr>
        <w:pStyle w:val="Bullet"/>
        <w:numPr>
          <w:ilvl w:val="0"/>
          <w:numId w:val="0"/>
        </w:numPr>
      </w:pPr>
      <w:r>
        <w:t>I</w:t>
      </w:r>
      <w:r w:rsidR="002E5A74">
        <w:t xml:space="preserve">ncluding for </w:t>
      </w:r>
      <w:r w:rsidR="00961D91">
        <w:t>low value payment facilities</w:t>
      </w:r>
      <w:r w:rsidR="00A32472">
        <w:t xml:space="preserve"> and </w:t>
      </w:r>
      <w:r w:rsidR="004544B7">
        <w:t>credit facilities</w:t>
      </w:r>
      <w:r w:rsidR="002E5A74">
        <w:t>.</w:t>
      </w:r>
    </w:p>
    <w:p w14:paraId="44859D13" w14:textId="77777777" w:rsidR="000A12C4" w:rsidRDefault="000A12C4">
      <w:pPr>
        <w:spacing w:before="0" w:after="0"/>
        <w:rPr>
          <w:rFonts w:ascii="Calibri" w:hAnsi="Calibri" w:cs="Arial"/>
          <w:iCs/>
          <w:color w:val="2C384A"/>
          <w:kern w:val="32"/>
          <w:sz w:val="36"/>
          <w:szCs w:val="28"/>
        </w:rPr>
      </w:pPr>
      <w:r>
        <w:br w:type="page"/>
      </w:r>
    </w:p>
    <w:p w14:paraId="5BF2DAB5" w14:textId="617F58D6" w:rsidR="00E4787B" w:rsidRPr="002E5A74" w:rsidRDefault="009C010E" w:rsidP="000D5AD2">
      <w:pPr>
        <w:pStyle w:val="Heading2"/>
        <w:spacing w:before="200"/>
      </w:pPr>
      <w:r>
        <w:lastRenderedPageBreak/>
        <w:t xml:space="preserve">APRA </w:t>
      </w:r>
      <w:r w:rsidR="00400748">
        <w:t>licence for</w:t>
      </w:r>
      <w:r>
        <w:t xml:space="preserve"> Major </w:t>
      </w:r>
      <w:r w:rsidR="00E4787B">
        <w:t>Stored-</w:t>
      </w:r>
      <w:r w:rsidR="00C2325C">
        <w:t>v</w:t>
      </w:r>
      <w:r w:rsidR="00E4787B">
        <w:t xml:space="preserve">alue </w:t>
      </w:r>
      <w:r w:rsidR="00C2325C">
        <w:t>f</w:t>
      </w:r>
      <w:r w:rsidR="00E4787B">
        <w:t>acilities</w:t>
      </w:r>
      <w:r w:rsidR="008D53C0">
        <w:t xml:space="preserve"> (Major SVFs)</w:t>
      </w:r>
    </w:p>
    <w:p w14:paraId="522C7CEC" w14:textId="4D47E1A5" w:rsidR="00615E4B" w:rsidRDefault="00223CBD" w:rsidP="008F211C">
      <w:r>
        <w:t xml:space="preserve">SVFs are payment services that enable customers to store funds in a facility for the purpose of making future payments. </w:t>
      </w:r>
      <w:r w:rsidR="009E53B7">
        <w:t>These services are increasingly important</w:t>
      </w:r>
      <w:r w:rsidR="00D16DCF">
        <w:t xml:space="preserve"> in the payments ecosystem</w:t>
      </w:r>
      <w:r w:rsidR="00E4787B" w:rsidRPr="00F80874">
        <w:t xml:space="preserve">. </w:t>
      </w:r>
      <w:r w:rsidR="00615E4B">
        <w:t xml:space="preserve">The reforms will modernise the regulatory framework for SVFs. </w:t>
      </w:r>
    </w:p>
    <w:p w14:paraId="0EBD2B72" w14:textId="643124EA" w:rsidR="00E4787B" w:rsidRDefault="00E4787B" w:rsidP="008F211C">
      <w:r>
        <w:t>SVFs</w:t>
      </w:r>
      <w:r w:rsidR="001C18FB">
        <w:t xml:space="preserve"> (including payment stablecoins)</w:t>
      </w:r>
      <w:r>
        <w:t xml:space="preserve"> will be subject to a gra</w:t>
      </w:r>
      <w:r w:rsidR="00CF1038">
        <w:t>du</w:t>
      </w:r>
      <w:r>
        <w:t xml:space="preserve">ated regulatory framework, with </w:t>
      </w:r>
      <w:r w:rsidR="00017C5D">
        <w:t>S</w:t>
      </w:r>
      <w:r w:rsidRPr="002E5A74">
        <w:t>tandard SVFs requir</w:t>
      </w:r>
      <w:r>
        <w:t>ing</w:t>
      </w:r>
      <w:r w:rsidRPr="002E5A74">
        <w:t xml:space="preserve"> an AFS</w:t>
      </w:r>
      <w:r w:rsidR="00486B2E">
        <w:t>L</w:t>
      </w:r>
      <w:r w:rsidRPr="002E5A74">
        <w:t xml:space="preserve"> and Major SVFs</w:t>
      </w:r>
      <w:r>
        <w:t xml:space="preserve"> (over $100m </w:t>
      </w:r>
      <w:r w:rsidR="00B57EDE">
        <w:t xml:space="preserve">in </w:t>
      </w:r>
      <w:r>
        <w:t>stored value)</w:t>
      </w:r>
      <w:r w:rsidRPr="002E5A74">
        <w:t xml:space="preserve"> requir</w:t>
      </w:r>
      <w:r>
        <w:t>ing</w:t>
      </w:r>
      <w:r w:rsidRPr="002E5A74">
        <w:t xml:space="preserve"> an additional APRA licence.</w:t>
      </w:r>
      <w:r w:rsidRPr="00F80874">
        <w:t xml:space="preserve"> </w:t>
      </w:r>
    </w:p>
    <w:p w14:paraId="6AAC27AE" w14:textId="026FA3A5" w:rsidR="0098483D" w:rsidRDefault="0098483D" w:rsidP="000D5AD2">
      <w:pPr>
        <w:pStyle w:val="Heading2"/>
        <w:spacing w:before="200"/>
      </w:pPr>
      <w:r>
        <w:t>Common access requirements</w:t>
      </w:r>
      <w:r w:rsidR="00D127D0">
        <w:t xml:space="preserve"> </w:t>
      </w:r>
      <w:r w:rsidR="000C464A">
        <w:t>for payment systems</w:t>
      </w:r>
    </w:p>
    <w:p w14:paraId="7C26507C" w14:textId="01A46771" w:rsidR="00EB0B8B" w:rsidRPr="008F211C" w:rsidRDefault="006010FE" w:rsidP="0098483D">
      <w:r>
        <w:t>Non-</w:t>
      </w:r>
      <w:r w:rsidR="00A1389A">
        <w:t>bank</w:t>
      </w:r>
      <w:r>
        <w:t xml:space="preserve"> PSPs are </w:t>
      </w:r>
      <w:r w:rsidR="001116D8">
        <w:t xml:space="preserve">currently </w:t>
      </w:r>
      <w:r>
        <w:t xml:space="preserve">not eligible to become direct </w:t>
      </w:r>
      <w:r w:rsidR="00ED1A01">
        <w:t xml:space="preserve">clearing </w:t>
      </w:r>
      <w:r w:rsidR="00F33573">
        <w:t xml:space="preserve">and </w:t>
      </w:r>
      <w:r w:rsidR="00ED1A01">
        <w:t xml:space="preserve">settlement </w:t>
      </w:r>
      <w:r>
        <w:t xml:space="preserve">participants in the </w:t>
      </w:r>
      <w:r w:rsidR="009F7927">
        <w:t>New Payments Platform</w:t>
      </w:r>
      <w:r>
        <w:t xml:space="preserve"> and are subject to additional conditions in </w:t>
      </w:r>
      <w:r w:rsidRPr="008F211C">
        <w:t>other payment systems</w:t>
      </w:r>
      <w:r w:rsidR="002E494E" w:rsidRPr="008F211C">
        <w:t xml:space="preserve">. </w:t>
      </w:r>
    </w:p>
    <w:p w14:paraId="1778B580" w14:textId="5689CE44" w:rsidR="0098483D" w:rsidRDefault="002E494E" w:rsidP="0098483D">
      <w:r w:rsidRPr="008F211C">
        <w:t xml:space="preserve">The </w:t>
      </w:r>
      <w:r w:rsidR="00B93E6A" w:rsidRPr="008F211C">
        <w:t>common access requirements</w:t>
      </w:r>
      <w:r w:rsidRPr="008F211C">
        <w:t xml:space="preserve"> </w:t>
      </w:r>
      <w:r w:rsidR="000C464A" w:rsidRPr="008F211C">
        <w:t>(CARs)</w:t>
      </w:r>
      <w:r w:rsidRPr="008F211C">
        <w:t xml:space="preserve"> will provide </w:t>
      </w:r>
      <w:r w:rsidR="000B7322" w:rsidRPr="008F211C">
        <w:t>a pathway for non-</w:t>
      </w:r>
      <w:r w:rsidR="00A1389A" w:rsidRPr="008F211C">
        <w:t>bank PSPs</w:t>
      </w:r>
      <w:r w:rsidR="000B7322" w:rsidRPr="008F211C">
        <w:t xml:space="preserve"> to </w:t>
      </w:r>
      <w:r w:rsidR="008E145F" w:rsidRPr="008F211C">
        <w:t xml:space="preserve">gain direct access to </w:t>
      </w:r>
      <w:r w:rsidR="00AA1D1C" w:rsidRPr="008F211C">
        <w:t>Australian</w:t>
      </w:r>
      <w:r w:rsidR="008E145F" w:rsidRPr="008F211C">
        <w:t xml:space="preserve"> payment systems</w:t>
      </w:r>
      <w:r w:rsidR="00300544" w:rsidRPr="008F211C">
        <w:t xml:space="preserve"> to clear and settle payments</w:t>
      </w:r>
      <w:r w:rsidR="005D71E9" w:rsidRPr="008F211C">
        <w:t xml:space="preserve">, promoting </w:t>
      </w:r>
      <w:r w:rsidR="001427E2" w:rsidRPr="008F211C">
        <w:t>more competition in payments</w:t>
      </w:r>
      <w:r w:rsidR="00300544" w:rsidRPr="008F211C">
        <w:t>.</w:t>
      </w:r>
      <w:r w:rsidR="00EB0B8B">
        <w:t xml:space="preserve"> </w:t>
      </w:r>
      <w:r w:rsidR="00281EA0" w:rsidRPr="00281EA0">
        <w:t xml:space="preserve">APRA would be responsible for setting and supervising the </w:t>
      </w:r>
      <w:r w:rsidR="00EB0B8B">
        <w:t>CARs</w:t>
      </w:r>
      <w:r w:rsidR="00281EA0" w:rsidRPr="00281EA0">
        <w:t>.</w:t>
      </w:r>
    </w:p>
    <w:p w14:paraId="1B801EAB" w14:textId="09F69FF4" w:rsidR="005D47D6" w:rsidRDefault="00797255" w:rsidP="000D5AD2">
      <w:pPr>
        <w:pStyle w:val="Heading2"/>
        <w:spacing w:before="200"/>
      </w:pPr>
      <w:r>
        <w:t>Industry standard-setting framework</w:t>
      </w:r>
    </w:p>
    <w:p w14:paraId="0F865877" w14:textId="6256925A" w:rsidR="00101F44" w:rsidRDefault="00101F44" w:rsidP="00101F44">
      <w:r>
        <w:t>A</w:t>
      </w:r>
      <w:r w:rsidRPr="00820554">
        <w:t xml:space="preserve"> standard-setting framework </w:t>
      </w:r>
      <w:r>
        <w:t xml:space="preserve">will be introduced </w:t>
      </w:r>
      <w:r w:rsidRPr="00820554">
        <w:t xml:space="preserve">for </w:t>
      </w:r>
      <w:r>
        <w:t>core</w:t>
      </w:r>
      <w:r w:rsidRPr="00820554">
        <w:t xml:space="preserve"> technical standards</w:t>
      </w:r>
      <w:r>
        <w:t xml:space="preserve"> </w:t>
      </w:r>
      <w:r w:rsidR="002C3457">
        <w:t xml:space="preserve">developed </w:t>
      </w:r>
      <w:r>
        <w:t>by a</w:t>
      </w:r>
      <w:r w:rsidR="002C3457">
        <w:t>n</w:t>
      </w:r>
      <w:r w:rsidR="00542FFE">
        <w:t> </w:t>
      </w:r>
      <w:r w:rsidR="002C3457">
        <w:t xml:space="preserve"> authorised</w:t>
      </w:r>
      <w:r w:rsidRPr="00766A56">
        <w:t xml:space="preserve"> standard-setting body</w:t>
      </w:r>
      <w:r>
        <w:t xml:space="preserve"> (or bodies) where the existing voluntary standards are inadequate.</w:t>
      </w:r>
    </w:p>
    <w:p w14:paraId="5C4CB881" w14:textId="726464A8" w:rsidR="00103AB1" w:rsidRDefault="00103AB1" w:rsidP="000D5AD2">
      <w:pPr>
        <w:pStyle w:val="Heading2"/>
        <w:spacing w:before="200"/>
      </w:pPr>
      <w:r>
        <w:t>ePayments Code</w:t>
      </w:r>
    </w:p>
    <w:tbl>
      <w:tblPr>
        <w:tblpPr w:leftFromText="180" w:rightFromText="180" w:vertAnchor="text" w:horzAnchor="margin" w:tblpXSpec="center" w:tblpY="1490"/>
        <w:tblW w:w="5168" w:type="pct"/>
        <w:shd w:val="clear" w:color="auto" w:fill="F2F9FC"/>
        <w:tblCellMar>
          <w:top w:w="227" w:type="dxa"/>
          <w:left w:w="227" w:type="dxa"/>
          <w:bottom w:w="227" w:type="dxa"/>
          <w:right w:w="227" w:type="dxa"/>
        </w:tblCellMar>
        <w:tblLook w:val="01E0" w:firstRow="1" w:lastRow="1" w:firstColumn="1" w:lastColumn="1" w:noHBand="0" w:noVBand="0"/>
      </w:tblPr>
      <w:tblGrid>
        <w:gridCol w:w="8790"/>
      </w:tblGrid>
      <w:tr w:rsidR="000D5AD2" w14:paraId="51D592C8" w14:textId="77777777" w:rsidTr="000D5AD2">
        <w:tc>
          <w:tcPr>
            <w:tcW w:w="5000" w:type="pct"/>
            <w:shd w:val="clear" w:color="auto" w:fill="F2F9FC"/>
          </w:tcPr>
          <w:p w14:paraId="328FE847" w14:textId="77777777" w:rsidR="000D5AD2" w:rsidRPr="0090719E" w:rsidRDefault="000D5AD2" w:rsidP="008113BB">
            <w:pPr>
              <w:pStyle w:val="Style2"/>
              <w:spacing w:before="120"/>
              <w:rPr>
                <w:szCs w:val="28"/>
              </w:rPr>
            </w:pPr>
            <w:r>
              <w:t>Next steps</w:t>
            </w:r>
          </w:p>
          <w:p w14:paraId="55CEC9AD" w14:textId="3C7611B1" w:rsidR="000D5AD2" w:rsidRDefault="000D5AD2" w:rsidP="000D5AD2">
            <w:pPr>
              <w:pStyle w:val="BoxHeading"/>
              <w:rPr>
                <w:b w:val="0"/>
                <w:color w:val="auto"/>
                <w:sz w:val="22"/>
                <w:szCs w:val="20"/>
              </w:rPr>
            </w:pPr>
            <w:r>
              <w:rPr>
                <w:b w:val="0"/>
                <w:color w:val="auto"/>
                <w:sz w:val="22"/>
                <w:szCs w:val="20"/>
              </w:rPr>
              <w:t xml:space="preserve">Feedback on proposals closes </w:t>
            </w:r>
            <w:r w:rsidR="00D7345C">
              <w:rPr>
                <w:b w:val="0"/>
                <w:color w:val="auto"/>
                <w:sz w:val="22"/>
                <w:szCs w:val="20"/>
              </w:rPr>
              <w:t>2 February</w:t>
            </w:r>
            <w:r w:rsidRPr="00B67D45">
              <w:rPr>
                <w:b w:val="0"/>
                <w:color w:val="auto"/>
                <w:sz w:val="22"/>
                <w:szCs w:val="20"/>
              </w:rPr>
              <w:t xml:space="preserve"> 2024.</w:t>
            </w:r>
          </w:p>
          <w:p w14:paraId="791BE289" w14:textId="77777777" w:rsidR="000D5AD2" w:rsidRPr="00F73783" w:rsidRDefault="000D5AD2" w:rsidP="000D5AD2">
            <w:r>
              <w:t>Consultation on exposure draft legislation in 2024.</w:t>
            </w:r>
          </w:p>
          <w:p w14:paraId="3DCEA92A" w14:textId="2248169B" w:rsidR="000D5AD2" w:rsidRDefault="000D5AD2" w:rsidP="000D5AD2">
            <w:pPr>
              <w:pStyle w:val="Dash"/>
              <w:numPr>
                <w:ilvl w:val="0"/>
                <w:numId w:val="0"/>
              </w:numPr>
            </w:pPr>
            <w:r w:rsidRPr="002673FA">
              <w:t>Following the passage of primary legislation,</w:t>
            </w:r>
            <w:r w:rsidR="00AE4BAC">
              <w:t xml:space="preserve"> certain</w:t>
            </w:r>
            <w:r w:rsidRPr="002673FA">
              <w:t xml:space="preserve"> detailed elements of the reforms will be subject to further consultation. They include the design of supporting regulations for </w:t>
            </w:r>
            <w:r w:rsidR="006933A4">
              <w:t xml:space="preserve">the </w:t>
            </w:r>
            <w:r w:rsidRPr="002673FA">
              <w:t>manda</w:t>
            </w:r>
            <w:r w:rsidR="006933A4">
              <w:t>tory</w:t>
            </w:r>
            <w:r w:rsidRPr="002673FA">
              <w:t xml:space="preserve"> revised ePayments Code, common access requirements, and mandatory technical standards.</w:t>
            </w:r>
          </w:p>
          <w:p w14:paraId="3C3C92CA" w14:textId="77777777" w:rsidR="000D5AD2" w:rsidRDefault="000D5AD2" w:rsidP="000D5AD2">
            <w:pPr>
              <w:pStyle w:val="Style2"/>
            </w:pPr>
            <w:r>
              <w:t xml:space="preserve">Related information </w:t>
            </w:r>
          </w:p>
          <w:p w14:paraId="7AD823C0" w14:textId="77777777" w:rsidR="000D5AD2" w:rsidRDefault="00542FFE" w:rsidP="000D5AD2">
            <w:pPr>
              <w:pStyle w:val="Dash"/>
              <w:numPr>
                <w:ilvl w:val="0"/>
                <w:numId w:val="0"/>
              </w:numPr>
            </w:pPr>
            <w:hyperlink r:id="rId8" w:history="1">
              <w:r w:rsidR="000D5AD2" w:rsidRPr="002B1BCF">
                <w:rPr>
                  <w:rStyle w:val="Hyperlink"/>
                </w:rPr>
                <w:t>A Strategic Plan for Australia’s Payments System</w:t>
              </w:r>
            </w:hyperlink>
          </w:p>
          <w:p w14:paraId="4C6ECDAF" w14:textId="36575E71" w:rsidR="000D5AD2" w:rsidRPr="00BA123B" w:rsidRDefault="00542FFE" w:rsidP="000D5AD2">
            <w:pPr>
              <w:pStyle w:val="Dash"/>
              <w:numPr>
                <w:ilvl w:val="0"/>
                <w:numId w:val="0"/>
              </w:numPr>
            </w:pPr>
            <w:hyperlink r:id="rId9" w:history="1">
              <w:r w:rsidR="000D5AD2" w:rsidRPr="00AD6832">
                <w:rPr>
                  <w:rStyle w:val="Hyperlink"/>
                </w:rPr>
                <w:t>Payments System Modernisation (Licensing: Defining Payment Functions)</w:t>
              </w:r>
            </w:hyperlink>
            <w:r w:rsidR="000D5AD2">
              <w:t xml:space="preserve"> - June 2023 Consultation Paper</w:t>
            </w:r>
          </w:p>
        </w:tc>
      </w:tr>
    </w:tbl>
    <w:p w14:paraId="3E129B6D" w14:textId="221614FB" w:rsidR="00DE74EC" w:rsidRPr="00045C24" w:rsidRDefault="008C44C4" w:rsidP="00CF6FB6">
      <w:r>
        <w:t xml:space="preserve">The Government will introduce a mandatory ePayments Code, to replace the existing voluntary Code. This will ensure consistent consumer protection for unauthorised transactions and mistaken payments. A </w:t>
      </w:r>
      <w:r w:rsidRPr="002313F6">
        <w:t xml:space="preserve">rule-making power will allow the Minister to </w:t>
      </w:r>
      <w:r w:rsidRPr="005629D8">
        <w:t>set baseline consumer protections</w:t>
      </w:r>
      <w:r>
        <w:t xml:space="preserve"> and consultation on </w:t>
      </w:r>
      <w:r w:rsidRPr="00574D1B">
        <w:t>proposed revisions to ePayments Code obligations will follow.</w:t>
      </w:r>
    </w:p>
    <w:sectPr w:rsidR="00DE74EC" w:rsidRPr="00045C24" w:rsidSect="00300C95">
      <w:headerReference w:type="default" r:id="rId10"/>
      <w:footerReference w:type="default" r:id="rId11"/>
      <w:headerReference w:type="first" r:id="rId12"/>
      <w:footerReference w:type="first" r:id="rId13"/>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3F31" w14:textId="77777777" w:rsidR="00B005EB" w:rsidRDefault="00B005EB" w:rsidP="00886BC4">
      <w:r>
        <w:separator/>
      </w:r>
    </w:p>
    <w:p w14:paraId="5201067A" w14:textId="77777777" w:rsidR="00B005EB" w:rsidRDefault="00B005EB"/>
    <w:p w14:paraId="0C6261B2" w14:textId="77777777" w:rsidR="00B005EB" w:rsidRDefault="00B005EB"/>
  </w:endnote>
  <w:endnote w:type="continuationSeparator" w:id="0">
    <w:p w14:paraId="0C278C7C" w14:textId="77777777" w:rsidR="00B005EB" w:rsidRDefault="00B005EB" w:rsidP="00886BC4">
      <w:r>
        <w:continuationSeparator/>
      </w:r>
    </w:p>
    <w:p w14:paraId="644523D9" w14:textId="77777777" w:rsidR="00B005EB" w:rsidRDefault="00B005EB"/>
    <w:p w14:paraId="4B7D1B84" w14:textId="77777777" w:rsidR="00B005EB" w:rsidRDefault="00B005EB"/>
  </w:endnote>
  <w:endnote w:type="continuationNotice" w:id="1">
    <w:p w14:paraId="14D2D065" w14:textId="77777777" w:rsidR="00B005EB" w:rsidRDefault="00B005EB"/>
    <w:p w14:paraId="769177C6" w14:textId="77777777" w:rsidR="00B005EB" w:rsidRDefault="00B00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DA00" w14:textId="6A878A32" w:rsidR="00C677FF" w:rsidRPr="008113BB" w:rsidRDefault="008113BB" w:rsidP="008113BB">
    <w:pPr>
      <w:pStyle w:val="Footer"/>
      <w:tabs>
        <w:tab w:val="clear" w:pos="4320"/>
        <w:tab w:val="clear" w:pos="8640"/>
        <w:tab w:val="center" w:pos="7938"/>
      </w:tabs>
      <w:jc w:val="right"/>
    </w:pPr>
    <w:r w:rsidRPr="00AC3B66">
      <w:rPr>
        <w:noProof/>
        <w:position w:val="-10"/>
      </w:rPr>
      <w:drawing>
        <wp:inline distT="0" distB="0" distL="0" distR="0" wp14:anchorId="2E1D101D" wp14:editId="2BFFEE25">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Pr>
        <w:noProof/>
      </w:rPr>
      <w:t>7 December 2023</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8A59" w14:textId="35B532AC" w:rsidR="00C677FF" w:rsidRDefault="00E81A92" w:rsidP="008113BB">
    <w:pPr>
      <w:pStyle w:val="Footer"/>
      <w:tabs>
        <w:tab w:val="clear" w:pos="4320"/>
        <w:tab w:val="clear" w:pos="8640"/>
        <w:tab w:val="center" w:pos="7938"/>
      </w:tabs>
      <w:jc w:val="right"/>
    </w:pPr>
    <w:r w:rsidRPr="00AC3B66">
      <w:rPr>
        <w:noProof/>
        <w:position w:val="-10"/>
      </w:rPr>
      <w:drawing>
        <wp:inline distT="0" distB="0" distL="0" distR="0" wp14:anchorId="672ABE13" wp14:editId="6DCABE49">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E26B17">
      <w:rPr>
        <w:noProof/>
      </w:rPr>
      <w:t>7 December 2023</w:t>
    </w:r>
    <w:r w:rsidR="00166A45">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3382" w14:textId="77777777" w:rsidR="00B005EB" w:rsidRDefault="00B005EB" w:rsidP="00886BC4">
      <w:r>
        <w:separator/>
      </w:r>
    </w:p>
    <w:p w14:paraId="42CBE0B6" w14:textId="77777777" w:rsidR="00B005EB" w:rsidRDefault="00B005EB"/>
    <w:p w14:paraId="227881D5" w14:textId="77777777" w:rsidR="00B005EB" w:rsidRDefault="00B005EB"/>
  </w:footnote>
  <w:footnote w:type="continuationSeparator" w:id="0">
    <w:p w14:paraId="62943C80" w14:textId="77777777" w:rsidR="00B005EB" w:rsidRDefault="00B005EB" w:rsidP="00886BC4">
      <w:r>
        <w:continuationSeparator/>
      </w:r>
    </w:p>
    <w:p w14:paraId="6BE1F874" w14:textId="77777777" w:rsidR="00B005EB" w:rsidRDefault="00B005EB"/>
    <w:p w14:paraId="570560F1" w14:textId="77777777" w:rsidR="00B005EB" w:rsidRDefault="00B005EB"/>
  </w:footnote>
  <w:footnote w:type="continuationNotice" w:id="1">
    <w:p w14:paraId="2CDE5B09" w14:textId="77777777" w:rsidR="00B005EB" w:rsidRDefault="00B005EB"/>
    <w:p w14:paraId="69572A94" w14:textId="77777777" w:rsidR="00B005EB" w:rsidRDefault="00B00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7E4C" w14:textId="26C021D1" w:rsidR="006D3EE7" w:rsidRPr="007F53C0" w:rsidRDefault="00FC2E34" w:rsidP="007F53C0">
    <w:pPr>
      <w:pStyle w:val="Header"/>
    </w:pPr>
    <w:r>
      <w:rPr>
        <w:noProof/>
      </w:rPr>
      <w:drawing>
        <wp:anchor distT="0" distB="0" distL="114300" distR="114300" simplePos="0" relativeHeight="251666433" behindDoc="1" locked="0" layoutInCell="1" allowOverlap="1" wp14:anchorId="541008A5" wp14:editId="06288B12">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du="http://schemas.microsoft.com/office/word/2023/wordml/word16du"/>
                    </a:ext>
                  </a:extLst>
                </pic:spPr>
              </pic:pic>
            </a:graphicData>
          </a:graphic>
          <wp14:sizeRelH relativeFrom="page">
            <wp14:pctWidth>0</wp14:pctWidth>
          </wp14:sizeRelH>
          <wp14:sizeRelV relativeFrom="page">
            <wp14:pctHeight>0</wp14:pctHeight>
          </wp14:sizeRelV>
        </wp:anchor>
      </w:drawing>
    </w:r>
    <w:r w:rsidR="00542FFE">
      <w:fldChar w:fldCharType="begin"/>
    </w:r>
    <w:r w:rsidR="00542FFE">
      <w:instrText xml:space="preserve"> STYLEREF  "Fact sheet title"  \* MERGEFORMAT </w:instrText>
    </w:r>
    <w:r w:rsidR="00542FFE">
      <w:fldChar w:fldCharType="separate"/>
    </w:r>
    <w:r w:rsidR="00542FFE">
      <w:rPr>
        <w:noProof/>
      </w:rPr>
      <w:t>Regulation of Payment Service Providers</w:t>
    </w:r>
    <w:r w:rsidR="00542FFE">
      <w:rPr>
        <w:noProof/>
      </w:rPr>
      <w:fldChar w:fldCharType="end"/>
    </w:r>
  </w:p>
  <w:p w14:paraId="3792ABB0" w14:textId="77777777" w:rsidR="00C677FF" w:rsidRDefault="00C677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E3F5" w14:textId="77777777" w:rsidR="00300C95" w:rsidRDefault="00300C95">
    <w:pPr>
      <w:pStyle w:val="Header"/>
    </w:pPr>
    <w:r>
      <w:rPr>
        <w:noProof/>
      </w:rPr>
      <w:drawing>
        <wp:anchor distT="0" distB="0" distL="114300" distR="114300" simplePos="0" relativeHeight="251658240" behindDoc="1" locked="0" layoutInCell="1" allowOverlap="0" wp14:anchorId="1C53CFE0" wp14:editId="565A7441">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3294315">
    <w:abstractNumId w:val="3"/>
  </w:num>
  <w:num w:numId="2" w16cid:durableId="1009209868">
    <w:abstractNumId w:val="8"/>
  </w:num>
  <w:num w:numId="3" w16cid:durableId="320894034">
    <w:abstractNumId w:val="6"/>
  </w:num>
  <w:num w:numId="4" w16cid:durableId="1495871631">
    <w:abstractNumId w:val="7"/>
  </w:num>
  <w:num w:numId="5" w16cid:durableId="1226910991">
    <w:abstractNumId w:val="4"/>
  </w:num>
  <w:num w:numId="6" w16cid:durableId="89981747">
    <w:abstractNumId w:val="0"/>
  </w:num>
  <w:num w:numId="7" w16cid:durableId="168200793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882334">
    <w:abstractNumId w:val="1"/>
  </w:num>
  <w:num w:numId="9" w16cid:durableId="1392539904">
    <w:abstractNumId w:val="5"/>
  </w:num>
  <w:num w:numId="10" w16cid:durableId="1730347806">
    <w:abstractNumId w:val="2"/>
  </w:num>
  <w:num w:numId="11" w16cid:durableId="141624617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FF64EA"/>
    <w:rsid w:val="00000462"/>
    <w:rsid w:val="00001ED4"/>
    <w:rsid w:val="00002617"/>
    <w:rsid w:val="000074DC"/>
    <w:rsid w:val="000110E5"/>
    <w:rsid w:val="00011D6B"/>
    <w:rsid w:val="000136FF"/>
    <w:rsid w:val="0001452F"/>
    <w:rsid w:val="00014706"/>
    <w:rsid w:val="00016670"/>
    <w:rsid w:val="00016A73"/>
    <w:rsid w:val="00016B6C"/>
    <w:rsid w:val="00017C5D"/>
    <w:rsid w:val="0002151A"/>
    <w:rsid w:val="0002534A"/>
    <w:rsid w:val="000259E3"/>
    <w:rsid w:val="000262EA"/>
    <w:rsid w:val="00027498"/>
    <w:rsid w:val="00033942"/>
    <w:rsid w:val="00033E43"/>
    <w:rsid w:val="00037AA7"/>
    <w:rsid w:val="00040F6B"/>
    <w:rsid w:val="00041103"/>
    <w:rsid w:val="000421F9"/>
    <w:rsid w:val="00042C19"/>
    <w:rsid w:val="00045C24"/>
    <w:rsid w:val="000520BB"/>
    <w:rsid w:val="0005316A"/>
    <w:rsid w:val="00054318"/>
    <w:rsid w:val="0005475F"/>
    <w:rsid w:val="00054FEB"/>
    <w:rsid w:val="00060065"/>
    <w:rsid w:val="00060AA6"/>
    <w:rsid w:val="00060C76"/>
    <w:rsid w:val="00061715"/>
    <w:rsid w:val="00066A50"/>
    <w:rsid w:val="00067E65"/>
    <w:rsid w:val="000718A6"/>
    <w:rsid w:val="00072918"/>
    <w:rsid w:val="000743F8"/>
    <w:rsid w:val="00074D8A"/>
    <w:rsid w:val="000753CE"/>
    <w:rsid w:val="00080FF5"/>
    <w:rsid w:val="00081DB4"/>
    <w:rsid w:val="00085269"/>
    <w:rsid w:val="000866F9"/>
    <w:rsid w:val="00087BF7"/>
    <w:rsid w:val="0009019E"/>
    <w:rsid w:val="0009187A"/>
    <w:rsid w:val="0009193A"/>
    <w:rsid w:val="00092B6E"/>
    <w:rsid w:val="00097444"/>
    <w:rsid w:val="000A04BF"/>
    <w:rsid w:val="000A12C4"/>
    <w:rsid w:val="000A385E"/>
    <w:rsid w:val="000A3EB9"/>
    <w:rsid w:val="000A44D2"/>
    <w:rsid w:val="000A4D2D"/>
    <w:rsid w:val="000B1EC3"/>
    <w:rsid w:val="000B2B5A"/>
    <w:rsid w:val="000B3C90"/>
    <w:rsid w:val="000B414F"/>
    <w:rsid w:val="000B63F9"/>
    <w:rsid w:val="000B6F5A"/>
    <w:rsid w:val="000B7322"/>
    <w:rsid w:val="000C02C9"/>
    <w:rsid w:val="000C06EB"/>
    <w:rsid w:val="000C09DC"/>
    <w:rsid w:val="000C0D05"/>
    <w:rsid w:val="000C27C3"/>
    <w:rsid w:val="000C464A"/>
    <w:rsid w:val="000D06FA"/>
    <w:rsid w:val="000D0E7C"/>
    <w:rsid w:val="000D0EDE"/>
    <w:rsid w:val="000D18AD"/>
    <w:rsid w:val="000D33F2"/>
    <w:rsid w:val="000D3496"/>
    <w:rsid w:val="000D34B8"/>
    <w:rsid w:val="000D3AE9"/>
    <w:rsid w:val="000D3FED"/>
    <w:rsid w:val="000D46E9"/>
    <w:rsid w:val="000D56CF"/>
    <w:rsid w:val="000D5AD2"/>
    <w:rsid w:val="000D701A"/>
    <w:rsid w:val="000D7743"/>
    <w:rsid w:val="000D7D2F"/>
    <w:rsid w:val="000E0181"/>
    <w:rsid w:val="000E14F5"/>
    <w:rsid w:val="000E2DE2"/>
    <w:rsid w:val="000E324C"/>
    <w:rsid w:val="000E4BC8"/>
    <w:rsid w:val="000E4F84"/>
    <w:rsid w:val="000E6BD8"/>
    <w:rsid w:val="000F2493"/>
    <w:rsid w:val="000F2562"/>
    <w:rsid w:val="000F33C9"/>
    <w:rsid w:val="000F51EC"/>
    <w:rsid w:val="000F5E22"/>
    <w:rsid w:val="000F6263"/>
    <w:rsid w:val="000F79E2"/>
    <w:rsid w:val="00101F44"/>
    <w:rsid w:val="00102238"/>
    <w:rsid w:val="0010309E"/>
    <w:rsid w:val="00103AB1"/>
    <w:rsid w:val="00105EBE"/>
    <w:rsid w:val="001116D8"/>
    <w:rsid w:val="00113871"/>
    <w:rsid w:val="001145FD"/>
    <w:rsid w:val="00115B2E"/>
    <w:rsid w:val="00115C97"/>
    <w:rsid w:val="0011628E"/>
    <w:rsid w:val="00117A60"/>
    <w:rsid w:val="00117EFA"/>
    <w:rsid w:val="0012476C"/>
    <w:rsid w:val="00126423"/>
    <w:rsid w:val="0012792F"/>
    <w:rsid w:val="00130681"/>
    <w:rsid w:val="001309B7"/>
    <w:rsid w:val="001319A0"/>
    <w:rsid w:val="001325AE"/>
    <w:rsid w:val="001325E1"/>
    <w:rsid w:val="001363E7"/>
    <w:rsid w:val="001376CC"/>
    <w:rsid w:val="00140697"/>
    <w:rsid w:val="0014178A"/>
    <w:rsid w:val="001427E2"/>
    <w:rsid w:val="001441A9"/>
    <w:rsid w:val="00144B84"/>
    <w:rsid w:val="00144F8B"/>
    <w:rsid w:val="0014608E"/>
    <w:rsid w:val="001463FA"/>
    <w:rsid w:val="0014770E"/>
    <w:rsid w:val="00147E61"/>
    <w:rsid w:val="001573A3"/>
    <w:rsid w:val="00157588"/>
    <w:rsid w:val="0016161E"/>
    <w:rsid w:val="00161A98"/>
    <w:rsid w:val="001639D0"/>
    <w:rsid w:val="00164F79"/>
    <w:rsid w:val="00166A45"/>
    <w:rsid w:val="001702D3"/>
    <w:rsid w:val="00170D81"/>
    <w:rsid w:val="00171CD2"/>
    <w:rsid w:val="00171CF6"/>
    <w:rsid w:val="00174954"/>
    <w:rsid w:val="00174A1C"/>
    <w:rsid w:val="00174C65"/>
    <w:rsid w:val="00182A39"/>
    <w:rsid w:val="00182A67"/>
    <w:rsid w:val="00182E9E"/>
    <w:rsid w:val="00183F40"/>
    <w:rsid w:val="00184E0B"/>
    <w:rsid w:val="0018543F"/>
    <w:rsid w:val="001866A3"/>
    <w:rsid w:val="00187437"/>
    <w:rsid w:val="00190D7B"/>
    <w:rsid w:val="00190E5D"/>
    <w:rsid w:val="001912F0"/>
    <w:rsid w:val="00192367"/>
    <w:rsid w:val="001924A2"/>
    <w:rsid w:val="001924AF"/>
    <w:rsid w:val="001929D8"/>
    <w:rsid w:val="0019301F"/>
    <w:rsid w:val="001948E7"/>
    <w:rsid w:val="00197414"/>
    <w:rsid w:val="001A007B"/>
    <w:rsid w:val="001A00EA"/>
    <w:rsid w:val="001A25EA"/>
    <w:rsid w:val="001A5155"/>
    <w:rsid w:val="001A5905"/>
    <w:rsid w:val="001A5DCC"/>
    <w:rsid w:val="001B19B4"/>
    <w:rsid w:val="001B3848"/>
    <w:rsid w:val="001B3A29"/>
    <w:rsid w:val="001B540E"/>
    <w:rsid w:val="001B59B6"/>
    <w:rsid w:val="001B6206"/>
    <w:rsid w:val="001B7DB0"/>
    <w:rsid w:val="001C18FB"/>
    <w:rsid w:val="001C2413"/>
    <w:rsid w:val="001C5117"/>
    <w:rsid w:val="001C78AE"/>
    <w:rsid w:val="001D45A4"/>
    <w:rsid w:val="001E1B17"/>
    <w:rsid w:val="001E5623"/>
    <w:rsid w:val="001E5EAE"/>
    <w:rsid w:val="001E6DC2"/>
    <w:rsid w:val="001E6FCD"/>
    <w:rsid w:val="001E7840"/>
    <w:rsid w:val="001E7CF5"/>
    <w:rsid w:val="001F01F6"/>
    <w:rsid w:val="001F0601"/>
    <w:rsid w:val="001F50DA"/>
    <w:rsid w:val="00201F53"/>
    <w:rsid w:val="00203245"/>
    <w:rsid w:val="00205B06"/>
    <w:rsid w:val="00205F44"/>
    <w:rsid w:val="002100C1"/>
    <w:rsid w:val="002105F8"/>
    <w:rsid w:val="002108A6"/>
    <w:rsid w:val="00211641"/>
    <w:rsid w:val="00215EE7"/>
    <w:rsid w:val="0022266F"/>
    <w:rsid w:val="002232D7"/>
    <w:rsid w:val="00223CBD"/>
    <w:rsid w:val="00223D87"/>
    <w:rsid w:val="00224163"/>
    <w:rsid w:val="0022429B"/>
    <w:rsid w:val="0022614A"/>
    <w:rsid w:val="00226155"/>
    <w:rsid w:val="002266F9"/>
    <w:rsid w:val="002268AB"/>
    <w:rsid w:val="00226F00"/>
    <w:rsid w:val="0022749C"/>
    <w:rsid w:val="00227C77"/>
    <w:rsid w:val="002313F6"/>
    <w:rsid w:val="002336F9"/>
    <w:rsid w:val="00233887"/>
    <w:rsid w:val="00233A88"/>
    <w:rsid w:val="00234617"/>
    <w:rsid w:val="00235BA2"/>
    <w:rsid w:val="00235D05"/>
    <w:rsid w:val="00241B9A"/>
    <w:rsid w:val="0024226F"/>
    <w:rsid w:val="0024262D"/>
    <w:rsid w:val="00245342"/>
    <w:rsid w:val="002462BD"/>
    <w:rsid w:val="0024659B"/>
    <w:rsid w:val="002513A7"/>
    <w:rsid w:val="0025666E"/>
    <w:rsid w:val="00256908"/>
    <w:rsid w:val="00260712"/>
    <w:rsid w:val="00260934"/>
    <w:rsid w:val="00263024"/>
    <w:rsid w:val="00263339"/>
    <w:rsid w:val="002663DE"/>
    <w:rsid w:val="00266CC4"/>
    <w:rsid w:val="002673FA"/>
    <w:rsid w:val="00271BC9"/>
    <w:rsid w:val="00273964"/>
    <w:rsid w:val="00275AC5"/>
    <w:rsid w:val="00275DFB"/>
    <w:rsid w:val="002809F6"/>
    <w:rsid w:val="00281EA0"/>
    <w:rsid w:val="002823C2"/>
    <w:rsid w:val="00283303"/>
    <w:rsid w:val="00284D63"/>
    <w:rsid w:val="00284E53"/>
    <w:rsid w:val="002858BC"/>
    <w:rsid w:val="0028741C"/>
    <w:rsid w:val="00287F32"/>
    <w:rsid w:val="002902C8"/>
    <w:rsid w:val="00290841"/>
    <w:rsid w:val="0029134D"/>
    <w:rsid w:val="00296D8B"/>
    <w:rsid w:val="00297443"/>
    <w:rsid w:val="002975FF"/>
    <w:rsid w:val="002978C8"/>
    <w:rsid w:val="002A01E2"/>
    <w:rsid w:val="002A0B32"/>
    <w:rsid w:val="002A0E34"/>
    <w:rsid w:val="002A1FE7"/>
    <w:rsid w:val="002A387F"/>
    <w:rsid w:val="002A49FA"/>
    <w:rsid w:val="002A4B83"/>
    <w:rsid w:val="002A550B"/>
    <w:rsid w:val="002A6131"/>
    <w:rsid w:val="002A6430"/>
    <w:rsid w:val="002A79C5"/>
    <w:rsid w:val="002B173E"/>
    <w:rsid w:val="002B1BCF"/>
    <w:rsid w:val="002B2F90"/>
    <w:rsid w:val="002B34CD"/>
    <w:rsid w:val="002B42CB"/>
    <w:rsid w:val="002B7501"/>
    <w:rsid w:val="002C14D3"/>
    <w:rsid w:val="002C16B0"/>
    <w:rsid w:val="002C2079"/>
    <w:rsid w:val="002C26D9"/>
    <w:rsid w:val="002C3457"/>
    <w:rsid w:val="002D05BE"/>
    <w:rsid w:val="002D2CEC"/>
    <w:rsid w:val="002D3D35"/>
    <w:rsid w:val="002D46EF"/>
    <w:rsid w:val="002D4760"/>
    <w:rsid w:val="002D49D1"/>
    <w:rsid w:val="002D4BB9"/>
    <w:rsid w:val="002E0EA6"/>
    <w:rsid w:val="002E16FB"/>
    <w:rsid w:val="002E2422"/>
    <w:rsid w:val="002E494E"/>
    <w:rsid w:val="002E4F3C"/>
    <w:rsid w:val="002E5347"/>
    <w:rsid w:val="002E5A74"/>
    <w:rsid w:val="002F417B"/>
    <w:rsid w:val="002F6ADC"/>
    <w:rsid w:val="00300544"/>
    <w:rsid w:val="00300C2C"/>
    <w:rsid w:val="00300C95"/>
    <w:rsid w:val="00301804"/>
    <w:rsid w:val="00301F6D"/>
    <w:rsid w:val="00302F07"/>
    <w:rsid w:val="003054A8"/>
    <w:rsid w:val="00306770"/>
    <w:rsid w:val="00307DA3"/>
    <w:rsid w:val="003103AF"/>
    <w:rsid w:val="0031056A"/>
    <w:rsid w:val="00311B22"/>
    <w:rsid w:val="00311F24"/>
    <w:rsid w:val="00313354"/>
    <w:rsid w:val="0031507F"/>
    <w:rsid w:val="00315C03"/>
    <w:rsid w:val="00323F1B"/>
    <w:rsid w:val="00327D31"/>
    <w:rsid w:val="003305CA"/>
    <w:rsid w:val="00330849"/>
    <w:rsid w:val="00331268"/>
    <w:rsid w:val="00332CCA"/>
    <w:rsid w:val="003363E9"/>
    <w:rsid w:val="0034064A"/>
    <w:rsid w:val="0034564D"/>
    <w:rsid w:val="00350F4F"/>
    <w:rsid w:val="0035188A"/>
    <w:rsid w:val="00353390"/>
    <w:rsid w:val="00357842"/>
    <w:rsid w:val="00360E5E"/>
    <w:rsid w:val="00361CBA"/>
    <w:rsid w:val="0036285B"/>
    <w:rsid w:val="003640AA"/>
    <w:rsid w:val="003668BA"/>
    <w:rsid w:val="00372AC1"/>
    <w:rsid w:val="00374441"/>
    <w:rsid w:val="003753B7"/>
    <w:rsid w:val="0037670C"/>
    <w:rsid w:val="003802F4"/>
    <w:rsid w:val="003831AB"/>
    <w:rsid w:val="00383E1B"/>
    <w:rsid w:val="00384199"/>
    <w:rsid w:val="00390C06"/>
    <w:rsid w:val="003914C9"/>
    <w:rsid w:val="00392DEB"/>
    <w:rsid w:val="00396A17"/>
    <w:rsid w:val="003A2149"/>
    <w:rsid w:val="003A35F4"/>
    <w:rsid w:val="003A38B9"/>
    <w:rsid w:val="003A4CB0"/>
    <w:rsid w:val="003A6199"/>
    <w:rsid w:val="003A63D1"/>
    <w:rsid w:val="003B23D6"/>
    <w:rsid w:val="003B2F86"/>
    <w:rsid w:val="003B327F"/>
    <w:rsid w:val="003B3F3C"/>
    <w:rsid w:val="003B48C4"/>
    <w:rsid w:val="003C047D"/>
    <w:rsid w:val="003C3093"/>
    <w:rsid w:val="003C4F86"/>
    <w:rsid w:val="003C789B"/>
    <w:rsid w:val="003D267C"/>
    <w:rsid w:val="003D49A7"/>
    <w:rsid w:val="003D5A97"/>
    <w:rsid w:val="003E07A0"/>
    <w:rsid w:val="003E1024"/>
    <w:rsid w:val="003E197B"/>
    <w:rsid w:val="003E26C5"/>
    <w:rsid w:val="003E37AE"/>
    <w:rsid w:val="003E5911"/>
    <w:rsid w:val="003E6CC1"/>
    <w:rsid w:val="003F1C14"/>
    <w:rsid w:val="003F2389"/>
    <w:rsid w:val="003F2E2F"/>
    <w:rsid w:val="003F3965"/>
    <w:rsid w:val="003F424B"/>
    <w:rsid w:val="003F5ACD"/>
    <w:rsid w:val="003F5E3F"/>
    <w:rsid w:val="003F722E"/>
    <w:rsid w:val="00400748"/>
    <w:rsid w:val="00401B1E"/>
    <w:rsid w:val="00402279"/>
    <w:rsid w:val="004049DA"/>
    <w:rsid w:val="004051FC"/>
    <w:rsid w:val="00407CD5"/>
    <w:rsid w:val="004118CE"/>
    <w:rsid w:val="004126C7"/>
    <w:rsid w:val="00413F71"/>
    <w:rsid w:val="00414643"/>
    <w:rsid w:val="00416A74"/>
    <w:rsid w:val="0041710A"/>
    <w:rsid w:val="0042090E"/>
    <w:rsid w:val="00425E05"/>
    <w:rsid w:val="004267C7"/>
    <w:rsid w:val="00426964"/>
    <w:rsid w:val="00427D28"/>
    <w:rsid w:val="0043072A"/>
    <w:rsid w:val="004311B3"/>
    <w:rsid w:val="00432082"/>
    <w:rsid w:val="00432427"/>
    <w:rsid w:val="004329B3"/>
    <w:rsid w:val="00432E37"/>
    <w:rsid w:val="0043449A"/>
    <w:rsid w:val="004353CE"/>
    <w:rsid w:val="00440AAB"/>
    <w:rsid w:val="00442C7E"/>
    <w:rsid w:val="004446EE"/>
    <w:rsid w:val="00450242"/>
    <w:rsid w:val="00450CCE"/>
    <w:rsid w:val="004542B7"/>
    <w:rsid w:val="004544B7"/>
    <w:rsid w:val="004546DC"/>
    <w:rsid w:val="004553AF"/>
    <w:rsid w:val="00455E78"/>
    <w:rsid w:val="00456203"/>
    <w:rsid w:val="00461773"/>
    <w:rsid w:val="00463D4E"/>
    <w:rsid w:val="00470BA0"/>
    <w:rsid w:val="00471465"/>
    <w:rsid w:val="004717E6"/>
    <w:rsid w:val="004722E0"/>
    <w:rsid w:val="0047507F"/>
    <w:rsid w:val="00477439"/>
    <w:rsid w:val="0048143F"/>
    <w:rsid w:val="00481E97"/>
    <w:rsid w:val="004822AF"/>
    <w:rsid w:val="00485A3D"/>
    <w:rsid w:val="00486B2E"/>
    <w:rsid w:val="00486B7C"/>
    <w:rsid w:val="00487143"/>
    <w:rsid w:val="00490C62"/>
    <w:rsid w:val="00492670"/>
    <w:rsid w:val="004952B0"/>
    <w:rsid w:val="00496135"/>
    <w:rsid w:val="0049673E"/>
    <w:rsid w:val="00496C34"/>
    <w:rsid w:val="004A2AFD"/>
    <w:rsid w:val="004A37EA"/>
    <w:rsid w:val="004A4424"/>
    <w:rsid w:val="004A5A19"/>
    <w:rsid w:val="004A62D1"/>
    <w:rsid w:val="004B08DC"/>
    <w:rsid w:val="004B0B03"/>
    <w:rsid w:val="004B1F82"/>
    <w:rsid w:val="004B56B0"/>
    <w:rsid w:val="004B5A1F"/>
    <w:rsid w:val="004B6AC1"/>
    <w:rsid w:val="004B708E"/>
    <w:rsid w:val="004B7D04"/>
    <w:rsid w:val="004B7D64"/>
    <w:rsid w:val="004C102A"/>
    <w:rsid w:val="004C149D"/>
    <w:rsid w:val="004C255C"/>
    <w:rsid w:val="004C5917"/>
    <w:rsid w:val="004C5E48"/>
    <w:rsid w:val="004C78FE"/>
    <w:rsid w:val="004C7A9C"/>
    <w:rsid w:val="004C7AE7"/>
    <w:rsid w:val="004D0778"/>
    <w:rsid w:val="004D115F"/>
    <w:rsid w:val="004D14BC"/>
    <w:rsid w:val="004D1726"/>
    <w:rsid w:val="004D4BE6"/>
    <w:rsid w:val="004D72CA"/>
    <w:rsid w:val="004D75F6"/>
    <w:rsid w:val="004E3827"/>
    <w:rsid w:val="004E424B"/>
    <w:rsid w:val="004E426F"/>
    <w:rsid w:val="004E4A66"/>
    <w:rsid w:val="004E505C"/>
    <w:rsid w:val="004E71FE"/>
    <w:rsid w:val="004F0F76"/>
    <w:rsid w:val="004F15EF"/>
    <w:rsid w:val="004F24D0"/>
    <w:rsid w:val="004F4781"/>
    <w:rsid w:val="004F61D6"/>
    <w:rsid w:val="004F670C"/>
    <w:rsid w:val="004F74D3"/>
    <w:rsid w:val="00502E10"/>
    <w:rsid w:val="00503A01"/>
    <w:rsid w:val="00505009"/>
    <w:rsid w:val="00506BF4"/>
    <w:rsid w:val="00507007"/>
    <w:rsid w:val="00507097"/>
    <w:rsid w:val="00507DEA"/>
    <w:rsid w:val="00507F91"/>
    <w:rsid w:val="0051201B"/>
    <w:rsid w:val="005132D1"/>
    <w:rsid w:val="00513CB7"/>
    <w:rsid w:val="00515842"/>
    <w:rsid w:val="0051600D"/>
    <w:rsid w:val="00516DBE"/>
    <w:rsid w:val="00516F01"/>
    <w:rsid w:val="00516FB2"/>
    <w:rsid w:val="00521BBD"/>
    <w:rsid w:val="00524DCE"/>
    <w:rsid w:val="00525050"/>
    <w:rsid w:val="005302DE"/>
    <w:rsid w:val="00531094"/>
    <w:rsid w:val="0053110F"/>
    <w:rsid w:val="00531511"/>
    <w:rsid w:val="00531B43"/>
    <w:rsid w:val="005330F2"/>
    <w:rsid w:val="00533FEF"/>
    <w:rsid w:val="00534F38"/>
    <w:rsid w:val="00535C81"/>
    <w:rsid w:val="00542FFE"/>
    <w:rsid w:val="00543840"/>
    <w:rsid w:val="00543F14"/>
    <w:rsid w:val="00544181"/>
    <w:rsid w:val="00546D8E"/>
    <w:rsid w:val="00546FDD"/>
    <w:rsid w:val="00547CD3"/>
    <w:rsid w:val="00551340"/>
    <w:rsid w:val="005606FD"/>
    <w:rsid w:val="00561A32"/>
    <w:rsid w:val="005629D8"/>
    <w:rsid w:val="00564DA4"/>
    <w:rsid w:val="00565A52"/>
    <w:rsid w:val="00565FAB"/>
    <w:rsid w:val="00566AD8"/>
    <w:rsid w:val="00570B86"/>
    <w:rsid w:val="00571E36"/>
    <w:rsid w:val="005732EB"/>
    <w:rsid w:val="005737C0"/>
    <w:rsid w:val="00574D1B"/>
    <w:rsid w:val="00577473"/>
    <w:rsid w:val="005803BF"/>
    <w:rsid w:val="00582FAD"/>
    <w:rsid w:val="0058336A"/>
    <w:rsid w:val="00585F7E"/>
    <w:rsid w:val="00586D16"/>
    <w:rsid w:val="00587D5D"/>
    <w:rsid w:val="00587FDC"/>
    <w:rsid w:val="00591BC2"/>
    <w:rsid w:val="005935CA"/>
    <w:rsid w:val="00593EB8"/>
    <w:rsid w:val="00594447"/>
    <w:rsid w:val="00594ABF"/>
    <w:rsid w:val="00595115"/>
    <w:rsid w:val="00595A35"/>
    <w:rsid w:val="005A11E6"/>
    <w:rsid w:val="005A1C53"/>
    <w:rsid w:val="005A2484"/>
    <w:rsid w:val="005A2A1D"/>
    <w:rsid w:val="005A4CF0"/>
    <w:rsid w:val="005A6A61"/>
    <w:rsid w:val="005A7CF8"/>
    <w:rsid w:val="005B0968"/>
    <w:rsid w:val="005B207E"/>
    <w:rsid w:val="005B242E"/>
    <w:rsid w:val="005B2484"/>
    <w:rsid w:val="005B3871"/>
    <w:rsid w:val="005B4832"/>
    <w:rsid w:val="005B659D"/>
    <w:rsid w:val="005B6B98"/>
    <w:rsid w:val="005B6C8A"/>
    <w:rsid w:val="005B744F"/>
    <w:rsid w:val="005C1326"/>
    <w:rsid w:val="005C163C"/>
    <w:rsid w:val="005C23A6"/>
    <w:rsid w:val="005C31BF"/>
    <w:rsid w:val="005C3527"/>
    <w:rsid w:val="005C4B02"/>
    <w:rsid w:val="005C7762"/>
    <w:rsid w:val="005D0F33"/>
    <w:rsid w:val="005D47D6"/>
    <w:rsid w:val="005D71E9"/>
    <w:rsid w:val="005E351F"/>
    <w:rsid w:val="005E36B7"/>
    <w:rsid w:val="005E3756"/>
    <w:rsid w:val="005E4B67"/>
    <w:rsid w:val="005E62D6"/>
    <w:rsid w:val="005F0FBF"/>
    <w:rsid w:val="005F3DF3"/>
    <w:rsid w:val="005F61CA"/>
    <w:rsid w:val="005F6296"/>
    <w:rsid w:val="005F6884"/>
    <w:rsid w:val="005F78C7"/>
    <w:rsid w:val="00600CFE"/>
    <w:rsid w:val="006010FE"/>
    <w:rsid w:val="006014A0"/>
    <w:rsid w:val="00606137"/>
    <w:rsid w:val="006132E6"/>
    <w:rsid w:val="00614971"/>
    <w:rsid w:val="00615E4B"/>
    <w:rsid w:val="00616ACB"/>
    <w:rsid w:val="00617342"/>
    <w:rsid w:val="006177E4"/>
    <w:rsid w:val="006218E5"/>
    <w:rsid w:val="00622526"/>
    <w:rsid w:val="006254AE"/>
    <w:rsid w:val="00625FDE"/>
    <w:rsid w:val="006266C9"/>
    <w:rsid w:val="00627218"/>
    <w:rsid w:val="006310E3"/>
    <w:rsid w:val="006352C0"/>
    <w:rsid w:val="006355D1"/>
    <w:rsid w:val="00635DD4"/>
    <w:rsid w:val="00635F76"/>
    <w:rsid w:val="0063664D"/>
    <w:rsid w:val="00637692"/>
    <w:rsid w:val="00641F59"/>
    <w:rsid w:val="006444DF"/>
    <w:rsid w:val="0064704A"/>
    <w:rsid w:val="006515DE"/>
    <w:rsid w:val="00656FA6"/>
    <w:rsid w:val="00657188"/>
    <w:rsid w:val="00660199"/>
    <w:rsid w:val="00660E85"/>
    <w:rsid w:val="00661E54"/>
    <w:rsid w:val="006625F1"/>
    <w:rsid w:val="00662E2E"/>
    <w:rsid w:val="006634EE"/>
    <w:rsid w:val="00670990"/>
    <w:rsid w:val="00672110"/>
    <w:rsid w:val="00682045"/>
    <w:rsid w:val="00683F89"/>
    <w:rsid w:val="00684385"/>
    <w:rsid w:val="006916AD"/>
    <w:rsid w:val="006933A4"/>
    <w:rsid w:val="00693503"/>
    <w:rsid w:val="00693F7B"/>
    <w:rsid w:val="00694B4F"/>
    <w:rsid w:val="006A118D"/>
    <w:rsid w:val="006A24DC"/>
    <w:rsid w:val="006A329D"/>
    <w:rsid w:val="006A3972"/>
    <w:rsid w:val="006A5436"/>
    <w:rsid w:val="006A65E8"/>
    <w:rsid w:val="006A6B6B"/>
    <w:rsid w:val="006A712D"/>
    <w:rsid w:val="006A71F0"/>
    <w:rsid w:val="006A7F22"/>
    <w:rsid w:val="006B4045"/>
    <w:rsid w:val="006B4986"/>
    <w:rsid w:val="006B554F"/>
    <w:rsid w:val="006C0EE4"/>
    <w:rsid w:val="006C25A3"/>
    <w:rsid w:val="006C402C"/>
    <w:rsid w:val="006C6A3F"/>
    <w:rsid w:val="006D27A6"/>
    <w:rsid w:val="006D3EE7"/>
    <w:rsid w:val="006D408D"/>
    <w:rsid w:val="006D5C19"/>
    <w:rsid w:val="006D6960"/>
    <w:rsid w:val="006D7E0F"/>
    <w:rsid w:val="006E101D"/>
    <w:rsid w:val="006E59CB"/>
    <w:rsid w:val="006E6F8C"/>
    <w:rsid w:val="006E76BE"/>
    <w:rsid w:val="006F0918"/>
    <w:rsid w:val="006F5378"/>
    <w:rsid w:val="006F56A2"/>
    <w:rsid w:val="006F6E04"/>
    <w:rsid w:val="006F7C01"/>
    <w:rsid w:val="00705AD6"/>
    <w:rsid w:val="0071304B"/>
    <w:rsid w:val="00717216"/>
    <w:rsid w:val="00720551"/>
    <w:rsid w:val="00721CC9"/>
    <w:rsid w:val="00722961"/>
    <w:rsid w:val="00722F56"/>
    <w:rsid w:val="00725329"/>
    <w:rsid w:val="007271DB"/>
    <w:rsid w:val="00731114"/>
    <w:rsid w:val="007343B8"/>
    <w:rsid w:val="007356D3"/>
    <w:rsid w:val="00736715"/>
    <w:rsid w:val="0074030E"/>
    <w:rsid w:val="00740869"/>
    <w:rsid w:val="007408BE"/>
    <w:rsid w:val="00745028"/>
    <w:rsid w:val="0074798D"/>
    <w:rsid w:val="00750FE2"/>
    <w:rsid w:val="00754B2E"/>
    <w:rsid w:val="00755868"/>
    <w:rsid w:val="00757081"/>
    <w:rsid w:val="007600FA"/>
    <w:rsid w:val="007601A3"/>
    <w:rsid w:val="0076093D"/>
    <w:rsid w:val="00761DA0"/>
    <w:rsid w:val="007622D7"/>
    <w:rsid w:val="00763A34"/>
    <w:rsid w:val="007662A8"/>
    <w:rsid w:val="00766A56"/>
    <w:rsid w:val="00770070"/>
    <w:rsid w:val="0077156A"/>
    <w:rsid w:val="007726E7"/>
    <w:rsid w:val="0077494B"/>
    <w:rsid w:val="00776706"/>
    <w:rsid w:val="00776A74"/>
    <w:rsid w:val="00777BFE"/>
    <w:rsid w:val="007825F2"/>
    <w:rsid w:val="00784A3C"/>
    <w:rsid w:val="00792A6E"/>
    <w:rsid w:val="00793497"/>
    <w:rsid w:val="00793BD7"/>
    <w:rsid w:val="0079466D"/>
    <w:rsid w:val="007947FE"/>
    <w:rsid w:val="00794F7F"/>
    <w:rsid w:val="00797255"/>
    <w:rsid w:val="007A0E6B"/>
    <w:rsid w:val="007A2C40"/>
    <w:rsid w:val="007A3762"/>
    <w:rsid w:val="007A4195"/>
    <w:rsid w:val="007A4DA6"/>
    <w:rsid w:val="007A6992"/>
    <w:rsid w:val="007A6B1C"/>
    <w:rsid w:val="007A6D80"/>
    <w:rsid w:val="007A6E4D"/>
    <w:rsid w:val="007A7BB1"/>
    <w:rsid w:val="007B156C"/>
    <w:rsid w:val="007B29A7"/>
    <w:rsid w:val="007B29DB"/>
    <w:rsid w:val="007B2BD7"/>
    <w:rsid w:val="007B6953"/>
    <w:rsid w:val="007B7784"/>
    <w:rsid w:val="007C1094"/>
    <w:rsid w:val="007C26A3"/>
    <w:rsid w:val="007C2AC0"/>
    <w:rsid w:val="007C3CD0"/>
    <w:rsid w:val="007C7741"/>
    <w:rsid w:val="007D4920"/>
    <w:rsid w:val="007D4EB7"/>
    <w:rsid w:val="007D60BE"/>
    <w:rsid w:val="007D6F47"/>
    <w:rsid w:val="007E013D"/>
    <w:rsid w:val="007E0975"/>
    <w:rsid w:val="007E219D"/>
    <w:rsid w:val="007E36E4"/>
    <w:rsid w:val="007E37CF"/>
    <w:rsid w:val="007E38E1"/>
    <w:rsid w:val="007E5006"/>
    <w:rsid w:val="007E5E07"/>
    <w:rsid w:val="007E7046"/>
    <w:rsid w:val="007F1472"/>
    <w:rsid w:val="007F2AE4"/>
    <w:rsid w:val="007F3DBE"/>
    <w:rsid w:val="007F53C0"/>
    <w:rsid w:val="007F61E3"/>
    <w:rsid w:val="0080090B"/>
    <w:rsid w:val="00800CDA"/>
    <w:rsid w:val="008113BB"/>
    <w:rsid w:val="008139FB"/>
    <w:rsid w:val="00813BA9"/>
    <w:rsid w:val="00814D65"/>
    <w:rsid w:val="00817DF3"/>
    <w:rsid w:val="00820554"/>
    <w:rsid w:val="00821128"/>
    <w:rsid w:val="0082285E"/>
    <w:rsid w:val="008264D9"/>
    <w:rsid w:val="00831D8A"/>
    <w:rsid w:val="00835079"/>
    <w:rsid w:val="00842BA9"/>
    <w:rsid w:val="00846C70"/>
    <w:rsid w:val="00846F3D"/>
    <w:rsid w:val="0084733B"/>
    <w:rsid w:val="00847719"/>
    <w:rsid w:val="008509B0"/>
    <w:rsid w:val="00852191"/>
    <w:rsid w:val="008616B9"/>
    <w:rsid w:val="00861D10"/>
    <w:rsid w:val="00865BCB"/>
    <w:rsid w:val="00875107"/>
    <w:rsid w:val="008752CF"/>
    <w:rsid w:val="0087586D"/>
    <w:rsid w:val="0087704D"/>
    <w:rsid w:val="00880AB9"/>
    <w:rsid w:val="0088159C"/>
    <w:rsid w:val="00881FFD"/>
    <w:rsid w:val="0088211A"/>
    <w:rsid w:val="00884F56"/>
    <w:rsid w:val="00884F93"/>
    <w:rsid w:val="008854F6"/>
    <w:rsid w:val="00886667"/>
    <w:rsid w:val="00886BC4"/>
    <w:rsid w:val="00891AEA"/>
    <w:rsid w:val="0089427C"/>
    <w:rsid w:val="00896A65"/>
    <w:rsid w:val="008972E4"/>
    <w:rsid w:val="008A02F3"/>
    <w:rsid w:val="008A0B84"/>
    <w:rsid w:val="008A1C1D"/>
    <w:rsid w:val="008A3F05"/>
    <w:rsid w:val="008A48CA"/>
    <w:rsid w:val="008A5250"/>
    <w:rsid w:val="008B07EF"/>
    <w:rsid w:val="008B0A5D"/>
    <w:rsid w:val="008B1FBE"/>
    <w:rsid w:val="008B2938"/>
    <w:rsid w:val="008B3209"/>
    <w:rsid w:val="008B395C"/>
    <w:rsid w:val="008B7072"/>
    <w:rsid w:val="008B78BE"/>
    <w:rsid w:val="008C0709"/>
    <w:rsid w:val="008C44C4"/>
    <w:rsid w:val="008C5773"/>
    <w:rsid w:val="008C5EFA"/>
    <w:rsid w:val="008C628A"/>
    <w:rsid w:val="008C6956"/>
    <w:rsid w:val="008C6DA6"/>
    <w:rsid w:val="008C763D"/>
    <w:rsid w:val="008D0CA6"/>
    <w:rsid w:val="008D1DDD"/>
    <w:rsid w:val="008D2882"/>
    <w:rsid w:val="008D3540"/>
    <w:rsid w:val="008D4CD0"/>
    <w:rsid w:val="008D4D7E"/>
    <w:rsid w:val="008D5358"/>
    <w:rsid w:val="008D53C0"/>
    <w:rsid w:val="008D599C"/>
    <w:rsid w:val="008E0180"/>
    <w:rsid w:val="008E04BD"/>
    <w:rsid w:val="008E145F"/>
    <w:rsid w:val="008E1BB1"/>
    <w:rsid w:val="008E21D7"/>
    <w:rsid w:val="008E35A5"/>
    <w:rsid w:val="008E523B"/>
    <w:rsid w:val="008E6AF1"/>
    <w:rsid w:val="008E795A"/>
    <w:rsid w:val="008F0B15"/>
    <w:rsid w:val="008F0C7B"/>
    <w:rsid w:val="008F1AA6"/>
    <w:rsid w:val="008F211C"/>
    <w:rsid w:val="008F2212"/>
    <w:rsid w:val="008F364A"/>
    <w:rsid w:val="008F3BED"/>
    <w:rsid w:val="008F40AB"/>
    <w:rsid w:val="008F73C8"/>
    <w:rsid w:val="008F7E69"/>
    <w:rsid w:val="008F7EBB"/>
    <w:rsid w:val="00902078"/>
    <w:rsid w:val="0090265A"/>
    <w:rsid w:val="00902D3C"/>
    <w:rsid w:val="00903786"/>
    <w:rsid w:val="00903AB2"/>
    <w:rsid w:val="00905F29"/>
    <w:rsid w:val="00906935"/>
    <w:rsid w:val="0090719E"/>
    <w:rsid w:val="009109AA"/>
    <w:rsid w:val="00910DA4"/>
    <w:rsid w:val="009114AB"/>
    <w:rsid w:val="00912393"/>
    <w:rsid w:val="00912670"/>
    <w:rsid w:val="00912E0D"/>
    <w:rsid w:val="00912E5D"/>
    <w:rsid w:val="009135AA"/>
    <w:rsid w:val="009165A0"/>
    <w:rsid w:val="009204F7"/>
    <w:rsid w:val="00922E3F"/>
    <w:rsid w:val="00926879"/>
    <w:rsid w:val="009271C0"/>
    <w:rsid w:val="0092726F"/>
    <w:rsid w:val="00931811"/>
    <w:rsid w:val="009319F7"/>
    <w:rsid w:val="0093225E"/>
    <w:rsid w:val="00932D04"/>
    <w:rsid w:val="009339EC"/>
    <w:rsid w:val="00933C8C"/>
    <w:rsid w:val="00934D28"/>
    <w:rsid w:val="009367F6"/>
    <w:rsid w:val="0093741D"/>
    <w:rsid w:val="00941E6F"/>
    <w:rsid w:val="00942AC5"/>
    <w:rsid w:val="00942CB3"/>
    <w:rsid w:val="0094309D"/>
    <w:rsid w:val="00944174"/>
    <w:rsid w:val="0094654C"/>
    <w:rsid w:val="00951652"/>
    <w:rsid w:val="00951FF8"/>
    <w:rsid w:val="00952F2F"/>
    <w:rsid w:val="00953DFE"/>
    <w:rsid w:val="00956D96"/>
    <w:rsid w:val="00957F67"/>
    <w:rsid w:val="009619B8"/>
    <w:rsid w:val="00961D91"/>
    <w:rsid w:val="00965169"/>
    <w:rsid w:val="00965C4B"/>
    <w:rsid w:val="00965CE0"/>
    <w:rsid w:val="0096642D"/>
    <w:rsid w:val="009665CC"/>
    <w:rsid w:val="009712C2"/>
    <w:rsid w:val="00973BBF"/>
    <w:rsid w:val="009757BB"/>
    <w:rsid w:val="009804B9"/>
    <w:rsid w:val="0098088A"/>
    <w:rsid w:val="00980E54"/>
    <w:rsid w:val="0098116A"/>
    <w:rsid w:val="0098151F"/>
    <w:rsid w:val="0098350A"/>
    <w:rsid w:val="0098483D"/>
    <w:rsid w:val="00984FAF"/>
    <w:rsid w:val="00985244"/>
    <w:rsid w:val="00986A46"/>
    <w:rsid w:val="009872A8"/>
    <w:rsid w:val="00990376"/>
    <w:rsid w:val="009906A6"/>
    <w:rsid w:val="00992ADC"/>
    <w:rsid w:val="0099396D"/>
    <w:rsid w:val="009951CA"/>
    <w:rsid w:val="009A6D32"/>
    <w:rsid w:val="009A71C4"/>
    <w:rsid w:val="009B0E82"/>
    <w:rsid w:val="009B15EC"/>
    <w:rsid w:val="009B1781"/>
    <w:rsid w:val="009B2408"/>
    <w:rsid w:val="009B2546"/>
    <w:rsid w:val="009B3F00"/>
    <w:rsid w:val="009B464D"/>
    <w:rsid w:val="009B70C9"/>
    <w:rsid w:val="009C010E"/>
    <w:rsid w:val="009C1F90"/>
    <w:rsid w:val="009C66A3"/>
    <w:rsid w:val="009D3AC0"/>
    <w:rsid w:val="009D616A"/>
    <w:rsid w:val="009E1D81"/>
    <w:rsid w:val="009E208C"/>
    <w:rsid w:val="009E347A"/>
    <w:rsid w:val="009E53B7"/>
    <w:rsid w:val="009E5A97"/>
    <w:rsid w:val="009E6061"/>
    <w:rsid w:val="009E63DB"/>
    <w:rsid w:val="009F2005"/>
    <w:rsid w:val="009F2EE4"/>
    <w:rsid w:val="009F542A"/>
    <w:rsid w:val="009F70A0"/>
    <w:rsid w:val="009F71D1"/>
    <w:rsid w:val="009F7927"/>
    <w:rsid w:val="00A01086"/>
    <w:rsid w:val="00A03347"/>
    <w:rsid w:val="00A036E5"/>
    <w:rsid w:val="00A04772"/>
    <w:rsid w:val="00A051FC"/>
    <w:rsid w:val="00A05E57"/>
    <w:rsid w:val="00A06259"/>
    <w:rsid w:val="00A1120D"/>
    <w:rsid w:val="00A1382E"/>
    <w:rsid w:val="00A1389A"/>
    <w:rsid w:val="00A13CB3"/>
    <w:rsid w:val="00A13F0D"/>
    <w:rsid w:val="00A15DB7"/>
    <w:rsid w:val="00A15F47"/>
    <w:rsid w:val="00A17503"/>
    <w:rsid w:val="00A1792C"/>
    <w:rsid w:val="00A20905"/>
    <w:rsid w:val="00A21172"/>
    <w:rsid w:val="00A215B3"/>
    <w:rsid w:val="00A23765"/>
    <w:rsid w:val="00A244E9"/>
    <w:rsid w:val="00A24D20"/>
    <w:rsid w:val="00A301B0"/>
    <w:rsid w:val="00A30ADC"/>
    <w:rsid w:val="00A314B2"/>
    <w:rsid w:val="00A32472"/>
    <w:rsid w:val="00A32C4E"/>
    <w:rsid w:val="00A3452B"/>
    <w:rsid w:val="00A356B6"/>
    <w:rsid w:val="00A36627"/>
    <w:rsid w:val="00A37BC3"/>
    <w:rsid w:val="00A404C8"/>
    <w:rsid w:val="00A44778"/>
    <w:rsid w:val="00A44D11"/>
    <w:rsid w:val="00A45957"/>
    <w:rsid w:val="00A46A9A"/>
    <w:rsid w:val="00A50111"/>
    <w:rsid w:val="00A52C22"/>
    <w:rsid w:val="00A534C0"/>
    <w:rsid w:val="00A55C33"/>
    <w:rsid w:val="00A561C9"/>
    <w:rsid w:val="00A60022"/>
    <w:rsid w:val="00A61E08"/>
    <w:rsid w:val="00A630A5"/>
    <w:rsid w:val="00A63AE4"/>
    <w:rsid w:val="00A63D5F"/>
    <w:rsid w:val="00A64864"/>
    <w:rsid w:val="00A6514E"/>
    <w:rsid w:val="00A66E18"/>
    <w:rsid w:val="00A67602"/>
    <w:rsid w:val="00A74367"/>
    <w:rsid w:val="00A75C7D"/>
    <w:rsid w:val="00A763BA"/>
    <w:rsid w:val="00A80AF5"/>
    <w:rsid w:val="00A81C99"/>
    <w:rsid w:val="00A81CC2"/>
    <w:rsid w:val="00A8449C"/>
    <w:rsid w:val="00A84C3C"/>
    <w:rsid w:val="00A8592E"/>
    <w:rsid w:val="00A87F4B"/>
    <w:rsid w:val="00A909A3"/>
    <w:rsid w:val="00A91BD2"/>
    <w:rsid w:val="00A93616"/>
    <w:rsid w:val="00A940BE"/>
    <w:rsid w:val="00A9449D"/>
    <w:rsid w:val="00A96316"/>
    <w:rsid w:val="00A9658A"/>
    <w:rsid w:val="00A970ED"/>
    <w:rsid w:val="00AA1D1C"/>
    <w:rsid w:val="00AA4AE6"/>
    <w:rsid w:val="00AA553F"/>
    <w:rsid w:val="00AB1343"/>
    <w:rsid w:val="00AB39B2"/>
    <w:rsid w:val="00AB3CC2"/>
    <w:rsid w:val="00AB3D33"/>
    <w:rsid w:val="00AB6E89"/>
    <w:rsid w:val="00AC0E9A"/>
    <w:rsid w:val="00AC1B27"/>
    <w:rsid w:val="00AC20AE"/>
    <w:rsid w:val="00AC27B9"/>
    <w:rsid w:val="00AC4C62"/>
    <w:rsid w:val="00AC60D4"/>
    <w:rsid w:val="00AC7D66"/>
    <w:rsid w:val="00AD2E8B"/>
    <w:rsid w:val="00AD3582"/>
    <w:rsid w:val="00AD379B"/>
    <w:rsid w:val="00AD5472"/>
    <w:rsid w:val="00AD6832"/>
    <w:rsid w:val="00AE09D9"/>
    <w:rsid w:val="00AE39EE"/>
    <w:rsid w:val="00AE4BAC"/>
    <w:rsid w:val="00AE4C17"/>
    <w:rsid w:val="00AE53E5"/>
    <w:rsid w:val="00AE5A07"/>
    <w:rsid w:val="00AE6746"/>
    <w:rsid w:val="00AE79D6"/>
    <w:rsid w:val="00AF0F27"/>
    <w:rsid w:val="00AF1408"/>
    <w:rsid w:val="00AF53A2"/>
    <w:rsid w:val="00AF7605"/>
    <w:rsid w:val="00B005EB"/>
    <w:rsid w:val="00B02DD0"/>
    <w:rsid w:val="00B03734"/>
    <w:rsid w:val="00B06E1C"/>
    <w:rsid w:val="00B129C3"/>
    <w:rsid w:val="00B12BBB"/>
    <w:rsid w:val="00B15B56"/>
    <w:rsid w:val="00B15C9E"/>
    <w:rsid w:val="00B15F9F"/>
    <w:rsid w:val="00B20452"/>
    <w:rsid w:val="00B23091"/>
    <w:rsid w:val="00B24C1C"/>
    <w:rsid w:val="00B31E42"/>
    <w:rsid w:val="00B32830"/>
    <w:rsid w:val="00B36FA7"/>
    <w:rsid w:val="00B42FAF"/>
    <w:rsid w:val="00B43127"/>
    <w:rsid w:val="00B43205"/>
    <w:rsid w:val="00B4477F"/>
    <w:rsid w:val="00B4736F"/>
    <w:rsid w:val="00B4752F"/>
    <w:rsid w:val="00B4790E"/>
    <w:rsid w:val="00B50FEA"/>
    <w:rsid w:val="00B51175"/>
    <w:rsid w:val="00B51A94"/>
    <w:rsid w:val="00B52053"/>
    <w:rsid w:val="00B526DD"/>
    <w:rsid w:val="00B52D5D"/>
    <w:rsid w:val="00B5397C"/>
    <w:rsid w:val="00B54FA9"/>
    <w:rsid w:val="00B562E7"/>
    <w:rsid w:val="00B57B0B"/>
    <w:rsid w:val="00B57EDE"/>
    <w:rsid w:val="00B619CC"/>
    <w:rsid w:val="00B63E00"/>
    <w:rsid w:val="00B64308"/>
    <w:rsid w:val="00B666B8"/>
    <w:rsid w:val="00B6768D"/>
    <w:rsid w:val="00B67D45"/>
    <w:rsid w:val="00B71F74"/>
    <w:rsid w:val="00B730C8"/>
    <w:rsid w:val="00B73C23"/>
    <w:rsid w:val="00B74BE2"/>
    <w:rsid w:val="00B75920"/>
    <w:rsid w:val="00B771FF"/>
    <w:rsid w:val="00B82C45"/>
    <w:rsid w:val="00B85B92"/>
    <w:rsid w:val="00B87E18"/>
    <w:rsid w:val="00B91EA7"/>
    <w:rsid w:val="00B93E6A"/>
    <w:rsid w:val="00B9430E"/>
    <w:rsid w:val="00B96C12"/>
    <w:rsid w:val="00B978A5"/>
    <w:rsid w:val="00BA00B8"/>
    <w:rsid w:val="00BA054F"/>
    <w:rsid w:val="00BA123B"/>
    <w:rsid w:val="00BA2AAC"/>
    <w:rsid w:val="00BA3721"/>
    <w:rsid w:val="00BA6A90"/>
    <w:rsid w:val="00BA7802"/>
    <w:rsid w:val="00BB059B"/>
    <w:rsid w:val="00BB0E0D"/>
    <w:rsid w:val="00BB1B00"/>
    <w:rsid w:val="00BB4B21"/>
    <w:rsid w:val="00BC2089"/>
    <w:rsid w:val="00BC6E16"/>
    <w:rsid w:val="00BD2E84"/>
    <w:rsid w:val="00BD39E6"/>
    <w:rsid w:val="00BD3C26"/>
    <w:rsid w:val="00BD75A0"/>
    <w:rsid w:val="00BD7EA0"/>
    <w:rsid w:val="00BE2210"/>
    <w:rsid w:val="00BE2CA2"/>
    <w:rsid w:val="00BE3C8F"/>
    <w:rsid w:val="00BE5AC7"/>
    <w:rsid w:val="00BE775E"/>
    <w:rsid w:val="00BF2A39"/>
    <w:rsid w:val="00BF2DCF"/>
    <w:rsid w:val="00BF3943"/>
    <w:rsid w:val="00BF3E58"/>
    <w:rsid w:val="00BF4A8E"/>
    <w:rsid w:val="00BF5C7D"/>
    <w:rsid w:val="00BF73E4"/>
    <w:rsid w:val="00BF75D8"/>
    <w:rsid w:val="00C00B5E"/>
    <w:rsid w:val="00C00B68"/>
    <w:rsid w:val="00C01124"/>
    <w:rsid w:val="00C01E14"/>
    <w:rsid w:val="00C02549"/>
    <w:rsid w:val="00C0269D"/>
    <w:rsid w:val="00C02B7F"/>
    <w:rsid w:val="00C043BC"/>
    <w:rsid w:val="00C05DCA"/>
    <w:rsid w:val="00C05DD8"/>
    <w:rsid w:val="00C0628D"/>
    <w:rsid w:val="00C07F0D"/>
    <w:rsid w:val="00C13114"/>
    <w:rsid w:val="00C139F6"/>
    <w:rsid w:val="00C16E69"/>
    <w:rsid w:val="00C17697"/>
    <w:rsid w:val="00C2325C"/>
    <w:rsid w:val="00C23C8C"/>
    <w:rsid w:val="00C2473B"/>
    <w:rsid w:val="00C2772B"/>
    <w:rsid w:val="00C3042D"/>
    <w:rsid w:val="00C336AE"/>
    <w:rsid w:val="00C362B7"/>
    <w:rsid w:val="00C3693F"/>
    <w:rsid w:val="00C37A6A"/>
    <w:rsid w:val="00C40F4C"/>
    <w:rsid w:val="00C416CB"/>
    <w:rsid w:val="00C42D21"/>
    <w:rsid w:val="00C436B8"/>
    <w:rsid w:val="00C443D7"/>
    <w:rsid w:val="00C465CF"/>
    <w:rsid w:val="00C502FD"/>
    <w:rsid w:val="00C5049B"/>
    <w:rsid w:val="00C51C16"/>
    <w:rsid w:val="00C51E7E"/>
    <w:rsid w:val="00C53A2C"/>
    <w:rsid w:val="00C53C0E"/>
    <w:rsid w:val="00C545B9"/>
    <w:rsid w:val="00C553A8"/>
    <w:rsid w:val="00C553EA"/>
    <w:rsid w:val="00C5543A"/>
    <w:rsid w:val="00C620FD"/>
    <w:rsid w:val="00C623BD"/>
    <w:rsid w:val="00C62F3A"/>
    <w:rsid w:val="00C63647"/>
    <w:rsid w:val="00C639E4"/>
    <w:rsid w:val="00C63A5C"/>
    <w:rsid w:val="00C66B81"/>
    <w:rsid w:val="00C677FF"/>
    <w:rsid w:val="00C67841"/>
    <w:rsid w:val="00C70242"/>
    <w:rsid w:val="00C702CB"/>
    <w:rsid w:val="00C71CED"/>
    <w:rsid w:val="00C7324E"/>
    <w:rsid w:val="00C7375D"/>
    <w:rsid w:val="00C7738A"/>
    <w:rsid w:val="00C778C6"/>
    <w:rsid w:val="00C800CA"/>
    <w:rsid w:val="00C80C62"/>
    <w:rsid w:val="00C81289"/>
    <w:rsid w:val="00C82A8A"/>
    <w:rsid w:val="00C838C9"/>
    <w:rsid w:val="00C83D40"/>
    <w:rsid w:val="00C8634C"/>
    <w:rsid w:val="00C8765A"/>
    <w:rsid w:val="00C90758"/>
    <w:rsid w:val="00C92437"/>
    <w:rsid w:val="00C96A99"/>
    <w:rsid w:val="00CA168B"/>
    <w:rsid w:val="00CA1A32"/>
    <w:rsid w:val="00CA4694"/>
    <w:rsid w:val="00CA600A"/>
    <w:rsid w:val="00CA772C"/>
    <w:rsid w:val="00CA7E28"/>
    <w:rsid w:val="00CB032B"/>
    <w:rsid w:val="00CB0554"/>
    <w:rsid w:val="00CB178A"/>
    <w:rsid w:val="00CB3683"/>
    <w:rsid w:val="00CB3684"/>
    <w:rsid w:val="00CB57A4"/>
    <w:rsid w:val="00CB69AE"/>
    <w:rsid w:val="00CC1136"/>
    <w:rsid w:val="00CC5606"/>
    <w:rsid w:val="00CD02A5"/>
    <w:rsid w:val="00CD106E"/>
    <w:rsid w:val="00CD27E6"/>
    <w:rsid w:val="00CD65A0"/>
    <w:rsid w:val="00CD7F0B"/>
    <w:rsid w:val="00CE21E7"/>
    <w:rsid w:val="00CE4C57"/>
    <w:rsid w:val="00CE773B"/>
    <w:rsid w:val="00CF00E2"/>
    <w:rsid w:val="00CF1038"/>
    <w:rsid w:val="00CF1EA3"/>
    <w:rsid w:val="00CF2354"/>
    <w:rsid w:val="00CF4735"/>
    <w:rsid w:val="00CF5A2D"/>
    <w:rsid w:val="00CF6FB6"/>
    <w:rsid w:val="00D01260"/>
    <w:rsid w:val="00D01918"/>
    <w:rsid w:val="00D03517"/>
    <w:rsid w:val="00D044DC"/>
    <w:rsid w:val="00D05A02"/>
    <w:rsid w:val="00D060A2"/>
    <w:rsid w:val="00D0725D"/>
    <w:rsid w:val="00D07470"/>
    <w:rsid w:val="00D11F38"/>
    <w:rsid w:val="00D11F49"/>
    <w:rsid w:val="00D127D0"/>
    <w:rsid w:val="00D1478F"/>
    <w:rsid w:val="00D15AA0"/>
    <w:rsid w:val="00D16DCF"/>
    <w:rsid w:val="00D17467"/>
    <w:rsid w:val="00D2150F"/>
    <w:rsid w:val="00D215DF"/>
    <w:rsid w:val="00D23B9C"/>
    <w:rsid w:val="00D2580E"/>
    <w:rsid w:val="00D31BB9"/>
    <w:rsid w:val="00D33D8F"/>
    <w:rsid w:val="00D33E3B"/>
    <w:rsid w:val="00D34FC2"/>
    <w:rsid w:val="00D40B85"/>
    <w:rsid w:val="00D414AD"/>
    <w:rsid w:val="00D43592"/>
    <w:rsid w:val="00D51C65"/>
    <w:rsid w:val="00D535AC"/>
    <w:rsid w:val="00D55393"/>
    <w:rsid w:val="00D555C7"/>
    <w:rsid w:val="00D566F4"/>
    <w:rsid w:val="00D60855"/>
    <w:rsid w:val="00D621F5"/>
    <w:rsid w:val="00D62E16"/>
    <w:rsid w:val="00D713DA"/>
    <w:rsid w:val="00D721FD"/>
    <w:rsid w:val="00D7345C"/>
    <w:rsid w:val="00D75730"/>
    <w:rsid w:val="00D81EC0"/>
    <w:rsid w:val="00D81F86"/>
    <w:rsid w:val="00D820C5"/>
    <w:rsid w:val="00D821C5"/>
    <w:rsid w:val="00D87B08"/>
    <w:rsid w:val="00D91EBA"/>
    <w:rsid w:val="00D95BF7"/>
    <w:rsid w:val="00D9652F"/>
    <w:rsid w:val="00D96BFE"/>
    <w:rsid w:val="00D97277"/>
    <w:rsid w:val="00DA5883"/>
    <w:rsid w:val="00DA5D4A"/>
    <w:rsid w:val="00DA6520"/>
    <w:rsid w:val="00DA65D7"/>
    <w:rsid w:val="00DB49D2"/>
    <w:rsid w:val="00DB5E68"/>
    <w:rsid w:val="00DB7282"/>
    <w:rsid w:val="00DB7BBA"/>
    <w:rsid w:val="00DC075C"/>
    <w:rsid w:val="00DC0E00"/>
    <w:rsid w:val="00DC1406"/>
    <w:rsid w:val="00DC219C"/>
    <w:rsid w:val="00DC4F3C"/>
    <w:rsid w:val="00DC6FBB"/>
    <w:rsid w:val="00DD4CDF"/>
    <w:rsid w:val="00DD5D38"/>
    <w:rsid w:val="00DE05FE"/>
    <w:rsid w:val="00DE07B2"/>
    <w:rsid w:val="00DE3111"/>
    <w:rsid w:val="00DE37BD"/>
    <w:rsid w:val="00DE5EE8"/>
    <w:rsid w:val="00DE6482"/>
    <w:rsid w:val="00DE74EC"/>
    <w:rsid w:val="00DF0B01"/>
    <w:rsid w:val="00DF2D00"/>
    <w:rsid w:val="00DF56B6"/>
    <w:rsid w:val="00DF5A46"/>
    <w:rsid w:val="00DF629A"/>
    <w:rsid w:val="00DF67ED"/>
    <w:rsid w:val="00E00843"/>
    <w:rsid w:val="00E012A6"/>
    <w:rsid w:val="00E033E0"/>
    <w:rsid w:val="00E04E15"/>
    <w:rsid w:val="00E072BA"/>
    <w:rsid w:val="00E10B5B"/>
    <w:rsid w:val="00E11105"/>
    <w:rsid w:val="00E16584"/>
    <w:rsid w:val="00E16939"/>
    <w:rsid w:val="00E1766A"/>
    <w:rsid w:val="00E17E14"/>
    <w:rsid w:val="00E23385"/>
    <w:rsid w:val="00E23D6E"/>
    <w:rsid w:val="00E24397"/>
    <w:rsid w:val="00E25164"/>
    <w:rsid w:val="00E267E6"/>
    <w:rsid w:val="00E26B17"/>
    <w:rsid w:val="00E31EE2"/>
    <w:rsid w:val="00E34501"/>
    <w:rsid w:val="00E35B8F"/>
    <w:rsid w:val="00E37243"/>
    <w:rsid w:val="00E40078"/>
    <w:rsid w:val="00E40365"/>
    <w:rsid w:val="00E41F59"/>
    <w:rsid w:val="00E420D2"/>
    <w:rsid w:val="00E4461B"/>
    <w:rsid w:val="00E4520C"/>
    <w:rsid w:val="00E4787B"/>
    <w:rsid w:val="00E50DB2"/>
    <w:rsid w:val="00E5277D"/>
    <w:rsid w:val="00E54C2E"/>
    <w:rsid w:val="00E56D4B"/>
    <w:rsid w:val="00E62B01"/>
    <w:rsid w:val="00E63FB0"/>
    <w:rsid w:val="00E64398"/>
    <w:rsid w:val="00E64B67"/>
    <w:rsid w:val="00E65460"/>
    <w:rsid w:val="00E66201"/>
    <w:rsid w:val="00E669CD"/>
    <w:rsid w:val="00E70A2C"/>
    <w:rsid w:val="00E75DBC"/>
    <w:rsid w:val="00E7758A"/>
    <w:rsid w:val="00E77B52"/>
    <w:rsid w:val="00E8022C"/>
    <w:rsid w:val="00E8085A"/>
    <w:rsid w:val="00E80A84"/>
    <w:rsid w:val="00E81A92"/>
    <w:rsid w:val="00E83A1D"/>
    <w:rsid w:val="00E847A7"/>
    <w:rsid w:val="00E85FF2"/>
    <w:rsid w:val="00E86CBA"/>
    <w:rsid w:val="00E90E39"/>
    <w:rsid w:val="00E90F57"/>
    <w:rsid w:val="00E93C25"/>
    <w:rsid w:val="00E94D20"/>
    <w:rsid w:val="00E96312"/>
    <w:rsid w:val="00E96A66"/>
    <w:rsid w:val="00EA0DD6"/>
    <w:rsid w:val="00EA436A"/>
    <w:rsid w:val="00EA462D"/>
    <w:rsid w:val="00EA4D6D"/>
    <w:rsid w:val="00EA5D8D"/>
    <w:rsid w:val="00EB0066"/>
    <w:rsid w:val="00EB0B8B"/>
    <w:rsid w:val="00EB1557"/>
    <w:rsid w:val="00EB443E"/>
    <w:rsid w:val="00EB573D"/>
    <w:rsid w:val="00EB5819"/>
    <w:rsid w:val="00EB6F3B"/>
    <w:rsid w:val="00EB785C"/>
    <w:rsid w:val="00EC080A"/>
    <w:rsid w:val="00EC0950"/>
    <w:rsid w:val="00EC145F"/>
    <w:rsid w:val="00EC1D9A"/>
    <w:rsid w:val="00EC2A56"/>
    <w:rsid w:val="00EC61C6"/>
    <w:rsid w:val="00ED1A01"/>
    <w:rsid w:val="00ED27B1"/>
    <w:rsid w:val="00ED3066"/>
    <w:rsid w:val="00ED3522"/>
    <w:rsid w:val="00ED5F9C"/>
    <w:rsid w:val="00ED6377"/>
    <w:rsid w:val="00ED72B7"/>
    <w:rsid w:val="00ED75F9"/>
    <w:rsid w:val="00EE249C"/>
    <w:rsid w:val="00EE2CF3"/>
    <w:rsid w:val="00EE383E"/>
    <w:rsid w:val="00EE3C93"/>
    <w:rsid w:val="00EE570F"/>
    <w:rsid w:val="00EE5F89"/>
    <w:rsid w:val="00EE6A74"/>
    <w:rsid w:val="00EE6E00"/>
    <w:rsid w:val="00EF0003"/>
    <w:rsid w:val="00EF0534"/>
    <w:rsid w:val="00EF1B2D"/>
    <w:rsid w:val="00EF23BB"/>
    <w:rsid w:val="00EF25F2"/>
    <w:rsid w:val="00EF2983"/>
    <w:rsid w:val="00EF618F"/>
    <w:rsid w:val="00EF65D6"/>
    <w:rsid w:val="00F00B50"/>
    <w:rsid w:val="00F010AA"/>
    <w:rsid w:val="00F0196A"/>
    <w:rsid w:val="00F01A52"/>
    <w:rsid w:val="00F026CB"/>
    <w:rsid w:val="00F0282D"/>
    <w:rsid w:val="00F07B2D"/>
    <w:rsid w:val="00F10137"/>
    <w:rsid w:val="00F11689"/>
    <w:rsid w:val="00F12470"/>
    <w:rsid w:val="00F1247D"/>
    <w:rsid w:val="00F13341"/>
    <w:rsid w:val="00F142A5"/>
    <w:rsid w:val="00F16F3D"/>
    <w:rsid w:val="00F172EE"/>
    <w:rsid w:val="00F20341"/>
    <w:rsid w:val="00F2184F"/>
    <w:rsid w:val="00F22FC2"/>
    <w:rsid w:val="00F242A2"/>
    <w:rsid w:val="00F248B6"/>
    <w:rsid w:val="00F25223"/>
    <w:rsid w:val="00F308DA"/>
    <w:rsid w:val="00F31637"/>
    <w:rsid w:val="00F33573"/>
    <w:rsid w:val="00F33B9F"/>
    <w:rsid w:val="00F37AA5"/>
    <w:rsid w:val="00F4032E"/>
    <w:rsid w:val="00F41932"/>
    <w:rsid w:val="00F43E61"/>
    <w:rsid w:val="00F44248"/>
    <w:rsid w:val="00F44C22"/>
    <w:rsid w:val="00F4789A"/>
    <w:rsid w:val="00F478D8"/>
    <w:rsid w:val="00F51C00"/>
    <w:rsid w:val="00F51FDE"/>
    <w:rsid w:val="00F54830"/>
    <w:rsid w:val="00F552E0"/>
    <w:rsid w:val="00F61364"/>
    <w:rsid w:val="00F614C4"/>
    <w:rsid w:val="00F61A48"/>
    <w:rsid w:val="00F61E2F"/>
    <w:rsid w:val="00F62B0D"/>
    <w:rsid w:val="00F66679"/>
    <w:rsid w:val="00F66E88"/>
    <w:rsid w:val="00F71583"/>
    <w:rsid w:val="00F7256C"/>
    <w:rsid w:val="00F73783"/>
    <w:rsid w:val="00F73C02"/>
    <w:rsid w:val="00F75A59"/>
    <w:rsid w:val="00F7650A"/>
    <w:rsid w:val="00F76C4A"/>
    <w:rsid w:val="00F80874"/>
    <w:rsid w:val="00F8265E"/>
    <w:rsid w:val="00F8701A"/>
    <w:rsid w:val="00F876DB"/>
    <w:rsid w:val="00F87F41"/>
    <w:rsid w:val="00F91443"/>
    <w:rsid w:val="00F919F9"/>
    <w:rsid w:val="00F92669"/>
    <w:rsid w:val="00F934B0"/>
    <w:rsid w:val="00F95DDF"/>
    <w:rsid w:val="00F96108"/>
    <w:rsid w:val="00F968FB"/>
    <w:rsid w:val="00FA4696"/>
    <w:rsid w:val="00FA53E4"/>
    <w:rsid w:val="00FA6BB1"/>
    <w:rsid w:val="00FA70A7"/>
    <w:rsid w:val="00FB44C0"/>
    <w:rsid w:val="00FB52E0"/>
    <w:rsid w:val="00FB5337"/>
    <w:rsid w:val="00FB6D11"/>
    <w:rsid w:val="00FB75ED"/>
    <w:rsid w:val="00FB7AEB"/>
    <w:rsid w:val="00FC2874"/>
    <w:rsid w:val="00FC2E34"/>
    <w:rsid w:val="00FC3D23"/>
    <w:rsid w:val="00FC5E52"/>
    <w:rsid w:val="00FD06DF"/>
    <w:rsid w:val="00FD0B4D"/>
    <w:rsid w:val="00FD1640"/>
    <w:rsid w:val="00FD2EFF"/>
    <w:rsid w:val="00FD446B"/>
    <w:rsid w:val="00FD521A"/>
    <w:rsid w:val="00FE0774"/>
    <w:rsid w:val="00FE1039"/>
    <w:rsid w:val="00FE2A69"/>
    <w:rsid w:val="00FE316C"/>
    <w:rsid w:val="00FE40B0"/>
    <w:rsid w:val="00FF0038"/>
    <w:rsid w:val="00FF044A"/>
    <w:rsid w:val="00FF128B"/>
    <w:rsid w:val="00FF29E1"/>
    <w:rsid w:val="00FF383E"/>
    <w:rsid w:val="00FF3D55"/>
    <w:rsid w:val="00FF420C"/>
    <w:rsid w:val="00FF4459"/>
    <w:rsid w:val="00FF5BB9"/>
    <w:rsid w:val="00FF64EA"/>
    <w:rsid w:val="302E670B"/>
    <w:rsid w:val="3924F2C1"/>
    <w:rsid w:val="3CC20FAF"/>
    <w:rsid w:val="3DF21C22"/>
    <w:rsid w:val="50481E26"/>
    <w:rsid w:val="6818F486"/>
    <w:rsid w:val="708B70D5"/>
    <w:rsid w:val="76B9B7C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0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Heading3"/>
    <w:next w:val="Normal"/>
    <w:link w:val="Heading4Char"/>
    <w:qFormat/>
    <w:rsid w:val="00EB0066"/>
    <w:pPr>
      <w:outlineLvl w:val="3"/>
    </w:p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EB0066"/>
    <w:rPr>
      <w:rFonts w:eastAsia="Times New Roman" w:cs="Arial"/>
      <w:b/>
      <w:color w:val="4D7861" w:themeColor="accent2"/>
      <w:kern w:val="32"/>
      <w:sz w:val="28"/>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b + line,b1,Body,Bullet + line,level 1,BodyNum,CG-Bullet"/>
    <w:basedOn w:val="Normal"/>
    <w:link w:val="BulletChar"/>
    <w:qFormat/>
    <w:rsid w:val="008113BB"/>
    <w:pPr>
      <w:numPr>
        <w:numId w:val="7"/>
      </w:numPr>
      <w:tabs>
        <w:tab w:val="clear" w:pos="520"/>
      </w:tabs>
      <w:spacing w:before="0" w:line="276" w:lineRule="auto"/>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ody Char,CV text Char,Dot pt Char,F5 List Paragraph Char,L Char,List Paragraph1 Char,List Paragraph11 Char,Number Char,Recommendation Char,b + line Char,b + line Char Char,b Char,b Char Char,b1 Char,level 1 Char"/>
    <w:basedOn w:val="DefaultParagraphFont"/>
    <w:link w:val="Bullet"/>
    <w:qFormat/>
    <w:rsid w:val="008113B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normal,SUPERS"/>
    <w:basedOn w:val="DefaultParagraphFont"/>
    <w:uiPriority w:val="99"/>
    <w:qFormat/>
    <w:rsid w:val="008F0B15"/>
    <w:rPr>
      <w:vertAlign w:val="superscript"/>
    </w:rPr>
  </w:style>
  <w:style w:type="paragraph" w:styleId="FootnoteText">
    <w:name w:val="footnote text"/>
    <w:aliases w:val="Footnote text,ACMA Footnote Text,footnote text,Footnote Text Char Char,Footnote Text Char1 Char Char,Footnote Text Char Char Char Char,Footnote Text Char1 Char Char Char Char,Footnote Text Char Char Char Char Char Char,ALTS FOOTNOTE,f,fn,A"/>
    <w:basedOn w:val="Normal"/>
    <w:link w:val="FootnoteTextChar"/>
    <w:uiPriority w:val="99"/>
    <w:qFormat/>
    <w:rsid w:val="008F0B15"/>
    <w:pPr>
      <w:spacing w:after="0"/>
    </w:pPr>
    <w:rPr>
      <w:sz w:val="20"/>
    </w:rPr>
  </w:style>
  <w:style w:type="character" w:customStyle="1" w:styleId="FootnoteTextChar">
    <w:name w:val="Footnote Text Char"/>
    <w:aliases w:val="Footnote text Char,ACMA Footnote Text Char,footnote text Char,Footnote Text Char Char Char,Footnote Text Char1 Char Char Char,Footnote Text Char Char Char Char Char,Footnote Text Char1 Char Char Char Char Char,ALTS FOOTNOTE Char"/>
    <w:basedOn w:val="DefaultParagraphFont"/>
    <w:link w:val="FootnoteText"/>
    <w:uiPriority w:val="99"/>
    <w:qForma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Style1">
    <w:name w:val="Style1"/>
    <w:basedOn w:val="Heading1"/>
    <w:link w:val="Style1Char"/>
    <w:qFormat/>
    <w:rsid w:val="00EB0066"/>
  </w:style>
  <w:style w:type="paragraph" w:customStyle="1" w:styleId="Style2">
    <w:name w:val="Style2"/>
    <w:basedOn w:val="BoxHeading"/>
    <w:link w:val="Style2Char"/>
    <w:qFormat/>
    <w:rsid w:val="00F73783"/>
  </w:style>
  <w:style w:type="character" w:customStyle="1" w:styleId="Style1Char">
    <w:name w:val="Style1 Char"/>
    <w:basedOn w:val="Heading1Char"/>
    <w:link w:val="Style1"/>
    <w:rsid w:val="00EB0066"/>
    <w:rPr>
      <w:rFonts w:eastAsia="Times New Roman" w:cs="Arial"/>
      <w:b/>
      <w:color w:val="5D779D" w:themeColor="accent3"/>
      <w:kern w:val="32"/>
      <w:sz w:val="44"/>
      <w:szCs w:val="36"/>
      <w:lang w:eastAsia="en-AU"/>
    </w:rPr>
  </w:style>
  <w:style w:type="paragraph" w:customStyle="1" w:styleId="ChartGraphic">
    <w:name w:val="Chart Graphic"/>
    <w:basedOn w:val="Normal"/>
    <w:next w:val="Normal"/>
    <w:rsid w:val="008C6DA6"/>
    <w:pPr>
      <w:keepNext/>
      <w:spacing w:before="0" w:after="0"/>
      <w:jc w:val="center"/>
    </w:pPr>
    <w:rPr>
      <w:color w:val="004A7F"/>
      <w:sz w:val="20"/>
    </w:rPr>
  </w:style>
  <w:style w:type="character" w:customStyle="1" w:styleId="Style2Char">
    <w:name w:val="Style2 Char"/>
    <w:basedOn w:val="DefaultParagraphFont"/>
    <w:link w:val="Style2"/>
    <w:rsid w:val="00F73783"/>
    <w:rPr>
      <w:rFonts w:ascii="Calibri Light" w:eastAsia="Times New Roman" w:hAnsi="Calibri Light"/>
      <w:b/>
      <w:color w:val="2C384A" w:themeColor="accent1"/>
      <w:sz w:val="26"/>
      <w:szCs w:val="26"/>
      <w:lang w:eastAsia="en-AU"/>
    </w:rPr>
  </w:style>
  <w:style w:type="paragraph" w:customStyle="1" w:styleId="TableColumnHeadingLeft">
    <w:name w:val="Table Column Heading Left"/>
    <w:basedOn w:val="TableTextLeft"/>
    <w:rsid w:val="008C6DA6"/>
    <w:rPr>
      <w:b/>
      <w:color w:val="2C384A" w:themeColor="accent1"/>
      <w:sz w:val="20"/>
    </w:rPr>
  </w:style>
  <w:style w:type="paragraph" w:customStyle="1" w:styleId="TableTextLeft">
    <w:name w:val="Table Text Left"/>
    <w:basedOn w:val="Normal"/>
    <w:rsid w:val="008C6DA6"/>
    <w:pPr>
      <w:spacing w:before="40" w:after="40"/>
    </w:pPr>
    <w:rPr>
      <w:color w:val="000000"/>
      <w:sz w:val="18"/>
    </w:rPr>
  </w:style>
  <w:style w:type="table" w:customStyle="1" w:styleId="TableGrid3">
    <w:name w:val="Table Grid3"/>
    <w:basedOn w:val="TableNormal"/>
    <w:next w:val="TableGrid"/>
    <w:uiPriority w:val="59"/>
    <w:rsid w:val="008C6DA6"/>
    <w:pPr>
      <w:spacing w:before="60" w:after="60"/>
    </w:pPr>
    <w:rPr>
      <w:rFonts w:ascii="Arial" w:eastAsia="Arial" w:hAnsi="Arial" w:cstheme="minorBidi"/>
      <w:color w:val="000000"/>
      <w:sz w:val="22"/>
      <w:szCs w:val="22"/>
    </w:rPr>
    <w:tblPr>
      <w:tblStyleRowBandSize w:val="1"/>
      <w:tblStyleColBandSize w:val="1"/>
      <w:tblBorders>
        <w:bottom w:val="single" w:sz="4" w:space="0" w:color="FFFFFF"/>
        <w:insideH w:val="single" w:sz="4" w:space="0" w:color="FFFFFF"/>
        <w:insideV w:val="single" w:sz="4" w:space="0" w:color="FFFFFF"/>
      </w:tblBorders>
      <w:tblCellMar>
        <w:top w:w="28" w:type="dxa"/>
        <w:bottom w:w="28" w:type="dxa"/>
      </w:tblCellMar>
    </w:tblPr>
    <w:tcPr>
      <w:shd w:val="clear" w:color="auto" w:fill="EAECEE"/>
    </w:tcPr>
    <w:tblStylePr w:type="firstRow">
      <w:rPr>
        <w:b w:val="0"/>
        <w:color w:val="FFFFFF"/>
      </w:rPr>
      <w:tblPr/>
      <w:trPr>
        <w:cantSplit/>
        <w:tblHeader/>
      </w:trPr>
      <w:tcPr>
        <w:shd w:val="clear" w:color="auto" w:fill="012169"/>
      </w:tcPr>
    </w:tblStylePr>
    <w:tblStylePr w:type="lastRow">
      <w:rPr>
        <w:b/>
      </w:rPr>
      <w:tblPr/>
      <w:tcPr>
        <w:shd w:val="clear" w:color="auto" w:fill="EAECEE"/>
      </w:tcPr>
    </w:tblStylePr>
    <w:tblStylePr w:type="firstCol">
      <w:rPr>
        <w:b/>
        <w:color w:val="auto"/>
      </w:rPr>
    </w:tblStylePr>
    <w:tblStylePr w:type="lastCol">
      <w:pPr>
        <w:jc w:val="right"/>
      </w:pPr>
      <w:rPr>
        <w:b/>
      </w:rPr>
    </w:tblStylePr>
    <w:tblStylePr w:type="band1Horz">
      <w:tblPr/>
      <w:tcPr>
        <w:shd w:val="clear" w:color="auto" w:fill="EAECEE"/>
      </w:tcPr>
    </w:tblStylePr>
    <w:tblStylePr w:type="band2Horz">
      <w:tblPr/>
      <w:tcPr>
        <w:shd w:val="clear" w:color="auto" w:fill="C1C8CE"/>
      </w:tcPr>
    </w:tblStylePr>
  </w:style>
  <w:style w:type="character" w:styleId="CommentReference">
    <w:name w:val="annotation reference"/>
    <w:basedOn w:val="DefaultParagraphFont"/>
    <w:semiHidden/>
    <w:unhideWhenUsed/>
    <w:rsid w:val="00F026CB"/>
    <w:rPr>
      <w:sz w:val="16"/>
      <w:szCs w:val="16"/>
    </w:rPr>
  </w:style>
  <w:style w:type="paragraph" w:styleId="CommentText">
    <w:name w:val="annotation text"/>
    <w:basedOn w:val="Normal"/>
    <w:link w:val="CommentTextChar"/>
    <w:unhideWhenUsed/>
    <w:rsid w:val="00F026CB"/>
    <w:rPr>
      <w:sz w:val="20"/>
    </w:rPr>
  </w:style>
  <w:style w:type="character" w:customStyle="1" w:styleId="CommentTextChar">
    <w:name w:val="Comment Text Char"/>
    <w:basedOn w:val="DefaultParagraphFont"/>
    <w:link w:val="CommentText"/>
    <w:rsid w:val="00F026CB"/>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F026CB"/>
    <w:rPr>
      <w:b/>
      <w:bCs/>
    </w:rPr>
  </w:style>
  <w:style w:type="character" w:customStyle="1" w:styleId="CommentSubjectChar">
    <w:name w:val="Comment Subject Char"/>
    <w:basedOn w:val="CommentTextChar"/>
    <w:link w:val="CommentSubject"/>
    <w:semiHidden/>
    <w:rsid w:val="00F026CB"/>
    <w:rPr>
      <w:rFonts w:ascii="Calibri Light" w:eastAsia="Times New Roman" w:hAnsi="Calibri Light"/>
      <w:b/>
      <w:bCs/>
      <w:lang w:eastAsia="en-AU"/>
    </w:rPr>
  </w:style>
  <w:style w:type="character" w:styleId="Mention">
    <w:name w:val="Mention"/>
    <w:basedOn w:val="DefaultParagraphFont"/>
    <w:uiPriority w:val="99"/>
    <w:unhideWhenUsed/>
    <w:rsid w:val="00014706"/>
    <w:rPr>
      <w:color w:val="2B579A"/>
      <w:shd w:val="clear" w:color="auto" w:fill="E1DFDD"/>
    </w:rPr>
  </w:style>
  <w:style w:type="character" w:styleId="UnresolvedMention">
    <w:name w:val="Unresolved Mention"/>
    <w:basedOn w:val="DefaultParagraphFont"/>
    <w:uiPriority w:val="99"/>
    <w:semiHidden/>
    <w:unhideWhenUsed/>
    <w:rsid w:val="00C7324E"/>
    <w:rPr>
      <w:color w:val="605E5C"/>
      <w:shd w:val="clear" w:color="auto" w:fill="E1DFDD"/>
    </w:rPr>
  </w:style>
  <w:style w:type="character" w:customStyle="1" w:styleId="ui-provider">
    <w:name w:val="ui-provider"/>
    <w:basedOn w:val="DefaultParagraphFont"/>
    <w:rsid w:val="00EF65D6"/>
  </w:style>
  <w:style w:type="table" w:styleId="TableGridLight">
    <w:name w:val="Grid Table Light"/>
    <w:basedOn w:val="TableNormal"/>
    <w:uiPriority w:val="40"/>
    <w:rsid w:val="00455E78"/>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rsid w:val="00455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354381429">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gov.au/publication/p2023-4049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easury.gov.au/consultation/c2023-40320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B49AD-DDEE-455B-8533-952D9538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Regulation of payment service providers – factsheet</vt:lpstr>
    </vt:vector>
  </TitlesOfParts>
  <Company/>
  <LinksUpToDate>false</LinksUpToDate>
  <CharactersWithSpaces>4994</CharactersWithSpaces>
  <SharedDoc>false</SharedDoc>
  <HLinks>
    <vt:vector size="12" baseType="variant">
      <vt:variant>
        <vt:i4>1048669</vt:i4>
      </vt:variant>
      <vt:variant>
        <vt:i4>3</vt:i4>
      </vt:variant>
      <vt:variant>
        <vt:i4>0</vt:i4>
      </vt:variant>
      <vt:variant>
        <vt:i4>5</vt:i4>
      </vt:variant>
      <vt:variant>
        <vt:lpwstr>https://treasury.gov.au/consultation/c2023-403207</vt:lpwstr>
      </vt:variant>
      <vt:variant>
        <vt:lpwstr/>
      </vt:variant>
      <vt:variant>
        <vt:i4>720914</vt:i4>
      </vt:variant>
      <vt:variant>
        <vt:i4>0</vt:i4>
      </vt:variant>
      <vt:variant>
        <vt:i4>0</vt:i4>
      </vt:variant>
      <vt:variant>
        <vt:i4>5</vt:i4>
      </vt:variant>
      <vt:variant>
        <vt:lpwstr>https://treasury.gov.au/publication/p2023-404960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of payment service providers – factsheet</dc:title>
  <dc:subject/>
  <dc:creator/>
  <cp:keywords/>
  <dc:description/>
  <cp:lastModifiedBy/>
  <cp:revision>1</cp:revision>
  <dcterms:created xsi:type="dcterms:W3CDTF">2023-12-07T04:24:00Z</dcterms:created>
  <dcterms:modified xsi:type="dcterms:W3CDTF">2023-12-07T04:34:00Z</dcterms:modified>
  <cp:category/>
  <cp:contentStatus/>
</cp:coreProperties>
</file>