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81B7A" w14:textId="4BD5EDB0" w:rsidR="00986A46" w:rsidRPr="006E76BE" w:rsidRDefault="006813B7" w:rsidP="00300C95">
      <w:pPr>
        <w:pStyle w:val="Factsheettitle"/>
        <w:spacing w:before="1440"/>
      </w:pPr>
      <w:r w:rsidRPr="006813B7">
        <w:t>Gender Pay Gap Employer</w:t>
      </w:r>
      <w:r w:rsidR="004B6501">
        <w:t> </w:t>
      </w:r>
      <w:r w:rsidRPr="006813B7">
        <w:t>Statement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2C384A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FC2E34" w14:paraId="42FD9B40" w14:textId="77777777" w:rsidTr="00FC2E34">
        <w:tc>
          <w:tcPr>
            <w:tcW w:w="8498" w:type="dxa"/>
            <w:shd w:val="clear" w:color="auto" w:fill="auto"/>
          </w:tcPr>
          <w:p w14:paraId="3D68D37B" w14:textId="03D3C651" w:rsidR="002979D6" w:rsidRDefault="002979D6" w:rsidP="002979D6">
            <w:pPr>
              <w:pStyle w:val="Introtext"/>
            </w:pPr>
            <w:r>
              <w:t>Treasury participates in the Workplace Gender Equality Agency (WGEA) public sector reporting program. This program helps identify gender equality issues and put action plans in place</w:t>
            </w:r>
            <w:r w:rsidR="00C37C64">
              <w:t xml:space="preserve">. </w:t>
            </w:r>
          </w:p>
          <w:p w14:paraId="7985D91E" w14:textId="0C19F6AD" w:rsidR="002979D6" w:rsidRDefault="002979D6" w:rsidP="002979D6">
            <w:pPr>
              <w:pStyle w:val="Introtext"/>
            </w:pPr>
            <w:r>
              <w:t>The 2023 Gender Pay Gap Employer Statement was endorsed by Treasury</w:t>
            </w:r>
            <w:r w:rsidR="00C37C64">
              <w:t>’</w:t>
            </w:r>
            <w:r>
              <w:t xml:space="preserve">s Secretary, Steven Kennedy on 23 January 2024. </w:t>
            </w:r>
          </w:p>
          <w:p w14:paraId="6E72BE5B" w14:textId="5384C594" w:rsidR="00FC2E34" w:rsidRPr="00E847A7" w:rsidRDefault="002979D6" w:rsidP="002979D6">
            <w:pPr>
              <w:pStyle w:val="Introtext"/>
            </w:pPr>
            <w:r>
              <w:t>The Statement provides Treasury</w:t>
            </w:r>
            <w:r w:rsidR="00C37C64">
              <w:t>’</w:t>
            </w:r>
            <w:r>
              <w:t>s commitment to addressing existing gender pay gap disparities and goals that will underpin Treasury</w:t>
            </w:r>
            <w:r w:rsidR="00C37C64">
              <w:t>’</w:t>
            </w:r>
            <w:r>
              <w:t>s efforts to make sure all employees are fairly and equally treated.</w:t>
            </w:r>
          </w:p>
        </w:tc>
      </w:tr>
    </w:tbl>
    <w:p w14:paraId="44EFEB65" w14:textId="77777777" w:rsidR="00B14740" w:rsidRDefault="00B14740">
      <w:pPr>
        <w:spacing w:before="0" w:after="0"/>
        <w:rPr>
          <w:rFonts w:ascii="Calibri" w:hAnsi="Calibri" w:cs="Arial"/>
          <w:b/>
          <w:color w:val="5D779D" w:themeColor="accent3"/>
          <w:kern w:val="32"/>
          <w:sz w:val="44"/>
          <w:szCs w:val="36"/>
        </w:rPr>
      </w:pPr>
      <w:r>
        <w:rPr>
          <w:b/>
          <w:iCs/>
          <w:color w:val="5D779D" w:themeColor="accent3"/>
          <w:sz w:val="44"/>
          <w:szCs w:val="36"/>
        </w:rPr>
        <w:br w:type="page"/>
      </w:r>
    </w:p>
    <w:p w14:paraId="3F828FED" w14:textId="0F8F5FFD" w:rsidR="00952F2F" w:rsidRDefault="006813B7" w:rsidP="00233A88">
      <w:pPr>
        <w:pStyle w:val="Heading2"/>
        <w:rPr>
          <w:b/>
          <w:iCs w:val="0"/>
          <w:color w:val="5D779D" w:themeColor="accent3"/>
          <w:sz w:val="44"/>
          <w:szCs w:val="36"/>
        </w:rPr>
      </w:pPr>
      <w:r w:rsidRPr="006813B7">
        <w:rPr>
          <w:b/>
          <w:iCs w:val="0"/>
          <w:color w:val="5D779D" w:themeColor="accent3"/>
          <w:sz w:val="44"/>
          <w:szCs w:val="36"/>
        </w:rPr>
        <w:lastRenderedPageBreak/>
        <w:t>Our 2023 Gender Pay Gap</w:t>
      </w:r>
      <w:r w:rsidR="00B14740">
        <w:rPr>
          <w:b/>
          <w:iCs w:val="0"/>
          <w:color w:val="5D779D" w:themeColor="accent3"/>
          <w:sz w:val="44"/>
          <w:szCs w:val="36"/>
        </w:rPr>
        <w:t xml:space="preserve"> </w:t>
      </w:r>
      <w:r w:rsidRPr="006813B7">
        <w:rPr>
          <w:b/>
          <w:iCs w:val="0"/>
          <w:color w:val="5D779D" w:themeColor="accent3"/>
          <w:sz w:val="44"/>
          <w:szCs w:val="36"/>
        </w:rPr>
        <w:t>Employer</w:t>
      </w:r>
      <w:r w:rsidR="00781021">
        <w:rPr>
          <w:b/>
          <w:iCs w:val="0"/>
          <w:color w:val="5D779D" w:themeColor="accent3"/>
          <w:sz w:val="44"/>
          <w:szCs w:val="36"/>
        </w:rPr>
        <w:t> </w:t>
      </w:r>
      <w:r w:rsidRPr="006813B7">
        <w:rPr>
          <w:b/>
          <w:iCs w:val="0"/>
          <w:color w:val="5D779D" w:themeColor="accent3"/>
          <w:sz w:val="44"/>
          <w:szCs w:val="36"/>
        </w:rPr>
        <w:t>Statement</w:t>
      </w:r>
    </w:p>
    <w:p w14:paraId="3A3F044D" w14:textId="77777777" w:rsidR="006813B7" w:rsidRDefault="006813B7" w:rsidP="00781021">
      <w:r>
        <w:t xml:space="preserve">Treasury is committed to fostering an inclusive and diverse workplace. </w:t>
      </w:r>
    </w:p>
    <w:p w14:paraId="1E94DE8F" w14:textId="77777777" w:rsidR="006813B7" w:rsidRDefault="006813B7" w:rsidP="00781021">
      <w:r>
        <w:t xml:space="preserve">We value and respect the contributions of all our employees. </w:t>
      </w:r>
    </w:p>
    <w:p w14:paraId="502ACC98" w14:textId="77777777" w:rsidR="006813B7" w:rsidRDefault="006813B7" w:rsidP="00781021">
      <w:r>
        <w:t>As part of our ongoing efforts to promote transparency and equality, we conducted an analysis of our gender pay gap. We are committed to addressing the existing disparity found.</w:t>
      </w:r>
    </w:p>
    <w:p w14:paraId="14F7C959" w14:textId="57B06FD7" w:rsidR="006813B7" w:rsidRDefault="006813B7" w:rsidP="00781021">
      <w:r>
        <w:t>As of 31 December 2022, Treasury has a gender pay gap of 4.3</w:t>
      </w:r>
      <w:r w:rsidR="004B6501">
        <w:t> per cent</w:t>
      </w:r>
      <w:r>
        <w:t xml:space="preserve">, based on the earnings of substantive APS employees. This excludes earnings of: </w:t>
      </w:r>
    </w:p>
    <w:p w14:paraId="00F424EA" w14:textId="07960F11" w:rsidR="006813B7" w:rsidRDefault="006813B7" w:rsidP="006813B7">
      <w:pPr>
        <w:pStyle w:val="Bullet"/>
      </w:pPr>
      <w:r>
        <w:t xml:space="preserve">the Secretary </w:t>
      </w:r>
    </w:p>
    <w:p w14:paraId="3138E6B9" w14:textId="25A25D37" w:rsidR="006813B7" w:rsidRDefault="006813B7" w:rsidP="006813B7">
      <w:pPr>
        <w:pStyle w:val="Bullet"/>
      </w:pPr>
      <w:r>
        <w:t>casuals</w:t>
      </w:r>
    </w:p>
    <w:p w14:paraId="6EF80625" w14:textId="1F8EA066" w:rsidR="006813B7" w:rsidRDefault="006813B7" w:rsidP="006813B7">
      <w:pPr>
        <w:pStyle w:val="Bullet"/>
      </w:pPr>
      <w:r>
        <w:t>contractors</w:t>
      </w:r>
    </w:p>
    <w:p w14:paraId="3C10B4F6" w14:textId="45E40BEE" w:rsidR="006813B7" w:rsidRDefault="006813B7" w:rsidP="006813B7">
      <w:pPr>
        <w:pStyle w:val="Bullet"/>
      </w:pPr>
      <w:r>
        <w:t>statutory appointments</w:t>
      </w:r>
    </w:p>
    <w:p w14:paraId="67FB18CE" w14:textId="71773577" w:rsidR="006813B7" w:rsidRDefault="006813B7" w:rsidP="006813B7">
      <w:pPr>
        <w:pStyle w:val="Bullet"/>
      </w:pPr>
      <w:r>
        <w:t>employees on long</w:t>
      </w:r>
      <w:r w:rsidR="00C37C64">
        <w:noBreakHyphen/>
      </w:r>
      <w:r>
        <w:t>term leave</w:t>
      </w:r>
    </w:p>
    <w:p w14:paraId="26F39611" w14:textId="2ABFC80F" w:rsidR="006813B7" w:rsidRDefault="006813B7" w:rsidP="006813B7">
      <w:pPr>
        <w:pStyle w:val="Bullet"/>
      </w:pPr>
      <w:r>
        <w:t>labour</w:t>
      </w:r>
      <w:r w:rsidR="00C37C64">
        <w:noBreakHyphen/>
      </w:r>
      <w:r>
        <w:t xml:space="preserve">hire staff. </w:t>
      </w:r>
    </w:p>
    <w:p w14:paraId="69D0CDFC" w14:textId="77777777" w:rsidR="006813B7" w:rsidRDefault="006813B7" w:rsidP="006813B7">
      <w:r>
        <w:t xml:space="preserve">We acknowledge the importance of closing this gap to ensure fairness and equality for all our employees. </w:t>
      </w:r>
    </w:p>
    <w:p w14:paraId="0A7B2526" w14:textId="77777777" w:rsidR="006813B7" w:rsidRDefault="006813B7" w:rsidP="006813B7">
      <w:r>
        <w:t>We are dedicated to understanding the root causes of this discrepancy and implementing effective measures to rectify the imbalance.</w:t>
      </w:r>
    </w:p>
    <w:p w14:paraId="314CEC29" w14:textId="419C55AF" w:rsidR="006813B7" w:rsidRDefault="006813B7" w:rsidP="006813B7">
      <w:r>
        <w:t>Treasury</w:t>
      </w:r>
      <w:r w:rsidR="00C37C64">
        <w:t>’</w:t>
      </w:r>
      <w:r>
        <w:t xml:space="preserve">s Gender Equality Committee was established in 2021. The Committee meets regularly to discuss equality and gender issues. </w:t>
      </w:r>
    </w:p>
    <w:p w14:paraId="6F0CB410" w14:textId="77777777" w:rsidR="006813B7" w:rsidRDefault="006813B7" w:rsidP="006813B7">
      <w:r>
        <w:t>The Committee is supported by the Progressive Women initiative (</w:t>
      </w:r>
      <w:proofErr w:type="spellStart"/>
      <w:r>
        <w:t>PWi</w:t>
      </w:r>
      <w:proofErr w:type="spellEnd"/>
      <w:r>
        <w:t xml:space="preserve">) Network, which has developed targeted actions to: </w:t>
      </w:r>
    </w:p>
    <w:p w14:paraId="5564BB7A" w14:textId="0ADA9027" w:rsidR="006813B7" w:rsidRDefault="006813B7" w:rsidP="006813B7">
      <w:pPr>
        <w:pStyle w:val="Bullet"/>
      </w:pPr>
      <w:r>
        <w:t xml:space="preserve">drive and achieve an increase of women in senior leadership roles </w:t>
      </w:r>
    </w:p>
    <w:p w14:paraId="01B19895" w14:textId="51B245E8" w:rsidR="006813B7" w:rsidRDefault="006813B7" w:rsidP="006813B7">
      <w:pPr>
        <w:pStyle w:val="Bullet"/>
      </w:pPr>
      <w:r>
        <w:t>decrease the gender pay gap overall.</w:t>
      </w:r>
    </w:p>
    <w:p w14:paraId="2C4ACEDE" w14:textId="77777777" w:rsidR="00B14740" w:rsidRDefault="00B14740">
      <w:pPr>
        <w:spacing w:before="0" w:after="0"/>
        <w:rPr>
          <w:rFonts w:ascii="Calibri" w:hAnsi="Calibri" w:cs="Arial"/>
          <w:iCs/>
          <w:color w:val="2C384A"/>
          <w:kern w:val="32"/>
          <w:sz w:val="36"/>
          <w:szCs w:val="28"/>
        </w:rPr>
      </w:pPr>
      <w:r>
        <w:br w:type="page"/>
      </w:r>
    </w:p>
    <w:p w14:paraId="6E68F04D" w14:textId="18FFE6ED" w:rsidR="006813B7" w:rsidRPr="006813B7" w:rsidRDefault="006813B7" w:rsidP="006813B7">
      <w:pPr>
        <w:pStyle w:val="Heading2"/>
      </w:pPr>
      <w:r w:rsidRPr="006813B7">
        <w:lastRenderedPageBreak/>
        <w:t>Our gender profile</w:t>
      </w:r>
    </w:p>
    <w:p w14:paraId="4AD7A365" w14:textId="77777777" w:rsidR="006813B7" w:rsidRPr="006813B7" w:rsidRDefault="006813B7" w:rsidP="004B6501">
      <w:pPr>
        <w:pStyle w:val="ChartHeading"/>
      </w:pPr>
      <w:r w:rsidRPr="006813B7">
        <w:t>Chart 1: Treasury profile overview</w:t>
      </w:r>
    </w:p>
    <w:p w14:paraId="0005631D" w14:textId="293815A7" w:rsidR="006813B7" w:rsidRPr="006813B7" w:rsidRDefault="006813B7" w:rsidP="006813B7">
      <w:r w:rsidRPr="00EC5CE3">
        <w:rPr>
          <w:noProof/>
        </w:rPr>
        <w:drawing>
          <wp:inline distT="0" distB="0" distL="0" distR="0" wp14:anchorId="67A377C4" wp14:editId="4CEA33B3">
            <wp:extent cx="5400040" cy="2284632"/>
            <wp:effectExtent l="0" t="0" r="10160" b="1905"/>
            <wp:docPr id="2" name="Chart 2" descr="A bar chart showing the percentage of female and male staff at Treasury.">
              <a:extLst xmlns:a="http://schemas.openxmlformats.org/drawingml/2006/main">
                <a:ext uri="{FF2B5EF4-FFF2-40B4-BE49-F238E27FC236}">
                  <a16:creationId xmlns:a16="http://schemas.microsoft.com/office/drawing/2014/main" id="{8949C353-D970-DA33-2893-66075750BF9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499B53F" w14:textId="3084030F" w:rsidR="006813B7" w:rsidRDefault="006813B7" w:rsidP="006813B7">
      <w:r>
        <w:t xml:space="preserve">The number of females working at Treasury surpassed males in 2020. This trend has continued over the past </w:t>
      </w:r>
      <w:r w:rsidR="00D95E45">
        <w:t>four</w:t>
      </w:r>
      <w:r>
        <w:t xml:space="preserve"> years. </w:t>
      </w:r>
    </w:p>
    <w:p w14:paraId="37CAF7A5" w14:textId="549AA7BA" w:rsidR="006813B7" w:rsidRDefault="006813B7" w:rsidP="006813B7">
      <w:r>
        <w:t>By the end of 2021, notable growth in the workforce had resulted in 10.1</w:t>
      </w:r>
      <w:r w:rsidR="004B6501">
        <w:t> per cent</w:t>
      </w:r>
      <w:r>
        <w:t xml:space="preserve"> more females than males. </w:t>
      </w:r>
    </w:p>
    <w:p w14:paraId="7BF83936" w14:textId="38D3A4C5" w:rsidR="006813B7" w:rsidRDefault="006813B7" w:rsidP="004B6501">
      <w:pPr>
        <w:pStyle w:val="ChartHeading"/>
      </w:pPr>
      <w:r>
        <w:t xml:space="preserve">Chart 2: Female employees at APS, EL and SES classification levels </w:t>
      </w:r>
      <w:r w:rsidR="004B6501">
        <w:br/>
      </w:r>
      <w:r w:rsidRPr="00C37C64">
        <w:rPr>
          <w:b w:val="0"/>
          <w:bCs/>
        </w:rPr>
        <w:t>(as at 31 December 2023)</w:t>
      </w:r>
    </w:p>
    <w:p w14:paraId="59DC65B7" w14:textId="4021BB94" w:rsidR="006813B7" w:rsidRDefault="006813B7" w:rsidP="00781021">
      <w:r w:rsidRPr="00EC5CE3">
        <w:rPr>
          <w:noProof/>
        </w:rPr>
        <w:drawing>
          <wp:inline distT="0" distB="0" distL="0" distR="0" wp14:anchorId="6925E4D8" wp14:editId="4FCE2F4C">
            <wp:extent cx="5391150" cy="2782957"/>
            <wp:effectExtent l="0" t="0" r="0" b="17780"/>
            <wp:docPr id="5" name="Chart 5" descr="A bar chart displaying the number of female employees in APS, Executive Level and SES from 2019 to 2023.">
              <a:extLst xmlns:a="http://schemas.openxmlformats.org/drawingml/2006/main">
                <a:ext uri="{FF2B5EF4-FFF2-40B4-BE49-F238E27FC236}">
                  <a16:creationId xmlns:a16="http://schemas.microsoft.com/office/drawing/2014/main" id="{C6AEA5A4-154F-DDC9-1B5C-6C4565236DE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A0B0970" w14:textId="5F2A7248" w:rsidR="006813B7" w:rsidRDefault="006813B7" w:rsidP="006813B7">
      <w:r>
        <w:t xml:space="preserve">There </w:t>
      </w:r>
      <w:proofErr w:type="gramStart"/>
      <w:r>
        <w:t>has</w:t>
      </w:r>
      <w:proofErr w:type="gramEnd"/>
      <w:r>
        <w:t xml:space="preserve"> been more females than males employed by Treasury at the APS level over the past </w:t>
      </w:r>
      <w:r w:rsidR="00B14740">
        <w:t>four </w:t>
      </w:r>
      <w:r>
        <w:t xml:space="preserve">years. </w:t>
      </w:r>
    </w:p>
    <w:p w14:paraId="6475B70C" w14:textId="1F74B8E6" w:rsidR="006813B7" w:rsidRDefault="006813B7" w:rsidP="006813B7">
      <w:r>
        <w:t>The proportion of females at the EL level increased by 65</w:t>
      </w:r>
      <w:r w:rsidR="004B6501">
        <w:t> per cent</w:t>
      </w:r>
      <w:r>
        <w:t xml:space="preserve"> from 2019 to 2021. Female representation continues to grow at an average 8</w:t>
      </w:r>
      <w:r w:rsidR="004B6501">
        <w:t> per cent</w:t>
      </w:r>
      <w:r>
        <w:t xml:space="preserve"> each year. </w:t>
      </w:r>
    </w:p>
    <w:p w14:paraId="12FC2B64" w14:textId="525442EB" w:rsidR="006813B7" w:rsidRDefault="006813B7" w:rsidP="006813B7">
      <w:r>
        <w:t>The proportion of females at the SES level increased by 33</w:t>
      </w:r>
      <w:r w:rsidR="004B6501">
        <w:t> per cent</w:t>
      </w:r>
      <w:r>
        <w:t xml:space="preserve"> from 2019 to 2021. Females at the SES level reached gender parity at the end of 2023. </w:t>
      </w:r>
    </w:p>
    <w:p w14:paraId="3BC2860C" w14:textId="77777777" w:rsidR="006813B7" w:rsidRDefault="006813B7" w:rsidP="006813B7">
      <w:pPr>
        <w:pStyle w:val="Heading2"/>
      </w:pPr>
      <w:r>
        <w:lastRenderedPageBreak/>
        <w:t>Looking Forward</w:t>
      </w:r>
    </w:p>
    <w:p w14:paraId="309D5540" w14:textId="77777777" w:rsidR="006813B7" w:rsidRDefault="006813B7" w:rsidP="006813B7">
      <w:r>
        <w:t>Treasury is committed to achieving gender equality.</w:t>
      </w:r>
    </w:p>
    <w:p w14:paraId="1EDC3864" w14:textId="1BEE7738" w:rsidR="006813B7" w:rsidRDefault="006813B7" w:rsidP="006813B7">
      <w:r>
        <w:t>We will continue to consult with employees to make sure all Treasury</w:t>
      </w:r>
      <w:r w:rsidR="00C37C64">
        <w:t>’</w:t>
      </w:r>
      <w:r>
        <w:t>s new guidelines and practices and the new 2024</w:t>
      </w:r>
      <w:r w:rsidR="00B14740">
        <w:t>–</w:t>
      </w:r>
      <w:r>
        <w:t xml:space="preserve">27 Enterprise Agreement align with achieving our goals. </w:t>
      </w:r>
    </w:p>
    <w:p w14:paraId="016C1A64" w14:textId="77777777" w:rsidR="006813B7" w:rsidRDefault="006813B7" w:rsidP="006813B7">
      <w:r>
        <w:t>Existing actions we are taking to address existing gender pay gap disparities can be seen in:</w:t>
      </w:r>
    </w:p>
    <w:p w14:paraId="2B3D1B70" w14:textId="0C3C0F37" w:rsidR="006813B7" w:rsidRDefault="006813B7" w:rsidP="006813B7">
      <w:pPr>
        <w:pStyle w:val="Bullet"/>
      </w:pPr>
      <w:r>
        <w:t>Treasury</w:t>
      </w:r>
      <w:r w:rsidR="00C37C64">
        <w:t>’</w:t>
      </w:r>
      <w:r>
        <w:t xml:space="preserve">s </w:t>
      </w:r>
      <w:hyperlink r:id="rId9" w:history="1">
        <w:r w:rsidRPr="00A0029A">
          <w:rPr>
            <w:rStyle w:val="Hyperlink"/>
          </w:rPr>
          <w:t>Inclusion and Diversity Strategy 2023</w:t>
        </w:r>
        <w:r w:rsidR="00B14740" w:rsidRPr="00A0029A">
          <w:rPr>
            <w:rStyle w:val="Hyperlink"/>
          </w:rPr>
          <w:t>–</w:t>
        </w:r>
        <w:r w:rsidRPr="00A0029A">
          <w:rPr>
            <w:rStyle w:val="Hyperlink"/>
          </w:rPr>
          <w:t>28</w:t>
        </w:r>
      </w:hyperlink>
      <w:r>
        <w:t xml:space="preserve"> (the Strategy) </w:t>
      </w:r>
    </w:p>
    <w:p w14:paraId="62525880" w14:textId="5083E69D" w:rsidR="006813B7" w:rsidRDefault="006813B7" w:rsidP="006813B7">
      <w:pPr>
        <w:pStyle w:val="Bullet"/>
      </w:pPr>
      <w:r>
        <w:t xml:space="preserve">work delivered by the </w:t>
      </w:r>
      <w:proofErr w:type="spellStart"/>
      <w:r>
        <w:t>PWi</w:t>
      </w:r>
      <w:proofErr w:type="spellEnd"/>
      <w:r>
        <w:t xml:space="preserve"> Network and Gender Equality Committee.</w:t>
      </w:r>
    </w:p>
    <w:p w14:paraId="626655CB" w14:textId="185E426F" w:rsidR="006813B7" w:rsidRDefault="006813B7" w:rsidP="006813B7">
      <w:r>
        <w:t xml:space="preserve">The Strategy focuses on </w:t>
      </w:r>
      <w:r w:rsidR="00B14740">
        <w:t>five</w:t>
      </w:r>
      <w:r>
        <w:t xml:space="preserve"> goals that will underpin our efforts to make sure all employees are treated fairly and equally. Goals include: </w:t>
      </w:r>
    </w:p>
    <w:p w14:paraId="0AF633DA" w14:textId="12F6CC5B" w:rsidR="006813B7" w:rsidRDefault="006813B7" w:rsidP="006813B7">
      <w:pPr>
        <w:pStyle w:val="Bullet"/>
      </w:pPr>
      <w:r>
        <w:t>Better outcomes</w:t>
      </w:r>
      <w:r w:rsidR="00C37C64">
        <w:t xml:space="preserve"> – </w:t>
      </w:r>
      <w:r>
        <w:t>We leverage diverse perspectives from a range of people to improve policy and program advice and delivery.</w:t>
      </w:r>
    </w:p>
    <w:p w14:paraId="222FE347" w14:textId="4983A70A" w:rsidR="006813B7" w:rsidRDefault="006813B7" w:rsidP="006813B7">
      <w:pPr>
        <w:pStyle w:val="Bullet"/>
      </w:pPr>
      <w:r>
        <w:t>Inclusion everyday</w:t>
      </w:r>
      <w:r w:rsidR="00C37C64">
        <w:t xml:space="preserve"> – </w:t>
      </w:r>
      <w:r>
        <w:t>Inclusion is embedded in our day</w:t>
      </w:r>
      <w:r w:rsidR="00C37C64">
        <w:noBreakHyphen/>
      </w:r>
      <w:r>
        <w:t>to</w:t>
      </w:r>
      <w:r w:rsidR="00C37C64">
        <w:noBreakHyphen/>
      </w:r>
      <w:r>
        <w:t>day practices and decisions.</w:t>
      </w:r>
    </w:p>
    <w:p w14:paraId="222ECD4C" w14:textId="054C5998" w:rsidR="006813B7" w:rsidRDefault="006813B7" w:rsidP="006813B7">
      <w:pPr>
        <w:pStyle w:val="Bullet"/>
      </w:pPr>
      <w:r>
        <w:t>Diverse workforce</w:t>
      </w:r>
      <w:r w:rsidR="00C37C64">
        <w:t xml:space="preserve"> – </w:t>
      </w:r>
      <w:r>
        <w:t>We cultivate diversity within our workforce and focus on our people</w:t>
      </w:r>
      <w:r w:rsidR="00C37C64">
        <w:t>’</w:t>
      </w:r>
      <w:r>
        <w:t>s career development.</w:t>
      </w:r>
    </w:p>
    <w:p w14:paraId="7886A06B" w14:textId="367DE1E4" w:rsidR="006813B7" w:rsidRDefault="006813B7" w:rsidP="006813B7">
      <w:pPr>
        <w:pStyle w:val="Bullet"/>
      </w:pPr>
      <w:r>
        <w:t>Strong leadership</w:t>
      </w:r>
      <w:r w:rsidR="00C37C64">
        <w:t xml:space="preserve"> – </w:t>
      </w:r>
      <w:r>
        <w:t>Our leaders at all levels advocate and take accountability for inclusion and</w:t>
      </w:r>
      <w:r w:rsidR="00B14740">
        <w:t> </w:t>
      </w:r>
      <w:r>
        <w:t>diversity.</w:t>
      </w:r>
    </w:p>
    <w:p w14:paraId="5FC51178" w14:textId="0B3BC084" w:rsidR="006813B7" w:rsidRDefault="006813B7" w:rsidP="006813B7">
      <w:pPr>
        <w:pStyle w:val="Bullet"/>
      </w:pPr>
      <w:r>
        <w:t>Good governance</w:t>
      </w:r>
      <w:r w:rsidR="00C37C64">
        <w:t xml:space="preserve"> – </w:t>
      </w:r>
      <w:r>
        <w:t>We work together to promote inclusion and diversity, with clear roles and</w:t>
      </w:r>
      <w:r w:rsidR="00B14740">
        <w:t> </w:t>
      </w:r>
      <w:r>
        <w:t>governance.</w:t>
      </w:r>
    </w:p>
    <w:sectPr w:rsidR="006813B7" w:rsidSect="00300C9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2" w:right="1701" w:bottom="1021" w:left="1701" w:header="567" w:footer="2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B3ADF" w14:textId="77777777" w:rsidR="006813B7" w:rsidRDefault="006813B7" w:rsidP="00886BC4">
      <w:r>
        <w:separator/>
      </w:r>
    </w:p>
    <w:p w14:paraId="7C7E30B5" w14:textId="77777777" w:rsidR="006813B7" w:rsidRDefault="006813B7"/>
  </w:endnote>
  <w:endnote w:type="continuationSeparator" w:id="0">
    <w:p w14:paraId="27CB25C4" w14:textId="77777777" w:rsidR="006813B7" w:rsidRDefault="006813B7" w:rsidP="00886BC4">
      <w:r>
        <w:continuationSeparator/>
      </w:r>
    </w:p>
    <w:p w14:paraId="3774A685" w14:textId="77777777" w:rsidR="006813B7" w:rsidRDefault="006813B7"/>
  </w:endnote>
  <w:endnote w:type="continuationNotice" w:id="1">
    <w:p w14:paraId="583FBDA6" w14:textId="77777777" w:rsidR="006813B7" w:rsidRDefault="006813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9999999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84C22" w14:textId="48CF5AEE" w:rsidR="00A15DB7" w:rsidRPr="00E81A92" w:rsidRDefault="00E81A92" w:rsidP="00E81A92">
    <w:pPr>
      <w:pStyle w:val="Footer"/>
      <w:jc w:val="right"/>
    </w:pPr>
    <w:r w:rsidRPr="00AC3B66">
      <w:rPr>
        <w:noProof/>
        <w:position w:val="-10"/>
      </w:rPr>
      <w:drawing>
        <wp:inline distT="0" distB="0" distL="0" distR="0" wp14:anchorId="78D21139" wp14:editId="2DEBAAB9">
          <wp:extent cx="1324800" cy="201600"/>
          <wp:effectExtent l="0" t="0" r="0" b="8255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Picture 20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A6B1D">
      <w:tab/>
    </w:r>
    <w:r w:rsidR="00CA6B1D">
      <w:tab/>
    </w:r>
    <w:r w:rsidRPr="00565A52">
      <w:t xml:space="preserve">Last updated: </w:t>
    </w:r>
    <w:r>
      <w:fldChar w:fldCharType="begin"/>
    </w:r>
    <w:r>
      <w:instrText xml:space="preserve"> SAVEDATE  \@ "d MMMM yyyy"  \* MERGEFORMAT </w:instrText>
    </w:r>
    <w:r>
      <w:fldChar w:fldCharType="separate"/>
    </w:r>
    <w:r w:rsidR="00A216A0">
      <w:rPr>
        <w:noProof/>
      </w:rPr>
      <w:t>13 February 2024</w:t>
    </w:r>
    <w:r>
      <w:fldChar w:fldCharType="end"/>
    </w:r>
    <w:r>
      <w:t xml:space="preserve"> | </w:t>
    </w:r>
    <w:r w:rsidRPr="00565A52">
      <w:t xml:space="preserve"> </w:t>
    </w:r>
    <w:r w:rsidRPr="00565A52">
      <w:fldChar w:fldCharType="begin"/>
    </w:r>
    <w:r w:rsidRPr="00565A52">
      <w:instrText xml:space="preserve"> PAGE   \* MERGEFORMAT </w:instrText>
    </w:r>
    <w:r w:rsidRPr="00565A52">
      <w:fldChar w:fldCharType="separate"/>
    </w:r>
    <w:r>
      <w:t>1</w:t>
    </w:r>
    <w:r w:rsidRPr="00565A5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D4AA3" w14:textId="656BD738" w:rsidR="00300C95" w:rsidRPr="00E81A92" w:rsidRDefault="00E81A92" w:rsidP="00BA123B">
    <w:pPr>
      <w:pStyle w:val="Footer"/>
      <w:tabs>
        <w:tab w:val="clear" w:pos="4320"/>
        <w:tab w:val="clear" w:pos="8640"/>
        <w:tab w:val="center" w:pos="7938"/>
      </w:tabs>
      <w:jc w:val="right"/>
    </w:pPr>
    <w:r w:rsidRPr="00AC3B66">
      <w:rPr>
        <w:noProof/>
        <w:position w:val="-10"/>
      </w:rPr>
      <w:drawing>
        <wp:inline distT="0" distB="0" distL="0" distR="0" wp14:anchorId="0E50215C" wp14:editId="331C722E">
          <wp:extent cx="1324800" cy="201600"/>
          <wp:effectExtent l="0" t="0" r="0" b="8255"/>
          <wp:docPr id="204" name="Picture 20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Picture 20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565A52">
      <w:t xml:space="preserve">Last updated: </w:t>
    </w:r>
    <w:r w:rsidR="00166A45">
      <w:fldChar w:fldCharType="begin"/>
    </w:r>
    <w:r w:rsidR="00166A45">
      <w:instrText xml:space="preserve"> SAVEDATE  \@ "d MMMM yyyy"  \* MERGEFORMAT </w:instrText>
    </w:r>
    <w:r w:rsidR="00166A45">
      <w:fldChar w:fldCharType="separate"/>
    </w:r>
    <w:r w:rsidR="00A216A0">
      <w:rPr>
        <w:noProof/>
      </w:rPr>
      <w:t>13 February 2024</w:t>
    </w:r>
    <w:r w:rsidR="00166A45">
      <w:fldChar w:fldCharType="end"/>
    </w:r>
    <w:r>
      <w:t xml:space="preserve"> | </w:t>
    </w:r>
    <w:r w:rsidRPr="00565A52">
      <w:t xml:space="preserve"> </w:t>
    </w:r>
    <w:r w:rsidRPr="00565A52">
      <w:fldChar w:fldCharType="begin"/>
    </w:r>
    <w:r w:rsidRPr="00565A52">
      <w:instrText xml:space="preserve"> PAGE   \* MERGEFORMAT </w:instrText>
    </w:r>
    <w:r w:rsidRPr="00565A52">
      <w:fldChar w:fldCharType="separate"/>
    </w:r>
    <w:r>
      <w:t>1</w:t>
    </w:r>
    <w:r w:rsidRPr="00565A5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F567D" w14:textId="77777777" w:rsidR="006813B7" w:rsidRDefault="006813B7" w:rsidP="00886BC4">
      <w:r>
        <w:separator/>
      </w:r>
    </w:p>
    <w:p w14:paraId="2995F4E5" w14:textId="77777777" w:rsidR="006813B7" w:rsidRDefault="006813B7"/>
  </w:footnote>
  <w:footnote w:type="continuationSeparator" w:id="0">
    <w:p w14:paraId="5FAD6308" w14:textId="77777777" w:rsidR="006813B7" w:rsidRDefault="006813B7" w:rsidP="00886BC4">
      <w:r>
        <w:continuationSeparator/>
      </w:r>
    </w:p>
    <w:p w14:paraId="19BD070B" w14:textId="77777777" w:rsidR="006813B7" w:rsidRDefault="006813B7"/>
  </w:footnote>
  <w:footnote w:type="continuationNotice" w:id="1">
    <w:p w14:paraId="119BB408" w14:textId="77777777" w:rsidR="006813B7" w:rsidRDefault="006813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60455" w14:textId="2E82B464" w:rsidR="006D3EE7" w:rsidRPr="007F53C0" w:rsidRDefault="00FC2E34" w:rsidP="007F53C0">
    <w:pPr>
      <w:pStyle w:val="Header"/>
    </w:pPr>
    <w:r>
      <w:rPr>
        <w:noProof/>
      </w:rPr>
      <w:drawing>
        <wp:anchor distT="0" distB="0" distL="114300" distR="114300" simplePos="0" relativeHeight="251673603" behindDoc="1" locked="0" layoutInCell="1" allowOverlap="1" wp14:anchorId="26CFEBD7" wp14:editId="11976A34">
          <wp:simplePos x="0" y="0"/>
          <wp:positionH relativeFrom="margin">
            <wp:posOffset>-1100455</wp:posOffset>
          </wp:positionH>
          <wp:positionV relativeFrom="page">
            <wp:posOffset>9525</wp:posOffset>
          </wp:positionV>
          <wp:extent cx="7599600" cy="1047600"/>
          <wp:effectExtent l="0" t="0" r="1905" b="635"/>
          <wp:wrapNone/>
          <wp:docPr id="201" name="Picture 20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" name="Picture 20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47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fldSimple w:instr=" STYLEREF  &quot;Fact sheet title&quot;  \* MERGEFORMAT ">
      <w:r w:rsidR="001B55C3">
        <w:rPr>
          <w:noProof/>
        </w:rPr>
        <w:t>Gender Pay Gap Employer Statement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1169C" w14:textId="77777777" w:rsidR="00300C95" w:rsidRDefault="00300C95">
    <w:pPr>
      <w:pStyle w:val="Header"/>
    </w:pPr>
    <w:r>
      <w:rPr>
        <w:noProof/>
      </w:rPr>
      <w:drawing>
        <wp:anchor distT="0" distB="0" distL="114300" distR="114300" simplePos="0" relativeHeight="251674627" behindDoc="1" locked="0" layoutInCell="1" allowOverlap="0" wp14:anchorId="45014E27" wp14:editId="5E200AED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599600" cy="1519200"/>
          <wp:effectExtent l="0" t="0" r="1905" b="5080"/>
          <wp:wrapNone/>
          <wp:docPr id="203" name="Picture 20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" name="Picture 20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5B1A8F9A"/>
    <w:lvl w:ilvl="0">
      <w:start w:val="1"/>
      <w:numFmt w:val="bullet"/>
      <w:lvlText w:val="-"/>
      <w:lvlJc w:val="left"/>
      <w:pPr>
        <w:tabs>
          <w:tab w:val="num" w:pos="623"/>
        </w:tabs>
        <w:ind w:left="623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2" w15:restartNumberingAfterBreak="0">
    <w:nsid w:val="0E0C0FEA"/>
    <w:multiLevelType w:val="multilevel"/>
    <w:tmpl w:val="143A4AF6"/>
    <w:styleLink w:val="StyleBulletedSymbolsymbol11ptLeft4cmHanging05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Calibri" w:hAnsi="Calibri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B46D1"/>
    <w:multiLevelType w:val="singleLevel"/>
    <w:tmpl w:val="890880B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4" w15:restartNumberingAfterBreak="0">
    <w:nsid w:val="308C2710"/>
    <w:multiLevelType w:val="multilevel"/>
    <w:tmpl w:val="5804FFF0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5" w15:restartNumberingAfterBreak="0">
    <w:nsid w:val="57AD61FE"/>
    <w:multiLevelType w:val="singleLevel"/>
    <w:tmpl w:val="12BC0E2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6" w15:restartNumberingAfterBreak="0">
    <w:nsid w:val="5B8E0DED"/>
    <w:multiLevelType w:val="hybridMultilevel"/>
    <w:tmpl w:val="420E9DAE"/>
    <w:lvl w:ilvl="0" w:tplc="5BCC3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34467"/>
    <w:multiLevelType w:val="multilevel"/>
    <w:tmpl w:val="F37ECF38"/>
    <w:styleLink w:val="StyleBulletedSymbolsymbol11ptLeft4cmHanging05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B5224"/>
    <w:multiLevelType w:val="multilevel"/>
    <w:tmpl w:val="58D0B304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hideSpelling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ecurityClassificationInHeader" w:val="False"/>
  </w:docVars>
  <w:rsids>
    <w:rsidRoot w:val="006813B7"/>
    <w:rsid w:val="00016670"/>
    <w:rsid w:val="00016B6C"/>
    <w:rsid w:val="0002151A"/>
    <w:rsid w:val="00033942"/>
    <w:rsid w:val="000421F9"/>
    <w:rsid w:val="00045C24"/>
    <w:rsid w:val="00060C76"/>
    <w:rsid w:val="00067E65"/>
    <w:rsid w:val="000753CE"/>
    <w:rsid w:val="000A4D2D"/>
    <w:rsid w:val="000B1EC3"/>
    <w:rsid w:val="000B3C90"/>
    <w:rsid w:val="000C02C9"/>
    <w:rsid w:val="000D33F2"/>
    <w:rsid w:val="000D7D2F"/>
    <w:rsid w:val="000E324C"/>
    <w:rsid w:val="000F2493"/>
    <w:rsid w:val="000F2562"/>
    <w:rsid w:val="000F33C9"/>
    <w:rsid w:val="00102238"/>
    <w:rsid w:val="00105EBE"/>
    <w:rsid w:val="001145FD"/>
    <w:rsid w:val="00115B2E"/>
    <w:rsid w:val="0011628E"/>
    <w:rsid w:val="001363E7"/>
    <w:rsid w:val="001376CC"/>
    <w:rsid w:val="00140697"/>
    <w:rsid w:val="0014178A"/>
    <w:rsid w:val="00144B84"/>
    <w:rsid w:val="00166A45"/>
    <w:rsid w:val="00174954"/>
    <w:rsid w:val="00182E9E"/>
    <w:rsid w:val="00183F40"/>
    <w:rsid w:val="00190D7B"/>
    <w:rsid w:val="00192367"/>
    <w:rsid w:val="001929D8"/>
    <w:rsid w:val="00197414"/>
    <w:rsid w:val="001A5155"/>
    <w:rsid w:val="001A5DCC"/>
    <w:rsid w:val="001B3A29"/>
    <w:rsid w:val="001B540E"/>
    <w:rsid w:val="001B55C3"/>
    <w:rsid w:val="001C5117"/>
    <w:rsid w:val="001C78AE"/>
    <w:rsid w:val="001D45A4"/>
    <w:rsid w:val="001E5623"/>
    <w:rsid w:val="001E6DC2"/>
    <w:rsid w:val="001E7840"/>
    <w:rsid w:val="001E7CF5"/>
    <w:rsid w:val="001F50DA"/>
    <w:rsid w:val="00203245"/>
    <w:rsid w:val="00205F44"/>
    <w:rsid w:val="002105F8"/>
    <w:rsid w:val="00215EE7"/>
    <w:rsid w:val="00223D87"/>
    <w:rsid w:val="002268AB"/>
    <w:rsid w:val="00226F00"/>
    <w:rsid w:val="0022749C"/>
    <w:rsid w:val="00227C77"/>
    <w:rsid w:val="00233887"/>
    <w:rsid w:val="00233A88"/>
    <w:rsid w:val="00241B9A"/>
    <w:rsid w:val="0024226F"/>
    <w:rsid w:val="00245342"/>
    <w:rsid w:val="002462BD"/>
    <w:rsid w:val="00260712"/>
    <w:rsid w:val="00263339"/>
    <w:rsid w:val="002809F6"/>
    <w:rsid w:val="00283303"/>
    <w:rsid w:val="00287F32"/>
    <w:rsid w:val="0029134D"/>
    <w:rsid w:val="002978C8"/>
    <w:rsid w:val="002979D6"/>
    <w:rsid w:val="002A0B32"/>
    <w:rsid w:val="002A4B83"/>
    <w:rsid w:val="002A6430"/>
    <w:rsid w:val="002A79C5"/>
    <w:rsid w:val="002C26D9"/>
    <w:rsid w:val="002D49D1"/>
    <w:rsid w:val="002F417B"/>
    <w:rsid w:val="002F6ADC"/>
    <w:rsid w:val="00300C95"/>
    <w:rsid w:val="003054A8"/>
    <w:rsid w:val="00306770"/>
    <w:rsid w:val="00307DA3"/>
    <w:rsid w:val="00327D31"/>
    <w:rsid w:val="003305CA"/>
    <w:rsid w:val="0034064A"/>
    <w:rsid w:val="0034564D"/>
    <w:rsid w:val="00353390"/>
    <w:rsid w:val="00357842"/>
    <w:rsid w:val="00372AC1"/>
    <w:rsid w:val="003802F4"/>
    <w:rsid w:val="003831AB"/>
    <w:rsid w:val="00390C06"/>
    <w:rsid w:val="003A63D1"/>
    <w:rsid w:val="003C047D"/>
    <w:rsid w:val="003C4F86"/>
    <w:rsid w:val="003C789B"/>
    <w:rsid w:val="003E26C5"/>
    <w:rsid w:val="003F2E2F"/>
    <w:rsid w:val="003F424B"/>
    <w:rsid w:val="00425E05"/>
    <w:rsid w:val="00442C7E"/>
    <w:rsid w:val="00450CCE"/>
    <w:rsid w:val="004542B7"/>
    <w:rsid w:val="004546DC"/>
    <w:rsid w:val="00463D4E"/>
    <w:rsid w:val="00470BA0"/>
    <w:rsid w:val="0047507F"/>
    <w:rsid w:val="00477439"/>
    <w:rsid w:val="00485A3D"/>
    <w:rsid w:val="00486B7C"/>
    <w:rsid w:val="00490C62"/>
    <w:rsid w:val="00496135"/>
    <w:rsid w:val="0049673E"/>
    <w:rsid w:val="00496C34"/>
    <w:rsid w:val="004A2AFD"/>
    <w:rsid w:val="004A37EA"/>
    <w:rsid w:val="004A4424"/>
    <w:rsid w:val="004B08DC"/>
    <w:rsid w:val="004B1F82"/>
    <w:rsid w:val="004B56B0"/>
    <w:rsid w:val="004B6501"/>
    <w:rsid w:val="004C5917"/>
    <w:rsid w:val="004C5E48"/>
    <w:rsid w:val="004D0778"/>
    <w:rsid w:val="004D75F6"/>
    <w:rsid w:val="004E424B"/>
    <w:rsid w:val="004E71FE"/>
    <w:rsid w:val="004F24D0"/>
    <w:rsid w:val="00502E10"/>
    <w:rsid w:val="00505009"/>
    <w:rsid w:val="00506BF4"/>
    <w:rsid w:val="00507097"/>
    <w:rsid w:val="0051600D"/>
    <w:rsid w:val="00516FB2"/>
    <w:rsid w:val="00524DCE"/>
    <w:rsid w:val="00525050"/>
    <w:rsid w:val="0053110F"/>
    <w:rsid w:val="00533FEF"/>
    <w:rsid w:val="00535C81"/>
    <w:rsid w:val="00546D8E"/>
    <w:rsid w:val="00546FDD"/>
    <w:rsid w:val="00551340"/>
    <w:rsid w:val="005606FD"/>
    <w:rsid w:val="00565A52"/>
    <w:rsid w:val="00566AD8"/>
    <w:rsid w:val="00570B86"/>
    <w:rsid w:val="005732EB"/>
    <w:rsid w:val="005803BF"/>
    <w:rsid w:val="00582FAD"/>
    <w:rsid w:val="00585F7E"/>
    <w:rsid w:val="00594ABF"/>
    <w:rsid w:val="005A11E6"/>
    <w:rsid w:val="005A2484"/>
    <w:rsid w:val="005A6A61"/>
    <w:rsid w:val="005B0968"/>
    <w:rsid w:val="005B207E"/>
    <w:rsid w:val="005B2484"/>
    <w:rsid w:val="005B3871"/>
    <w:rsid w:val="005B659D"/>
    <w:rsid w:val="005B6B98"/>
    <w:rsid w:val="005C1326"/>
    <w:rsid w:val="005C3527"/>
    <w:rsid w:val="005C4B02"/>
    <w:rsid w:val="005E62D6"/>
    <w:rsid w:val="005F0FBF"/>
    <w:rsid w:val="006014A0"/>
    <w:rsid w:val="00614971"/>
    <w:rsid w:val="00627218"/>
    <w:rsid w:val="006355D1"/>
    <w:rsid w:val="00635DD4"/>
    <w:rsid w:val="00637692"/>
    <w:rsid w:val="0064704A"/>
    <w:rsid w:val="006813B7"/>
    <w:rsid w:val="006916AD"/>
    <w:rsid w:val="00694B4F"/>
    <w:rsid w:val="006A118D"/>
    <w:rsid w:val="006A3972"/>
    <w:rsid w:val="006A712D"/>
    <w:rsid w:val="006D27A6"/>
    <w:rsid w:val="006D3EE7"/>
    <w:rsid w:val="006D6960"/>
    <w:rsid w:val="006E101D"/>
    <w:rsid w:val="006E6F8C"/>
    <w:rsid w:val="006E76BE"/>
    <w:rsid w:val="006F0918"/>
    <w:rsid w:val="006F56A2"/>
    <w:rsid w:val="006F6E04"/>
    <w:rsid w:val="00705AD6"/>
    <w:rsid w:val="00717216"/>
    <w:rsid w:val="00722F56"/>
    <w:rsid w:val="007343B8"/>
    <w:rsid w:val="00736715"/>
    <w:rsid w:val="007600FA"/>
    <w:rsid w:val="0076093D"/>
    <w:rsid w:val="00761DA0"/>
    <w:rsid w:val="007622D7"/>
    <w:rsid w:val="00781021"/>
    <w:rsid w:val="007825F2"/>
    <w:rsid w:val="00784A3C"/>
    <w:rsid w:val="00793BD7"/>
    <w:rsid w:val="0079466D"/>
    <w:rsid w:val="007A4195"/>
    <w:rsid w:val="007A6E4D"/>
    <w:rsid w:val="007B6953"/>
    <w:rsid w:val="007B7784"/>
    <w:rsid w:val="007C1094"/>
    <w:rsid w:val="007C3CD0"/>
    <w:rsid w:val="007D4EB7"/>
    <w:rsid w:val="007D6F47"/>
    <w:rsid w:val="007E013D"/>
    <w:rsid w:val="007E0975"/>
    <w:rsid w:val="007E36E4"/>
    <w:rsid w:val="007E5E07"/>
    <w:rsid w:val="007E7046"/>
    <w:rsid w:val="007F53C0"/>
    <w:rsid w:val="007F61E3"/>
    <w:rsid w:val="008139FB"/>
    <w:rsid w:val="00831D8A"/>
    <w:rsid w:val="00844312"/>
    <w:rsid w:val="00847719"/>
    <w:rsid w:val="008616B9"/>
    <w:rsid w:val="0088159C"/>
    <w:rsid w:val="0088211A"/>
    <w:rsid w:val="00884F56"/>
    <w:rsid w:val="008854F6"/>
    <w:rsid w:val="00886667"/>
    <w:rsid w:val="00886BC4"/>
    <w:rsid w:val="00890C01"/>
    <w:rsid w:val="008972E4"/>
    <w:rsid w:val="008A02F3"/>
    <w:rsid w:val="008A1C1D"/>
    <w:rsid w:val="008A48CA"/>
    <w:rsid w:val="008B2938"/>
    <w:rsid w:val="008B395C"/>
    <w:rsid w:val="008C5773"/>
    <w:rsid w:val="008D0CA6"/>
    <w:rsid w:val="008D4CD0"/>
    <w:rsid w:val="008D5358"/>
    <w:rsid w:val="008E0180"/>
    <w:rsid w:val="008E04BD"/>
    <w:rsid w:val="008E35A5"/>
    <w:rsid w:val="008F0B15"/>
    <w:rsid w:val="008F1AA6"/>
    <w:rsid w:val="008F2212"/>
    <w:rsid w:val="008F73C8"/>
    <w:rsid w:val="008F7E69"/>
    <w:rsid w:val="00903786"/>
    <w:rsid w:val="00903AB2"/>
    <w:rsid w:val="00905F29"/>
    <w:rsid w:val="0090719E"/>
    <w:rsid w:val="009109AA"/>
    <w:rsid w:val="00926879"/>
    <w:rsid w:val="00933C8C"/>
    <w:rsid w:val="009367F6"/>
    <w:rsid w:val="0093741D"/>
    <w:rsid w:val="00942CB3"/>
    <w:rsid w:val="00944174"/>
    <w:rsid w:val="00951652"/>
    <w:rsid w:val="00952F2F"/>
    <w:rsid w:val="00965C4B"/>
    <w:rsid w:val="009757BB"/>
    <w:rsid w:val="0098151F"/>
    <w:rsid w:val="00986A46"/>
    <w:rsid w:val="009906A6"/>
    <w:rsid w:val="00992ADC"/>
    <w:rsid w:val="009A6D32"/>
    <w:rsid w:val="009A71C4"/>
    <w:rsid w:val="009B15EC"/>
    <w:rsid w:val="009B1781"/>
    <w:rsid w:val="009B2546"/>
    <w:rsid w:val="009B464D"/>
    <w:rsid w:val="009C1F90"/>
    <w:rsid w:val="009C66A3"/>
    <w:rsid w:val="009D616A"/>
    <w:rsid w:val="009E6061"/>
    <w:rsid w:val="00A0029A"/>
    <w:rsid w:val="00A01086"/>
    <w:rsid w:val="00A05E57"/>
    <w:rsid w:val="00A1120D"/>
    <w:rsid w:val="00A13CB3"/>
    <w:rsid w:val="00A13F0D"/>
    <w:rsid w:val="00A15DB7"/>
    <w:rsid w:val="00A17503"/>
    <w:rsid w:val="00A215B3"/>
    <w:rsid w:val="00A216A0"/>
    <w:rsid w:val="00A24D20"/>
    <w:rsid w:val="00A266D2"/>
    <w:rsid w:val="00A32C4E"/>
    <w:rsid w:val="00A3452B"/>
    <w:rsid w:val="00A46A9A"/>
    <w:rsid w:val="00A50111"/>
    <w:rsid w:val="00A52C22"/>
    <w:rsid w:val="00A60022"/>
    <w:rsid w:val="00A6514E"/>
    <w:rsid w:val="00A8449C"/>
    <w:rsid w:val="00A84C3C"/>
    <w:rsid w:val="00A87F4B"/>
    <w:rsid w:val="00A909A3"/>
    <w:rsid w:val="00A91BD2"/>
    <w:rsid w:val="00A940BE"/>
    <w:rsid w:val="00A96316"/>
    <w:rsid w:val="00A9658A"/>
    <w:rsid w:val="00A970ED"/>
    <w:rsid w:val="00AA553F"/>
    <w:rsid w:val="00AA6A9D"/>
    <w:rsid w:val="00AB3D33"/>
    <w:rsid w:val="00AC1B27"/>
    <w:rsid w:val="00AC4C62"/>
    <w:rsid w:val="00AC60D4"/>
    <w:rsid w:val="00AE39EE"/>
    <w:rsid w:val="00AE53E5"/>
    <w:rsid w:val="00B129C3"/>
    <w:rsid w:val="00B14740"/>
    <w:rsid w:val="00B15B56"/>
    <w:rsid w:val="00B24C1C"/>
    <w:rsid w:val="00B32830"/>
    <w:rsid w:val="00B42FAF"/>
    <w:rsid w:val="00B50FEA"/>
    <w:rsid w:val="00B51175"/>
    <w:rsid w:val="00B5397C"/>
    <w:rsid w:val="00B54FA9"/>
    <w:rsid w:val="00B57B0B"/>
    <w:rsid w:val="00B64308"/>
    <w:rsid w:val="00B71F74"/>
    <w:rsid w:val="00B73C23"/>
    <w:rsid w:val="00B771FF"/>
    <w:rsid w:val="00B82C45"/>
    <w:rsid w:val="00BA054F"/>
    <w:rsid w:val="00BA123B"/>
    <w:rsid w:val="00BA3721"/>
    <w:rsid w:val="00BA7802"/>
    <w:rsid w:val="00BB059B"/>
    <w:rsid w:val="00BB4B21"/>
    <w:rsid w:val="00BD3C26"/>
    <w:rsid w:val="00BD7EA0"/>
    <w:rsid w:val="00BE2210"/>
    <w:rsid w:val="00BE5AC7"/>
    <w:rsid w:val="00BF3E58"/>
    <w:rsid w:val="00BF4A8E"/>
    <w:rsid w:val="00BF73E4"/>
    <w:rsid w:val="00BF75D8"/>
    <w:rsid w:val="00C0628D"/>
    <w:rsid w:val="00C23C8C"/>
    <w:rsid w:val="00C3042D"/>
    <w:rsid w:val="00C362B7"/>
    <w:rsid w:val="00C3693F"/>
    <w:rsid w:val="00C37A6A"/>
    <w:rsid w:val="00C37C64"/>
    <w:rsid w:val="00C436B8"/>
    <w:rsid w:val="00C443D7"/>
    <w:rsid w:val="00C620FD"/>
    <w:rsid w:val="00C639E4"/>
    <w:rsid w:val="00C71CED"/>
    <w:rsid w:val="00C778C6"/>
    <w:rsid w:val="00C80C62"/>
    <w:rsid w:val="00C82A8A"/>
    <w:rsid w:val="00C8634C"/>
    <w:rsid w:val="00CA168B"/>
    <w:rsid w:val="00CA4694"/>
    <w:rsid w:val="00CA6B1D"/>
    <w:rsid w:val="00CB032B"/>
    <w:rsid w:val="00CB0554"/>
    <w:rsid w:val="00CC1136"/>
    <w:rsid w:val="00CC5606"/>
    <w:rsid w:val="00CD02A5"/>
    <w:rsid w:val="00CD7F0B"/>
    <w:rsid w:val="00CF1EA3"/>
    <w:rsid w:val="00CF5A2D"/>
    <w:rsid w:val="00D044DC"/>
    <w:rsid w:val="00D05A02"/>
    <w:rsid w:val="00D0725D"/>
    <w:rsid w:val="00D11F38"/>
    <w:rsid w:val="00D11F49"/>
    <w:rsid w:val="00D17467"/>
    <w:rsid w:val="00D2150F"/>
    <w:rsid w:val="00D215DF"/>
    <w:rsid w:val="00D33E3B"/>
    <w:rsid w:val="00D40B85"/>
    <w:rsid w:val="00D535AC"/>
    <w:rsid w:val="00D555C7"/>
    <w:rsid w:val="00D566F4"/>
    <w:rsid w:val="00D60855"/>
    <w:rsid w:val="00D621F5"/>
    <w:rsid w:val="00D81F86"/>
    <w:rsid w:val="00D95E45"/>
    <w:rsid w:val="00DC075C"/>
    <w:rsid w:val="00DC6FBB"/>
    <w:rsid w:val="00DD5D38"/>
    <w:rsid w:val="00DE05FE"/>
    <w:rsid w:val="00DE5EE8"/>
    <w:rsid w:val="00DE74EC"/>
    <w:rsid w:val="00DF0B01"/>
    <w:rsid w:val="00DF56B6"/>
    <w:rsid w:val="00DF5A46"/>
    <w:rsid w:val="00E10B5B"/>
    <w:rsid w:val="00E11105"/>
    <w:rsid w:val="00E16939"/>
    <w:rsid w:val="00E1766A"/>
    <w:rsid w:val="00E267E6"/>
    <w:rsid w:val="00E34501"/>
    <w:rsid w:val="00E35B8F"/>
    <w:rsid w:val="00E40078"/>
    <w:rsid w:val="00E4461B"/>
    <w:rsid w:val="00E4520C"/>
    <w:rsid w:val="00E62B01"/>
    <w:rsid w:val="00E64B67"/>
    <w:rsid w:val="00E669CD"/>
    <w:rsid w:val="00E70A2C"/>
    <w:rsid w:val="00E81A92"/>
    <w:rsid w:val="00E83A1D"/>
    <w:rsid w:val="00E847A7"/>
    <w:rsid w:val="00E85FF2"/>
    <w:rsid w:val="00E86CBA"/>
    <w:rsid w:val="00E90E39"/>
    <w:rsid w:val="00E93C25"/>
    <w:rsid w:val="00EA5D8D"/>
    <w:rsid w:val="00EB1557"/>
    <w:rsid w:val="00EC2A56"/>
    <w:rsid w:val="00ED3522"/>
    <w:rsid w:val="00EE570F"/>
    <w:rsid w:val="00EE5F89"/>
    <w:rsid w:val="00EF1B2D"/>
    <w:rsid w:val="00F0196A"/>
    <w:rsid w:val="00F07B2D"/>
    <w:rsid w:val="00F172EE"/>
    <w:rsid w:val="00F22FC2"/>
    <w:rsid w:val="00F248B6"/>
    <w:rsid w:val="00F31637"/>
    <w:rsid w:val="00F33B9F"/>
    <w:rsid w:val="00F41932"/>
    <w:rsid w:val="00F44C22"/>
    <w:rsid w:val="00F4789A"/>
    <w:rsid w:val="00F51C00"/>
    <w:rsid w:val="00F51FDE"/>
    <w:rsid w:val="00F61364"/>
    <w:rsid w:val="00F614C4"/>
    <w:rsid w:val="00F61E2F"/>
    <w:rsid w:val="00F7256C"/>
    <w:rsid w:val="00F75A59"/>
    <w:rsid w:val="00F7650A"/>
    <w:rsid w:val="00F95DDF"/>
    <w:rsid w:val="00F96108"/>
    <w:rsid w:val="00FA70A7"/>
    <w:rsid w:val="00FB5337"/>
    <w:rsid w:val="00FB7AEB"/>
    <w:rsid w:val="00FC2874"/>
    <w:rsid w:val="00FC2E34"/>
    <w:rsid w:val="00FD06DF"/>
    <w:rsid w:val="00FD0B4D"/>
    <w:rsid w:val="00FE316C"/>
    <w:rsid w:val="00FF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7475BA"/>
  <w15:docId w15:val="{0985FB70-8AC1-4328-B9AD-51E63130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3B7"/>
    <w:pPr>
      <w:spacing w:before="120" w:after="120"/>
    </w:pPr>
    <w:rPr>
      <w:rFonts w:ascii="Calibri Light" w:eastAsia="Times New Roman" w:hAnsi="Calibri Light"/>
      <w:sz w:val="22"/>
      <w:lang w:eastAsia="en-AU"/>
    </w:rPr>
  </w:style>
  <w:style w:type="paragraph" w:styleId="Heading1">
    <w:name w:val="heading 1"/>
    <w:basedOn w:val="Normal"/>
    <w:next w:val="Normal"/>
    <w:link w:val="Heading1Char"/>
    <w:rsid w:val="00AE53E5"/>
    <w:pPr>
      <w:keepNext/>
      <w:spacing w:before="600" w:line="460" w:lineRule="exact"/>
      <w:outlineLvl w:val="0"/>
    </w:pPr>
    <w:rPr>
      <w:rFonts w:ascii="Calibri" w:hAnsi="Calibri" w:cs="Arial"/>
      <w:b/>
      <w:color w:val="5D779D" w:themeColor="accent3"/>
      <w:kern w:val="32"/>
      <w:sz w:val="44"/>
      <w:szCs w:val="36"/>
    </w:rPr>
  </w:style>
  <w:style w:type="paragraph" w:styleId="Heading2">
    <w:name w:val="heading 2"/>
    <w:basedOn w:val="Normal"/>
    <w:next w:val="Normal"/>
    <w:link w:val="Heading2Char"/>
    <w:qFormat/>
    <w:rsid w:val="00AE53E5"/>
    <w:pPr>
      <w:keepNext/>
      <w:spacing w:before="360" w:line="460" w:lineRule="exact"/>
      <w:outlineLvl w:val="1"/>
    </w:pPr>
    <w:rPr>
      <w:rFonts w:ascii="Calibri" w:hAnsi="Calibri" w:cs="Arial"/>
      <w:iCs/>
      <w:color w:val="2C384A"/>
      <w:kern w:val="32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E53E5"/>
    <w:pPr>
      <w:keepNext/>
      <w:spacing w:before="320" w:after="0" w:line="276" w:lineRule="auto"/>
      <w:outlineLvl w:val="2"/>
    </w:pPr>
    <w:rPr>
      <w:rFonts w:ascii="Calibri" w:hAnsi="Calibri" w:cs="Arial"/>
      <w:b/>
      <w:color w:val="4D7861" w:themeColor="accent2"/>
      <w:kern w:val="32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AE53E5"/>
    <w:pPr>
      <w:keepNext/>
      <w:spacing w:before="280" w:after="0" w:line="276" w:lineRule="auto"/>
      <w:outlineLvl w:val="3"/>
    </w:pPr>
    <w:rPr>
      <w:rFonts w:cs="Arial"/>
      <w:color w:val="4D7861" w:themeColor="accent2"/>
      <w:kern w:val="32"/>
      <w:szCs w:val="26"/>
    </w:rPr>
  </w:style>
  <w:style w:type="paragraph" w:styleId="Heading5">
    <w:name w:val="heading 5"/>
    <w:basedOn w:val="Normal"/>
    <w:next w:val="Normal"/>
    <w:link w:val="Heading5Char"/>
    <w:rsid w:val="00AE53E5"/>
    <w:pPr>
      <w:keepNext/>
      <w:spacing w:before="240" w:after="0" w:line="276" w:lineRule="auto"/>
      <w:outlineLvl w:val="4"/>
    </w:pPr>
    <w:rPr>
      <w:rFonts w:asciiTheme="majorHAnsi" w:hAnsiTheme="majorHAnsi" w:cs="Arial"/>
      <w:b/>
      <w:iCs/>
      <w:color w:val="000000" w:themeColor="text1"/>
      <w:kern w:val="32"/>
      <w:szCs w:val="36"/>
    </w:rPr>
  </w:style>
  <w:style w:type="paragraph" w:styleId="Heading6">
    <w:name w:val="heading 6"/>
    <w:basedOn w:val="Normal"/>
    <w:next w:val="Normal"/>
    <w:link w:val="Heading6Char"/>
    <w:rsid w:val="00AE53E5"/>
    <w:pPr>
      <w:keepNext/>
      <w:spacing w:after="0" w:line="276" w:lineRule="auto"/>
      <w:outlineLvl w:val="5"/>
    </w:pPr>
    <w:rPr>
      <w:rFonts w:cs="Arial"/>
      <w:color w:val="000000" w:themeColor="text1"/>
      <w:kern w:val="3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23C8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olor w:val="161B2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23C8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23C8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266D2"/>
    <w:pPr>
      <w:tabs>
        <w:tab w:val="center" w:pos="4320"/>
        <w:tab w:val="right" w:pos="8640"/>
      </w:tabs>
      <w:jc w:val="right"/>
    </w:pPr>
  </w:style>
  <w:style w:type="character" w:customStyle="1" w:styleId="HeaderChar">
    <w:name w:val="Header Char"/>
    <w:basedOn w:val="DefaultParagraphFont"/>
    <w:link w:val="Header"/>
    <w:rsid w:val="00A266D2"/>
    <w:rPr>
      <w:rFonts w:ascii="Calibri Light" w:eastAsia="Times New Roman" w:hAnsi="Calibri Light"/>
      <w:sz w:val="22"/>
      <w:lang w:eastAsia="en-AU"/>
    </w:rPr>
  </w:style>
  <w:style w:type="paragraph" w:styleId="Footer">
    <w:name w:val="footer"/>
    <w:basedOn w:val="Normal"/>
    <w:link w:val="FooterChar"/>
    <w:uiPriority w:val="99"/>
    <w:rsid w:val="00BA123B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A123B"/>
    <w:rPr>
      <w:rFonts w:ascii="Calibri Light" w:eastAsia="Times New Roman" w:hAnsi="Calibri Light"/>
      <w:lang w:eastAsia="en-AU"/>
    </w:rPr>
  </w:style>
  <w:style w:type="paragraph" w:customStyle="1" w:styleId="Factsheettitle">
    <w:name w:val="Fact sheet title"/>
    <w:basedOn w:val="Normal"/>
    <w:qFormat/>
    <w:rsid w:val="0088159C"/>
    <w:pPr>
      <w:spacing w:after="600"/>
    </w:pPr>
    <w:rPr>
      <w:rFonts w:ascii="Calibri" w:hAnsi="Calibri"/>
      <w:color w:val="2C384A" w:themeColor="accent1"/>
      <w:spacing w:val="-14"/>
      <w:sz w:val="68"/>
      <w:szCs w:val="68"/>
    </w:rPr>
  </w:style>
  <w:style w:type="character" w:customStyle="1" w:styleId="Heading1Char">
    <w:name w:val="Heading 1 Char"/>
    <w:basedOn w:val="DefaultParagraphFont"/>
    <w:link w:val="Heading1"/>
    <w:rsid w:val="00AE53E5"/>
    <w:rPr>
      <w:rFonts w:eastAsia="Times New Roman" w:cs="Arial"/>
      <w:b/>
      <w:color w:val="5D779D" w:themeColor="accent3"/>
      <w:kern w:val="32"/>
      <w:sz w:val="44"/>
      <w:szCs w:val="36"/>
      <w:lang w:eastAsia="en-AU"/>
    </w:rPr>
  </w:style>
  <w:style w:type="paragraph" w:customStyle="1" w:styleId="Dash">
    <w:name w:val="Dash"/>
    <w:basedOn w:val="Normal"/>
    <w:link w:val="DashChar"/>
    <w:qFormat/>
    <w:rsid w:val="00BA123B"/>
    <w:pPr>
      <w:numPr>
        <w:ilvl w:val="1"/>
        <w:numId w:val="9"/>
      </w:numPr>
      <w:tabs>
        <w:tab w:val="clear" w:pos="567"/>
      </w:tabs>
      <w:spacing w:before="0"/>
      <w:ind w:left="397" w:hanging="170"/>
    </w:pPr>
  </w:style>
  <w:style w:type="character" w:customStyle="1" w:styleId="DashChar">
    <w:name w:val="Dash Char"/>
    <w:basedOn w:val="DefaultParagraphFont"/>
    <w:link w:val="Dash"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DoubleDot">
    <w:name w:val="Double Dot"/>
    <w:basedOn w:val="Normal"/>
    <w:link w:val="DoubleDotChar"/>
    <w:qFormat/>
    <w:rsid w:val="00BA123B"/>
    <w:pPr>
      <w:numPr>
        <w:ilvl w:val="2"/>
        <w:numId w:val="9"/>
      </w:numPr>
      <w:tabs>
        <w:tab w:val="clear" w:pos="850"/>
      </w:tabs>
      <w:spacing w:before="0"/>
      <w:ind w:left="567" w:hanging="170"/>
    </w:pPr>
  </w:style>
  <w:style w:type="character" w:customStyle="1" w:styleId="DoubleDotChar">
    <w:name w:val="Double Dot Char"/>
    <w:basedOn w:val="DefaultParagraphFont"/>
    <w:link w:val="DoubleDot"/>
    <w:rsid w:val="00BA123B"/>
    <w:rPr>
      <w:rFonts w:ascii="Calibri Light" w:eastAsia="Times New Roman" w:hAnsi="Calibri Light"/>
      <w:sz w:val="22"/>
      <w:lang w:eastAsia="en-AU"/>
    </w:rPr>
  </w:style>
  <w:style w:type="paragraph" w:styleId="BalloonText">
    <w:name w:val="Balloon Text"/>
    <w:basedOn w:val="Normal"/>
    <w:link w:val="BalloonTextChar"/>
    <w:semiHidden/>
    <w:rsid w:val="008F0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27218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AE53E5"/>
    <w:rPr>
      <w:rFonts w:eastAsia="Times New Roman" w:cs="Arial"/>
      <w:iCs/>
      <w:color w:val="2C384A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AE53E5"/>
    <w:rPr>
      <w:rFonts w:eastAsia="Times New Roman" w:cs="Arial"/>
      <w:b/>
      <w:color w:val="4D7861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AE53E5"/>
    <w:rPr>
      <w:rFonts w:ascii="Calibri Light" w:eastAsia="Times New Roman" w:hAnsi="Calibri Light" w:cs="Arial"/>
      <w:color w:val="4D7861" w:themeColor="accent2"/>
      <w:kern w:val="32"/>
      <w:sz w:val="24"/>
      <w:szCs w:val="26"/>
      <w:lang w:eastAsia="en-AU"/>
    </w:rPr>
  </w:style>
  <w:style w:type="table" w:styleId="TableGrid">
    <w:name w:val="Table Grid"/>
    <w:basedOn w:val="TableNormal"/>
    <w:uiPriority w:val="59"/>
    <w:rsid w:val="008F0B15"/>
    <w:rPr>
      <w:rFonts w:ascii="Times New Roman" w:eastAsia="Times New Roman" w:hAnsi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C4F86"/>
    <w:tblPr>
      <w:tblBorders>
        <w:top w:val="single" w:sz="2" w:space="0" w:color="2E74B5"/>
        <w:left w:val="single" w:sz="2" w:space="0" w:color="2E74B5"/>
        <w:bottom w:val="single" w:sz="2" w:space="0" w:color="2E74B5"/>
        <w:right w:val="single" w:sz="2" w:space="0" w:color="2E74B5"/>
        <w:insideH w:val="single" w:sz="2" w:space="0" w:color="2E74B5"/>
        <w:insideV w:val="single" w:sz="2" w:space="0" w:color="2E74B5"/>
      </w:tblBorders>
    </w:tblPr>
    <w:tblStylePr w:type="firstRow">
      <w:rPr>
        <w:rFonts w:ascii="Calibri" w:hAnsi="Calibri"/>
        <w:b/>
        <w:i w:val="0"/>
        <w:color w:val="FFFFFF"/>
        <w:sz w:val="20"/>
      </w:rPr>
      <w:tblPr/>
      <w:tcPr>
        <w:shd w:val="clear" w:color="auto" w:fill="2E74B5"/>
      </w:tcPr>
    </w:tblStylePr>
  </w:style>
  <w:style w:type="paragraph" w:customStyle="1" w:styleId="Introtext">
    <w:name w:val="Intro text"/>
    <w:basedOn w:val="Normal"/>
    <w:qFormat/>
    <w:rsid w:val="008D5358"/>
    <w:pPr>
      <w:numPr>
        <w:ilvl w:val="1"/>
      </w:numPr>
      <w:spacing w:after="240"/>
    </w:pPr>
    <w:rPr>
      <w:rFonts w:ascii="Calibri" w:eastAsiaTheme="minorEastAsia" w:hAnsi="Calibri" w:cstheme="minorBidi"/>
      <w:color w:val="10263B"/>
      <w:sz w:val="26"/>
      <w:szCs w:val="26"/>
      <w:lang w:eastAsia="zh-CN"/>
    </w:rPr>
  </w:style>
  <w:style w:type="character" w:styleId="Hyperlink">
    <w:name w:val="Hyperlink"/>
    <w:uiPriority w:val="99"/>
    <w:rsid w:val="008D5358"/>
    <w:rPr>
      <w:color w:val="5D779D" w:themeColor="accent3"/>
      <w:u w:val="single"/>
    </w:rPr>
  </w:style>
  <w:style w:type="character" w:styleId="FollowedHyperlink">
    <w:name w:val="FollowedHyperlink"/>
    <w:basedOn w:val="DefaultParagraphFont"/>
    <w:semiHidden/>
    <w:unhideWhenUsed/>
    <w:rsid w:val="008F0B15"/>
    <w:rPr>
      <w:color w:val="844D9E" w:themeColor="followedHyperlink"/>
      <w:u w:val="single"/>
    </w:rPr>
  </w:style>
  <w:style w:type="paragraph" w:styleId="Revision">
    <w:name w:val="Revision"/>
    <w:hidden/>
    <w:uiPriority w:val="99"/>
    <w:semiHidden/>
    <w:rsid w:val="008D4CD0"/>
    <w:rPr>
      <w:rFonts w:ascii="Calibri Light" w:hAnsi="Calibri Light"/>
      <w:color w:val="0D0D0D" w:themeColor="text1" w:themeTint="F2"/>
      <w:sz w:val="22"/>
    </w:rPr>
  </w:style>
  <w:style w:type="character" w:styleId="PlaceholderText">
    <w:name w:val="Placeholder Text"/>
    <w:basedOn w:val="DefaultParagraphFont"/>
    <w:uiPriority w:val="99"/>
    <w:semiHidden/>
    <w:rsid w:val="008F0B15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AE53E5"/>
    <w:rPr>
      <w:rFonts w:asciiTheme="majorHAnsi" w:eastAsia="Times New Roman" w:hAnsiTheme="majorHAnsi" w:cs="Arial"/>
      <w:b/>
      <w:iCs/>
      <w:color w:val="000000" w:themeColor="text1"/>
      <w:kern w:val="32"/>
      <w:sz w:val="22"/>
      <w:szCs w:val="36"/>
      <w:lang w:eastAsia="en-AU"/>
    </w:rPr>
  </w:style>
  <w:style w:type="paragraph" w:customStyle="1" w:styleId="BoxHeading">
    <w:name w:val="Box Heading"/>
    <w:basedOn w:val="Normal"/>
    <w:next w:val="Normal"/>
    <w:rsid w:val="00AE53E5"/>
    <w:pPr>
      <w:keepNext/>
      <w:spacing w:before="240"/>
    </w:pPr>
    <w:rPr>
      <w:b/>
      <w:color w:val="2C384A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506BF4"/>
    <w:pPr>
      <w:spacing w:before="60" w:after="60"/>
    </w:pPr>
  </w:style>
  <w:style w:type="paragraph" w:customStyle="1" w:styleId="Bullet">
    <w:name w:val="Bullet"/>
    <w:basedOn w:val="Normal"/>
    <w:link w:val="BulletChar"/>
    <w:qFormat/>
    <w:rsid w:val="00BA123B"/>
    <w:pPr>
      <w:numPr>
        <w:numId w:val="7"/>
      </w:numPr>
      <w:tabs>
        <w:tab w:val="clear" w:pos="520"/>
      </w:tabs>
      <w:spacing w:before="0" w:line="276" w:lineRule="auto"/>
      <w:ind w:left="170" w:hanging="170"/>
    </w:pPr>
  </w:style>
  <w:style w:type="character" w:customStyle="1" w:styleId="BoxTextChar">
    <w:name w:val="Box Text Char"/>
    <w:basedOn w:val="DefaultParagraphFont"/>
    <w:link w:val="BoxText"/>
    <w:rsid w:val="00506BF4"/>
    <w:rPr>
      <w:rFonts w:ascii="Calibri Light" w:eastAsia="Times New Roman" w:hAnsi="Calibri Light"/>
      <w:sz w:val="22"/>
      <w:lang w:eastAsia="en-AU"/>
    </w:rPr>
  </w:style>
  <w:style w:type="character" w:customStyle="1" w:styleId="BulletChar">
    <w:name w:val="Bullet Char"/>
    <w:basedOn w:val="DefaultParagraphFont"/>
    <w:link w:val="Bullet"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Boxbullet">
    <w:name w:val="Box bullet"/>
    <w:basedOn w:val="Bullet"/>
    <w:rsid w:val="00BA123B"/>
    <w:pPr>
      <w:spacing w:after="60"/>
    </w:pPr>
    <w:rPr>
      <w:color w:val="0D0D0D" w:themeColor="text1" w:themeTint="F2"/>
    </w:rPr>
  </w:style>
  <w:style w:type="paragraph" w:customStyle="1" w:styleId="Boxdash">
    <w:name w:val="Box dash"/>
    <w:basedOn w:val="Dash"/>
    <w:rsid w:val="00BA123B"/>
    <w:pPr>
      <w:tabs>
        <w:tab w:val="num" w:pos="1040"/>
      </w:tabs>
      <w:spacing w:after="60" w:line="276" w:lineRule="auto"/>
    </w:pPr>
    <w:rPr>
      <w:rFonts w:eastAsiaTheme="minorHAnsi"/>
      <w:color w:val="0D0D0D" w:themeColor="text1" w:themeTint="F2"/>
    </w:rPr>
  </w:style>
  <w:style w:type="paragraph" w:customStyle="1" w:styleId="Boxdoubledot">
    <w:name w:val="Box double dot"/>
    <w:basedOn w:val="DoubleDot"/>
    <w:rsid w:val="00BA123B"/>
    <w:pPr>
      <w:tabs>
        <w:tab w:val="num" w:pos="1560"/>
      </w:tabs>
      <w:spacing w:after="60" w:line="276" w:lineRule="auto"/>
    </w:pPr>
    <w:rPr>
      <w:rFonts w:eastAsiaTheme="minorHAnsi"/>
      <w:color w:val="0D0D0D" w:themeColor="text1" w:themeTint="F2"/>
    </w:rPr>
  </w:style>
  <w:style w:type="character" w:customStyle="1" w:styleId="Heading9Char">
    <w:name w:val="Heading 9 Char"/>
    <w:basedOn w:val="DefaultParagraphFont"/>
    <w:link w:val="Heading9"/>
    <w:uiPriority w:val="9"/>
    <w:rsid w:val="00C23C8C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C23C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rsid w:val="00AE53E5"/>
    <w:rPr>
      <w:rFonts w:ascii="Calibri Light" w:eastAsia="Times New Roman" w:hAnsi="Calibri Light" w:cs="Arial"/>
      <w:color w:val="000000" w:themeColor="text1"/>
      <w:kern w:val="32"/>
      <w:sz w:val="22"/>
      <w:szCs w:val="22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C8C"/>
    <w:rPr>
      <w:rFonts w:asciiTheme="majorHAnsi" w:eastAsiaTheme="majorEastAsia" w:hAnsiTheme="majorHAnsi" w:cstheme="majorBidi"/>
      <w:iCs/>
      <w:color w:val="161B24" w:themeColor="accent1" w:themeShade="7F"/>
      <w:sz w:val="22"/>
    </w:rPr>
  </w:style>
  <w:style w:type="paragraph" w:styleId="NoSpacing">
    <w:name w:val="No Spacing"/>
    <w:link w:val="NoSpacingChar"/>
    <w:uiPriority w:val="1"/>
    <w:qFormat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8F0B1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eastAsia="en-AU"/>
    </w:rPr>
  </w:style>
  <w:style w:type="character" w:styleId="FootnoteReference">
    <w:name w:val="footnote reference"/>
    <w:basedOn w:val="DefaultParagraphFont"/>
    <w:rsid w:val="008F0B15"/>
    <w:rPr>
      <w:vertAlign w:val="superscript"/>
    </w:rPr>
  </w:style>
  <w:style w:type="paragraph" w:styleId="FootnoteText">
    <w:name w:val="footnote text"/>
    <w:basedOn w:val="Normal"/>
    <w:link w:val="FootnoteTextChar"/>
    <w:rsid w:val="008F0B15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F0B15"/>
    <w:rPr>
      <w:rFonts w:ascii="Times New Roman" w:eastAsia="Times New Roman" w:hAnsi="Times New Roman"/>
    </w:rPr>
  </w:style>
  <w:style w:type="table" w:customStyle="1" w:styleId="GridTable5Dark-Accent61">
    <w:name w:val="Grid Table 5 Dark - Accent 61"/>
    <w:basedOn w:val="TableNormal"/>
    <w:uiPriority w:val="50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band1Vert">
      <w:tblPr/>
      <w:tcPr>
        <w:shd w:val="clear" w:color="auto" w:fill="F9DECC" w:themeFill="accent6" w:themeFillTint="66"/>
      </w:tcPr>
    </w:tblStylePr>
    <w:tblStylePr w:type="band1Horz">
      <w:tblPr/>
      <w:tcPr>
        <w:shd w:val="clear" w:color="auto" w:fill="F9DECC" w:themeFill="accent6" w:themeFillTint="66"/>
      </w:tcPr>
    </w:tblStylePr>
  </w:style>
  <w:style w:type="paragraph" w:customStyle="1" w:styleId="KeyContactsName">
    <w:name w:val="KeyContacts Name"/>
    <w:basedOn w:val="Normal"/>
    <w:next w:val="Normal"/>
    <w:semiHidden/>
    <w:rsid w:val="008F2212"/>
    <w:pPr>
      <w:framePr w:w="2058" w:h="13054" w:hRule="exact" w:wrap="around" w:vAnchor="text" w:hAnchor="page" w:x="965" w:y="1"/>
      <w:pBdr>
        <w:top w:val="single" w:sz="18" w:space="1" w:color="CCD6E3"/>
        <w:left w:val="single" w:sz="18" w:space="4" w:color="CCD6E3"/>
        <w:bottom w:val="single" w:sz="18" w:space="1" w:color="CCD6E3"/>
        <w:right w:val="single" w:sz="18" w:space="4" w:color="CCD6E3"/>
      </w:pBdr>
      <w:shd w:val="clear" w:color="auto" w:fill="CCD6E3"/>
      <w:spacing w:before="240" w:after="0" w:afterAutospacing="1" w:line="264" w:lineRule="auto"/>
    </w:pPr>
    <w:rPr>
      <w:rFonts w:ascii="Univers 45 Light" w:hAnsi="Univers 45 Light"/>
      <w:b/>
      <w:color w:val="0C2D83"/>
      <w:sz w:val="18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F0B1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F0B15"/>
    <w:rPr>
      <w:rFonts w:ascii="Times New Roman" w:eastAsia="Times New Roman" w:hAnsi="Times New Roman"/>
      <w:sz w:val="24"/>
      <w:szCs w:val="24"/>
    </w:rPr>
  </w:style>
  <w:style w:type="table" w:customStyle="1" w:styleId="ListTable4-Accent61">
    <w:name w:val="List Table 4 - Accent 61"/>
    <w:basedOn w:val="TableNormal"/>
    <w:uiPriority w:val="49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6CEB3" w:themeColor="accent6" w:themeTint="99"/>
        <w:left w:val="single" w:sz="4" w:space="0" w:color="F6CEB3" w:themeColor="accent6" w:themeTint="99"/>
        <w:bottom w:val="single" w:sz="4" w:space="0" w:color="F6CEB3" w:themeColor="accent6" w:themeTint="99"/>
        <w:right w:val="single" w:sz="4" w:space="0" w:color="F6CEB3" w:themeColor="accent6" w:themeTint="99"/>
        <w:insideH w:val="single" w:sz="4" w:space="0" w:color="F6CE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E81" w:themeColor="accent6"/>
          <w:left w:val="single" w:sz="4" w:space="0" w:color="F0AE81" w:themeColor="accent6"/>
          <w:bottom w:val="single" w:sz="4" w:space="0" w:color="F0AE81" w:themeColor="accent6"/>
          <w:right w:val="single" w:sz="4" w:space="0" w:color="F0AE81" w:themeColor="accent6"/>
          <w:insideH w:val="nil"/>
        </w:tcBorders>
        <w:shd w:val="clear" w:color="auto" w:fill="F0AE81" w:themeFill="accent6"/>
      </w:tcPr>
    </w:tblStylePr>
    <w:tblStylePr w:type="lastRow">
      <w:rPr>
        <w:b/>
        <w:bCs/>
      </w:rPr>
      <w:tblPr/>
      <w:tcPr>
        <w:tcBorders>
          <w:top w:val="double" w:sz="4" w:space="0" w:color="F6CE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5" w:themeFill="accent6" w:themeFillTint="33"/>
      </w:tcPr>
    </w:tblStylePr>
    <w:tblStylePr w:type="band1Horz">
      <w:tblPr/>
      <w:tcPr>
        <w:shd w:val="clear" w:color="auto" w:fill="FCEEE5" w:themeFill="accent6" w:themeFillTint="33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NormalWeb">
    <w:name w:val="Normal (Web)"/>
    <w:basedOn w:val="Normal"/>
    <w:rsid w:val="008F0B15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8F0B15"/>
  </w:style>
  <w:style w:type="numbering" w:customStyle="1" w:styleId="StyleBulletedSymbolsymbol11ptLeft4cmHanging05">
    <w:name w:val="Style Bulleted Symbol (symbol) 11 pt Left:  4 cm Hanging:  0.5 ..."/>
    <w:basedOn w:val="NoList"/>
    <w:rsid w:val="008F0B15"/>
    <w:pPr>
      <w:numPr>
        <w:numId w:val="1"/>
      </w:numPr>
    </w:pPr>
  </w:style>
  <w:style w:type="numbering" w:customStyle="1" w:styleId="StyleBulletedSymbolsymbol11ptLeft4cmHanging051">
    <w:name w:val="Style Bulleted Symbol (symbol) 11 pt Left:  4 cm Hanging:  0.5 ...1"/>
    <w:basedOn w:val="NoList"/>
    <w:rsid w:val="008F0B15"/>
    <w:pPr>
      <w:numPr>
        <w:numId w:val="2"/>
      </w:numPr>
    </w:pPr>
  </w:style>
  <w:style w:type="numbering" w:customStyle="1" w:styleId="BoxBulletedList">
    <w:name w:val="Box Bulleted List"/>
    <w:uiPriority w:val="99"/>
    <w:rsid w:val="00AE53E5"/>
    <w:pPr>
      <w:numPr>
        <w:numId w:val="8"/>
      </w:numPr>
    </w:pPr>
  </w:style>
  <w:style w:type="paragraph" w:customStyle="1" w:styleId="Tableheading">
    <w:name w:val="Table heading"/>
    <w:basedOn w:val="Normal"/>
    <w:rsid w:val="008F2212"/>
    <w:pPr>
      <w:keepLines/>
      <w:jc w:val="center"/>
    </w:pPr>
    <w:rPr>
      <w:b/>
    </w:rPr>
  </w:style>
  <w:style w:type="paragraph" w:customStyle="1" w:styleId="TableText">
    <w:name w:val="Table Text"/>
    <w:basedOn w:val="Normal"/>
    <w:rsid w:val="00BA123B"/>
    <w:pPr>
      <w:spacing w:before="100" w:line="264" w:lineRule="auto"/>
    </w:pPr>
    <w:rPr>
      <w:rFonts w:ascii="Calibri" w:eastAsia="Batang" w:hAnsi="Calibri" w:cstheme="minorBidi"/>
      <w:sz w:val="24"/>
    </w:rPr>
  </w:style>
  <w:style w:type="paragraph" w:customStyle="1" w:styleId="Tabletext0">
    <w:name w:val="Table text"/>
    <w:basedOn w:val="Normal"/>
    <w:link w:val="TabletextChar"/>
    <w:rsid w:val="00BA123B"/>
    <w:pPr>
      <w:spacing w:before="80" w:after="80"/>
    </w:pPr>
    <w:rPr>
      <w:rFonts w:ascii="Univers 45 Light" w:hAnsi="Univers 45 Light"/>
      <w:sz w:val="19"/>
    </w:rPr>
  </w:style>
  <w:style w:type="character" w:customStyle="1" w:styleId="TabletextChar">
    <w:name w:val="Table text Char"/>
    <w:basedOn w:val="DefaultParagraphFont"/>
    <w:link w:val="Tabletext0"/>
    <w:rsid w:val="008F0B15"/>
    <w:rPr>
      <w:rFonts w:ascii="Univers 45 Light" w:eastAsia="Times New Roman" w:hAnsi="Univers 45 Light"/>
      <w:sz w:val="19"/>
    </w:rPr>
  </w:style>
  <w:style w:type="paragraph" w:customStyle="1" w:styleId="ChartHeading">
    <w:name w:val="Chart Heading"/>
    <w:basedOn w:val="Tableheading"/>
    <w:qFormat/>
    <w:rsid w:val="004B6501"/>
    <w:rPr>
      <w:rFonts w:ascii="Calibri" w:hAnsi="Calibri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0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reasury.gov.au/the-department/corporate-publications/inclusion-diversity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Summary!$A$4</c:f>
              <c:strCache>
                <c:ptCount val="1"/>
                <c:pt idx="0">
                  <c:v>Total Staff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j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Summary!$B$1:$F$1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Summary!$B$4:$F$4</c:f>
              <c:numCache>
                <c:formatCode>General</c:formatCode>
                <c:ptCount val="5"/>
                <c:pt idx="0">
                  <c:v>917</c:v>
                </c:pt>
                <c:pt idx="1">
                  <c:v>1067</c:v>
                </c:pt>
                <c:pt idx="2">
                  <c:v>1367</c:v>
                </c:pt>
                <c:pt idx="3">
                  <c:v>1495</c:v>
                </c:pt>
                <c:pt idx="4">
                  <c:v>1489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59-4970-81D2-F2E6A7F3FF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axId val="1685323184"/>
        <c:axId val="2082206656"/>
      </c:barChart>
      <c:lineChart>
        <c:grouping val="standard"/>
        <c:varyColors val="0"/>
        <c:ser>
          <c:idx val="1"/>
          <c:order val="1"/>
          <c:tx>
            <c:strRef>
              <c:f>Summary!$A$2</c:f>
              <c:strCache>
                <c:ptCount val="1"/>
                <c:pt idx="0">
                  <c:v>Female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tx>
                <c:rich>
                  <a:bodyPr/>
                  <a:lstStyle/>
                  <a:p>
                    <a:fld id="{F5FC9018-52E2-4E66-A7B1-0E1F0AAABC63}" type="CELLRANGE">
                      <a:rPr lang="en-US"/>
                      <a:pPr/>
                      <a:t>[CELLRANGE]</a:t>
                    </a:fld>
                    <a:endParaRPr lang="en-AU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1-C859-4970-81D2-F2E6A7F3FFE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6A423E14-FD8D-4755-9AF8-17F704B028F8}" type="CELLRANGE">
                      <a:rPr lang="en-AU"/>
                      <a:pPr/>
                      <a:t>[CELLRANGE]</a:t>
                    </a:fld>
                    <a:endParaRPr lang="en-AU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2-C859-4970-81D2-F2E6A7F3FFE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922F09DE-3A50-4C9A-B6E3-FA38F0DDAF26}" type="CELLRANGE">
                      <a:rPr lang="en-AU"/>
                      <a:pPr/>
                      <a:t>[CELLRANGE]</a:t>
                    </a:fld>
                    <a:endParaRPr lang="en-AU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3-C859-4970-81D2-F2E6A7F3FFEF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3D61B9BA-64A1-4B9E-B702-D01F7702ABED}" type="CELLRANGE">
                      <a:rPr lang="en-AU"/>
                      <a:pPr/>
                      <a:t>[CELLRANGE]</a:t>
                    </a:fld>
                    <a:endParaRPr lang="en-AU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4-C859-4970-81D2-F2E6A7F3FFEF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45DFA6E1-2183-442D-860B-1CB34C0CE5DB}" type="CELLRANGE">
                      <a:rPr lang="en-AU"/>
                      <a:pPr/>
                      <a:t>[CELLRANGE]</a:t>
                    </a:fld>
                    <a:endParaRPr lang="en-AU"/>
                  </a:p>
                </c:rich>
              </c:tx>
              <c:dLblPos val="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5-C859-4970-81D2-F2E6A7F3FFE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j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Summary!$B$2:$F$2</c:f>
              <c:numCache>
                <c:formatCode>General</c:formatCode>
                <c:ptCount val="5"/>
                <c:pt idx="0">
                  <c:v>453</c:v>
                </c:pt>
                <c:pt idx="1">
                  <c:v>543</c:v>
                </c:pt>
                <c:pt idx="2">
                  <c:v>720</c:v>
                </c:pt>
                <c:pt idx="3">
                  <c:v>778</c:v>
                </c:pt>
                <c:pt idx="4">
                  <c:v>788</c:v>
                </c:pt>
              </c:numCache>
            </c:numRef>
          </c:val>
          <c:smooth val="0"/>
          <c:extLst>
            <c:ext xmlns:c15="http://schemas.microsoft.com/office/drawing/2012/chart" uri="{02D57815-91ED-43cb-92C2-25804820EDAC}">
              <c15:datalabelsRange>
                <c15:f>Summary!$B$5:$F$5</c15:f>
                <c15:dlblRangeCache>
                  <c:ptCount val="5"/>
                  <c:pt idx="0">
                    <c:v>49%</c:v>
                  </c:pt>
                  <c:pt idx="1">
                    <c:v>51%</c:v>
                  </c:pt>
                  <c:pt idx="2">
                    <c:v>53%</c:v>
                  </c:pt>
                  <c:pt idx="3">
                    <c:v>52%</c:v>
                  </c:pt>
                  <c:pt idx="4">
                    <c:v>53%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6-C859-4970-81D2-F2E6A7F3FFEF}"/>
            </c:ext>
          </c:extLst>
        </c:ser>
        <c:ser>
          <c:idx val="2"/>
          <c:order val="2"/>
          <c:tx>
            <c:strRef>
              <c:f>Summary!$A$3</c:f>
              <c:strCache>
                <c:ptCount val="1"/>
                <c:pt idx="0">
                  <c:v>Male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dPt>
            <c:idx val="3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7-C859-4970-81D2-F2E6A7F3FFEF}"/>
              </c:ext>
            </c:extLst>
          </c:dPt>
          <c:dLbls>
            <c:dLbl>
              <c:idx val="0"/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1" i="0" u="none" strike="noStrike" kern="1200" baseline="0">
                        <a:solidFill>
                          <a:schemeClr val="bg1"/>
                        </a:solidFill>
                        <a:latin typeface="+mj-lt"/>
                        <a:ea typeface="+mn-ea"/>
                        <a:cs typeface="+mn-cs"/>
                      </a:defRPr>
                    </a:pPr>
                    <a:fld id="{6F4D6E0F-74C1-4E11-9A14-07723C4E2A16}" type="CELLRANGE">
                      <a:rPr lang="en-US" baseline="0">
                        <a:solidFill>
                          <a:schemeClr val="bg1"/>
                        </a:solidFill>
                      </a:rPr>
                      <a:pPr>
                        <a:defRPr b="1">
                          <a:solidFill>
                            <a:schemeClr val="bg1"/>
                          </a:solidFill>
                        </a:defRPr>
                      </a:pPr>
                      <a:t>[CELLRANGE]</a:t>
                    </a:fld>
                    <a:endParaRPr lang="en-AU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+mj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8-C859-4970-81D2-F2E6A7F3FFEF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1" i="0" u="none" strike="noStrike" kern="1200" baseline="0">
                        <a:solidFill>
                          <a:schemeClr val="bg1"/>
                        </a:solidFill>
                        <a:latin typeface="+mj-lt"/>
                        <a:ea typeface="+mn-ea"/>
                        <a:cs typeface="+mn-cs"/>
                      </a:defRPr>
                    </a:pPr>
                    <a:fld id="{37C47898-5EB9-4D28-9576-DF4133A28B21}" type="CELLRANGE">
                      <a:rPr lang="en-AU"/>
                      <a:pPr>
                        <a:defRPr b="1">
                          <a:solidFill>
                            <a:schemeClr val="bg1"/>
                          </a:solidFill>
                        </a:defRPr>
                      </a:pPr>
                      <a:t>[CELLRANGE]</a:t>
                    </a:fld>
                    <a:endParaRPr lang="en-AU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+mj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9-C859-4970-81D2-F2E6A7F3FFEF}"/>
                </c:ext>
              </c:extLst>
            </c:dLbl>
            <c:dLbl>
              <c:idx val="2"/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1" i="0" u="none" strike="noStrike" kern="1200" baseline="0">
                        <a:solidFill>
                          <a:schemeClr val="bg1"/>
                        </a:solidFill>
                        <a:latin typeface="+mj-lt"/>
                        <a:ea typeface="+mn-ea"/>
                        <a:cs typeface="+mn-cs"/>
                      </a:defRPr>
                    </a:pPr>
                    <a:fld id="{16E47283-1ECF-4467-B039-6F62A45CBA86}" type="CELLRANGE">
                      <a:rPr lang="en-AU"/>
                      <a:pPr>
                        <a:defRPr b="1">
                          <a:solidFill>
                            <a:schemeClr val="bg1"/>
                          </a:solidFill>
                        </a:defRPr>
                      </a:pPr>
                      <a:t>[CELLRANGE]</a:t>
                    </a:fld>
                    <a:endParaRPr lang="en-AU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+mj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A-C859-4970-81D2-F2E6A7F3FFEF}"/>
                </c:ext>
              </c:extLst>
            </c:dLbl>
            <c:dLbl>
              <c:idx val="3"/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1" i="0" u="none" strike="noStrike" kern="1200" baseline="0">
                        <a:solidFill>
                          <a:schemeClr val="bg1"/>
                        </a:solidFill>
                        <a:latin typeface="+mj-lt"/>
                        <a:ea typeface="+mn-ea"/>
                        <a:cs typeface="+mn-cs"/>
                      </a:defRPr>
                    </a:pPr>
                    <a:fld id="{E1701F17-D20B-4A63-8BAE-5D4517B2705E}" type="CELLRANGE">
                      <a:rPr lang="en-AU"/>
                      <a:pPr>
                        <a:defRPr b="1">
                          <a:solidFill>
                            <a:schemeClr val="bg1"/>
                          </a:solidFill>
                        </a:defRPr>
                      </a:pPr>
                      <a:t>[CELLRANGE]</a:t>
                    </a:fld>
                    <a:endParaRPr lang="en-AU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+mj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7-C859-4970-81D2-F2E6A7F3FFEF}"/>
                </c:ext>
              </c:extLst>
            </c:dLbl>
            <c:dLbl>
              <c:idx val="4"/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1" i="0" u="none" strike="noStrike" kern="1200" baseline="0">
                        <a:solidFill>
                          <a:schemeClr val="bg1"/>
                        </a:solidFill>
                        <a:latin typeface="+mj-lt"/>
                        <a:ea typeface="+mn-ea"/>
                        <a:cs typeface="+mn-cs"/>
                      </a:defRPr>
                    </a:pPr>
                    <a:fld id="{8DECA6E8-704F-4958-B918-1B647D600E96}" type="CELLRANGE">
                      <a:rPr lang="en-AU"/>
                      <a:pPr>
                        <a:defRPr b="1">
                          <a:solidFill>
                            <a:schemeClr val="bg1"/>
                          </a:solidFill>
                        </a:defRPr>
                      </a:pPr>
                      <a:t>[CELLRANGE]</a:t>
                    </a:fld>
                    <a:endParaRPr lang="en-AU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+mj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  <c:ext xmlns:c16="http://schemas.microsoft.com/office/drawing/2014/chart" uri="{C3380CC4-5D6E-409C-BE32-E72D297353CC}">
                  <c16:uniqueId val="{0000000B-C859-4970-81D2-F2E6A7F3FFE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accent1">
                        <a:lumMod val="50000"/>
                      </a:schemeClr>
                    </a:solidFill>
                    <a:latin typeface="+mj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Summary!$B$3:$F$3</c:f>
              <c:numCache>
                <c:formatCode>General</c:formatCode>
                <c:ptCount val="5"/>
                <c:pt idx="0">
                  <c:v>464</c:v>
                </c:pt>
                <c:pt idx="1">
                  <c:v>524</c:v>
                </c:pt>
                <c:pt idx="2">
                  <c:v>647</c:v>
                </c:pt>
                <c:pt idx="3">
                  <c:v>717</c:v>
                </c:pt>
                <c:pt idx="4">
                  <c:v>701</c:v>
                </c:pt>
              </c:numCache>
            </c:numRef>
          </c:val>
          <c:smooth val="0"/>
          <c:extLst>
            <c:ext xmlns:c15="http://schemas.microsoft.com/office/drawing/2012/chart" uri="{02D57815-91ED-43cb-92C2-25804820EDAC}">
              <c15:datalabelsRange>
                <c15:f>Summary!$B$6:$F$6</c15:f>
                <c15:dlblRangeCache>
                  <c:ptCount val="5"/>
                  <c:pt idx="0">
                    <c:v>51%</c:v>
                  </c:pt>
                  <c:pt idx="1">
                    <c:v>49%</c:v>
                  </c:pt>
                  <c:pt idx="2">
                    <c:v>47%</c:v>
                  </c:pt>
                  <c:pt idx="3">
                    <c:v>48%</c:v>
                  </c:pt>
                  <c:pt idx="4">
                    <c:v>47%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C-C859-4970-81D2-F2E6A7F3FF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85323184"/>
        <c:axId val="2082206656"/>
      </c:lineChart>
      <c:catAx>
        <c:axId val="1685323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en-US"/>
          </a:p>
        </c:txPr>
        <c:crossAx val="2082206656"/>
        <c:crosses val="autoZero"/>
        <c:auto val="1"/>
        <c:lblAlgn val="ctr"/>
        <c:lblOffset val="100"/>
        <c:noMultiLvlLbl val="0"/>
      </c:catAx>
      <c:valAx>
        <c:axId val="208220665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685323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+mj-lt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Summary!$A$74</c:f>
              <c:strCache>
                <c:ptCount val="1"/>
                <c:pt idx="0">
                  <c:v>Female employees at APS classification levels</c:v>
                </c:pt>
              </c:strCache>
            </c:strRef>
          </c:tx>
          <c:spPr>
            <a:solidFill>
              <a:schemeClr val="accent5"/>
            </a:solidFill>
            <a:ln>
              <a:noFill/>
              <a:prstDash val="sysDash"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j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Summary!$B$60:$F$60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Summary!$B$61:$F$61</c:f>
              <c:numCache>
                <c:formatCode>0%</c:formatCode>
                <c:ptCount val="5"/>
                <c:pt idx="0">
                  <c:v>0.55524861878453036</c:v>
                </c:pt>
                <c:pt idx="1">
                  <c:v>0.56046511627906981</c:v>
                </c:pt>
                <c:pt idx="2">
                  <c:v>0.54861111111111116</c:v>
                </c:pt>
                <c:pt idx="3">
                  <c:v>0.53384615384615386</c:v>
                </c:pt>
                <c:pt idx="4">
                  <c:v>0.5357142857142857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75-44ED-AD61-B62DB55A141C}"/>
            </c:ext>
          </c:extLst>
        </c:ser>
        <c:ser>
          <c:idx val="1"/>
          <c:order val="1"/>
          <c:tx>
            <c:strRef>
              <c:f>Summary!$A$75</c:f>
              <c:strCache>
                <c:ptCount val="1"/>
                <c:pt idx="0">
                  <c:v>Female employees at EL classification levels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accent6">
                  <a:lumMod val="75000"/>
                </a:schemeClr>
              </a:solidFill>
              <a:prstDash val="sysDash"/>
            </a:ln>
            <a:effectLst/>
          </c:spPr>
          <c:invertIfNegative val="0"/>
          <c:dLbls>
            <c:dLbl>
              <c:idx val="4"/>
              <c:layout>
                <c:manualLayout>
                  <c:x val="-5.9091427800773916E-3"/>
                  <c:y val="-5.85201985621364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275-44ED-AD61-B62DB55A141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j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Summary!$B$60:$F$60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Summary!$B$62:$F$62</c:f>
              <c:numCache>
                <c:formatCode>0%</c:formatCode>
                <c:ptCount val="5"/>
                <c:pt idx="0">
                  <c:v>0.46813186813186813</c:v>
                </c:pt>
                <c:pt idx="1">
                  <c:v>0.48689138576779029</c:v>
                </c:pt>
                <c:pt idx="2">
                  <c:v>0.52303120356612187</c:v>
                </c:pt>
                <c:pt idx="3">
                  <c:v>0.52049180327868849</c:v>
                </c:pt>
                <c:pt idx="4">
                  <c:v>0.52888318356867781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275-44ED-AD61-B62DB55A141C}"/>
            </c:ext>
          </c:extLst>
        </c:ser>
        <c:ser>
          <c:idx val="2"/>
          <c:order val="2"/>
          <c:tx>
            <c:strRef>
              <c:f>Summary!$A$76</c:f>
              <c:strCache>
                <c:ptCount val="1"/>
                <c:pt idx="0">
                  <c:v>Female employees at SES classification levels</c:v>
                </c:pt>
              </c:strCache>
            </c:strRef>
          </c:tx>
          <c:spPr>
            <a:solidFill>
              <a:schemeClr val="accent3"/>
            </a:solidFill>
            <a:ln>
              <a:solidFill>
                <a:schemeClr val="accent2">
                  <a:lumMod val="75000"/>
                </a:schemeClr>
              </a:solidFill>
              <a:prstDash val="sysDash"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j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Summary!$B$60:$F$60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Summary!$B$63:$F$63</c:f>
              <c:numCache>
                <c:formatCode>0%</c:formatCode>
                <c:ptCount val="5"/>
                <c:pt idx="0">
                  <c:v>0.39393939393939392</c:v>
                </c:pt>
                <c:pt idx="1">
                  <c:v>0.41176470588235292</c:v>
                </c:pt>
                <c:pt idx="2">
                  <c:v>0.44444444444444442</c:v>
                </c:pt>
                <c:pt idx="3">
                  <c:v>0.44642857142857145</c:v>
                </c:pt>
                <c:pt idx="4">
                  <c:v>0.50413223140495866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275-44ED-AD61-B62DB55A14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26863408"/>
        <c:axId val="179084192"/>
      </c:barChart>
      <c:catAx>
        <c:axId val="192686340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j-lt"/>
                    <a:ea typeface="+mn-ea"/>
                    <a:cs typeface="+mn-cs"/>
                  </a:defRPr>
                </a:pPr>
                <a:r>
                  <a:rPr lang="en-AU"/>
                  <a:t>Year</a:t>
                </a:r>
                <a:r>
                  <a:rPr lang="en-AU" baseline="0"/>
                  <a:t> (at 31 December)</a:t>
                </a:r>
                <a:endParaRPr lang="en-AU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j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n-ea"/>
                <a:cs typeface="+mn-cs"/>
              </a:defRPr>
            </a:pPr>
            <a:endParaRPr lang="en-US"/>
          </a:p>
        </c:txPr>
        <c:crossAx val="179084192"/>
        <c:crosses val="autoZero"/>
        <c:auto val="1"/>
        <c:lblAlgn val="ctr"/>
        <c:lblOffset val="100"/>
        <c:noMultiLvlLbl val="0"/>
      </c:catAx>
      <c:valAx>
        <c:axId val="179084192"/>
        <c:scaling>
          <c:orientation val="minMax"/>
          <c:max val="0.60000000000000009"/>
          <c:min val="0.30000000000000004"/>
        </c:scaling>
        <c:delete val="1"/>
        <c:axPos val="l"/>
        <c:numFmt formatCode="0%" sourceLinked="1"/>
        <c:majorTickMark val="none"/>
        <c:minorTickMark val="none"/>
        <c:tickLblPos val="nextTo"/>
        <c:crossAx val="1926863408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+mj-lt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SYBrand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574</Words>
  <Characters>3102</Characters>
  <Application>Microsoft Office Word</Application>
  <DocSecurity>0</DocSecurity>
  <Lines>70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Gender Pay Gap Employment Statement</vt:lpstr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Pay Gap Employment Statement</dc:title>
  <dc:subject/>
  <dc:creator>The Treasury</dc:creator>
  <cp:keywords/>
  <dc:description/>
  <cp:lastModifiedBy>Hill, Christine</cp:lastModifiedBy>
  <cp:revision>2</cp:revision>
  <dcterms:created xsi:type="dcterms:W3CDTF">2024-02-13T00:42:00Z</dcterms:created>
  <dcterms:modified xsi:type="dcterms:W3CDTF">2024-02-13T00:44:00Z</dcterms:modified>
  <cp:category/>
</cp:coreProperties>
</file>