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86465" w14:textId="77777777" w:rsidR="007C6E16" w:rsidRPr="00181FF4" w:rsidRDefault="007C6E16" w:rsidP="00181FF4">
      <w:pPr>
        <w:pStyle w:val="Reporttitle"/>
      </w:pPr>
      <w:bookmarkStart w:id="0" w:name="_Toc153285698"/>
      <w:bookmarkStart w:id="1" w:name="_Toc153452398"/>
      <w:bookmarkStart w:id="2" w:name="_Toc153452399"/>
      <w:bookmarkStart w:id="3" w:name="_Toc48039786"/>
      <w:bookmarkStart w:id="4" w:name="_Toc128053039"/>
      <w:bookmarkStart w:id="5" w:name="_Toc135220534"/>
      <w:r w:rsidRPr="00587AD5">
        <w:t>Labour market matching across skills and regions in</w:t>
      </w:r>
      <w:r>
        <w:t> </w:t>
      </w:r>
      <w:r w:rsidRPr="00587AD5">
        <w:t>Australia</w:t>
      </w:r>
      <w:bookmarkEnd w:id="0"/>
      <w:bookmarkEnd w:id="1"/>
    </w:p>
    <w:p w14:paraId="742041EB" w14:textId="29545302" w:rsidR="007C6E16" w:rsidRPr="00181FF4" w:rsidRDefault="007C6E16" w:rsidP="00181FF4">
      <w:pPr>
        <w:pStyle w:val="Authornameunderlined"/>
      </w:pPr>
      <w:r w:rsidRPr="004B08E3">
        <w:t>Will Mackey</w:t>
      </w:r>
      <w:r>
        <w:rPr>
          <w:rStyle w:val="FootnoteReference"/>
        </w:rPr>
        <w:footnoteReference w:id="2"/>
      </w:r>
    </w:p>
    <w:tbl>
      <w:tblPr>
        <w:tblW w:w="5000" w:type="pct"/>
        <w:shd w:val="clear" w:color="auto" w:fill="E8F0FC" w:themeFill="accent5" w:themeFillTint="33"/>
        <w:tblCellMar>
          <w:top w:w="227" w:type="dxa"/>
          <w:left w:w="227" w:type="dxa"/>
          <w:bottom w:w="227" w:type="dxa"/>
          <w:right w:w="227" w:type="dxa"/>
        </w:tblCellMar>
        <w:tblLook w:val="01E0" w:firstRow="1" w:lastRow="1" w:firstColumn="1" w:lastColumn="1" w:noHBand="0" w:noVBand="0"/>
      </w:tblPr>
      <w:tblGrid>
        <w:gridCol w:w="9070"/>
      </w:tblGrid>
      <w:tr w:rsidR="007C6E16" w14:paraId="40E3DEC7" w14:textId="77777777" w:rsidTr="00F47695">
        <w:tc>
          <w:tcPr>
            <w:tcW w:w="5000" w:type="pct"/>
            <w:shd w:val="clear" w:color="auto" w:fill="FCEEE5" w:themeFill="accent6" w:themeFillTint="33"/>
            <w:hideMark/>
          </w:tcPr>
          <w:p w14:paraId="1C7D870E" w14:textId="77777777" w:rsidR="007C6E16" w:rsidRPr="00181FF4" w:rsidRDefault="007C6E16" w:rsidP="00181FF4">
            <w:pPr>
              <w:pStyle w:val="BoxHeading"/>
            </w:pPr>
            <w:r w:rsidRPr="00B01C93">
              <w:t>Summary</w:t>
            </w:r>
          </w:p>
          <w:p w14:paraId="16B2D697" w14:textId="54D5C09C" w:rsidR="007C6E16" w:rsidRPr="000B6C55" w:rsidRDefault="007C6E16">
            <w:pPr>
              <w:pStyle w:val="BoxText"/>
            </w:pPr>
            <w:r w:rsidRPr="000B6C55">
              <w:t>This paper explores patterns of searching and matching in the Australian labour market. It first estimates matching efficiency between 2004 and 2023 at the national level, showing 3 distinct periods: a more efficient labour market leading up to the Global Financial Crisis; a decade</w:t>
            </w:r>
            <w:r w:rsidR="005F5800">
              <w:noBreakHyphen/>
            </w:r>
            <w:r w:rsidRPr="000B6C55">
              <w:t>long slump from 2010 with low matching efficiency and growing rates of long</w:t>
            </w:r>
            <w:r w:rsidR="005F5800">
              <w:noBreakHyphen/>
            </w:r>
            <w:r w:rsidRPr="000B6C55">
              <w:t xml:space="preserve">term unemployed; and a period of instability from 2020 when an unprecedentedly tight labour market was met with strong job finding rates causing aggregate matching efficiency to rise throughout 2022. </w:t>
            </w:r>
            <w:r w:rsidR="00972D64" w:rsidRPr="00972D64">
              <w:t xml:space="preserve">Unemployed people were more likely to find work in 2022 than at any point since data began in 2004. This was true for short, long and very </w:t>
            </w:r>
            <w:r w:rsidR="003448B1" w:rsidRPr="00972D64">
              <w:t>long-term</w:t>
            </w:r>
            <w:r w:rsidR="00972D64" w:rsidRPr="00972D64">
              <w:t xml:space="preserve"> unemployed people.</w:t>
            </w:r>
          </w:p>
          <w:p w14:paraId="65DF22AA" w14:textId="454D6866" w:rsidR="007C6E16" w:rsidRPr="000B6C55" w:rsidRDefault="007C6E16">
            <w:pPr>
              <w:pStyle w:val="BoxText"/>
            </w:pPr>
            <w:r w:rsidRPr="000B6C55">
              <w:t>One source of mismatch</w:t>
            </w:r>
            <w:r w:rsidR="00007DA2">
              <w:t xml:space="preserve"> – </w:t>
            </w:r>
            <w:r w:rsidRPr="000B6C55">
              <w:t>skill mismatch</w:t>
            </w:r>
            <w:r w:rsidR="00007DA2">
              <w:t xml:space="preserve"> – </w:t>
            </w:r>
            <w:r w:rsidRPr="000B6C55">
              <w:t>is examined to show that higher skilled workers tend to experience tighter labour markets and lower levels of within</w:t>
            </w:r>
            <w:r w:rsidR="005F5800">
              <w:noBreakHyphen/>
            </w:r>
            <w:r w:rsidRPr="000B6C55">
              <w:t xml:space="preserve">skill mismatch compared to </w:t>
            </w:r>
            <w:r w:rsidR="00FD66B1">
              <w:t>lower-skill</w:t>
            </w:r>
            <w:r w:rsidRPr="000B6C55">
              <w:t>ed groups. Between</w:t>
            </w:r>
            <w:r w:rsidR="005F5800">
              <w:noBreakHyphen/>
            </w:r>
            <w:r w:rsidRPr="000B6C55">
              <w:t xml:space="preserve">skill employment mismatch means that higher skilled workers can crowd out </w:t>
            </w:r>
            <w:r w:rsidR="00FD66B1">
              <w:t>lower-skill</w:t>
            </w:r>
            <w:r w:rsidRPr="000B6C55">
              <w:t xml:space="preserve">ed workers and job seekers. </w:t>
            </w:r>
          </w:p>
          <w:p w14:paraId="3C41BC5C" w14:textId="3823446F" w:rsidR="007C6E16" w:rsidRDefault="007C6E16">
            <w:pPr>
              <w:pStyle w:val="BoxText"/>
            </w:pPr>
            <w:r w:rsidRPr="000B6C55">
              <w:t>The national labour market is then divided along regional and skill level lines to show heterogenous conditions in 111 local labour markets. By controlling for some sources of geographic and skill mismatch, this analysis demonstrates that mismatch remains within region</w:t>
            </w:r>
            <w:r w:rsidR="005F5800">
              <w:noBreakHyphen/>
            </w:r>
            <w:r w:rsidRPr="000B6C55">
              <w:t>skill labour market cells.</w:t>
            </w:r>
            <w:r>
              <w:t xml:space="preserve"> </w:t>
            </w:r>
          </w:p>
        </w:tc>
      </w:tr>
    </w:tbl>
    <w:p w14:paraId="7340AAF2" w14:textId="77777777" w:rsidR="003F740E" w:rsidRDefault="003F740E" w:rsidP="00181FF4">
      <w:pPr>
        <w:sectPr w:rsidR="003F740E" w:rsidSect="000257ED">
          <w:headerReference w:type="even" r:id="rId8"/>
          <w:headerReference w:type="default" r:id="rId9"/>
          <w:footerReference w:type="even" r:id="rId10"/>
          <w:footerReference w:type="default" r:id="rId11"/>
          <w:pgSz w:w="11906" w:h="16838" w:code="9"/>
          <w:pgMar w:top="1843" w:right="1418" w:bottom="1418" w:left="1418" w:header="709" w:footer="709" w:gutter="0"/>
          <w:cols w:space="708"/>
          <w:docGrid w:linePitch="360"/>
        </w:sectPr>
      </w:pPr>
    </w:p>
    <w:p w14:paraId="295E9E62" w14:textId="568FF746" w:rsidR="00113AA1" w:rsidRDefault="00113AA1" w:rsidP="00F117C9">
      <w:pPr>
        <w:pStyle w:val="Heading1Numbered"/>
        <w:rPr>
          <w:noProof/>
        </w:rPr>
      </w:pPr>
      <w:r w:rsidRPr="00344C59">
        <w:lastRenderedPageBreak/>
        <w:t>Introduction</w:t>
      </w:r>
      <w:bookmarkEnd w:id="2"/>
    </w:p>
    <w:p w14:paraId="304E6416" w14:textId="10ACD3A7" w:rsidR="00E843C8" w:rsidRDefault="00C87B6D" w:rsidP="00037129">
      <w:r>
        <w:t>The Beveridge Curve is the relationship between job vacancies and job seekers in a labour market</w:t>
      </w:r>
      <w:r w:rsidR="00971801">
        <w:t xml:space="preserve">. </w:t>
      </w:r>
      <w:r>
        <w:t>A</w:t>
      </w:r>
      <w:r w:rsidR="00AE453A">
        <w:t> </w:t>
      </w:r>
      <w:r w:rsidRPr="00BE61FC">
        <w:rPr>
          <w:color w:val="000000" w:themeColor="text1"/>
        </w:rPr>
        <w:t xml:space="preserve">tighter labour market </w:t>
      </w:r>
      <w:r>
        <w:t>indicates that there are more vacancies for each unemployed person, and a looser labour market means there are more unemployed people for each vacancy.</w:t>
      </w:r>
      <w:r w:rsidR="002C331A">
        <w:t xml:space="preserve"> </w:t>
      </w:r>
      <w:r w:rsidR="007C70D9">
        <w:t>Chart </w:t>
      </w:r>
      <w:r w:rsidR="007F4DBD">
        <w:t>1.1 shows Australia</w:t>
      </w:r>
      <w:r w:rsidR="005F5800">
        <w:t>’</w:t>
      </w:r>
      <w:r w:rsidR="007F4DBD">
        <w:t xml:space="preserve">s Beveridge Curve </w:t>
      </w:r>
      <w:r w:rsidR="00F85147">
        <w:t xml:space="preserve">from </w:t>
      </w:r>
      <w:r w:rsidR="007F4DBD">
        <w:t xml:space="preserve">the </w:t>
      </w:r>
      <w:r w:rsidR="00FA6286">
        <w:t xml:space="preserve">late </w:t>
      </w:r>
      <w:r w:rsidR="007F4DBD">
        <w:t xml:space="preserve">1970s </w:t>
      </w:r>
      <w:r w:rsidR="00F85147">
        <w:t xml:space="preserve">to </w:t>
      </w:r>
      <w:r w:rsidR="00FA6286">
        <w:t>May 2023</w:t>
      </w:r>
      <w:r w:rsidR="007F4DBD">
        <w:t xml:space="preserve">. </w:t>
      </w:r>
      <w:r w:rsidR="00AE7FF5">
        <w:t xml:space="preserve">There was high unemployment and </w:t>
      </w:r>
      <w:r w:rsidR="00B700A8">
        <w:t>l</w:t>
      </w:r>
      <w:r w:rsidR="00B700A8" w:rsidRPr="00946B93">
        <w:t xml:space="preserve">ow vacancies in the </w:t>
      </w:r>
      <w:r w:rsidR="00B700A8">
        <w:t xml:space="preserve">late </w:t>
      </w:r>
      <w:r w:rsidR="00B700A8" w:rsidRPr="00946B93">
        <w:t xml:space="preserve">1980s and </w:t>
      </w:r>
      <w:r w:rsidR="00B700A8">
        <w:t xml:space="preserve">early </w:t>
      </w:r>
      <w:r w:rsidR="00B700A8" w:rsidRPr="00946B93">
        <w:t>1990</w:t>
      </w:r>
      <w:r w:rsidR="009A6905">
        <w:t>s. The labour market tightened into the 2000s</w:t>
      </w:r>
      <w:r w:rsidR="00056B48">
        <w:t xml:space="preserve"> except for a period of loosening at the onset of the Global Financial Crisis.</w:t>
      </w:r>
      <w:r w:rsidR="005F6504">
        <w:t xml:space="preserve"> The 2010s were relatively stable with</w:t>
      </w:r>
      <w:r w:rsidR="00C05C45">
        <w:t xml:space="preserve"> the vacancy rate </w:t>
      </w:r>
      <w:r w:rsidR="00AD5613">
        <w:t xml:space="preserve">of </w:t>
      </w:r>
      <w:r w:rsidR="00C05C45">
        <w:t>1</w:t>
      </w:r>
      <w:r w:rsidR="00FA019D">
        <w:t>–2</w:t>
      </w:r>
      <w:r w:rsidR="001F3E06">
        <w:t> per c</w:t>
      </w:r>
      <w:r w:rsidR="00FA019D">
        <w:t xml:space="preserve">ent and unemployment </w:t>
      </w:r>
      <w:r w:rsidR="00AD5613">
        <w:t xml:space="preserve">rate </w:t>
      </w:r>
      <w:r w:rsidR="00FA019D">
        <w:t>between 4.5–6.5</w:t>
      </w:r>
      <w:r w:rsidR="001F3E06">
        <w:t> per c</w:t>
      </w:r>
      <w:r w:rsidR="00FA019D">
        <w:t xml:space="preserve">ent. </w:t>
      </w:r>
      <w:r w:rsidR="0078662C">
        <w:t xml:space="preserve">With the </w:t>
      </w:r>
      <w:r w:rsidR="001078E5">
        <w:t>COVID</w:t>
      </w:r>
      <w:r w:rsidR="005F5800">
        <w:noBreakHyphen/>
      </w:r>
      <w:r w:rsidR="001078E5">
        <w:t xml:space="preserve">19 </w:t>
      </w:r>
      <w:r w:rsidR="0078662C">
        <w:t xml:space="preserve">pandemic shock from 2020, unemployment grew </w:t>
      </w:r>
      <w:r w:rsidR="008627BD">
        <w:t xml:space="preserve">temporarily before vacancies rose </w:t>
      </w:r>
      <w:r w:rsidR="00456664">
        <w:t xml:space="preserve">to </w:t>
      </w:r>
      <w:r w:rsidR="009978ED">
        <w:t>the highest level on record.</w:t>
      </w:r>
    </w:p>
    <w:p w14:paraId="77C282B2" w14:textId="1C58B128" w:rsidR="00452704" w:rsidRDefault="00F83CD1" w:rsidP="00037129">
      <w:r>
        <w:t>While these shifts reflect cyclical features of the labour market</w:t>
      </w:r>
      <w:r w:rsidR="00AD5613" w:rsidRPr="00AD5613">
        <w:t xml:space="preserve"> </w:t>
      </w:r>
      <w:r w:rsidR="00AD5613">
        <w:t>over time</w:t>
      </w:r>
      <w:r>
        <w:t xml:space="preserve">, how well job seekers and jobs are </w:t>
      </w:r>
      <w:r w:rsidR="005F5800">
        <w:t>‘</w:t>
      </w:r>
      <w:r>
        <w:t>matched</w:t>
      </w:r>
      <w:r w:rsidR="005F5800">
        <w:t>’</w:t>
      </w:r>
      <w:r>
        <w:t xml:space="preserve"> </w:t>
      </w:r>
      <w:r w:rsidR="00AD5613">
        <w:t xml:space="preserve">has </w:t>
      </w:r>
      <w:r>
        <w:t xml:space="preserve">an important role. </w:t>
      </w:r>
      <w:r>
        <w:rPr>
          <w:color w:val="000000" w:themeColor="text1"/>
        </w:rPr>
        <w:t>M</w:t>
      </w:r>
      <w:r w:rsidRPr="00A8654A">
        <w:rPr>
          <w:color w:val="000000" w:themeColor="text1"/>
        </w:rPr>
        <w:t>atching efficiency</w:t>
      </w:r>
      <w:r>
        <w:rPr>
          <w:color w:val="000000" w:themeColor="text1"/>
        </w:rPr>
        <w:t xml:space="preserve"> </w:t>
      </w:r>
      <w:r>
        <w:t>reflects the labour market</w:t>
      </w:r>
      <w:r w:rsidR="005F5800">
        <w:t>’</w:t>
      </w:r>
      <w:r>
        <w:t>s ability to match individuals to jobs</w:t>
      </w:r>
      <w:r w:rsidR="00D87B24">
        <w:t>, which can be</w:t>
      </w:r>
      <w:r w:rsidR="00E173F7">
        <w:t xml:space="preserve"> limited </w:t>
      </w:r>
      <w:r w:rsidR="00E173F7" w:rsidRPr="00E82576">
        <w:t>by disconnects between the skills and location of potential workers, and the requirements, renumeration, and location of available jobs</w:t>
      </w:r>
      <w:r w:rsidR="00E173F7">
        <w:t>.</w:t>
      </w:r>
      <w:r w:rsidR="00D87B24">
        <w:t xml:space="preserve"> </w:t>
      </w:r>
      <w:r>
        <w:t>A more efficient labour market will have lower levels of unemployment for the same level of labour demand</w:t>
      </w:r>
      <w:r w:rsidR="00AD5613">
        <w:t>. I</w:t>
      </w:r>
      <w:r>
        <w:t>mproving matching efficiency drives down the natural rate of unemployment and reduces skills shortages in the economy</w:t>
      </w:r>
      <w:r w:rsidR="00E173F7">
        <w:t>.</w:t>
      </w:r>
      <w:r w:rsidRPr="00E82576">
        <w:t xml:space="preserve"> </w:t>
      </w:r>
    </w:p>
    <w:p w14:paraId="76473B33" w14:textId="4734B5AE" w:rsidR="00902BCC" w:rsidRDefault="00902BCC" w:rsidP="00037129">
      <w:r w:rsidRPr="00421874">
        <w:rPr>
          <w:color w:val="000000" w:themeColor="text1"/>
        </w:rPr>
        <w:t>Improving matching</w:t>
      </w:r>
      <w:r w:rsidR="00D562D5">
        <w:rPr>
          <w:color w:val="000000" w:themeColor="text1"/>
        </w:rPr>
        <w:t xml:space="preserve"> </w:t>
      </w:r>
      <w:r w:rsidRPr="00421874">
        <w:rPr>
          <w:color w:val="000000" w:themeColor="text1"/>
        </w:rPr>
        <w:t xml:space="preserve">efficiency in </w:t>
      </w:r>
      <w:r>
        <w:t>the labour market means Australia can generate more economic output for a given level of available workers and demand for labour. This paper first u</w:t>
      </w:r>
      <w:r w:rsidRPr="0052312C">
        <w:t>s</w:t>
      </w:r>
      <w:r>
        <w:t xml:space="preserve">es </w:t>
      </w:r>
      <w:r w:rsidRPr="0052312C">
        <w:t xml:space="preserve">detailed </w:t>
      </w:r>
      <w:r>
        <w:t xml:space="preserve">vacancy, job seeker and matching data to explore </w:t>
      </w:r>
      <w:r w:rsidRPr="0052312C">
        <w:t xml:space="preserve">changes in </w:t>
      </w:r>
      <w:r>
        <w:t xml:space="preserve">labour market </w:t>
      </w:r>
      <w:r w:rsidRPr="0052312C">
        <w:t>matching efficiency</w:t>
      </w:r>
      <w:r>
        <w:t xml:space="preserve"> in Australia between 2004 and 2023 for a range of job seeker groups. The paper then explores skill</w:t>
      </w:r>
      <w:r w:rsidR="00CF4A29">
        <w:t xml:space="preserve"> </w:t>
      </w:r>
      <w:r>
        <w:t>level variation in labour market tightness and looks at occupation transitions within and between skill groups. The final section adds a regional lens to illustrate the heterogeneity of local labour markets that can coexist across Australia.</w:t>
      </w:r>
    </w:p>
    <w:p w14:paraId="3A7093F1" w14:textId="0C4332BC" w:rsidR="00AE453A" w:rsidRDefault="00AE453A" w:rsidP="00181FF4">
      <w:pPr>
        <w:pStyle w:val="ChartMainHeading"/>
      </w:pPr>
      <w:r>
        <w:t>The Beveridge Curve</w:t>
      </w:r>
    </w:p>
    <w:p w14:paraId="0BE84FC8" w14:textId="60614550" w:rsidR="00AE453A" w:rsidRPr="00181FF4" w:rsidRDefault="008C5829" w:rsidP="00181FF4">
      <w:pPr>
        <w:pStyle w:val="ChartGraphic"/>
      </w:pPr>
      <w:r>
        <w:rPr>
          <w:noProof/>
        </w:rPr>
        <w:drawing>
          <wp:inline distT="0" distB="0" distL="0" distR="0" wp14:anchorId="769B474D" wp14:editId="645CB90C">
            <wp:extent cx="5712460" cy="2981325"/>
            <wp:effectExtent l="0" t="0" r="0" b="9525"/>
            <wp:docPr id="20" name="Picture 20" descr="A scatter plot with the vacancy rate on the vertical axis and the unemployment rate on the horizontal axis. Each dot on the chart in a point in time for the Australian labour market between the 1970s and 2023. There is a negative relationship between the vacancy rate and the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atter plot with the vacancy rate on the vertical axis and the unemployment rate on the horizontal axis. Each dot on the chart in a point in time for the Australian labour market between the 1970s and 2023. There is a negative relationship between the vacancy rate and the unemployment r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460" cy="2981325"/>
                    </a:xfrm>
                    <a:prstGeom prst="rect">
                      <a:avLst/>
                    </a:prstGeom>
                    <a:noFill/>
                  </pic:spPr>
                </pic:pic>
              </a:graphicData>
            </a:graphic>
          </wp:inline>
        </w:drawing>
      </w:r>
    </w:p>
    <w:p w14:paraId="6A496D37" w14:textId="1E9B9521" w:rsidR="00AE453A" w:rsidRDefault="00AE453A" w:rsidP="00625761">
      <w:pPr>
        <w:pStyle w:val="ChartTableFigureNoteorSource"/>
      </w:pPr>
      <w:r>
        <w:t>Source:</w:t>
      </w:r>
      <w:r w:rsidR="00FF46F6">
        <w:t xml:space="preserve"> </w:t>
      </w:r>
      <w:r w:rsidR="00181FF4">
        <w:tab/>
      </w:r>
      <w:r>
        <w:t>Treasury analysis of ABS Job Vacancies and ABS Labour Force Survey. Seasonally adjusted figures.</w:t>
      </w:r>
    </w:p>
    <w:p w14:paraId="3B25B652" w14:textId="77777777" w:rsidR="003F740E" w:rsidRDefault="003F740E" w:rsidP="00902BCC">
      <w:pPr>
        <w:pStyle w:val="ChartTableFiguresectionline"/>
      </w:pPr>
    </w:p>
    <w:p w14:paraId="029C66EA" w14:textId="7D337BEA" w:rsidR="003F740E" w:rsidRDefault="003F740E" w:rsidP="00902BCC">
      <w:pPr>
        <w:pStyle w:val="ChartTableFiguresectionline"/>
        <w:sectPr w:rsidR="003F740E" w:rsidSect="00D81ACE">
          <w:pgSz w:w="11906" w:h="16838" w:code="9"/>
          <w:pgMar w:top="1843" w:right="1418" w:bottom="1418" w:left="1418" w:header="709" w:footer="709" w:gutter="0"/>
          <w:cols w:space="708"/>
          <w:docGrid w:linePitch="360"/>
        </w:sectPr>
      </w:pPr>
    </w:p>
    <w:p w14:paraId="0378E46B" w14:textId="20115634" w:rsidR="00621F33" w:rsidRDefault="00621F33" w:rsidP="003F740E">
      <w:pPr>
        <w:pStyle w:val="Heading1Numbered"/>
        <w:rPr>
          <w:noProof/>
        </w:rPr>
      </w:pPr>
      <w:bookmarkStart w:id="6" w:name="_Toc153452400"/>
      <w:r w:rsidRPr="00344C59">
        <w:lastRenderedPageBreak/>
        <w:t>Matching</w:t>
      </w:r>
      <w:r>
        <w:rPr>
          <w:noProof/>
        </w:rPr>
        <w:t xml:space="preserve"> efficiency in the Australian labour market</w:t>
      </w:r>
      <w:bookmarkEnd w:id="6"/>
    </w:p>
    <w:p w14:paraId="2847B94C" w14:textId="66DC8F8C" w:rsidR="00621F33" w:rsidRDefault="00621F33" w:rsidP="00D562D5">
      <w:r>
        <w:t xml:space="preserve">Job vacancies and people looking for employment can coexist in the labour market. For example, a </w:t>
      </w:r>
      <w:r w:rsidR="00602D11">
        <w:t xml:space="preserve">skills mismatch </w:t>
      </w:r>
      <w:r w:rsidR="007C72CF">
        <w:t xml:space="preserve">can occur when a </w:t>
      </w:r>
      <w:r>
        <w:t xml:space="preserve">job seeker </w:t>
      </w:r>
      <w:r w:rsidR="007C72CF">
        <w:t xml:space="preserve">does </w:t>
      </w:r>
      <w:r>
        <w:t xml:space="preserve">not have the skills </w:t>
      </w:r>
      <w:r w:rsidR="007C72CF">
        <w:t xml:space="preserve">required </w:t>
      </w:r>
      <w:r>
        <w:t>for an available job</w:t>
      </w:r>
      <w:r w:rsidR="00A52431">
        <w:t xml:space="preserve">, or the job does not </w:t>
      </w:r>
      <w:r w:rsidR="0030029A">
        <w:t xml:space="preserve">offer the </w:t>
      </w:r>
      <w:r w:rsidR="00C75814">
        <w:t xml:space="preserve">required </w:t>
      </w:r>
      <w:r w:rsidR="0030029A">
        <w:t>conditions or renumeration</w:t>
      </w:r>
      <w:r w:rsidR="007C72CF">
        <w:t>.</w:t>
      </w:r>
      <w:r w:rsidR="00F54134">
        <w:rPr>
          <w:rStyle w:val="FootnoteReference"/>
        </w:rPr>
        <w:footnoteReference w:id="3"/>
      </w:r>
      <w:r>
        <w:t xml:space="preserve"> </w:t>
      </w:r>
      <w:r w:rsidR="005D3BAE">
        <w:t xml:space="preserve">A geographic mismatch </w:t>
      </w:r>
      <w:r w:rsidR="00495AD1">
        <w:t xml:space="preserve">occurs when </w:t>
      </w:r>
      <w:r>
        <w:t xml:space="preserve">the vacancy and job seeker </w:t>
      </w:r>
      <w:r w:rsidR="00495AD1">
        <w:t>are</w:t>
      </w:r>
      <w:r>
        <w:t xml:space="preserve"> in different places </w:t>
      </w:r>
      <w:r w:rsidR="009D4597">
        <w:t>and</w:t>
      </w:r>
      <w:r w:rsidR="00495AD1">
        <w:t xml:space="preserve"> </w:t>
      </w:r>
      <w:r w:rsidR="00261D3E">
        <w:t xml:space="preserve">the job seeker is </w:t>
      </w:r>
      <w:r>
        <w:t>unable or unwilling to</w:t>
      </w:r>
      <w:r w:rsidR="00E40265">
        <w:t> </w:t>
      </w:r>
      <w:r>
        <w:t xml:space="preserve">move. </w:t>
      </w:r>
    </w:p>
    <w:tbl>
      <w:tblPr>
        <w:tblW w:w="5000" w:type="pct"/>
        <w:tblLayout w:type="fixed"/>
        <w:tblCellMar>
          <w:left w:w="0" w:type="dxa"/>
          <w:right w:w="0" w:type="dxa"/>
        </w:tblCellMar>
        <w:tblLook w:val="0000" w:firstRow="0" w:lastRow="0" w:firstColumn="0" w:lastColumn="0" w:noHBand="0" w:noVBand="0"/>
      </w:tblPr>
      <w:tblGrid>
        <w:gridCol w:w="4535"/>
        <w:gridCol w:w="4535"/>
      </w:tblGrid>
      <w:tr w:rsidR="00A05120" w:rsidRPr="00181FF4" w14:paraId="6C8C27C7" w14:textId="77777777" w:rsidTr="00767219">
        <w:trPr>
          <w:cantSplit/>
        </w:trPr>
        <w:tc>
          <w:tcPr>
            <w:tcW w:w="4535" w:type="dxa"/>
          </w:tcPr>
          <w:p w14:paraId="4FDF1143" w14:textId="0069695B" w:rsidR="00A05120" w:rsidRPr="00181FF4" w:rsidRDefault="00A05120" w:rsidP="00181FF4">
            <w:pPr>
              <w:pStyle w:val="ChartMainHeading"/>
            </w:pPr>
            <w:bookmarkStart w:id="7" w:name="_Hlk150772359"/>
            <w:r w:rsidRPr="00181FF4">
              <w:t xml:space="preserve">Unemployment and </w:t>
            </w:r>
            <w:r w:rsidR="00D8459A">
              <w:br/>
            </w:r>
            <w:r w:rsidRPr="00181FF4">
              <w:t>vacancy</w:t>
            </w:r>
            <w:r w:rsidR="00D8459A">
              <w:t> </w:t>
            </w:r>
            <w:r w:rsidRPr="00181FF4">
              <w:t>rates</w:t>
            </w:r>
          </w:p>
        </w:tc>
        <w:tc>
          <w:tcPr>
            <w:tcW w:w="4535" w:type="dxa"/>
          </w:tcPr>
          <w:p w14:paraId="3BA60EA2" w14:textId="52CBAE98" w:rsidR="00A05120" w:rsidRPr="00181FF4" w:rsidRDefault="00A05120" w:rsidP="00181FF4">
            <w:pPr>
              <w:pStyle w:val="ChartMainHeading"/>
            </w:pPr>
            <w:r w:rsidRPr="00181FF4">
              <w:t>Next</w:t>
            </w:r>
            <w:r w:rsidR="005F5800">
              <w:noBreakHyphen/>
            </w:r>
            <w:r w:rsidRPr="00181FF4">
              <w:t>quarter job finding rate of unemployed people</w:t>
            </w:r>
          </w:p>
        </w:tc>
      </w:tr>
      <w:tr w:rsidR="00A05120" w:rsidRPr="00181FF4" w14:paraId="4F381C94" w14:textId="77777777" w:rsidTr="00767219">
        <w:trPr>
          <w:cantSplit/>
          <w:trHeight w:val="3698"/>
        </w:trPr>
        <w:tc>
          <w:tcPr>
            <w:tcW w:w="4535" w:type="dxa"/>
          </w:tcPr>
          <w:p w14:paraId="57DEEFB5" w14:textId="756EFD5D" w:rsidR="00A05120" w:rsidRPr="00181FF4" w:rsidRDefault="00922D17" w:rsidP="00181FF4">
            <w:pPr>
              <w:pStyle w:val="ChartGraphic"/>
            </w:pPr>
            <w:r w:rsidRPr="00181FF4">
              <w:rPr>
                <w:noProof/>
              </w:rPr>
              <w:drawing>
                <wp:inline distT="0" distB="0" distL="0" distR="0" wp14:anchorId="781D3CA3" wp14:editId="709B59EB">
                  <wp:extent cx="2877820" cy="2334895"/>
                  <wp:effectExtent l="0" t="0" r="0" b="8255"/>
                  <wp:docPr id="3" name="Picture 3" descr="A line chart showing the vacancy rate and unemployment rate between 2004 and 2023. Between 2004 and 2019, the vacancy rate ranged between 1 and 2 per cent, while the unemployment rate ranged between 4 and 6.5 per cent. In 2020, the vacancy rate rose to about 3.5 per cent and the unemployment rate decreased to 3.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chart showing the vacancy rate and unemployment rate between 2004 and 2023. Between 2004 and 2019, the vacancy rate ranged between 1 and 2 per cent, while the unemployment rate ranged between 4 and 6.5 per cent. In 2020, the vacancy rate rose to about 3.5 per cent and the unemployment rate decreased to 3.5 per c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2334895"/>
                          </a:xfrm>
                          <a:prstGeom prst="rect">
                            <a:avLst/>
                          </a:prstGeom>
                          <a:noFill/>
                        </pic:spPr>
                      </pic:pic>
                    </a:graphicData>
                  </a:graphic>
                </wp:inline>
              </w:drawing>
            </w:r>
          </w:p>
        </w:tc>
        <w:tc>
          <w:tcPr>
            <w:tcW w:w="4535" w:type="dxa"/>
          </w:tcPr>
          <w:p w14:paraId="1E9EDAAF" w14:textId="20D37878" w:rsidR="00A05120" w:rsidRPr="00181FF4" w:rsidRDefault="00922D17" w:rsidP="00181FF4">
            <w:pPr>
              <w:pStyle w:val="ChartGraphic"/>
            </w:pPr>
            <w:r w:rsidRPr="00181FF4">
              <w:rPr>
                <w:noProof/>
              </w:rPr>
              <w:drawing>
                <wp:inline distT="0" distB="0" distL="0" distR="0" wp14:anchorId="4F032C12" wp14:editId="5F906E63">
                  <wp:extent cx="2956560" cy="2334895"/>
                  <wp:effectExtent l="0" t="0" r="0" b="8255"/>
                  <wp:docPr id="5" name="Picture 5" descr="A line chart showing the job finding rate starting at about 22 per cent in 2004 before rising to almost 28 per cent in 2009. The rate drops quickly between 2009 and 2010 to 21 per cent, and stays between 20 and 22 per cent until 2021. From 2021, the rate jumps up again to 2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chart showing the job finding rate starting at about 22 per cent in 2004 before rising to almost 28 per cent in 2009. The rate drops quickly between 2009 and 2010 to 21 per cent, and stays between 20 and 22 per cent until 2021. From 2021, the rate jumps up again to 29 per cent.&#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334895"/>
                          </a:xfrm>
                          <a:prstGeom prst="rect">
                            <a:avLst/>
                          </a:prstGeom>
                          <a:noFill/>
                        </pic:spPr>
                      </pic:pic>
                    </a:graphicData>
                  </a:graphic>
                </wp:inline>
              </w:drawing>
            </w:r>
          </w:p>
        </w:tc>
      </w:tr>
      <w:tr w:rsidR="00A05120" w:rsidRPr="00181FF4" w14:paraId="7DC5A020" w14:textId="77777777" w:rsidTr="00767219">
        <w:trPr>
          <w:cantSplit/>
          <w:trHeight w:val="20"/>
        </w:trPr>
        <w:tc>
          <w:tcPr>
            <w:tcW w:w="4535" w:type="dxa"/>
          </w:tcPr>
          <w:p w14:paraId="09C1D8C3" w14:textId="5EFD551B" w:rsidR="00C82DF0" w:rsidRDefault="00C82DF0" w:rsidP="00C82DF0">
            <w:pPr>
              <w:pStyle w:val="ChartTableFigureNoteorSource"/>
            </w:pPr>
            <w:r w:rsidRPr="00181FF4">
              <w:t xml:space="preserve">Source: </w:t>
            </w:r>
            <w:r w:rsidRPr="00181FF4">
              <w:tab/>
            </w:r>
            <w:r w:rsidRPr="00D8459A">
              <w:t>ABS</w:t>
            </w:r>
            <w:r w:rsidRPr="00181FF4">
              <w:t xml:space="preserve"> Labour Force Survey; ABS Job Vacancies.</w:t>
            </w:r>
          </w:p>
          <w:p w14:paraId="2C70E0B1" w14:textId="75E2DA9F" w:rsidR="00C82DF0" w:rsidRPr="00C82DF0" w:rsidRDefault="00C82DF0" w:rsidP="00C82DF0">
            <w:pPr>
              <w:pStyle w:val="ChartTableFigureNoteorSource"/>
            </w:pPr>
            <w:r w:rsidRPr="00181FF4">
              <w:t xml:space="preserve">Note: </w:t>
            </w:r>
            <w:r w:rsidRPr="00181FF4">
              <w:tab/>
              <w:t>Original series. Vacancy rate interpolated between</w:t>
            </w:r>
            <w:r>
              <w:t> </w:t>
            </w:r>
            <w:r w:rsidRPr="00181FF4">
              <w:t>2008</w:t>
            </w:r>
            <w:r>
              <w:t>–</w:t>
            </w:r>
            <w:r w:rsidRPr="00181FF4">
              <w:t>09.</w:t>
            </w:r>
          </w:p>
        </w:tc>
        <w:tc>
          <w:tcPr>
            <w:tcW w:w="4535" w:type="dxa"/>
          </w:tcPr>
          <w:p w14:paraId="62DCDDF9" w14:textId="4A2098F0" w:rsidR="00C82DF0" w:rsidRDefault="00C82DF0" w:rsidP="00181FF4">
            <w:pPr>
              <w:pStyle w:val="ChartTableFigureNoteorSource"/>
            </w:pPr>
            <w:r w:rsidRPr="00181FF4">
              <w:t xml:space="preserve">Source: </w:t>
            </w:r>
            <w:r w:rsidRPr="00181FF4">
              <w:tab/>
              <w:t>ABS Labour Force Survey.</w:t>
            </w:r>
          </w:p>
          <w:p w14:paraId="0168A82B" w14:textId="46CA8854" w:rsidR="00A05120" w:rsidRPr="00181FF4" w:rsidRDefault="00A05120" w:rsidP="00181FF4">
            <w:pPr>
              <w:pStyle w:val="ChartTableFigureNoteorSource"/>
            </w:pPr>
            <w:r w:rsidRPr="00181FF4">
              <w:t>Note:</w:t>
            </w:r>
            <w:r w:rsidR="00ED0F00" w:rsidRPr="00181FF4">
              <w:t xml:space="preserve"> </w:t>
            </w:r>
            <w:r w:rsidR="00181FF4" w:rsidRPr="00181FF4">
              <w:tab/>
            </w:r>
            <w:r w:rsidRPr="00181FF4">
              <w:t xml:space="preserve">Four quarter rolling </w:t>
            </w:r>
            <w:r w:rsidR="00E607D9" w:rsidRPr="00181FF4">
              <w:t>average.</w:t>
            </w:r>
          </w:p>
          <w:p w14:paraId="27082023" w14:textId="31F77B90" w:rsidR="00A05120" w:rsidRPr="00181FF4" w:rsidRDefault="00A05120" w:rsidP="00181FF4">
            <w:pPr>
              <w:pStyle w:val="ChartTableFigureNoteorSource"/>
            </w:pPr>
          </w:p>
        </w:tc>
      </w:tr>
      <w:bookmarkEnd w:id="7"/>
    </w:tbl>
    <w:p w14:paraId="4F027EFE" w14:textId="77777777" w:rsidR="00181FF4" w:rsidRDefault="00181FF4" w:rsidP="00181FF4">
      <w:pPr>
        <w:pStyle w:val="ChartTableFiguresectionline"/>
      </w:pPr>
    </w:p>
    <w:p w14:paraId="2507EA51" w14:textId="4C896C09" w:rsidR="00457058" w:rsidRDefault="00621F33" w:rsidP="00D562D5">
      <w:r w:rsidRPr="00F6617B">
        <w:t>Matching efficiency describes</w:t>
      </w:r>
      <w:r>
        <w:t xml:space="preserve"> the rate at which people seeking work are matched to vacant jobs in a labour market.</w:t>
      </w:r>
      <w:r>
        <w:rPr>
          <w:rStyle w:val="FootnoteReference"/>
        </w:rPr>
        <w:footnoteReference w:id="4"/>
      </w:r>
      <w:r w:rsidR="00A13B4D">
        <w:t xml:space="preserve"> </w:t>
      </w:r>
      <w:r w:rsidRPr="00A13B4D">
        <w:t>Poor matching efficiency</w:t>
      </w:r>
      <w:r w:rsidRPr="00E82576">
        <w:t xml:space="preserve"> </w:t>
      </w:r>
      <w:r>
        <w:t>reflects</w:t>
      </w:r>
      <w:r w:rsidRPr="00E82576">
        <w:t xml:space="preserve"> disconnects between the </w:t>
      </w:r>
      <w:r>
        <w:t xml:space="preserve">preferences, </w:t>
      </w:r>
      <w:r w:rsidRPr="00E82576">
        <w:t>skills and location of potential workers, and the requirements, location</w:t>
      </w:r>
      <w:r>
        <w:t xml:space="preserve">, and renumeration </w:t>
      </w:r>
      <w:r w:rsidRPr="00E82576">
        <w:t>of available jobs</w:t>
      </w:r>
      <w:r>
        <w:t>.</w:t>
      </w:r>
      <w:r w:rsidR="00E76D79">
        <w:t xml:space="preserve"> </w:t>
      </w:r>
      <w:r>
        <w:t>A</w:t>
      </w:r>
      <w:r w:rsidR="00AE453A">
        <w:t> </w:t>
      </w:r>
      <w:r w:rsidRPr="0008605E">
        <w:t>more efficient</w:t>
      </w:r>
      <w:r>
        <w:t xml:space="preserve"> labour market will have lower rates of unemployment for a given level of vacancies. </w:t>
      </w:r>
      <w:r w:rsidRPr="00033AB3">
        <w:t>Improving matching efficiency</w:t>
      </w:r>
      <w:r w:rsidRPr="004F463A">
        <w:t xml:space="preserve"> in </w:t>
      </w:r>
      <w:r>
        <w:t>the labour market lowers the natural rate of unemployment, reduces labour and skills shortages, and increase</w:t>
      </w:r>
      <w:r w:rsidR="003216E6">
        <w:t>s</w:t>
      </w:r>
      <w:r>
        <w:t xml:space="preserve"> potential output.</w:t>
      </w:r>
    </w:p>
    <w:p w14:paraId="10E98FF2" w14:textId="0496B827" w:rsidR="00621F33" w:rsidRDefault="00621F33" w:rsidP="00D562D5">
      <w:r>
        <w:t>While matching efficiency is not directly measured in the economy, it can be estimated from</w:t>
      </w:r>
      <w:r w:rsidR="00DE68B6">
        <w:t xml:space="preserve"> measures of</w:t>
      </w:r>
      <w:r>
        <w:t xml:space="preserve"> job vacancies, job seekers and job finders</w:t>
      </w:r>
      <w:r w:rsidRPr="00F6617B">
        <w:t>.</w:t>
      </w:r>
      <w:r w:rsidR="00E76D79" w:rsidRPr="00F6617B">
        <w:t xml:space="preserve"> </w:t>
      </w:r>
      <w:r w:rsidRPr="00F6617B">
        <w:t>Job vacancies are</w:t>
      </w:r>
      <w:r>
        <w:t xml:space="preserve"> a measure of labour demand. The ABS Job Vacancies series</w:t>
      </w:r>
      <w:r w:rsidRPr="008A7188">
        <w:t xml:space="preserve"> </w:t>
      </w:r>
      <w:r>
        <w:t xml:space="preserve">counts vacancies </w:t>
      </w:r>
      <w:r w:rsidRPr="008A7188">
        <w:t>available for immediate filling</w:t>
      </w:r>
      <w:r>
        <w:t>, and the series is correlated with near</w:t>
      </w:r>
      <w:r w:rsidR="005F5800">
        <w:noBreakHyphen/>
      </w:r>
      <w:r>
        <w:t>term future employment growth. The</w:t>
      </w:r>
      <w:r w:rsidRPr="007F13B5">
        <w:t xml:space="preserve"> vacanc</w:t>
      </w:r>
      <w:r>
        <w:t>y rate</w:t>
      </w:r>
      <w:r w:rsidRPr="007F13B5">
        <w:t xml:space="preserve"> </w:t>
      </w:r>
      <w:r>
        <w:t xml:space="preserve">was the </w:t>
      </w:r>
      <w:r w:rsidRPr="007F13B5">
        <w:t>highest on record</w:t>
      </w:r>
      <w:r>
        <w:t xml:space="preserve"> in 2022, </w:t>
      </w:r>
      <w:r w:rsidR="00772A5C">
        <w:t xml:space="preserve">almost </w:t>
      </w:r>
      <w:r w:rsidR="002741A8">
        <w:t xml:space="preserve">double </w:t>
      </w:r>
      <w:r>
        <w:t>previous peaks (</w:t>
      </w:r>
      <w:r w:rsidR="007C70D9">
        <w:t>Chart </w:t>
      </w:r>
      <w:r w:rsidR="004F390A">
        <w:t>2</w:t>
      </w:r>
      <w:r w:rsidR="00B3086F">
        <w:t>.1</w:t>
      </w:r>
      <w:r>
        <w:t>).</w:t>
      </w:r>
    </w:p>
    <w:p w14:paraId="4B8E4E54" w14:textId="6B6F12D1" w:rsidR="001134D5" w:rsidRPr="0082405D" w:rsidRDefault="00621F33" w:rsidP="00D562D5">
      <w:r w:rsidRPr="00677841">
        <w:lastRenderedPageBreak/>
        <w:t>Job seekers</w:t>
      </w:r>
      <w:r>
        <w:t xml:space="preserve"> are all people who are seeking work. It is usually measured by the </w:t>
      </w:r>
      <w:r w:rsidRPr="0041042C">
        <w:t>unemployment rate, which is near a historic low (</w:t>
      </w:r>
      <w:r w:rsidR="007C70D9">
        <w:t>Chart </w:t>
      </w:r>
      <w:r w:rsidR="00876DCB">
        <w:t>2</w:t>
      </w:r>
      <w:r w:rsidR="00B3086F">
        <w:t>.1</w:t>
      </w:r>
      <w:r w:rsidRPr="0041042C">
        <w:t xml:space="preserve">). The ratio of vacancies to job seekers in a given period is a measure of </w:t>
      </w:r>
      <w:r w:rsidRPr="00677841">
        <w:t>labour market tightness</w:t>
      </w:r>
      <w:r w:rsidRPr="0041042C">
        <w:t>. A tighter</w:t>
      </w:r>
      <w:r w:rsidRPr="00677841">
        <w:t xml:space="preserve"> </w:t>
      </w:r>
      <w:r w:rsidRPr="0041042C">
        <w:t>labour market indicates</w:t>
      </w:r>
      <w:r w:rsidR="00726C80">
        <w:t xml:space="preserve"> </w:t>
      </w:r>
      <w:r>
        <w:t xml:space="preserve">there are more vacancies for each unemployed person, and a looser labour market means there are more unemployed people for each vacancy. </w:t>
      </w:r>
      <w:r w:rsidR="00E76D79" w:rsidRPr="00677841">
        <w:t xml:space="preserve">Job finders </w:t>
      </w:r>
      <w:r w:rsidR="00E76D79">
        <w:t>are people who have a job in the current period and were seeking a job in the previous period (</w:t>
      </w:r>
      <w:r w:rsidR="007C70D9">
        <w:t>Chart </w:t>
      </w:r>
      <w:r w:rsidR="00876DCB">
        <w:t>2</w:t>
      </w:r>
      <w:r w:rsidR="00E76D79">
        <w:t xml:space="preserve">.2). </w:t>
      </w:r>
    </w:p>
    <w:p w14:paraId="4B718684" w14:textId="323BD778" w:rsidR="00621F33" w:rsidRPr="00AE453A" w:rsidRDefault="00621F33" w:rsidP="005E5F75">
      <w:pPr>
        <w:pStyle w:val="Heading2Numbered"/>
      </w:pPr>
      <w:bookmarkStart w:id="8" w:name="_Toc153452401"/>
      <w:r>
        <w:t>Unemploy</w:t>
      </w:r>
      <w:r w:rsidR="00E3137B">
        <w:t>ed</w:t>
      </w:r>
      <w:r>
        <w:t xml:space="preserve"> matching efficiency</w:t>
      </w:r>
      <w:bookmarkEnd w:id="8"/>
      <w:r>
        <w:t xml:space="preserve"> </w:t>
      </w:r>
    </w:p>
    <w:p w14:paraId="5D425EDA" w14:textId="5B686087" w:rsidR="00621F33" w:rsidRPr="00E65238" w:rsidRDefault="007961E9" w:rsidP="009950F3">
      <w:r>
        <w:t xml:space="preserve">This paper measures </w:t>
      </w:r>
      <w:r w:rsidR="00CC11EA">
        <w:t>m</w:t>
      </w:r>
      <w:r w:rsidR="00F7787B">
        <w:t xml:space="preserve">atching efficiency over time </w:t>
      </w:r>
      <w:r w:rsidR="003F1296">
        <w:t>using</w:t>
      </w:r>
      <w:r w:rsidR="00621F33">
        <w:t xml:space="preserve"> the job finding rate of unemployed people relative to </w:t>
      </w:r>
      <w:r w:rsidR="004009D6">
        <w:t xml:space="preserve">what would </w:t>
      </w:r>
      <w:r w:rsidR="005D524E">
        <w:t xml:space="preserve">have </w:t>
      </w:r>
      <w:r w:rsidR="004009D6">
        <w:t>be</w:t>
      </w:r>
      <w:r w:rsidR="005D524E">
        <w:t>en</w:t>
      </w:r>
      <w:r w:rsidR="004009D6">
        <w:t xml:space="preserve"> expected based</w:t>
      </w:r>
      <w:r w:rsidR="005D524E">
        <w:t xml:space="preserve"> on</w:t>
      </w:r>
      <w:r w:rsidR="003C54B7">
        <w:t xml:space="preserve"> current</w:t>
      </w:r>
      <w:r w:rsidR="00621F33">
        <w:t xml:space="preserve"> labour market tightness (the ratio of vacancies and unemployed</w:t>
      </w:r>
      <w:r w:rsidR="00621F33" w:rsidRPr="003C54B7">
        <w:rPr>
          <w:szCs w:val="22"/>
        </w:rPr>
        <w:t>).</w:t>
      </w:r>
      <w:r w:rsidR="003C54B7" w:rsidRPr="00CF7691">
        <w:rPr>
          <w:szCs w:val="22"/>
        </w:rPr>
        <w:t xml:space="preserve"> </w:t>
      </w:r>
      <w:r w:rsidR="00CA498E">
        <w:rPr>
          <w:szCs w:val="22"/>
        </w:rPr>
        <w:t>If job finding rates are unusually high</w:t>
      </w:r>
      <w:r w:rsidR="00112845">
        <w:rPr>
          <w:szCs w:val="22"/>
        </w:rPr>
        <w:t xml:space="preserve"> </w:t>
      </w:r>
      <w:r w:rsidR="001A31B1">
        <w:rPr>
          <w:szCs w:val="22"/>
        </w:rPr>
        <w:t>(</w:t>
      </w:r>
      <w:r w:rsidR="00112845">
        <w:rPr>
          <w:szCs w:val="22"/>
        </w:rPr>
        <w:t>low</w:t>
      </w:r>
      <w:r w:rsidR="001A31B1">
        <w:rPr>
          <w:szCs w:val="22"/>
        </w:rPr>
        <w:t>)</w:t>
      </w:r>
      <w:r w:rsidR="00CA498E">
        <w:rPr>
          <w:szCs w:val="22"/>
        </w:rPr>
        <w:t xml:space="preserve">, </w:t>
      </w:r>
      <w:r w:rsidR="00112845">
        <w:rPr>
          <w:szCs w:val="22"/>
        </w:rPr>
        <w:t xml:space="preserve">matching efficiency </w:t>
      </w:r>
      <w:r w:rsidR="00E413AF">
        <w:rPr>
          <w:szCs w:val="22"/>
        </w:rPr>
        <w:t xml:space="preserve">is considered </w:t>
      </w:r>
      <w:r w:rsidR="00112845">
        <w:rPr>
          <w:szCs w:val="22"/>
        </w:rPr>
        <w:t xml:space="preserve">to be similarly high </w:t>
      </w:r>
      <w:r w:rsidR="001A31B1">
        <w:rPr>
          <w:szCs w:val="22"/>
        </w:rPr>
        <w:t>(</w:t>
      </w:r>
      <w:r w:rsidR="00112845">
        <w:rPr>
          <w:szCs w:val="22"/>
        </w:rPr>
        <w:t>low</w:t>
      </w:r>
      <w:r w:rsidR="001A31B1">
        <w:rPr>
          <w:szCs w:val="22"/>
        </w:rPr>
        <w:t>)</w:t>
      </w:r>
      <w:r w:rsidR="00112845">
        <w:rPr>
          <w:szCs w:val="22"/>
        </w:rPr>
        <w:t xml:space="preserve">. </w:t>
      </w:r>
      <w:r w:rsidR="004B41B6">
        <w:rPr>
          <w:szCs w:val="22"/>
        </w:rPr>
        <w:t>This approach follows</w:t>
      </w:r>
      <w:r w:rsidR="003C54B7" w:rsidRPr="00CF7691">
        <w:rPr>
          <w:szCs w:val="22"/>
        </w:rPr>
        <w:t xml:space="preserve"> Consolo and </w:t>
      </w:r>
      <w:r w:rsidR="00CB0CA1">
        <w:rPr>
          <w:szCs w:val="22"/>
        </w:rPr>
        <w:t>de Silva</w:t>
      </w:r>
      <w:r w:rsidR="003C54B7" w:rsidRPr="00CF7691">
        <w:rPr>
          <w:szCs w:val="22"/>
        </w:rPr>
        <w:t xml:space="preserve"> (</w:t>
      </w:r>
      <w:hyperlink r:id="rId15" w:history="1">
        <w:r w:rsidR="003C54B7" w:rsidRPr="00CF7691">
          <w:rPr>
            <w:rStyle w:val="Hyperlink"/>
            <w:szCs w:val="22"/>
          </w:rPr>
          <w:t>2019</w:t>
        </w:r>
      </w:hyperlink>
      <w:r w:rsidR="003C54B7" w:rsidRPr="00CF7691">
        <w:rPr>
          <w:szCs w:val="22"/>
        </w:rPr>
        <w:t>), which is explored in more detail in Appendix A.</w:t>
      </w:r>
    </w:p>
    <w:p w14:paraId="755C3288" w14:textId="77EC5B5C" w:rsidR="005E0583" w:rsidRDefault="00621F33" w:rsidP="009950F3">
      <w:r>
        <w:t xml:space="preserve">Matching efficiency of </w:t>
      </w:r>
      <w:r w:rsidRPr="00025E91">
        <w:t xml:space="preserve">unemployed </w:t>
      </w:r>
      <w:r w:rsidRPr="003858EF">
        <w:rPr>
          <w:color w:val="2C384A" w:themeColor="accent1"/>
        </w:rPr>
        <w:t>job seekers</w:t>
      </w:r>
      <w:r>
        <w:t xml:space="preserve"> was </w:t>
      </w:r>
      <w:r w:rsidRPr="00FC2001">
        <w:t>high in the pre</w:t>
      </w:r>
      <w:r w:rsidR="005F5800">
        <w:noBreakHyphen/>
      </w:r>
      <w:r w:rsidRPr="00FC2001">
        <w:t>GFC period between 2004</w:t>
      </w:r>
      <w:r w:rsidR="002729F1">
        <w:rPr>
          <w:rFonts w:cs="Calibri"/>
        </w:rPr>
        <w:t xml:space="preserve"> and </w:t>
      </w:r>
      <w:r w:rsidRPr="00FC2001">
        <w:t>2009</w:t>
      </w:r>
      <w:r>
        <w:rPr>
          <w:b/>
          <w:bCs/>
        </w:rPr>
        <w:t xml:space="preserve"> </w:t>
      </w:r>
      <w:r>
        <w:t>(</w:t>
      </w:r>
      <w:r w:rsidR="007C70D9">
        <w:t>Chart </w:t>
      </w:r>
      <w:r w:rsidR="00876DCB">
        <w:t>2</w:t>
      </w:r>
      <w:r w:rsidR="009A1720">
        <w:t>.3</w:t>
      </w:r>
      <w:r w:rsidR="005E0583">
        <w:t xml:space="preserve">). </w:t>
      </w:r>
      <w:r>
        <w:t>This period had decreasing unemployment, rising job vacancies, and high job</w:t>
      </w:r>
      <w:r w:rsidR="005F5800">
        <w:noBreakHyphen/>
      </w:r>
      <w:r>
        <w:t>finding rates for short</w:t>
      </w:r>
      <w:r w:rsidR="005F5800">
        <w:noBreakHyphen/>
      </w:r>
      <w:r>
        <w:t>term unemployed.</w:t>
      </w:r>
      <w:r w:rsidR="005E0583">
        <w:t xml:space="preserve"> </w:t>
      </w:r>
      <w:r>
        <w:t>Job</w:t>
      </w:r>
      <w:r w:rsidR="005F5800">
        <w:noBreakHyphen/>
      </w:r>
      <w:r>
        <w:t>finding rates were 1</w:t>
      </w:r>
      <w:r>
        <w:rPr>
          <w:rFonts w:cs="Calibri"/>
        </w:rPr>
        <w:t>–</w:t>
      </w:r>
      <w:r>
        <w:t>3 percentage points higher than expected for the level of labour market tightness.</w:t>
      </w:r>
      <w:r w:rsidR="005E0583">
        <w:t xml:space="preserve"> This period saw lower numbers of long</w:t>
      </w:r>
      <w:r w:rsidR="005F5800">
        <w:noBreakHyphen/>
      </w:r>
      <w:r w:rsidR="005E0583">
        <w:t>term unemployed, who tend to have about half the job finding probability of short</w:t>
      </w:r>
      <w:r w:rsidR="005F5800">
        <w:noBreakHyphen/>
      </w:r>
      <w:r w:rsidR="005E0583">
        <w:t>term unemployed (</w:t>
      </w:r>
      <w:r w:rsidR="007C70D9">
        <w:t>Chart </w:t>
      </w:r>
      <w:r w:rsidR="00876DCB">
        <w:t>2</w:t>
      </w:r>
      <w:r w:rsidR="005E0583">
        <w:t>.4).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20" w:firstRow="1" w:lastRow="0" w:firstColumn="0" w:lastColumn="0" w:noHBand="0" w:noVBand="0"/>
      </w:tblPr>
      <w:tblGrid>
        <w:gridCol w:w="4535"/>
        <w:gridCol w:w="4535"/>
      </w:tblGrid>
      <w:tr w:rsidR="00BC79FF" w14:paraId="144232AC" w14:textId="77777777" w:rsidTr="00AF45BA">
        <w:trPr>
          <w:trHeight w:val="274"/>
          <w:tblHeader/>
        </w:trPr>
        <w:tc>
          <w:tcPr>
            <w:tcW w:w="2500" w:type="pct"/>
            <w:shd w:val="clear" w:color="auto" w:fill="auto"/>
          </w:tcPr>
          <w:p w14:paraId="19E03D83" w14:textId="77777777" w:rsidR="00BC79FF" w:rsidRPr="009950F3" w:rsidRDefault="00BC79FF" w:rsidP="00AF45BA">
            <w:pPr>
              <w:pStyle w:val="ChartMainHeading"/>
            </w:pPr>
            <w:r w:rsidRPr="009950F3">
              <w:t>Matching efficiency</w:t>
            </w:r>
          </w:p>
          <w:p w14:paraId="4AA48735" w14:textId="77398952" w:rsidR="00BC79FF" w:rsidRDefault="00BC79FF" w:rsidP="00AF45BA">
            <w:pPr>
              <w:pStyle w:val="ChartSecondHeading"/>
            </w:pPr>
            <w:r>
              <w:t>Matching efficiency relative to long</w:t>
            </w:r>
            <w:r w:rsidR="005F5800">
              <w:noBreakHyphen/>
            </w:r>
            <w:r>
              <w:t xml:space="preserve">run </w:t>
            </w:r>
            <w:r w:rsidRPr="00E65238">
              <w:t>average</w:t>
            </w:r>
          </w:p>
        </w:tc>
        <w:tc>
          <w:tcPr>
            <w:tcW w:w="2500" w:type="pct"/>
            <w:shd w:val="clear" w:color="auto" w:fill="auto"/>
          </w:tcPr>
          <w:p w14:paraId="24E3D412" w14:textId="77777777" w:rsidR="00BC79FF" w:rsidRDefault="00BC79FF" w:rsidP="00AF45BA">
            <w:pPr>
              <w:pStyle w:val="ChartMainHeading"/>
            </w:pPr>
            <w:r>
              <w:t xml:space="preserve">Job </w:t>
            </w:r>
            <w:r w:rsidRPr="00720327">
              <w:t>finding</w:t>
            </w:r>
            <w:r>
              <w:t xml:space="preserve"> probability</w:t>
            </w:r>
          </w:p>
          <w:p w14:paraId="534B8BE2" w14:textId="77777777" w:rsidR="00BC79FF" w:rsidRPr="000C1E6C" w:rsidRDefault="00BC79FF" w:rsidP="000C1E6C">
            <w:pPr>
              <w:pStyle w:val="ChartSecondHeading"/>
              <w:rPr>
                <w:spacing w:val="-2"/>
              </w:rPr>
            </w:pPr>
            <w:r w:rsidRPr="000C1E6C">
              <w:rPr>
                <w:spacing w:val="-2"/>
              </w:rPr>
              <w:t>Share unemployed who find work in the next month</w:t>
            </w:r>
          </w:p>
        </w:tc>
      </w:tr>
      <w:tr w:rsidR="00BC79FF" w:rsidRPr="00720327" w14:paraId="4F09BAC0" w14:textId="77777777" w:rsidTr="00AF45BA">
        <w:trPr>
          <w:trHeight w:val="686"/>
        </w:trPr>
        <w:tc>
          <w:tcPr>
            <w:tcW w:w="2500" w:type="pct"/>
          </w:tcPr>
          <w:p w14:paraId="4A9EB498" w14:textId="6A5AED41" w:rsidR="00BC79FF" w:rsidRPr="00720327" w:rsidRDefault="00922D17" w:rsidP="00AF45BA">
            <w:pPr>
              <w:pStyle w:val="ChartGraphic"/>
            </w:pPr>
            <w:r w:rsidRPr="00720327">
              <w:rPr>
                <w:noProof/>
              </w:rPr>
              <w:drawing>
                <wp:inline distT="0" distB="0" distL="0" distR="0" wp14:anchorId="5FE7811F" wp14:editId="42C94EE9">
                  <wp:extent cx="2962910" cy="2334895"/>
                  <wp:effectExtent l="0" t="0" r="0" b="8255"/>
                  <wp:docPr id="7" name="Picture 7" descr="A bar chart showing matching efficiency, which was between 1 and 3 per cent between 2004 and 2008, then was persistently negative between -1 and -3 per cent from 2009 to 2020. Since 2020, the level has fluctuated from positive to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matching efficiency, which was between 1 and 3 per cent between 2004 and 2008, then was persistently negative between -1 and -3 per cent from 2009 to 2020. Since 2020, the level has fluctuated from positive to negat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2334895"/>
                          </a:xfrm>
                          <a:prstGeom prst="rect">
                            <a:avLst/>
                          </a:prstGeom>
                          <a:noFill/>
                        </pic:spPr>
                      </pic:pic>
                    </a:graphicData>
                  </a:graphic>
                </wp:inline>
              </w:drawing>
            </w:r>
          </w:p>
        </w:tc>
        <w:tc>
          <w:tcPr>
            <w:tcW w:w="2500" w:type="pct"/>
          </w:tcPr>
          <w:p w14:paraId="45830954" w14:textId="7EFF52FB" w:rsidR="00BC79FF" w:rsidRPr="00720327" w:rsidRDefault="00922D17" w:rsidP="00AF45BA">
            <w:pPr>
              <w:pStyle w:val="ChartGraphic"/>
            </w:pPr>
            <w:r w:rsidRPr="00720327">
              <w:rPr>
                <w:noProof/>
              </w:rPr>
              <w:drawing>
                <wp:inline distT="0" distB="0" distL="0" distR="0" wp14:anchorId="6BDB1E57" wp14:editId="1F2B1E5D">
                  <wp:extent cx="2938780" cy="2329180"/>
                  <wp:effectExtent l="0" t="0" r="0" b="0"/>
                  <wp:docPr id="8" name="Picture 8" descr="A line chart with showing job finding probabilities of three groups between 2004 and 2023. Job finding probability of long-term unemployed people sits between 5 and 10 per cent over the series. It is higher for short-term unemployed, between 15 and 25 per cent, and higher still for very short-term unemployed, between 27 and 40 per cent. All series hit their peaks in mi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ne chart with showing job finding probabilities of three groups between 2004 and 2023. Job finding probability of long-term unemployed people sits between 5 and 10 per cent over the series. It is higher for short-term unemployed, between 15 and 25 per cent, and higher still for very short-term unemployed, between 27 and 40 per cent. All series hit their peaks in mid 2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780" cy="2329180"/>
                          </a:xfrm>
                          <a:prstGeom prst="rect">
                            <a:avLst/>
                          </a:prstGeom>
                          <a:noFill/>
                        </pic:spPr>
                      </pic:pic>
                    </a:graphicData>
                  </a:graphic>
                </wp:inline>
              </w:drawing>
            </w:r>
          </w:p>
        </w:tc>
      </w:tr>
      <w:tr w:rsidR="00BC79FF" w:rsidRPr="00AF45BA" w14:paraId="66247F83" w14:textId="77777777" w:rsidTr="00AF45BA">
        <w:trPr>
          <w:trHeight w:val="686"/>
        </w:trPr>
        <w:tc>
          <w:tcPr>
            <w:tcW w:w="2500" w:type="pct"/>
          </w:tcPr>
          <w:p w14:paraId="7524D8CE" w14:textId="63F30253" w:rsidR="00C82DF0" w:rsidRDefault="00C82DF0" w:rsidP="00AF45BA">
            <w:pPr>
              <w:pStyle w:val="ChartTableFigureNoteorSource"/>
            </w:pPr>
            <w:r w:rsidRPr="00AF45BA">
              <w:t xml:space="preserve">Source: </w:t>
            </w:r>
            <w:r w:rsidRPr="00AF45BA">
              <w:tab/>
              <w:t>Treasury analysis, see Appendix A.</w:t>
            </w:r>
          </w:p>
          <w:p w14:paraId="434E2C6B" w14:textId="0F240D74" w:rsidR="00BC79FF" w:rsidRPr="00AF45BA" w:rsidRDefault="00BC79FF" w:rsidP="00AF45BA">
            <w:pPr>
              <w:pStyle w:val="ChartTableFigureNoteorSource"/>
            </w:pPr>
            <w:r w:rsidRPr="00AF45BA">
              <w:t xml:space="preserve">Note: </w:t>
            </w:r>
            <w:r w:rsidR="00720327" w:rsidRPr="00AF45BA">
              <w:tab/>
            </w:r>
            <w:r w:rsidRPr="00AF45BA">
              <w:t>Four</w:t>
            </w:r>
            <w:r w:rsidR="00F722AD">
              <w:t xml:space="preserve"> </w:t>
            </w:r>
            <w:r w:rsidRPr="00AF45BA">
              <w:t xml:space="preserve">quarter average. </w:t>
            </w:r>
          </w:p>
          <w:p w14:paraId="290AE874" w14:textId="0AC6AEB5" w:rsidR="00BC79FF" w:rsidRPr="00AF45BA" w:rsidRDefault="00BC79FF" w:rsidP="00AF45BA">
            <w:pPr>
              <w:pStyle w:val="ChartTableFigureNoteorSource"/>
            </w:pPr>
          </w:p>
        </w:tc>
        <w:tc>
          <w:tcPr>
            <w:tcW w:w="2500" w:type="pct"/>
          </w:tcPr>
          <w:p w14:paraId="36703A40" w14:textId="77777777" w:rsidR="00BC79FF" w:rsidRDefault="00BC79FF" w:rsidP="00AF45BA">
            <w:pPr>
              <w:pStyle w:val="ChartTableFigureNoteorSource"/>
            </w:pPr>
            <w:r w:rsidRPr="00AF45BA">
              <w:t xml:space="preserve">Source: </w:t>
            </w:r>
            <w:r w:rsidR="00720327" w:rsidRPr="00AF45BA">
              <w:tab/>
            </w:r>
            <w:r w:rsidRPr="00AF45BA">
              <w:t>Treasury analysis of ABS Labour Force microdata.</w:t>
            </w:r>
          </w:p>
          <w:p w14:paraId="4D558D8F" w14:textId="3F021D8B" w:rsidR="00C82DF0" w:rsidRPr="00C82DF0" w:rsidRDefault="00C82DF0" w:rsidP="00C82DF0">
            <w:pPr>
              <w:pStyle w:val="ChartTableFigureNoteorSource"/>
            </w:pPr>
            <w:r w:rsidRPr="00AF45BA">
              <w:t xml:space="preserve">Note: </w:t>
            </w:r>
            <w:r w:rsidRPr="00AF45BA">
              <w:tab/>
              <w:t>Four</w:t>
            </w:r>
            <w:r>
              <w:t xml:space="preserve"> </w:t>
            </w:r>
            <w:r w:rsidRPr="00AF45BA">
              <w:t>quarter average. Very short</w:t>
            </w:r>
            <w:r>
              <w:noBreakHyphen/>
            </w:r>
            <w:r w:rsidRPr="00AF45BA">
              <w:t>term unemployed is less than 4 weeks; short is 1</w:t>
            </w:r>
            <w:r>
              <w:t>‍</w:t>
            </w:r>
            <w:r w:rsidRPr="00AF45BA">
              <w:t>–</w:t>
            </w:r>
            <w:r>
              <w:t>‍</w:t>
            </w:r>
            <w:r w:rsidRPr="00AF45BA">
              <w:t>12</w:t>
            </w:r>
            <w:r>
              <w:t> month</w:t>
            </w:r>
            <w:r w:rsidRPr="00AF45BA">
              <w:t>s; long</w:t>
            </w:r>
            <w:r>
              <w:noBreakHyphen/>
            </w:r>
            <w:r w:rsidRPr="00AF45BA">
              <w:t>term is &gt;12</w:t>
            </w:r>
            <w:r>
              <w:t> month</w:t>
            </w:r>
            <w:r w:rsidRPr="00AF45BA">
              <w:t xml:space="preserve">s. </w:t>
            </w:r>
          </w:p>
        </w:tc>
      </w:tr>
    </w:tbl>
    <w:p w14:paraId="4BF442E8" w14:textId="77777777" w:rsidR="00AF45BA" w:rsidRDefault="00AF45BA" w:rsidP="00AF45BA">
      <w:pPr>
        <w:pStyle w:val="ChartTableFiguresectionline"/>
      </w:pPr>
    </w:p>
    <w:p w14:paraId="560B5B52" w14:textId="4A2E21EF" w:rsidR="00621F33" w:rsidRDefault="005E0583" w:rsidP="00A32D69">
      <w:r w:rsidRPr="00440BAC">
        <w:t>Matching efficiency</w:t>
      </w:r>
      <w:r>
        <w:t xml:space="preserve"> was low between </w:t>
      </w:r>
      <w:r w:rsidRPr="004D2ADA">
        <w:t>20</w:t>
      </w:r>
      <w:r>
        <w:t>10</w:t>
      </w:r>
      <w:r w:rsidR="002729F1">
        <w:t xml:space="preserve"> and </w:t>
      </w:r>
      <w:r>
        <w:t xml:space="preserve">2019. Labour market tightness had a partial rebound after </w:t>
      </w:r>
      <w:r w:rsidR="000516D3">
        <w:t xml:space="preserve">falling in </w:t>
      </w:r>
      <w:r>
        <w:t>2009, but job finding rates remained below pre</w:t>
      </w:r>
      <w:r w:rsidR="005F5800">
        <w:noBreakHyphen/>
      </w:r>
      <w:r>
        <w:t>GFC peaks across all unemployment groups. Despite increasing labour market tightness from 2015, job</w:t>
      </w:r>
      <w:r w:rsidR="005F5800">
        <w:noBreakHyphen/>
      </w:r>
      <w:r>
        <w:t xml:space="preserve">finding probabilities remained </w:t>
      </w:r>
      <w:r w:rsidR="002914C6">
        <w:t xml:space="preserve">relatively </w:t>
      </w:r>
      <w:r>
        <w:t>low. This was driven by lower job</w:t>
      </w:r>
      <w:r w:rsidR="005F5800">
        <w:noBreakHyphen/>
      </w:r>
      <w:r>
        <w:t>finding rates of long</w:t>
      </w:r>
      <w:r w:rsidR="005F5800">
        <w:noBreakHyphen/>
      </w:r>
      <w:r>
        <w:t>term unemployed, which made up a</w:t>
      </w:r>
      <w:r w:rsidR="000C1E6C">
        <w:t> </w:t>
      </w:r>
      <w:r>
        <w:t>larger share of the unemployed pool.</w:t>
      </w:r>
      <w:r w:rsidR="00872698">
        <w:t xml:space="preserve"> </w:t>
      </w:r>
      <w:r w:rsidRPr="009F666D">
        <w:t>Matching efficiency has been</w:t>
      </w:r>
      <w:r>
        <w:t xml:space="preserve"> improving</w:t>
      </w:r>
      <w:r w:rsidRPr="00292C70">
        <w:t xml:space="preserve"> since 20</w:t>
      </w:r>
      <w:r>
        <w:t xml:space="preserve">19. </w:t>
      </w:r>
      <w:r>
        <w:lastRenderedPageBreak/>
        <w:t>Matching</w:t>
      </w:r>
      <w:r w:rsidR="000C1E6C">
        <w:t> </w:t>
      </w:r>
      <w:r>
        <w:t>efficiency started improving before the onset of the pandemic. Irregular labour market conditions during 2020 caused measured matching efficiency to be unstable. A tight labour market in the recovery from the pandemic has been matched by rising job</w:t>
      </w:r>
      <w:r w:rsidR="005F5800">
        <w:noBreakHyphen/>
      </w:r>
      <w:r>
        <w:t xml:space="preserve">finding rates for unemployed people. </w:t>
      </w:r>
      <w:r w:rsidR="006C15A0" w:rsidRPr="006C15A0">
        <w:t xml:space="preserve">Unemployed people were more likely to find work in 2022 </w:t>
      </w:r>
      <w:r w:rsidR="00DD1A9B">
        <w:t xml:space="preserve">than at any point </w:t>
      </w:r>
      <w:r w:rsidR="006C15A0" w:rsidRPr="006C15A0">
        <w:t xml:space="preserve">since data began in 2004. This was true for short, </w:t>
      </w:r>
      <w:r w:rsidR="00926BC4" w:rsidRPr="006C15A0">
        <w:t>long,</w:t>
      </w:r>
      <w:r w:rsidR="006C15A0" w:rsidRPr="006C15A0">
        <w:t xml:space="preserve"> and very </w:t>
      </w:r>
      <w:r w:rsidR="00C072B6" w:rsidRPr="006C15A0">
        <w:t>long-term</w:t>
      </w:r>
      <w:r w:rsidR="006C15A0" w:rsidRPr="006C15A0">
        <w:t xml:space="preserve"> unemployed people</w:t>
      </w:r>
      <w:r w:rsidR="00DD1A9B">
        <w:t>.</w:t>
      </w:r>
    </w:p>
    <w:p w14:paraId="1E2972C2" w14:textId="25FD7580" w:rsidR="00621F33" w:rsidRPr="009950F3" w:rsidRDefault="0080425A" w:rsidP="005E5F75">
      <w:pPr>
        <w:pStyle w:val="Heading2Numbered"/>
      </w:pPr>
      <w:bookmarkStart w:id="9" w:name="_Toc153452402"/>
      <w:r w:rsidRPr="009950F3">
        <w:t xml:space="preserve">Matching trends </w:t>
      </w:r>
      <w:r w:rsidR="00621F33" w:rsidRPr="009950F3">
        <w:t>are clearer when more job seekers are considered</w:t>
      </w:r>
      <w:bookmarkEnd w:id="9"/>
    </w:p>
    <w:p w14:paraId="04307FB8" w14:textId="04EDB612" w:rsidR="00621F33" w:rsidRDefault="00621F33" w:rsidP="009950F3">
      <w:r>
        <w:t>People classified as unemployed are not the only people who seek and find work.</w:t>
      </w:r>
      <w:r>
        <w:rPr>
          <w:rStyle w:val="FootnoteReference"/>
        </w:rPr>
        <w:footnoteReference w:id="5"/>
      </w:r>
      <w:r>
        <w:t xml:space="preserve"> In addition to unemployed job seekers, there are job seekers </w:t>
      </w:r>
      <w:r w:rsidR="00811969">
        <w:t xml:space="preserve">who are </w:t>
      </w:r>
      <w:r>
        <w:t>not in the labour force</w:t>
      </w:r>
      <w:r w:rsidR="000969BC">
        <w:t xml:space="preserve"> (NILF</w:t>
      </w:r>
      <w:r w:rsidR="00067409">
        <w:t xml:space="preserve">). These are people </w:t>
      </w:r>
      <w:r w:rsidR="002E7ED0">
        <w:t xml:space="preserve">who are </w:t>
      </w:r>
      <w:r>
        <w:t>not classified as unemployed but can be actively, passively, or not seeking employment when previously surveyed. These NILF sub</w:t>
      </w:r>
      <w:r w:rsidR="005F5800">
        <w:noBreakHyphen/>
      </w:r>
      <w:r>
        <w:t>groups are identified using ABS Labour Force microdata</w:t>
      </w:r>
      <w:r w:rsidR="0080425A">
        <w:t xml:space="preserve"> (see Appendix A)</w:t>
      </w:r>
      <w:r>
        <w:t>.</w:t>
      </w:r>
    </w:p>
    <w:p w14:paraId="0D2AD303" w14:textId="5E7859E5" w:rsidR="008232A3" w:rsidRDefault="00B61039" w:rsidP="009950F3">
      <w:r>
        <w:t xml:space="preserve">The first extension </w:t>
      </w:r>
      <w:r w:rsidR="00CC202A">
        <w:t>expands</w:t>
      </w:r>
      <w:r w:rsidR="00621F33">
        <w:t xml:space="preserve"> the scope of job seekers to </w:t>
      </w:r>
      <w:r w:rsidR="00621F33" w:rsidRPr="00DB5CBB">
        <w:t>include all non</w:t>
      </w:r>
      <w:r w:rsidR="005F5800">
        <w:noBreakHyphen/>
      </w:r>
      <w:r w:rsidR="00621F33" w:rsidRPr="00DB5CBB">
        <w:t>working job seekers</w:t>
      </w:r>
      <w:r w:rsidR="00621F33">
        <w:t xml:space="preserve"> (</w:t>
      </w:r>
      <w:r w:rsidR="007C70D9">
        <w:t>Chart </w:t>
      </w:r>
      <w:r w:rsidR="00F62C23">
        <w:t>2</w:t>
      </w:r>
      <w:r w:rsidR="00E76D79">
        <w:t>.5</w:t>
      </w:r>
      <w:r w:rsidR="00621F33">
        <w:t>)</w:t>
      </w:r>
      <w:r>
        <w:t xml:space="preserve">. </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521"/>
        <w:gridCol w:w="4522"/>
      </w:tblGrid>
      <w:tr w:rsidR="002E3A90" w14:paraId="5FC27FD7" w14:textId="77777777" w:rsidTr="000C1E6C">
        <w:trPr>
          <w:trHeight w:val="20"/>
          <w:tblHeader/>
        </w:trPr>
        <w:tc>
          <w:tcPr>
            <w:tcW w:w="4521" w:type="dxa"/>
            <w:shd w:val="clear" w:color="auto" w:fill="FFFFFF" w:themeFill="background1"/>
          </w:tcPr>
          <w:p w14:paraId="442D7354" w14:textId="6A1015B4" w:rsidR="002E3A90" w:rsidRDefault="002E3A90" w:rsidP="00BE25E0">
            <w:pPr>
              <w:pStyle w:val="ChartMainHeading"/>
            </w:pPr>
            <w:r>
              <w:t xml:space="preserve">Matching </w:t>
            </w:r>
            <w:r w:rsidRPr="00BE25E0">
              <w:t>efficiency</w:t>
            </w:r>
            <w:r>
              <w:t xml:space="preserve"> with non</w:t>
            </w:r>
            <w:r w:rsidR="005F5800">
              <w:noBreakHyphen/>
            </w:r>
            <w:r>
              <w:t>working job seekers</w:t>
            </w:r>
          </w:p>
          <w:p w14:paraId="1EAE2E4A" w14:textId="36A70313" w:rsidR="002E3A90" w:rsidRPr="00C6347D" w:rsidRDefault="002E3A90" w:rsidP="002E3A90">
            <w:pPr>
              <w:pStyle w:val="ChartSecondHeading"/>
              <w:keepNext w:val="0"/>
              <w:widowControl w:val="0"/>
            </w:pPr>
            <w:r>
              <w:t xml:space="preserve">Matching efficiency relative to </w:t>
            </w:r>
            <w:r w:rsidRPr="00D135C6">
              <w:t>long</w:t>
            </w:r>
            <w:r w:rsidR="005F5800">
              <w:noBreakHyphen/>
            </w:r>
            <w:r>
              <w:t>run average</w:t>
            </w:r>
          </w:p>
        </w:tc>
        <w:tc>
          <w:tcPr>
            <w:tcW w:w="4522" w:type="dxa"/>
            <w:shd w:val="clear" w:color="auto" w:fill="FFFFFF" w:themeFill="background1"/>
          </w:tcPr>
          <w:p w14:paraId="1B329F62" w14:textId="36EEBB25" w:rsidR="002E3A90" w:rsidRDefault="002E3A90" w:rsidP="00BE25E0">
            <w:pPr>
              <w:pStyle w:val="ChartMainHeading"/>
            </w:pPr>
            <w:r w:rsidRPr="00BE25E0">
              <w:t>Matching</w:t>
            </w:r>
            <w:r>
              <w:t xml:space="preserve"> efficiency with all job</w:t>
            </w:r>
            <w:r w:rsidR="000C1E6C">
              <w:t> </w:t>
            </w:r>
            <w:r>
              <w:t>seekers</w:t>
            </w:r>
          </w:p>
          <w:p w14:paraId="0019258F" w14:textId="38116AA7" w:rsidR="002E3A90" w:rsidRPr="000803B8" w:rsidRDefault="002E3A90" w:rsidP="009950F3">
            <w:pPr>
              <w:pStyle w:val="ChartSecondHeading"/>
            </w:pPr>
            <w:r>
              <w:t>Matching efficiency relative to long</w:t>
            </w:r>
            <w:r w:rsidR="005F5800">
              <w:noBreakHyphen/>
            </w:r>
            <w:r>
              <w:t>run average</w:t>
            </w:r>
          </w:p>
        </w:tc>
      </w:tr>
      <w:tr w:rsidR="002E3A90" w14:paraId="5353B5E8" w14:textId="77777777" w:rsidTr="000C1E6C">
        <w:trPr>
          <w:trHeight w:val="20"/>
          <w:tblHeader/>
        </w:trPr>
        <w:tc>
          <w:tcPr>
            <w:tcW w:w="4521" w:type="dxa"/>
            <w:shd w:val="clear" w:color="auto" w:fill="FFFFFF" w:themeFill="background1"/>
          </w:tcPr>
          <w:p w14:paraId="43AF5158" w14:textId="31F5B652" w:rsidR="002E3A90" w:rsidRPr="00C6347D" w:rsidRDefault="00922D17" w:rsidP="002E3A90">
            <w:pPr>
              <w:pStyle w:val="ChartGraphic"/>
              <w:keepNext w:val="0"/>
              <w:widowControl w:val="0"/>
            </w:pPr>
            <w:r>
              <w:rPr>
                <w:noProof/>
              </w:rPr>
              <w:drawing>
                <wp:inline distT="0" distB="0" distL="0" distR="0" wp14:anchorId="4F44A9C8" wp14:editId="1FD9C702">
                  <wp:extent cx="2944495" cy="2334895"/>
                  <wp:effectExtent l="0" t="0" r="0" b="8255"/>
                  <wp:docPr id="11" name="Picture 11" descr="A bar chart showing matching efficiency of non-working job seekers. The levels are between 2 and 3 per cent between 2004 and 2008, then are persistently negative between 0 and -2 per cent from 2009 to 2020. Since 2020, the level has fluctuated from negative in 2021 to positiv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matching efficiency of non-working job seekers. The levels are between 2 and 3 per cent between 2004 and 2008, then are persistently negative between 0 and -2 per cent from 2009 to 2020. Since 2020, the level has fluctuated from negative in 2021 to positive in 2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4495" cy="2334895"/>
                          </a:xfrm>
                          <a:prstGeom prst="rect">
                            <a:avLst/>
                          </a:prstGeom>
                          <a:noFill/>
                        </pic:spPr>
                      </pic:pic>
                    </a:graphicData>
                  </a:graphic>
                </wp:inline>
              </w:drawing>
            </w:r>
          </w:p>
        </w:tc>
        <w:tc>
          <w:tcPr>
            <w:tcW w:w="4522" w:type="dxa"/>
            <w:shd w:val="clear" w:color="auto" w:fill="FFFFFF" w:themeFill="background1"/>
          </w:tcPr>
          <w:p w14:paraId="37D07636" w14:textId="699A351F" w:rsidR="002E3A90" w:rsidRPr="00153842" w:rsidRDefault="00480AE3" w:rsidP="002E3A90">
            <w:pPr>
              <w:pStyle w:val="ChartGraphic"/>
              <w:keepNext w:val="0"/>
              <w:widowControl w:val="0"/>
            </w:pPr>
            <w:r>
              <w:rPr>
                <w:noProof/>
              </w:rPr>
              <w:drawing>
                <wp:inline distT="0" distB="0" distL="0" distR="0" wp14:anchorId="79825A07" wp14:editId="6EF7F98C">
                  <wp:extent cx="2889885" cy="2334895"/>
                  <wp:effectExtent l="0" t="0" r="0" b="8255"/>
                  <wp:docPr id="34" name="Picture 34" descr="A bar chart showing matching efficiency of working and non-working job seekers. The levels are between 3 and 6 per cent between 2004 and 2008, then are persistently negative between 0 and -2 per cent from 2009 to 2020. Since 2020, the level has fluctuated from negative in 2021 to positiv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ar chart showing matching efficiency of working and non-working job seekers. The levels are between 3 and 6 per cent between 2004 and 2008, then are persistently negative between 0 and -2 per cent from 2009 to 2020. Since 2020, the level has fluctuated from negative in 2021 to positive in 20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885" cy="2334895"/>
                          </a:xfrm>
                          <a:prstGeom prst="rect">
                            <a:avLst/>
                          </a:prstGeom>
                          <a:noFill/>
                        </pic:spPr>
                      </pic:pic>
                    </a:graphicData>
                  </a:graphic>
                </wp:inline>
              </w:drawing>
            </w:r>
          </w:p>
        </w:tc>
      </w:tr>
      <w:tr w:rsidR="002E3A90" w:rsidRPr="00B90F8F" w14:paraId="05ABDBBF" w14:textId="77777777" w:rsidTr="000C1E6C">
        <w:trPr>
          <w:trHeight w:val="20"/>
          <w:tblHeader/>
        </w:trPr>
        <w:tc>
          <w:tcPr>
            <w:tcW w:w="4521" w:type="dxa"/>
            <w:shd w:val="clear" w:color="auto" w:fill="FFFFFF" w:themeFill="background1"/>
          </w:tcPr>
          <w:p w14:paraId="4D765946" w14:textId="2CCA1504" w:rsidR="002E3A90" w:rsidRPr="00B90F8F" w:rsidRDefault="002E3A90" w:rsidP="00B90F8F">
            <w:pPr>
              <w:pStyle w:val="ChartTableFigureNoteorSource"/>
            </w:pPr>
            <w:r w:rsidRPr="00B90F8F">
              <w:t xml:space="preserve">Source: </w:t>
            </w:r>
            <w:r w:rsidR="00B90F8F">
              <w:tab/>
            </w:r>
            <w:r w:rsidRPr="00B90F8F">
              <w:t>Treasury analysis of ABS Labour Force and ABS Job</w:t>
            </w:r>
            <w:r w:rsidR="00B90F8F">
              <w:t> </w:t>
            </w:r>
            <w:r w:rsidRPr="00B90F8F">
              <w:t>Vacancies. See Appendix A.</w:t>
            </w:r>
          </w:p>
        </w:tc>
        <w:tc>
          <w:tcPr>
            <w:tcW w:w="4522" w:type="dxa"/>
            <w:shd w:val="clear" w:color="auto" w:fill="FFFFFF" w:themeFill="background1"/>
          </w:tcPr>
          <w:p w14:paraId="504BC405" w14:textId="26BE4D53" w:rsidR="002E3A90" w:rsidRPr="00B90F8F" w:rsidRDefault="002E3A90" w:rsidP="00B90F8F">
            <w:pPr>
              <w:pStyle w:val="ChartTableFigureNoteorSource"/>
            </w:pPr>
            <w:r w:rsidRPr="00B90F8F">
              <w:t xml:space="preserve">Source: </w:t>
            </w:r>
            <w:r w:rsidR="00B90F8F">
              <w:tab/>
            </w:r>
            <w:r w:rsidRPr="00B90F8F">
              <w:t>Treasury analysis of ABS Labour Force and ABS Job</w:t>
            </w:r>
            <w:r w:rsidR="000C1E6C">
              <w:t> </w:t>
            </w:r>
            <w:r w:rsidRPr="00B90F8F">
              <w:t>Vacancies. See Appendix A.</w:t>
            </w:r>
          </w:p>
        </w:tc>
      </w:tr>
    </w:tbl>
    <w:p w14:paraId="2D19DF64" w14:textId="77777777" w:rsidR="002E3A90" w:rsidRDefault="002E3A90" w:rsidP="00CC202A">
      <w:pPr>
        <w:pStyle w:val="ChartTableFiguresectionline"/>
      </w:pPr>
    </w:p>
    <w:p w14:paraId="4B979706" w14:textId="0CE8D439" w:rsidR="00621F33" w:rsidRDefault="0066301C" w:rsidP="0066301C">
      <w:pPr>
        <w:widowControl w:val="0"/>
      </w:pPr>
      <w:r>
        <w:t>When including all non</w:t>
      </w:r>
      <w:r w:rsidR="005F5800">
        <w:noBreakHyphen/>
      </w:r>
      <w:r>
        <w:t>working job seekers this</w:t>
      </w:r>
      <w:r w:rsidR="00A11D8A">
        <w:t xml:space="preserve"> analysis</w:t>
      </w:r>
      <w:r w:rsidR="00621F33">
        <w:t xml:space="preserve"> finds </w:t>
      </w:r>
      <w:r w:rsidR="00FA3D10">
        <w:t xml:space="preserve">better </w:t>
      </w:r>
      <w:r w:rsidR="00621F33">
        <w:t>matching efficiency rates between 2009</w:t>
      </w:r>
      <w:r w:rsidR="00621F33">
        <w:rPr>
          <w:rFonts w:cs="Calibri"/>
        </w:rPr>
        <w:t>–</w:t>
      </w:r>
      <w:r w:rsidR="00621F33">
        <w:t>2013</w:t>
      </w:r>
      <w:r w:rsidR="00FA3D10">
        <w:t>, driven by higher rates of NILF job seekers finding employment</w:t>
      </w:r>
      <w:r w:rsidR="00621F33">
        <w:t>.</w:t>
      </w:r>
      <w:r w:rsidR="00E76D79">
        <w:t xml:space="preserve"> </w:t>
      </w:r>
      <w:r w:rsidR="00621F33">
        <w:t>This trend reversed in subsequent years, pushing matching efficiency lower.</w:t>
      </w:r>
    </w:p>
    <w:p w14:paraId="24E76FC9" w14:textId="67D9C3F4" w:rsidR="00E76D79" w:rsidRDefault="00621F33" w:rsidP="00B87DF1">
      <w:r w:rsidRPr="00E76D79">
        <w:lastRenderedPageBreak/>
        <w:t>Employed job seekers</w:t>
      </w:r>
      <w:r w:rsidR="00007DA2">
        <w:t xml:space="preserve"> – </w:t>
      </w:r>
      <w:r>
        <w:t>workers who are looking for their next job</w:t>
      </w:r>
      <w:r w:rsidR="00007DA2">
        <w:t xml:space="preserve"> – </w:t>
      </w:r>
      <w:r>
        <w:t>are also a large source of new matches in the economy and can be identified using ABS Labour Force microdata.</w:t>
      </w:r>
      <w:r w:rsidR="00E76D79">
        <w:t xml:space="preserve"> Adding employed job seekers, the </w:t>
      </w:r>
      <w:r w:rsidR="00E76D79" w:rsidRPr="00BC4124">
        <w:rPr>
          <w:rStyle w:val="Strong"/>
        </w:rPr>
        <w:t>working and non</w:t>
      </w:r>
      <w:r w:rsidR="005F5800">
        <w:rPr>
          <w:rStyle w:val="Strong"/>
        </w:rPr>
        <w:noBreakHyphen/>
      </w:r>
      <w:r w:rsidR="00E76D79" w:rsidRPr="00BC4124">
        <w:rPr>
          <w:rStyle w:val="Strong"/>
        </w:rPr>
        <w:t>working</w:t>
      </w:r>
      <w:r w:rsidR="00E76D79">
        <w:t xml:space="preserve"> matching efficiency rates were stronger before 2010, and weaker between 2010</w:t>
      </w:r>
      <w:r w:rsidR="003E1F89">
        <w:rPr>
          <w:rFonts w:cs="Calibri"/>
        </w:rPr>
        <w:t xml:space="preserve"> and </w:t>
      </w:r>
      <w:r w:rsidR="00E76D79">
        <w:t>2021 (</w:t>
      </w:r>
      <w:r w:rsidR="007C70D9">
        <w:t>Chart </w:t>
      </w:r>
      <w:r w:rsidR="006F3316">
        <w:t>2</w:t>
      </w:r>
      <w:r w:rsidR="00E76D79">
        <w:t>.6). This follows trends in job</w:t>
      </w:r>
      <w:r w:rsidR="005F5800">
        <w:noBreakHyphen/>
      </w:r>
      <w:r w:rsidR="00E76D79">
        <w:t>to</w:t>
      </w:r>
      <w:r w:rsidR="005F5800">
        <w:noBreakHyphen/>
      </w:r>
      <w:r w:rsidR="00E76D79">
        <w:t>job transitions in the labour force, which were high and rising until 2009</w:t>
      </w:r>
      <w:r w:rsidR="003E1F89">
        <w:t>. They then</w:t>
      </w:r>
      <w:r w:rsidR="00E76D79">
        <w:t xml:space="preserve"> </w:t>
      </w:r>
      <w:r w:rsidR="003E1F89">
        <w:t xml:space="preserve">remained </w:t>
      </w:r>
      <w:r w:rsidR="00E76D79">
        <w:t>persistently low until recovering from the end of 2021.</w:t>
      </w:r>
      <w:r w:rsidR="00E76D79">
        <w:rPr>
          <w:rStyle w:val="FootnoteReference"/>
        </w:rPr>
        <w:footnoteReference w:id="6"/>
      </w:r>
    </w:p>
    <w:p w14:paraId="504DEDF1" w14:textId="79808948" w:rsidR="00E607D9" w:rsidRDefault="00E76D79" w:rsidP="00E607D9">
      <w:r>
        <w:t>Trends in matching efficiency are relatively clear.</w:t>
      </w:r>
      <w:r w:rsidR="00732AC4">
        <w:t xml:space="preserve"> </w:t>
      </w:r>
      <w:r w:rsidR="007B738E">
        <w:t>Matching efficiency in the Australian labour market started to improve in 2022 after a decade</w:t>
      </w:r>
      <w:r w:rsidR="007B738E">
        <w:noBreakHyphen/>
        <w:t>long slump from 2008</w:t>
      </w:r>
      <w:r w:rsidR="00A07D7B">
        <w:rPr>
          <w:rFonts w:cs="Calibri"/>
        </w:rPr>
        <w:t>–</w:t>
      </w:r>
      <w:r w:rsidR="007B738E">
        <w:t>2021. This means that unemployed are finding work faster on average, after accounting for the time of year, vacancy rate and unemployment rate, demonstrating that businesses are doing a better job at finding new employees among the available pool of workers.</w:t>
      </w:r>
      <w:r>
        <w:t xml:space="preserve"> Increased matching efficiency has been driven by all job seeker groups</w:t>
      </w:r>
      <w:r w:rsidR="00007DA2">
        <w:t xml:space="preserve"> – </w:t>
      </w:r>
      <w:r>
        <w:t>unemployed, NILF and employed. Two additional components of labour market matching</w:t>
      </w:r>
      <w:r w:rsidR="00007DA2">
        <w:t xml:space="preserve"> – </w:t>
      </w:r>
      <w:r>
        <w:t>skills and geography</w:t>
      </w:r>
      <w:r w:rsidR="00007DA2">
        <w:t xml:space="preserve"> – </w:t>
      </w:r>
      <w:r>
        <w:t xml:space="preserve">will be explored </w:t>
      </w:r>
      <w:r w:rsidR="00773185">
        <w:t xml:space="preserve">in </w:t>
      </w:r>
      <w:r>
        <w:t>following sections.</w:t>
      </w:r>
      <w:bookmarkStart w:id="10" w:name="_Toc153452403"/>
    </w:p>
    <w:p w14:paraId="2B021A6C" w14:textId="77777777" w:rsidR="00F607CA" w:rsidRDefault="00F607CA" w:rsidP="00F607CA"/>
    <w:p w14:paraId="2E2EEE3C" w14:textId="6B158865" w:rsidR="00F607CA" w:rsidRDefault="00F607CA" w:rsidP="00F607CA">
      <w:pPr>
        <w:sectPr w:rsidR="00F607CA" w:rsidSect="00D81ACE">
          <w:pgSz w:w="11906" w:h="16838" w:code="9"/>
          <w:pgMar w:top="1843" w:right="1418" w:bottom="1418" w:left="1418" w:header="709" w:footer="709" w:gutter="0"/>
          <w:cols w:space="708"/>
          <w:docGrid w:linePitch="360"/>
        </w:sectPr>
      </w:pPr>
    </w:p>
    <w:p w14:paraId="229522CE" w14:textId="77D37BAC" w:rsidR="00446FBF" w:rsidRDefault="00446FBF" w:rsidP="00816A77">
      <w:pPr>
        <w:pStyle w:val="Heading1Numbered"/>
      </w:pPr>
      <w:r w:rsidRPr="00446FBF">
        <w:lastRenderedPageBreak/>
        <w:t>Skill</w:t>
      </w:r>
      <w:r w:rsidR="00CF4A29">
        <w:t xml:space="preserve"> </w:t>
      </w:r>
      <w:r w:rsidRPr="00446FBF">
        <w:t xml:space="preserve">level variation in labour market tightness and occupation </w:t>
      </w:r>
      <w:r w:rsidRPr="00816A77">
        <w:t>movements</w:t>
      </w:r>
      <w:bookmarkEnd w:id="10"/>
    </w:p>
    <w:p w14:paraId="7BED339D" w14:textId="178C5181" w:rsidR="005402C5" w:rsidRDefault="005402C5" w:rsidP="00B87DF1">
      <w:r>
        <w:t>Analysis of aggregate levels of labour demand (job vacancies) and labour supply (job seekers) is useful for identifying cyclical trends at the national level. However, the Australian labour market is not a single, homogenous market. For example, a nurse vacancy in Perth is unlikely to be filled by an unemployed construction labourer in Cairns</w:t>
      </w:r>
      <w:r w:rsidR="00FB5C55">
        <w:t xml:space="preserve">, </w:t>
      </w:r>
      <w:r>
        <w:t>and high unemployment rates of construction labourers in Cairns are unlikely to fall by hiring more nurses in Perth.</w:t>
      </w:r>
      <w:r w:rsidR="00AA0396">
        <w:t xml:space="preserve"> This section explores skill level and occupational labour market matching.</w:t>
      </w:r>
    </w:p>
    <w:p w14:paraId="30D670F9" w14:textId="4B882153" w:rsidR="00446FBF" w:rsidRDefault="00446FBF" w:rsidP="005E5F75">
      <w:pPr>
        <w:pStyle w:val="Heading2Numbered"/>
      </w:pPr>
      <w:bookmarkStart w:id="11" w:name="_Toc153452404"/>
      <w:r>
        <w:t>Exploring skilled labour markets within Australia</w:t>
      </w:r>
      <w:bookmarkEnd w:id="11"/>
    </w:p>
    <w:p w14:paraId="2DB8D7AD" w14:textId="3F109511" w:rsidR="00446FBF" w:rsidRPr="009116F3" w:rsidRDefault="00446FBF" w:rsidP="00446FBF">
      <w:r>
        <w:t xml:space="preserve">The identification of specific labour markets can help us understand sources of mismatched supply and demand across skill and geographic lines and inform labour market policy decisions. To explore the labour markets that exist beneath the aggregate </w:t>
      </w:r>
      <w:r w:rsidRPr="009116F3">
        <w:t>requires measuring job vacancies and job seekers along common dimensions</w:t>
      </w:r>
      <w:r>
        <w:t xml:space="preserve">, </w:t>
      </w:r>
      <w:r w:rsidR="0087272C">
        <w:t>when</w:t>
      </w:r>
      <w:r>
        <w:t>:</w:t>
      </w:r>
    </w:p>
    <w:p w14:paraId="519347CD" w14:textId="702F17F3" w:rsidR="00E607D9" w:rsidRPr="00E607D9" w:rsidRDefault="007A2E19" w:rsidP="00816A77">
      <w:pPr>
        <w:pStyle w:val="Bullet"/>
      </w:pPr>
      <w:r w:rsidRPr="00E607D9">
        <w:rPr>
          <w:rStyle w:val="Emphasis"/>
          <w:i w:val="0"/>
          <w:iCs w:val="0"/>
        </w:rPr>
        <w:t>V</w:t>
      </w:r>
      <w:r w:rsidR="00446FBF" w:rsidRPr="00E607D9">
        <w:rPr>
          <w:rStyle w:val="Emphasis"/>
          <w:i w:val="0"/>
          <w:iCs w:val="0"/>
        </w:rPr>
        <w:t xml:space="preserve">acancies </w:t>
      </w:r>
      <w:r w:rsidR="00446FBF" w:rsidRPr="00E607D9">
        <w:t>only have characteristics associated with a particular job, such as an occupation, an industry, a location and an advertised wage</w:t>
      </w:r>
      <w:r w:rsidR="0087272C">
        <w:t>, and</w:t>
      </w:r>
      <w:r w:rsidR="00446FBF" w:rsidRPr="00E607D9">
        <w:t xml:space="preserve"> </w:t>
      </w:r>
    </w:p>
    <w:p w14:paraId="7C35945F" w14:textId="13441259" w:rsidR="00446FBF" w:rsidRPr="00E607D9" w:rsidRDefault="007A2E19" w:rsidP="00816A77">
      <w:pPr>
        <w:pStyle w:val="Bullet"/>
      </w:pPr>
      <w:r w:rsidRPr="00E607D9">
        <w:rPr>
          <w:rStyle w:val="Emphasis"/>
          <w:i w:val="0"/>
          <w:iCs w:val="0"/>
        </w:rPr>
        <w:t>J</w:t>
      </w:r>
      <w:r w:rsidR="00446FBF" w:rsidRPr="00E607D9">
        <w:rPr>
          <w:rStyle w:val="Emphasis"/>
          <w:i w:val="0"/>
          <w:iCs w:val="0"/>
        </w:rPr>
        <w:t>ob seekers</w:t>
      </w:r>
      <w:r w:rsidR="00446FBF" w:rsidRPr="00E607D9">
        <w:t xml:space="preserve"> have characteristics only associated with a person, such as: age, sex, a level and field of education, a location of residence, and</w:t>
      </w:r>
      <w:r w:rsidR="00007DA2">
        <w:t xml:space="preserve"> – </w:t>
      </w:r>
      <w:r w:rsidR="00446FBF" w:rsidRPr="00E607D9">
        <w:t>for those who have been recently employed</w:t>
      </w:r>
      <w:r w:rsidR="00007DA2">
        <w:t xml:space="preserve"> – </w:t>
      </w:r>
      <w:r w:rsidR="00446FBF" w:rsidRPr="00E607D9">
        <w:t>an occupation and industry of their previous job.</w:t>
      </w:r>
    </w:p>
    <w:p w14:paraId="32B5EE31" w14:textId="3507DB8C" w:rsidR="009304AD" w:rsidRDefault="005402C5" w:rsidP="00B87DF1">
      <w:r>
        <w:t xml:space="preserve">This analysis </w:t>
      </w:r>
      <w:r w:rsidR="00446FBF" w:rsidRPr="00793F47">
        <w:t>use</w:t>
      </w:r>
      <w:r>
        <w:t>s</w:t>
      </w:r>
      <w:r w:rsidR="00446FBF" w:rsidRPr="00793F47">
        <w:t xml:space="preserve"> a</w:t>
      </w:r>
      <w:r w:rsidR="00446FBF">
        <w:rPr>
          <w:b/>
          <w:bCs/>
        </w:rPr>
        <w:t xml:space="preserve"> </w:t>
      </w:r>
      <w:r w:rsidR="00446FBF" w:rsidRPr="005402C5">
        <w:t>job vacancy</w:t>
      </w:r>
      <w:r w:rsidR="005F5800">
        <w:t>’</w:t>
      </w:r>
      <w:r w:rsidR="00446FBF" w:rsidRPr="005402C5">
        <w:t>s occupation and individual job seeker education level and previous occupation to explore labour supply, demand</w:t>
      </w:r>
      <w:r>
        <w:t>,</w:t>
      </w:r>
      <w:r w:rsidR="00446FBF" w:rsidRPr="005402C5">
        <w:t xml:space="preserve"> and matchi</w:t>
      </w:r>
      <w:r w:rsidR="00446FBF">
        <w:t>ng levels by skill levels.</w:t>
      </w:r>
      <w:r w:rsidR="00446FBF">
        <w:rPr>
          <w:rStyle w:val="FootnoteReference"/>
        </w:rPr>
        <w:footnoteReference w:id="7"/>
      </w:r>
      <w:r>
        <w:t xml:space="preserve"> T</w:t>
      </w:r>
      <w:r w:rsidR="00446FBF">
        <w:t xml:space="preserve">hree skill groupings </w:t>
      </w:r>
      <w:r>
        <w:t>are used</w:t>
      </w:r>
      <w:r w:rsidR="00007DA2">
        <w:t xml:space="preserve"> – </w:t>
      </w:r>
      <w:r w:rsidR="00446FBF">
        <w:t>low, middle and high</w:t>
      </w:r>
      <w:r w:rsidR="00007DA2">
        <w:t xml:space="preserve"> – </w:t>
      </w:r>
      <w:r>
        <w:t xml:space="preserve">which </w:t>
      </w:r>
      <w:r w:rsidR="00446FBF">
        <w:t xml:space="preserve">correspond to occupation skill and education levels. The exact methodology is outlined in Appendix </w:t>
      </w:r>
      <w:r w:rsidR="00417710">
        <w:t>B</w:t>
      </w:r>
      <w:r w:rsidR="00446FBF">
        <w:t xml:space="preserve">. </w:t>
      </w:r>
    </w:p>
    <w:p w14:paraId="377D9783" w14:textId="291EE25A" w:rsidR="00446FBF" w:rsidRDefault="00446FBF" w:rsidP="00B87DF1">
      <w:r>
        <w:t xml:space="preserve">This classification allows for people working in high (or middle) skill occupations to be classified as high (or middle) skill workers, regardless of their education, to reflect skills developed through workforce experience. </w:t>
      </w:r>
      <w:r w:rsidR="00AA0396">
        <w:t>T</w:t>
      </w:r>
      <w:r>
        <w:t>he inclusion of education allows for people without a current or previous occupation, such as new entrants to the workforce or those coming back from extended periods of leave or long</w:t>
      </w:r>
      <w:r w:rsidR="005F5800">
        <w:noBreakHyphen/>
      </w:r>
      <w:r>
        <w:t>term unemployment, to be classified by their education level. This approach means that every person in the labour force can be assigned a skill level.</w:t>
      </w:r>
      <w:r>
        <w:rPr>
          <w:rStyle w:val="FootnoteReference"/>
        </w:rPr>
        <w:footnoteReference w:id="8"/>
      </w:r>
      <w:r>
        <w:t xml:space="preserve"> However, due to data limitations before August 2015, this analysis is restricted to 2016 onwards.</w:t>
      </w:r>
    </w:p>
    <w:p w14:paraId="0A5F58CD" w14:textId="663B5545" w:rsidR="00AA0396" w:rsidRDefault="00407CA1" w:rsidP="00AA0396">
      <w:r>
        <w:t>Applying these skill level groupings to job vacancies and unemployed people in Australia shows distinct characteristics of high, middle and low</w:t>
      </w:r>
      <w:r w:rsidR="00A308E0">
        <w:t>-</w:t>
      </w:r>
      <w:r>
        <w:t xml:space="preserve">skill labour markets compared to the aggregate. </w:t>
      </w:r>
      <w:r w:rsidR="007C70D9">
        <w:lastRenderedPageBreak/>
        <w:t>Chart </w:t>
      </w:r>
      <w:r w:rsidR="001D0056">
        <w:t>3</w:t>
      </w:r>
      <w:r>
        <w:t xml:space="preserve">.1 shows </w:t>
      </w:r>
      <w:r w:rsidRPr="00BC4124">
        <w:rPr>
          <w:rStyle w:val="Strong"/>
        </w:rPr>
        <w:t>unemployment rates</w:t>
      </w:r>
      <w:r>
        <w:t xml:space="preserve"> and </w:t>
      </w:r>
      <w:r w:rsidRPr="00BC4124">
        <w:rPr>
          <w:rStyle w:val="Strong"/>
        </w:rPr>
        <w:t>vacancy rates</w:t>
      </w:r>
      <w:r>
        <w:t xml:space="preserve"> for each labour market. </w:t>
      </w:r>
      <w:r w:rsidRPr="008D075C">
        <w:t>In the</w:t>
      </w:r>
      <w:r>
        <w:rPr>
          <w:b/>
          <w:bCs/>
        </w:rPr>
        <w:t xml:space="preserve"> </w:t>
      </w:r>
      <w:r w:rsidRPr="004B4924">
        <w:t>aggregate</w:t>
      </w:r>
      <w:r>
        <w:t xml:space="preserve"> labour market (Panel A), as explored in Section 1, the vacancy rate rose slightly between 2016 and 2019, before dipping in 2020 with the onset of COVID</w:t>
      </w:r>
      <w:r w:rsidR="005F5800">
        <w:noBreakHyphen/>
      </w:r>
      <w:r>
        <w:t>19. From mid</w:t>
      </w:r>
      <w:r w:rsidR="005F5800">
        <w:noBreakHyphen/>
      </w:r>
      <w:r>
        <w:t>2020, vacancies rebounded before surpassing previous levels and now sit at about 3.5</w:t>
      </w:r>
      <w:r w:rsidR="001F3E06">
        <w:t> per c</w:t>
      </w:r>
      <w:r>
        <w:t>ent of labour demand (employment plus vacancies). The unemployment rate has moved broadly inversely to the vacancy rate.</w:t>
      </w:r>
    </w:p>
    <w:p w14:paraId="1ED226A0" w14:textId="42B8691B" w:rsidR="007B7E2A" w:rsidRDefault="006853B6" w:rsidP="006853B6">
      <w:r>
        <w:t xml:space="preserve">The </w:t>
      </w:r>
      <w:r w:rsidRPr="002F3D12">
        <w:rPr>
          <w:b/>
          <w:bCs/>
        </w:rPr>
        <w:t>high</w:t>
      </w:r>
      <w:r w:rsidR="00BF6F65" w:rsidRPr="00BF6F65">
        <w:t>-</w:t>
      </w:r>
      <w:r w:rsidRPr="002F3D12">
        <w:rPr>
          <w:b/>
          <w:bCs/>
        </w:rPr>
        <w:t>skill</w:t>
      </w:r>
      <w:r>
        <w:t xml:space="preserve"> labour market (Panel B) tends to be tighter than the aggregate. Demand for </w:t>
      </w:r>
      <w:r w:rsidR="00CF4A29">
        <w:t>high-skill</w:t>
      </w:r>
      <w:r>
        <w:t xml:space="preserve"> occupations followed a broadly similar path to the aggregate trend, with a slightly lower vacancy rate (less than 2</w:t>
      </w:r>
      <w:r w:rsidR="001F3E06">
        <w:t> per c</w:t>
      </w:r>
      <w:r>
        <w:t>ent) before increasing to 2.3</w:t>
      </w:r>
      <w:r w:rsidR="001F3E06">
        <w:t> per c</w:t>
      </w:r>
      <w:r>
        <w:t xml:space="preserve">ent at the beginning of 2023. The </w:t>
      </w:r>
      <w:r w:rsidR="00CF4A29">
        <w:t>high-skill</w:t>
      </w:r>
      <w:r>
        <w:t xml:space="preserve"> group tends to have low unemployment rates, from about 3.5</w:t>
      </w:r>
      <w:r w:rsidR="001F3E06">
        <w:t> per c</w:t>
      </w:r>
      <w:r>
        <w:t>ent between 2016 and 2019 to less than 2</w:t>
      </w:r>
      <w:r w:rsidR="001F3E06">
        <w:t> per c</w:t>
      </w:r>
      <w:r>
        <w:t xml:space="preserve">ent in 2023. At the beginning of 2023 there were more vacancies for </w:t>
      </w:r>
      <w:r w:rsidR="00CF4A29">
        <w:t>high-skill</w:t>
      </w:r>
      <w:r>
        <w:t xml:space="preserve"> jobs than there were job seekers with </w:t>
      </w:r>
      <w:r w:rsidR="00CF4A29">
        <w:t>high-skill</w:t>
      </w:r>
      <w:r w:rsidR="00420A49">
        <w:t xml:space="preserve"> </w:t>
      </w:r>
      <w:r>
        <w:t xml:space="preserve">occupations. However, low unemployment rates may overstate the level of matching efficiency in the </w:t>
      </w:r>
      <w:r w:rsidR="00CF4A29">
        <w:t>high-skill</w:t>
      </w:r>
      <w:r>
        <w:t xml:space="preserve"> labour market, as many people are employed in </w:t>
      </w:r>
      <w:r w:rsidR="00FD66B1">
        <w:t>lower-skill</w:t>
      </w:r>
      <w:r>
        <w:t>ed occupations (explored in the next section).</w:t>
      </w:r>
    </w:p>
    <w:p w14:paraId="4B6CD913" w14:textId="67DC4E13" w:rsidR="002312FC" w:rsidRDefault="002312FC" w:rsidP="002312FC">
      <w:r>
        <w:t xml:space="preserve">The </w:t>
      </w:r>
      <w:r w:rsidRPr="002F3D12">
        <w:rPr>
          <w:b/>
          <w:bCs/>
        </w:rPr>
        <w:t>middle</w:t>
      </w:r>
      <w:r w:rsidR="00BF6F65" w:rsidRPr="00BF6F65">
        <w:t>-</w:t>
      </w:r>
      <w:r w:rsidRPr="002F3D12">
        <w:rPr>
          <w:b/>
          <w:bCs/>
        </w:rPr>
        <w:t>skill</w:t>
      </w:r>
      <w:r>
        <w:t xml:space="preserve"> labour market (Panel C) is persistently looser than the </w:t>
      </w:r>
      <w:r w:rsidR="00CF4A29">
        <w:t>high-skill</w:t>
      </w:r>
      <w:r>
        <w:t xml:space="preserve"> group, with higher unemployment and marginally lower labour demand. However, the </w:t>
      </w:r>
      <w:r w:rsidR="00FD66B1">
        <w:t>middle-skill</w:t>
      </w:r>
      <w:r>
        <w:t xml:space="preserve"> labour market has tightened significantly over the past 2</w:t>
      </w:r>
      <w:r w:rsidR="00CB0CA1">
        <w:t> year</w:t>
      </w:r>
      <w:r>
        <w:t>s, in line with the aggregate labour market.</w:t>
      </w:r>
    </w:p>
    <w:p w14:paraId="4F302DA4" w14:textId="42125AF8" w:rsidR="002312FC" w:rsidRDefault="002312FC" w:rsidP="002312FC">
      <w:r>
        <w:t xml:space="preserve">The </w:t>
      </w:r>
      <w:r w:rsidRPr="002F3D12">
        <w:rPr>
          <w:b/>
          <w:bCs/>
        </w:rPr>
        <w:t>low</w:t>
      </w:r>
      <w:r w:rsidR="00FD66B1" w:rsidRPr="00FD66B1">
        <w:t>-</w:t>
      </w:r>
      <w:r w:rsidRPr="002F3D12">
        <w:rPr>
          <w:b/>
          <w:bCs/>
        </w:rPr>
        <w:t>skill</w:t>
      </w:r>
      <w:r>
        <w:t xml:space="preserve"> labour market (Panel D) has higher rates of unemployment and higher rates of vacancies. The </w:t>
      </w:r>
      <w:r w:rsidR="00FD66B1">
        <w:t>low-skill</w:t>
      </w:r>
      <w:r>
        <w:t xml:space="preserve"> labour market has tightened significantly since mid</w:t>
      </w:r>
      <w:r w:rsidR="005F5800">
        <w:noBreakHyphen/>
      </w:r>
      <w:r>
        <w:t>2020, with declining unemployment rates and rising vacancy rates. But within</w:t>
      </w:r>
      <w:r w:rsidR="005F5800">
        <w:noBreakHyphen/>
      </w:r>
      <w:r>
        <w:t>skill level mismatch remains high, with about 7</w:t>
      </w:r>
      <w:r w:rsidR="001F3E06">
        <w:t> per c</w:t>
      </w:r>
      <w:r>
        <w:t xml:space="preserve">ent of the labour force unable to be matched to available jobs. In addition, </w:t>
      </w:r>
      <w:r w:rsidR="00FD66B1">
        <w:t>low-skill</w:t>
      </w:r>
      <w:r>
        <w:t xml:space="preserve"> job seekers also compete with some higher skilled job seekers, as explored in the next section.</w:t>
      </w:r>
    </w:p>
    <w:p w14:paraId="0E85712D" w14:textId="77777777" w:rsidR="009902DC" w:rsidRPr="00C563D4" w:rsidRDefault="009902DC" w:rsidP="00816A77">
      <w:pPr>
        <w:pStyle w:val="ChartMainHeading"/>
      </w:pPr>
      <w:r w:rsidRPr="00816A77">
        <w:t>Unemployment</w:t>
      </w:r>
      <w:r>
        <w:t xml:space="preserve"> and vacancy rates by skill group</w:t>
      </w:r>
    </w:p>
    <w:p w14:paraId="305376BC" w14:textId="616B835C" w:rsidR="009902DC" w:rsidRDefault="002312FC" w:rsidP="009902DC">
      <w:pPr>
        <w:pStyle w:val="ChartGraphic"/>
      </w:pPr>
      <w:r>
        <w:rPr>
          <w:noProof/>
        </w:rPr>
        <w:drawing>
          <wp:inline distT="0" distB="0" distL="0" distR="0" wp14:anchorId="3ECE3C7E" wp14:editId="563C2052">
            <wp:extent cx="5724525" cy="3609340"/>
            <wp:effectExtent l="0" t="0" r="9525" b="0"/>
            <wp:docPr id="14" name="Picture 14" descr="A line chart with four panels showing unemployment and vacancy rates between 2016 and 2023. Panel A shows the series for the whole labour market, where unemployment was about 5 per cent and the vacancy rate was about 2 per cent before 2020, and have since converged to both be about 3.5 per cent at the end of 2022. Panel B shows the series for the high skill labour market, which has persistently lower unemployment rates. Panel C shows middle skill, which has higher unemployment rate, and Panel D shows low skill, which has both higher unemployment and higher vacancy rates than the oth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chart with four panels showing unemployment and vacancy rates between 2016 and 2023. Panel A shows the series for the whole labour market, where unemployment was about 5 per cent and the vacancy rate was about 2 per cent before 2020, and have since converged to both be about 3.5 per cent at the end of 2022. Panel B shows the series for the high skill labour market, which has persistently lower unemployment rates. Panel C shows middle skill, which has higher unemployment rate, and Panel D shows low skill, which has both higher unemployment and higher vacancy rates than the other grou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609340"/>
                    </a:xfrm>
                    <a:prstGeom prst="rect">
                      <a:avLst/>
                    </a:prstGeom>
                    <a:noFill/>
                  </pic:spPr>
                </pic:pic>
              </a:graphicData>
            </a:graphic>
          </wp:inline>
        </w:drawing>
      </w:r>
    </w:p>
    <w:p w14:paraId="0CFEC44B" w14:textId="2677F979" w:rsidR="009902DC" w:rsidRDefault="009902DC" w:rsidP="00625761">
      <w:pPr>
        <w:pStyle w:val="ChartTableFigureNoteorSource"/>
      </w:pPr>
      <w:r w:rsidRPr="00C563D4">
        <w:t xml:space="preserve">Source: </w:t>
      </w:r>
      <w:r w:rsidR="00816A77">
        <w:tab/>
      </w:r>
      <w:r w:rsidRPr="0035650A">
        <w:t>Treasury</w:t>
      </w:r>
      <w:r>
        <w:rPr>
          <w:noProof/>
        </w:rPr>
        <w:t xml:space="preserve"> analysis of ABS Longitudinal Labour Force Survey, ABS Job Vacancies, JSA Internet Vacancy Index. See </w:t>
      </w:r>
      <w:r w:rsidRPr="00217FC8">
        <w:t>Appendix B.</w:t>
      </w:r>
    </w:p>
    <w:p w14:paraId="24BD3B5A" w14:textId="77777777" w:rsidR="009902DC" w:rsidRPr="00217FC8" w:rsidRDefault="009902DC" w:rsidP="006853B6">
      <w:pPr>
        <w:pStyle w:val="ChartTableFiguresectionline"/>
      </w:pPr>
    </w:p>
    <w:p w14:paraId="27765214" w14:textId="03F72C5D" w:rsidR="00446FBF" w:rsidRDefault="00446FBF" w:rsidP="005E5F75">
      <w:pPr>
        <w:pStyle w:val="Heading2Numbered"/>
      </w:pPr>
      <w:bookmarkStart w:id="12" w:name="_Toc153452405"/>
      <w:r>
        <w:lastRenderedPageBreak/>
        <w:t xml:space="preserve">Skill level mismatch of workers can </w:t>
      </w:r>
      <w:r w:rsidR="005F5800">
        <w:t>‘</w:t>
      </w:r>
      <w:r>
        <w:t>crowd out</w:t>
      </w:r>
      <w:r w:rsidR="005F5800">
        <w:t>’</w:t>
      </w:r>
      <w:r>
        <w:t xml:space="preserve"> </w:t>
      </w:r>
      <w:r w:rsidR="00FD66B1">
        <w:t>lower-skill</w:t>
      </w:r>
      <w:r>
        <w:t xml:space="preserve"> workers</w:t>
      </w:r>
      <w:bookmarkEnd w:id="12"/>
    </w:p>
    <w:p w14:paraId="013790C0" w14:textId="17DC5A6B" w:rsidR="00446FBF" w:rsidRDefault="00446FBF" w:rsidP="00D27B5F">
      <w:r w:rsidRPr="00502193">
        <w:t xml:space="preserve">Some degree of </w:t>
      </w:r>
      <w:r>
        <w:t xml:space="preserve">skill level mismatch </w:t>
      </w:r>
      <w:r w:rsidRPr="00502193">
        <w:t>will always exist</w:t>
      </w:r>
      <w:r>
        <w:t xml:space="preserve"> in the labour force. Over</w:t>
      </w:r>
      <w:r w:rsidR="001E0969">
        <w:t xml:space="preserve"> </w:t>
      </w:r>
      <w:r>
        <w:t>education</w:t>
      </w:r>
      <w:r w:rsidR="00007DA2">
        <w:t xml:space="preserve"> – </w:t>
      </w:r>
      <w:r>
        <w:t>where a worker is in an occupation that does not require their level of education</w:t>
      </w:r>
      <w:r w:rsidR="00007DA2">
        <w:t xml:space="preserve"> – </w:t>
      </w:r>
      <w:r w:rsidRPr="00502193">
        <w:t>has</w:t>
      </w:r>
      <w:r>
        <w:t xml:space="preserve"> </w:t>
      </w:r>
      <w:r w:rsidRPr="00502193">
        <w:t>increased</w:t>
      </w:r>
      <w:r>
        <w:t xml:space="preserve"> alongside rising educational attainment. Some</w:t>
      </w:r>
      <w:r w:rsidR="005C6945">
        <w:t>times</w:t>
      </w:r>
      <w:r>
        <w:t xml:space="preserve"> </w:t>
      </w:r>
      <w:r w:rsidR="009263EC">
        <w:t>people optimally choose a job that is different to their level of education and training</w:t>
      </w:r>
      <w:r w:rsidR="006F69C3">
        <w:t>,</w:t>
      </w:r>
      <w:r>
        <w:t xml:space="preserve"> reflecting the personal preferences of workers. </w:t>
      </w:r>
      <w:r w:rsidR="006F69C3">
        <w:t>Other times</w:t>
      </w:r>
      <w:r>
        <w:t xml:space="preserve"> it </w:t>
      </w:r>
      <w:r w:rsidR="005414EC">
        <w:t xml:space="preserve">is </w:t>
      </w:r>
      <w:r w:rsidR="006F69C3">
        <w:t>undesirable,</w:t>
      </w:r>
      <w:r>
        <w:t xml:space="preserve"> caused by temporary and structural factors </w:t>
      </w:r>
      <w:r w:rsidR="006F69C3">
        <w:t>that</w:t>
      </w:r>
      <w:r>
        <w:t xml:space="preserve"> can have flow</w:t>
      </w:r>
      <w:r w:rsidR="005F5800">
        <w:noBreakHyphen/>
      </w:r>
      <w:r>
        <w:t>on effects to others in the labour force.</w:t>
      </w:r>
    </w:p>
    <w:p w14:paraId="31925912" w14:textId="77777777" w:rsidR="007B7E2A" w:rsidRDefault="007B7E2A" w:rsidP="007B7E2A">
      <w:pPr>
        <w:pStyle w:val="Heading3"/>
      </w:pPr>
      <w:bookmarkStart w:id="13" w:name="_Toc153452406"/>
      <w:r>
        <w:t>Skill level misallocation may hint at some labour market challenges</w:t>
      </w:r>
      <w:bookmarkEnd w:id="13"/>
    </w:p>
    <w:p w14:paraId="566FCB59" w14:textId="2A95C095" w:rsidR="007B7E2A" w:rsidRDefault="007B7E2A" w:rsidP="007B7E2A">
      <w:r>
        <w:t xml:space="preserve">Labour market tightness in the </w:t>
      </w:r>
      <w:r w:rsidR="00CF4A29">
        <w:t>high-skill</w:t>
      </w:r>
      <w:r>
        <w:t xml:space="preserve"> market sits alongside apparent between</w:t>
      </w:r>
      <w:r w:rsidR="005F5800">
        <w:noBreakHyphen/>
      </w:r>
      <w:r>
        <w:t>skill mismatch. The</w:t>
      </w:r>
      <w:r w:rsidR="00F736DB">
        <w:t> </w:t>
      </w:r>
      <w:r>
        <w:t>mismatch between a worker</w:t>
      </w:r>
      <w:r w:rsidR="005F5800">
        <w:t>’</w:t>
      </w:r>
      <w:r>
        <w:t>s education level and their occupation level is significant. Between 2016 and 2023, about 30</w:t>
      </w:r>
      <w:r w:rsidR="001F3E06">
        <w:t> per c</w:t>
      </w:r>
      <w:r>
        <w:t xml:space="preserve">ent of </w:t>
      </w:r>
      <w:r w:rsidR="00CF4A29">
        <w:t>high-skill</w:t>
      </w:r>
      <w:r>
        <w:t xml:space="preserve"> workers were employed in occupations classified as middle and low</w:t>
      </w:r>
      <w:r w:rsidR="00FD66B1">
        <w:t>-</w:t>
      </w:r>
      <w:r>
        <w:t xml:space="preserve">skill. </w:t>
      </w:r>
      <w:r w:rsidRPr="004C2F1C">
        <w:t>This is consistent with other research on over</w:t>
      </w:r>
      <w:r>
        <w:t xml:space="preserve"> </w:t>
      </w:r>
      <w:r w:rsidRPr="004C2F1C">
        <w:t>education in the Australian labour market</w:t>
      </w:r>
      <w:r>
        <w:t>.</w:t>
      </w:r>
      <w:r>
        <w:rPr>
          <w:rStyle w:val="FootnoteReference"/>
        </w:rPr>
        <w:footnoteReference w:id="9"/>
      </w:r>
      <w:r>
        <w:t xml:space="preserve"> These occupations were often </w:t>
      </w:r>
      <w:r w:rsidR="00FD66B1">
        <w:t>lower-skill</w:t>
      </w:r>
      <w:r>
        <w:t>ed health and clerical or administrative roles (Chart 3.2). Over 40</w:t>
      </w:r>
      <w:r w:rsidR="001F3E06">
        <w:t> per c</w:t>
      </w:r>
      <w:r>
        <w:t xml:space="preserve">ent of </w:t>
      </w:r>
      <w:r w:rsidR="00FD66B1">
        <w:t>middle-skill</w:t>
      </w:r>
      <w:r>
        <w:t xml:space="preserve"> workers were employed in </w:t>
      </w:r>
      <w:r w:rsidR="00FD66B1">
        <w:t>low-skill</w:t>
      </w:r>
      <w:r>
        <w:t xml:space="preserve"> occupations, particularly as machinery operators and labourers.</w:t>
      </w:r>
    </w:p>
    <w:p w14:paraId="19D8FDEF" w14:textId="101A8510" w:rsidR="007B7E2A" w:rsidRDefault="007B7E2A" w:rsidP="007B7E2A">
      <w:r>
        <w:t>Skill level mismatch can be the consequence of a</w:t>
      </w:r>
      <w:r w:rsidRPr="00A761CC">
        <w:t xml:space="preserve"> </w:t>
      </w:r>
      <w:r w:rsidRPr="00AD7CEE">
        <w:rPr>
          <w:rStyle w:val="Emphasis"/>
          <w:i w:val="0"/>
          <w:iCs w:val="0"/>
        </w:rPr>
        <w:t>more educated workforce</w:t>
      </w:r>
      <w:r>
        <w:t xml:space="preserve">. There has been significant growth in bachelor and postgraduate degree attainment over the </w:t>
      </w:r>
      <w:r w:rsidRPr="0016142E">
        <w:t>past</w:t>
      </w:r>
      <w:r>
        <w:t xml:space="preserve"> 40</w:t>
      </w:r>
      <w:r w:rsidR="00CB0CA1">
        <w:t> year</w:t>
      </w:r>
      <w:r>
        <w:t>s. About 40</w:t>
      </w:r>
      <w:r w:rsidR="001F3E06">
        <w:t> per c</w:t>
      </w:r>
      <w:r>
        <w:t>ent of 25 to 34</w:t>
      </w:r>
      <w:r w:rsidR="005F5800">
        <w:noBreakHyphen/>
      </w:r>
      <w:r>
        <w:t>year</w:t>
      </w:r>
      <w:r w:rsidR="005F5800">
        <w:noBreakHyphen/>
      </w:r>
      <w:r>
        <w:t xml:space="preserve">olds had a </w:t>
      </w:r>
      <w:r w:rsidR="00EC12EB">
        <w:t>bachelor’s</w:t>
      </w:r>
      <w:r>
        <w:t xml:space="preserve"> degree or above in 2020 (up from 10</w:t>
      </w:r>
      <w:r w:rsidR="001F3E06">
        <w:t> per c</w:t>
      </w:r>
      <w:r>
        <w:t>ent in 1980).</w:t>
      </w:r>
      <w:r>
        <w:rPr>
          <w:rStyle w:val="FootnoteReference"/>
        </w:rPr>
        <w:footnoteReference w:id="10"/>
      </w:r>
      <w:r>
        <w:t xml:space="preserve"> </w:t>
      </w:r>
      <w:r w:rsidRPr="00502193">
        <w:t>Over</w:t>
      </w:r>
      <w:r>
        <w:t xml:space="preserve"> </w:t>
      </w:r>
      <w:r w:rsidRPr="00502193">
        <w:t>education can be temporary or</w:t>
      </w:r>
      <w:r w:rsidRPr="0016142E">
        <w:rPr>
          <w:b/>
        </w:rPr>
        <w:t xml:space="preserve"> </w:t>
      </w:r>
      <w:r w:rsidRPr="00502193">
        <w:t xml:space="preserve">reflect other compensating </w:t>
      </w:r>
      <w:r>
        <w:t>factors</w:t>
      </w:r>
      <w:r w:rsidRPr="00FA7A12">
        <w:rPr>
          <w:bCs/>
        </w:rPr>
        <w:t>,</w:t>
      </w:r>
      <w:r w:rsidRPr="0016142E">
        <w:rPr>
          <w:b/>
        </w:rPr>
        <w:t xml:space="preserve"> </w:t>
      </w:r>
      <w:r w:rsidRPr="00502193">
        <w:t>such as location or flexibility or lower pressure jobs.</w:t>
      </w:r>
    </w:p>
    <w:p w14:paraId="3B9FD074" w14:textId="77777777" w:rsidR="000D40FD" w:rsidRDefault="000D40FD" w:rsidP="000D40FD">
      <w:pPr>
        <w:rPr>
          <w:rStyle w:val="Emphasis"/>
          <w:i w:val="0"/>
        </w:rPr>
      </w:pPr>
      <w:r w:rsidRPr="00691E2B">
        <w:t>Skills depreciation</w:t>
      </w:r>
      <w:r>
        <w:t xml:space="preserve"> can also drive apparent skill level mismatch. The skills demanded within some occupations can change quickly.</w:t>
      </w:r>
      <w:r>
        <w:rPr>
          <w:rStyle w:val="FootnoteReference"/>
        </w:rPr>
        <w:footnoteReference w:id="11"/>
      </w:r>
      <w:r>
        <w:t xml:space="preserve"> Workers who spend time away from the workforce or from a particular occupation can find themselves without the skills now required for their job, despite having the required level of education.</w:t>
      </w:r>
    </w:p>
    <w:p w14:paraId="7D0CD006" w14:textId="77777777" w:rsidR="000D40FD" w:rsidRPr="000D4C8A" w:rsidRDefault="000D40FD" w:rsidP="000D40FD">
      <w:r w:rsidRPr="00691E2B">
        <w:rPr>
          <w:rStyle w:val="Emphasis"/>
          <w:i w:val="0"/>
          <w:iCs w:val="0"/>
        </w:rPr>
        <w:t>Job skill misclassification</w:t>
      </w:r>
      <w:r>
        <w:t xml:space="preserve"> can occur when a particular job within an occupation requires more education than is typically required for that occupation. For example, the education and training requirements for a Hospitality Manager can vary according to the size and complexity of the organisation.</w:t>
      </w:r>
    </w:p>
    <w:p w14:paraId="53598F5B" w14:textId="540332DF" w:rsidR="000D40FD" w:rsidRDefault="000D40FD" w:rsidP="000D40FD">
      <w:r w:rsidRPr="00691E2B">
        <w:rPr>
          <w:rStyle w:val="Emphasis"/>
          <w:i w:val="0"/>
          <w:iCs w:val="0"/>
        </w:rPr>
        <w:t>Geographic</w:t>
      </w:r>
      <w:r w:rsidRPr="00A761CC">
        <w:t xml:space="preserve"> </w:t>
      </w:r>
      <w:r w:rsidRPr="00691E2B">
        <w:t>mismatch, where appropriately skilled</w:t>
      </w:r>
      <w:r>
        <w:t xml:space="preserve"> jobs are not available in the region, can also lead job seekers to take up </w:t>
      </w:r>
      <w:r w:rsidR="00FD66B1">
        <w:t>lower-skill</w:t>
      </w:r>
      <w:r>
        <w:t>ed work. This type of mismatch is explored in Section 4.</w:t>
      </w:r>
    </w:p>
    <w:p w14:paraId="0AB6C14A" w14:textId="5325EAFE" w:rsidR="00E357EB" w:rsidRPr="00E357EB" w:rsidRDefault="00E357EB" w:rsidP="00816A77">
      <w:pPr>
        <w:pStyle w:val="ChartMainHeading"/>
        <w:rPr>
          <w:noProof/>
        </w:rPr>
      </w:pPr>
      <w:r w:rsidRPr="00E357EB">
        <w:rPr>
          <w:noProof/>
        </w:rPr>
        <w:lastRenderedPageBreak/>
        <w:t xml:space="preserve">Share of </w:t>
      </w:r>
      <w:r w:rsidRPr="00816A77">
        <w:t>employees</w:t>
      </w:r>
      <w:r w:rsidRPr="00E357EB">
        <w:rPr>
          <w:noProof/>
        </w:rPr>
        <w:t xml:space="preserve"> by skill</w:t>
      </w:r>
    </w:p>
    <w:p w14:paraId="6C85FFD1" w14:textId="4AF53EAB" w:rsidR="00303798" w:rsidRPr="00B40AF7" w:rsidRDefault="00B40AF7" w:rsidP="00B40AF7">
      <w:pPr>
        <w:pStyle w:val="ChartGraphic"/>
        <w:rPr>
          <w:b/>
          <w:bCs/>
          <w:noProof/>
        </w:rPr>
      </w:pPr>
      <w:r>
        <w:rPr>
          <w:b/>
          <w:bCs/>
          <w:noProof/>
        </w:rPr>
        <w:drawing>
          <wp:inline distT="0" distB="0" distL="0" distR="0" wp14:anchorId="0CA1319E" wp14:editId="36C0C030">
            <wp:extent cx="5761355" cy="7200265"/>
            <wp:effectExtent l="0" t="0" r="0" b="0"/>
            <wp:docPr id="4" name="Picture 4" descr="A stacked bar chart showing the share of workers in each occupation by skill level (high, middle and low skill). Managerial and professional occupations tend to be exclusively made up of high skill workers. The majority of workers in trades occupations are middle skill. Personal service workers and administrators tend to be mixed between high, middle and low skill workers. Sales, machinery operators and labourers have more low-skill workers, but include some middle and high skil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acked bar chart showing the share of workers in each occupation by skill level (high, middle and low skill). Managerial and professional occupations tend to be exclusively made up of high skill workers. The majority of workers in trades occupations are middle skill. Personal service workers and administrators tend to be mixed between high, middle and low skill workers. Sales, machinery operators and labourers have more low-skill workers, but include some middle and high skill work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7200265"/>
                    </a:xfrm>
                    <a:prstGeom prst="rect">
                      <a:avLst/>
                    </a:prstGeom>
                    <a:noFill/>
                  </pic:spPr>
                </pic:pic>
              </a:graphicData>
            </a:graphic>
          </wp:inline>
        </w:drawing>
      </w:r>
    </w:p>
    <w:p w14:paraId="4AE1140B" w14:textId="2EF4DBF0" w:rsidR="00C82DF0" w:rsidRDefault="00C82DF0" w:rsidP="00C82DF0">
      <w:pPr>
        <w:pStyle w:val="ChartTableFigureNoteorSource"/>
        <w:rPr>
          <w:noProof/>
        </w:rPr>
      </w:pPr>
      <w:r w:rsidRPr="00E357EB">
        <w:rPr>
          <w:noProof/>
        </w:rPr>
        <w:t xml:space="preserve">Source: </w:t>
      </w:r>
      <w:r>
        <w:rPr>
          <w:noProof/>
        </w:rPr>
        <w:tab/>
      </w:r>
      <w:r w:rsidRPr="00E357EB">
        <w:rPr>
          <w:noProof/>
        </w:rPr>
        <w:t>Treasury analysis of ABS Longitudinal Labour Force Survey.</w:t>
      </w:r>
    </w:p>
    <w:p w14:paraId="50F7779C" w14:textId="28EA984A" w:rsidR="00E357EB" w:rsidRPr="00E357EB" w:rsidRDefault="00E357EB" w:rsidP="00707FD5">
      <w:pPr>
        <w:pStyle w:val="ChartTableFigureNoteorSource"/>
        <w:rPr>
          <w:noProof/>
        </w:rPr>
      </w:pPr>
      <w:r w:rsidRPr="00E357EB">
        <w:rPr>
          <w:noProof/>
        </w:rPr>
        <w:t xml:space="preserve">Note: </w:t>
      </w:r>
      <w:r w:rsidR="00816A77">
        <w:rPr>
          <w:noProof/>
        </w:rPr>
        <w:tab/>
      </w:r>
      <w:r w:rsidRPr="00E357EB">
        <w:rPr>
          <w:noProof/>
        </w:rPr>
        <w:t>Occupation is ANZSCO submajor, and skill level as defined in Appendix B. Data are pooled across 2016</w:t>
      </w:r>
      <w:r w:rsidR="002A4BD3">
        <w:rPr>
          <w:noProof/>
        </w:rPr>
        <w:t>–</w:t>
      </w:r>
      <w:r w:rsidRPr="00E357EB">
        <w:rPr>
          <w:noProof/>
        </w:rPr>
        <w:t>2023.</w:t>
      </w:r>
    </w:p>
    <w:p w14:paraId="65CDB71B" w14:textId="77777777" w:rsidR="00E357EB" w:rsidRPr="00E357EB" w:rsidRDefault="00E357EB" w:rsidP="00E357EB">
      <w:pPr>
        <w:pStyle w:val="ChartTableFiguresectionline"/>
      </w:pPr>
    </w:p>
    <w:p w14:paraId="1A979128" w14:textId="6180AFE9" w:rsidR="00D52B96" w:rsidRDefault="0038632F" w:rsidP="000D40FD">
      <w:pPr>
        <w:spacing w:before="0" w:after="160" w:line="259" w:lineRule="auto"/>
      </w:pPr>
      <w:r>
        <w:rPr>
          <w:rStyle w:val="Emphasis"/>
          <w:i w:val="0"/>
          <w:iCs w:val="0"/>
        </w:rPr>
        <w:br w:type="page"/>
      </w:r>
    </w:p>
    <w:p w14:paraId="2989FCA4" w14:textId="17357DD5" w:rsidR="00446FBF" w:rsidRDefault="00446FBF" w:rsidP="00446FBF">
      <w:pPr>
        <w:pStyle w:val="Heading3"/>
      </w:pPr>
      <w:bookmarkStart w:id="14" w:name="_Toc153452407"/>
      <w:r>
        <w:lastRenderedPageBreak/>
        <w:t xml:space="preserve">Many people (re)enter the labour market in </w:t>
      </w:r>
      <w:r w:rsidR="00FD66B1">
        <w:t>lower-skill</w:t>
      </w:r>
      <w:r>
        <w:t>ed jobs</w:t>
      </w:r>
      <w:bookmarkEnd w:id="14"/>
    </w:p>
    <w:p w14:paraId="0699ABCC" w14:textId="3AABA9CE" w:rsidR="00446FBF" w:rsidRDefault="00B352ED" w:rsidP="008B45B5">
      <w:r>
        <w:t>S</w:t>
      </w:r>
      <w:r w:rsidR="00446FBF">
        <w:t xml:space="preserve">kill level mismatch </w:t>
      </w:r>
      <w:r w:rsidR="005367EB">
        <w:t xml:space="preserve">also </w:t>
      </w:r>
      <w:r w:rsidR="00446FBF">
        <w:t xml:space="preserve">means that </w:t>
      </w:r>
      <w:r w:rsidR="00FD66B1">
        <w:t>low-skill</w:t>
      </w:r>
      <w:r w:rsidR="00446FBF">
        <w:t xml:space="preserve"> job seekers</w:t>
      </w:r>
      <w:r>
        <w:t xml:space="preserve"> have to</w:t>
      </w:r>
      <w:r w:rsidR="00446FBF">
        <w:t xml:space="preserve"> compete with high and </w:t>
      </w:r>
      <w:r w:rsidR="00FD66B1">
        <w:t>middle-skill</w:t>
      </w:r>
      <w:r w:rsidR="00446FBF">
        <w:t xml:space="preserve"> job seekers for the same roles. </w:t>
      </w:r>
      <w:r w:rsidR="007C70D9">
        <w:t>Chart </w:t>
      </w:r>
      <w:r w:rsidR="0012384C">
        <w:t>3</w:t>
      </w:r>
      <w:r w:rsidR="004C756B">
        <w:t>.</w:t>
      </w:r>
      <w:r w:rsidR="008B45B5">
        <w:t>3</w:t>
      </w:r>
      <w:r w:rsidR="00446FBF">
        <w:t xml:space="preserve"> </w:t>
      </w:r>
      <w:r w:rsidR="00EC52D8">
        <w:t xml:space="preserve">on the following page </w:t>
      </w:r>
      <w:r w:rsidR="00446FBF">
        <w:t>shows the next</w:t>
      </w:r>
      <w:r w:rsidR="00DB42C7">
        <w:t xml:space="preserve"> </w:t>
      </w:r>
      <w:r w:rsidR="00446FBF">
        <w:t>quarter destination occupations for unemployed people without prior occupation information. This group contains y</w:t>
      </w:r>
      <w:r w:rsidR="00446FBF" w:rsidRPr="00B069E8">
        <w:t>oung</w:t>
      </w:r>
      <w:r w:rsidR="00446FBF">
        <w:t xml:space="preserve"> job seekers, about half of whom are entering the workfo</w:t>
      </w:r>
      <w:r w:rsidR="008974F4">
        <w:t>rc</w:t>
      </w:r>
      <w:r w:rsidR="00446FBF">
        <w:t>e for the first time. It also includes those who have been without an occupation for an extended period</w:t>
      </w:r>
      <w:r w:rsidR="00007DA2">
        <w:t xml:space="preserve"> – </w:t>
      </w:r>
      <w:r w:rsidR="00446FBF">
        <w:t>such as those coming from periods of leave or long</w:t>
      </w:r>
      <w:r w:rsidR="005F5800">
        <w:noBreakHyphen/>
      </w:r>
      <w:r w:rsidR="00446FBF">
        <w:t>term unemployment.</w:t>
      </w:r>
    </w:p>
    <w:p w14:paraId="50605FB7" w14:textId="34077845" w:rsidR="00446FBF" w:rsidRDefault="00446FBF" w:rsidP="008B45B5">
      <w:r w:rsidRPr="005B3CEC">
        <w:rPr>
          <w:rStyle w:val="Strong"/>
        </w:rPr>
        <w:t>Low</w:t>
      </w:r>
      <w:r w:rsidR="00CF4A29">
        <w:rPr>
          <w:rStyle w:val="Strong"/>
        </w:rPr>
        <w:t>-</w:t>
      </w:r>
      <w:r w:rsidRPr="005B3CEC">
        <w:rPr>
          <w:rStyle w:val="Strong"/>
        </w:rPr>
        <w:t>skill</w:t>
      </w:r>
      <w:r>
        <w:t xml:space="preserve"> workforce entrants are most likely to find employment </w:t>
      </w:r>
      <w:r w:rsidR="00DB7D40">
        <w:t>in</w:t>
      </w:r>
      <w:r>
        <w:t xml:space="preserve"> Sales Assistant (20</w:t>
      </w:r>
      <w:r w:rsidR="001F3E06">
        <w:t> per c</w:t>
      </w:r>
      <w:r>
        <w:t>ent) and Sales Support (6</w:t>
      </w:r>
      <w:r w:rsidR="001F3E06">
        <w:t> per c</w:t>
      </w:r>
      <w:r>
        <w:t>ent) roles; in Hospitality (12</w:t>
      </w:r>
      <w:r w:rsidR="001F3E06">
        <w:t> per c</w:t>
      </w:r>
      <w:r>
        <w:t>ent) and Food Preparation (10</w:t>
      </w:r>
      <w:r w:rsidR="001F3E06">
        <w:t> per c</w:t>
      </w:r>
      <w:r>
        <w:t>ent) roles; and as Cleaners (6</w:t>
      </w:r>
      <w:r w:rsidR="001F3E06">
        <w:t> per c</w:t>
      </w:r>
      <w:r>
        <w:t>ent), Drivers (5</w:t>
      </w:r>
      <w:r w:rsidR="001F3E06">
        <w:t> per c</w:t>
      </w:r>
      <w:r>
        <w:t>ent) and Other Labourers (5</w:t>
      </w:r>
      <w:r w:rsidR="001F3E06">
        <w:t> per c</w:t>
      </w:r>
      <w:r>
        <w:t>ent).</w:t>
      </w:r>
    </w:p>
    <w:p w14:paraId="15CF61C2" w14:textId="7341AE1C" w:rsidR="00446FBF" w:rsidRDefault="00FD66B1" w:rsidP="008B45B5">
      <w:r>
        <w:rPr>
          <w:rStyle w:val="Strong"/>
        </w:rPr>
        <w:t>Middle-skill</w:t>
      </w:r>
      <w:r w:rsidR="00446FBF">
        <w:t xml:space="preserve"> workforce entrants have access to a broader range of jobs, especially as Carer and Aides (13</w:t>
      </w:r>
      <w:r w:rsidR="001F3E06">
        <w:t> per c</w:t>
      </w:r>
      <w:r w:rsidR="00446FBF">
        <w:t>ent) and trades, such as Construction (5</w:t>
      </w:r>
      <w:r w:rsidR="001F3E06">
        <w:t> per c</w:t>
      </w:r>
      <w:r w:rsidR="00446FBF">
        <w:t>ent) and Automotive Engineers (5</w:t>
      </w:r>
      <w:r w:rsidR="001F3E06">
        <w:t> per c</w:t>
      </w:r>
      <w:r w:rsidR="00446FBF">
        <w:t>ent).</w:t>
      </w:r>
      <w:r w:rsidR="008B45B5">
        <w:t xml:space="preserve"> </w:t>
      </w:r>
      <w:r w:rsidR="00446FBF">
        <w:t>However, middle</w:t>
      </w:r>
      <w:r w:rsidR="005F5800">
        <w:noBreakHyphen/>
      </w:r>
      <w:r w:rsidR="00446FBF">
        <w:t>skilled workforce entrants also find work in lower</w:t>
      </w:r>
      <w:r w:rsidR="005F5800">
        <w:noBreakHyphen/>
      </w:r>
      <w:r w:rsidR="00446FBF">
        <w:t>skilled occupations. For example, 6</w:t>
      </w:r>
      <w:r w:rsidR="001F3E06">
        <w:t> per c</w:t>
      </w:r>
      <w:r w:rsidR="00446FBF">
        <w:t xml:space="preserve">ent </w:t>
      </w:r>
      <w:r w:rsidR="00585240">
        <w:t xml:space="preserve">enter </w:t>
      </w:r>
      <w:r w:rsidR="00446FBF">
        <w:t>Sales Assistant</w:t>
      </w:r>
      <w:r w:rsidR="00585240">
        <w:t xml:space="preserve"> roles</w:t>
      </w:r>
      <w:r w:rsidR="00446FBF">
        <w:t>, an occupation that typically does not require a qualification.</w:t>
      </w:r>
    </w:p>
    <w:p w14:paraId="580C1996" w14:textId="3CA73357" w:rsidR="00E9299F" w:rsidRDefault="00CF4A29" w:rsidP="003E1A1A">
      <w:r>
        <w:rPr>
          <w:rStyle w:val="Strong"/>
        </w:rPr>
        <w:t>High-skill</w:t>
      </w:r>
      <w:r w:rsidR="00446FBF" w:rsidRPr="00A761CC">
        <w:t xml:space="preserve"> </w:t>
      </w:r>
      <w:r w:rsidR="00446FBF">
        <w:t>workforce entrants are more concentrated among education, health, and business professional roles.</w:t>
      </w:r>
      <w:r w:rsidR="008B45B5">
        <w:t xml:space="preserve"> </w:t>
      </w:r>
      <w:r w:rsidR="00446FBF">
        <w:t>About a third of high</w:t>
      </w:r>
      <w:r w:rsidR="005F5800">
        <w:noBreakHyphen/>
      </w:r>
      <w:r w:rsidR="00446FBF">
        <w:t xml:space="preserve">skill workforce entrants find work in </w:t>
      </w:r>
      <w:r w:rsidR="00FD66B1">
        <w:t>lower-skill</w:t>
      </w:r>
      <w:r w:rsidR="00446FBF">
        <w:t>ed occupations. These patterns follow the over</w:t>
      </w:r>
      <w:r w:rsidR="000E37F7">
        <w:t xml:space="preserve"> </w:t>
      </w:r>
      <w:r w:rsidR="00446FBF">
        <w:t xml:space="preserve">education patterns </w:t>
      </w:r>
      <w:r w:rsidR="000533FA">
        <w:t>(</w:t>
      </w:r>
      <w:r w:rsidR="007C70D9">
        <w:t>Chart </w:t>
      </w:r>
      <w:r w:rsidR="004C756B">
        <w:t>2.2</w:t>
      </w:r>
      <w:r w:rsidR="000533FA">
        <w:t>)</w:t>
      </w:r>
      <w:r w:rsidR="00446FBF">
        <w:t xml:space="preserve">, with </w:t>
      </w:r>
      <w:r w:rsidR="00FD66B1">
        <w:t>lower-skill</w:t>
      </w:r>
      <w:r w:rsidR="00446FBF">
        <w:t>ed health and administrative jobs being common.</w:t>
      </w:r>
    </w:p>
    <w:p w14:paraId="598970B5" w14:textId="77777777" w:rsidR="000D40FD" w:rsidRDefault="000D40FD" w:rsidP="000D40FD">
      <w:pPr>
        <w:pStyle w:val="Heading3"/>
      </w:pPr>
      <w:bookmarkStart w:id="15" w:name="_Toc153452408"/>
      <w:r>
        <w:t>Workers switch jobs across skill levels but within clusters</w:t>
      </w:r>
      <w:bookmarkEnd w:id="15"/>
    </w:p>
    <w:p w14:paraId="08B5ABE2" w14:textId="77777777" w:rsidR="000D40FD" w:rsidRPr="00FF1C54" w:rsidRDefault="000D40FD" w:rsidP="000D40FD">
      <w:r>
        <w:t xml:space="preserve">As with new entrants to the labour market, workers who switch jobs compete with unemployed people for vacancies. Much of this job switching is within the same occupation. There is some movement from one skill level to another when people switch occupations. Workers and job seekers </w:t>
      </w:r>
      <w:r w:rsidRPr="00FF1C54">
        <w:t xml:space="preserve">have preferences, foundational skills, and specialised skills required for occupations that shape the roles they look for in the labour market. </w:t>
      </w:r>
    </w:p>
    <w:p w14:paraId="3C8FA9E9" w14:textId="644DA47B" w:rsidR="000D40FD" w:rsidRPr="00FF1C54" w:rsidRDefault="000D40FD" w:rsidP="000D40FD">
      <w:r w:rsidRPr="00FF1C54">
        <w:rPr>
          <w:rStyle w:val="Emphasis"/>
          <w:i w:val="0"/>
          <w:iCs w:val="0"/>
        </w:rPr>
        <w:t>Preferences</w:t>
      </w:r>
      <w:r w:rsidRPr="00FF1C54">
        <w:t xml:space="preserve"> for the type of work a person wants to pursue develop over time and are affected by factors including socio</w:t>
      </w:r>
      <w:r w:rsidR="005F5800">
        <w:noBreakHyphen/>
      </w:r>
      <w:r w:rsidRPr="00FF1C54">
        <w:t>economic status, occupational segregation (such as by sex), and macroeconomic conditions during childhood.</w:t>
      </w:r>
      <w:r w:rsidRPr="00FF1C54">
        <w:rPr>
          <w:rStyle w:val="FootnoteReference"/>
        </w:rPr>
        <w:footnoteReference w:id="12"/>
      </w:r>
      <w:r w:rsidRPr="00FF1C54">
        <w:t xml:space="preserve"> </w:t>
      </w:r>
    </w:p>
    <w:p w14:paraId="58C10347" w14:textId="5AEF1E10" w:rsidR="000D40FD" w:rsidRDefault="000D40FD" w:rsidP="003E1A1A">
      <w:r w:rsidRPr="00FF1C54">
        <w:rPr>
          <w:rStyle w:val="Emphasis"/>
          <w:i w:val="0"/>
          <w:iCs w:val="0"/>
        </w:rPr>
        <w:t xml:space="preserve">Foundational skills </w:t>
      </w:r>
      <w:r w:rsidRPr="00FF1C54">
        <w:t>developed through education and workplace experience</w:t>
      </w:r>
      <w:r w:rsidR="00007DA2">
        <w:t xml:space="preserve"> – </w:t>
      </w:r>
      <w:r w:rsidRPr="00FF1C54">
        <w:t>such as communication, teamwork and problem solving</w:t>
      </w:r>
      <w:r w:rsidR="00007DA2">
        <w:t xml:space="preserve"> – </w:t>
      </w:r>
      <w:r w:rsidRPr="00FF1C54">
        <w:t>are common across a range of occupations and can allow workers to switch occupations.</w:t>
      </w:r>
      <w:r w:rsidRPr="00FF1C54">
        <w:rPr>
          <w:rStyle w:val="FootnoteReference"/>
        </w:rPr>
        <w:footnoteReference w:id="13"/>
      </w:r>
      <w:r w:rsidRPr="00FF1C54">
        <w:t xml:space="preserve"> </w:t>
      </w:r>
    </w:p>
    <w:p w14:paraId="7F8CBF64" w14:textId="77777777" w:rsidR="00F64287" w:rsidRDefault="00F64287" w:rsidP="00816A77">
      <w:pPr>
        <w:pStyle w:val="ChartMainHeading"/>
        <w:rPr>
          <w:noProof/>
        </w:rPr>
      </w:pPr>
      <w:r w:rsidRPr="00816A77">
        <w:lastRenderedPageBreak/>
        <w:t>Unemployment</w:t>
      </w:r>
      <w:r>
        <w:rPr>
          <w:noProof/>
        </w:rPr>
        <w:t xml:space="preserve"> to </w:t>
      </w:r>
      <w:r w:rsidRPr="00816A77">
        <w:t>employment</w:t>
      </w:r>
      <w:r>
        <w:rPr>
          <w:noProof/>
        </w:rPr>
        <w:t xml:space="preserve"> </w:t>
      </w:r>
      <w:r w:rsidRPr="004B7D69">
        <w:t>transition</w:t>
      </w:r>
      <w:r>
        <w:rPr>
          <w:noProof/>
        </w:rPr>
        <w:t xml:space="preserve"> rates for people with no prior occupation </w:t>
      </w:r>
    </w:p>
    <w:p w14:paraId="5597636D" w14:textId="6EC4B1E4" w:rsidR="00F64287" w:rsidRDefault="00D53650" w:rsidP="00E357EB">
      <w:pPr>
        <w:pStyle w:val="ChartGraphic"/>
        <w:rPr>
          <w:noProof/>
        </w:rPr>
      </w:pPr>
      <w:r>
        <w:rPr>
          <w:noProof/>
        </w:rPr>
        <w:drawing>
          <wp:inline distT="0" distB="0" distL="0" distR="0" wp14:anchorId="018DD1E6" wp14:editId="34949C8E">
            <wp:extent cx="5768065" cy="7012745"/>
            <wp:effectExtent l="0" t="0" r="4445" b="0"/>
            <wp:docPr id="57" name="Picture 57" descr="A three panel bar chart showing the destination occupations for high, middle and low skill workers commencing work. High skill workers tend to find work in professional occupations (such as business, education or health); middle skill are more likely to find work in trades and care roles; while low skill more commonly find work in sales and in labouring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three panel bar chart showing the destination occupations for high, middle and low skill workers commencing work. High skill workers tend to find work in professional occupations (such as business, education or health); middle skill are more likely to find work in trades and care roles; while low skill more commonly find work in sales and in labouring ro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6324" cy="7034944"/>
                    </a:xfrm>
                    <a:prstGeom prst="rect">
                      <a:avLst/>
                    </a:prstGeom>
                    <a:noFill/>
                  </pic:spPr>
                </pic:pic>
              </a:graphicData>
            </a:graphic>
          </wp:inline>
        </w:drawing>
      </w:r>
    </w:p>
    <w:p w14:paraId="10FDE756" w14:textId="0C2A129E" w:rsidR="009F0B12" w:rsidRDefault="00F64287" w:rsidP="00625761">
      <w:pPr>
        <w:pStyle w:val="ChartTableFigureNoteorSource"/>
      </w:pPr>
      <w:r w:rsidRPr="00E357EB">
        <w:t xml:space="preserve">Source: </w:t>
      </w:r>
      <w:r w:rsidR="00816A77">
        <w:tab/>
      </w:r>
      <w:r w:rsidRPr="00E357EB">
        <w:t>Treasury analysis of ABS Longitudinal Labour Force Survey.</w:t>
      </w:r>
    </w:p>
    <w:p w14:paraId="4DB505DD" w14:textId="729FEB44" w:rsidR="00C82DF0" w:rsidRPr="00C82DF0" w:rsidRDefault="00C82DF0" w:rsidP="00C82DF0">
      <w:pPr>
        <w:pStyle w:val="ChartTableFigureNoteorSource"/>
      </w:pPr>
      <w:r w:rsidRPr="00E357EB">
        <w:t xml:space="preserve">Note: </w:t>
      </w:r>
      <w:r>
        <w:tab/>
      </w:r>
      <w:r w:rsidRPr="00E357EB">
        <w:t>Occupation is ANZSCO Submajor, and skill level group is defined in Appendix A. Data are pooled across 2016 to 2023.</w:t>
      </w:r>
    </w:p>
    <w:p w14:paraId="5423587D" w14:textId="77777777" w:rsidR="00B92BC1" w:rsidRDefault="00B92BC1" w:rsidP="00B92BC1">
      <w:pPr>
        <w:pStyle w:val="ChartTableFiguresectionline"/>
      </w:pPr>
    </w:p>
    <w:p w14:paraId="5E629F1E" w14:textId="0EC02423" w:rsidR="000D40FD" w:rsidRDefault="000D40FD" w:rsidP="00816A77">
      <w:pPr>
        <w:keepLines/>
      </w:pPr>
      <w:r w:rsidRPr="00FF1C54">
        <w:rPr>
          <w:rStyle w:val="Emphasis"/>
          <w:i w:val="0"/>
          <w:iCs w:val="0"/>
        </w:rPr>
        <w:lastRenderedPageBreak/>
        <w:t>Specialised skills</w:t>
      </w:r>
      <w:r w:rsidRPr="00FF1C54">
        <w:t xml:space="preserve"> can be specific to a particular job, occupation or industry. These skills tend to be developed over long periods</w:t>
      </w:r>
      <w:r w:rsidR="00007DA2">
        <w:t xml:space="preserve"> – </w:t>
      </w:r>
      <w:r w:rsidRPr="00FF1C54">
        <w:t>through education, training and work experience</w:t>
      </w:r>
      <w:r w:rsidR="00007DA2">
        <w:t xml:space="preserve"> – </w:t>
      </w:r>
      <w:r w:rsidRPr="00FF1C54">
        <w:t>and tend to be less transferable than foundational skills. For example, a school teacher is unlikely to have the skills to take up a job as a registered nurse, despite the same education level and similar foundational skill requirements. However, some occupations overlap in specialised skills.</w:t>
      </w:r>
      <w:r w:rsidRPr="00FF1C54">
        <w:rPr>
          <w:rStyle w:val="FootnoteReference"/>
        </w:rPr>
        <w:footnoteReference w:id="14"/>
      </w:r>
      <w:r w:rsidRPr="00FF1C54">
        <w:t xml:space="preserve"> While numerical clerks, business professionals and chief</w:t>
      </w:r>
      <w:r>
        <w:t xml:space="preserve"> executives are distinctly different occupations, they all require numerical skills.</w:t>
      </w:r>
    </w:p>
    <w:p w14:paraId="3B2E0D31" w14:textId="5D63E225" w:rsidR="00446FBF" w:rsidRDefault="00446FBF" w:rsidP="004C756B">
      <w:r>
        <w:t xml:space="preserve">Preferences, foundational and specialised skills interact to form clusters of occupational transitions in the labour market. These clusters can be explored using a transition matrix of job changes. Case studies are presented in </w:t>
      </w:r>
      <w:r w:rsidR="00FF6427">
        <w:t>Chart </w:t>
      </w:r>
      <w:r w:rsidR="00191C36">
        <w:t>3</w:t>
      </w:r>
      <w:r w:rsidR="006A07E3">
        <w:t xml:space="preserve">.4 </w:t>
      </w:r>
      <w:r>
        <w:t>to illustrate the patterns of within/between occupation transitions.</w:t>
      </w:r>
    </w:p>
    <w:p w14:paraId="58C54718" w14:textId="7D132258" w:rsidR="000353FD" w:rsidRPr="000353FD" w:rsidRDefault="00446FBF" w:rsidP="00816A77">
      <w:pPr>
        <w:pStyle w:val="Bullet"/>
      </w:pPr>
      <w:r w:rsidRPr="00237843">
        <w:t>Of</w:t>
      </w:r>
      <w:r w:rsidRPr="000353FD">
        <w:rPr>
          <w:b/>
          <w:bCs/>
        </w:rPr>
        <w:t xml:space="preserve"> </w:t>
      </w:r>
      <w:r w:rsidRPr="0042779D">
        <w:rPr>
          <w:rStyle w:val="Strong"/>
        </w:rPr>
        <w:t>business professionals</w:t>
      </w:r>
      <w:r w:rsidRPr="000353FD">
        <w:rPr>
          <w:b/>
          <w:bCs/>
          <w:color w:val="002C47"/>
        </w:rPr>
        <w:t xml:space="preserve"> </w:t>
      </w:r>
      <w:r>
        <w:t>who begin with a new employer, about a third move into specialised management roles, while 15</w:t>
      </w:r>
      <w:r w:rsidR="001F3E06">
        <w:t> per c</w:t>
      </w:r>
      <w:r>
        <w:t xml:space="preserve">ent remain as business </w:t>
      </w:r>
      <w:r w:rsidRPr="00B87E10">
        <w:t>professionals</w:t>
      </w:r>
      <w:r>
        <w:t>. There is some transition within the professional environment, particularly into design IT and education. A</w:t>
      </w:r>
      <w:r w:rsidR="00E40265">
        <w:t> </w:t>
      </w:r>
      <w:r>
        <w:t xml:space="preserve">smaller share move to </w:t>
      </w:r>
      <w:r w:rsidR="00FD66B1">
        <w:t>lower-skill</w:t>
      </w:r>
      <w:r>
        <w:t>ed occupations that require skills developed in business, such as numerical clerks and office administrators</w:t>
      </w:r>
      <w:r w:rsidR="000353FD" w:rsidRPr="000353FD">
        <w:t>.</w:t>
      </w:r>
    </w:p>
    <w:p w14:paraId="6B793348" w14:textId="1A344B9C" w:rsidR="000353FD" w:rsidRPr="000353FD" w:rsidRDefault="00446FBF" w:rsidP="00816A77">
      <w:pPr>
        <w:pStyle w:val="Bullet"/>
      </w:pPr>
      <w:r>
        <w:t xml:space="preserve">Of </w:t>
      </w:r>
      <w:r w:rsidRPr="0042779D">
        <w:rPr>
          <w:rStyle w:val="Strong"/>
        </w:rPr>
        <w:t>health professionals</w:t>
      </w:r>
      <w:r w:rsidRPr="000353FD">
        <w:rPr>
          <w:color w:val="BE5154"/>
        </w:rPr>
        <w:t xml:space="preserve"> </w:t>
      </w:r>
      <w:r>
        <w:t>who begin with a new employer, almost 40</w:t>
      </w:r>
      <w:r w:rsidR="001F3E06">
        <w:t> per c</w:t>
      </w:r>
      <w:r>
        <w:t>ent stay within the health professional occupation. For those who move, the most common destination is to specialist management. There is also some down</w:t>
      </w:r>
      <w:r w:rsidR="005F5800">
        <w:noBreakHyphen/>
      </w:r>
      <w:r>
        <w:t>skilling, with moves most likely to health and welfare support, and carer occupations</w:t>
      </w:r>
      <w:r w:rsidR="000353FD" w:rsidRPr="000353FD">
        <w:t>.</w:t>
      </w:r>
    </w:p>
    <w:p w14:paraId="559547C6" w14:textId="4914411C" w:rsidR="000353FD" w:rsidRPr="000353FD" w:rsidRDefault="00446FBF" w:rsidP="00CC69E7">
      <w:pPr>
        <w:pStyle w:val="Bullet"/>
      </w:pPr>
      <w:r w:rsidRPr="000353FD">
        <w:rPr>
          <w:rStyle w:val="Strong"/>
        </w:rPr>
        <w:t>Automotive engineers</w:t>
      </w:r>
      <w:r w:rsidRPr="000353FD">
        <w:t xml:space="preserve"> are the most likely to stay within their occupation of </w:t>
      </w:r>
      <w:r w:rsidRPr="00CC69E7">
        <w:t>these</w:t>
      </w:r>
      <w:r w:rsidRPr="000353FD">
        <w:t xml:space="preserve"> case studies, with about half remaining as automotive engineers after a move to a new employer.</w:t>
      </w:r>
    </w:p>
    <w:p w14:paraId="4D0E6FD0" w14:textId="5764E6D8" w:rsidR="000353FD" w:rsidRPr="000353FD" w:rsidRDefault="00446FBF" w:rsidP="00816A77">
      <w:pPr>
        <w:pStyle w:val="Bullet"/>
      </w:pPr>
      <w:r w:rsidRPr="000353FD">
        <w:rPr>
          <w:rStyle w:val="Strong"/>
        </w:rPr>
        <w:t>Carers and aides</w:t>
      </w:r>
      <w:r w:rsidRPr="000353FD">
        <w:t xml:space="preserve"> also have relatively high within</w:t>
      </w:r>
      <w:r w:rsidR="005F5800">
        <w:noBreakHyphen/>
      </w:r>
      <w:r w:rsidRPr="000353FD">
        <w:t xml:space="preserve">occupation </w:t>
      </w:r>
      <w:r w:rsidRPr="00816A77">
        <w:t>retainment</w:t>
      </w:r>
      <w:r w:rsidRPr="000353FD">
        <w:t xml:space="preserve">. New occupations tend to be to health and support workers, or to higher skilled occupations as education or health professionals. </w:t>
      </w:r>
    </w:p>
    <w:p w14:paraId="3DD047B9" w14:textId="77B01229" w:rsidR="00C27DB5" w:rsidRPr="000353FD" w:rsidRDefault="00446FBF" w:rsidP="00816A77">
      <w:pPr>
        <w:pStyle w:val="Bullet"/>
      </w:pPr>
      <w:r w:rsidRPr="000353FD">
        <w:rPr>
          <w:rStyle w:val="Strong"/>
        </w:rPr>
        <w:t>Construction and mining labourers</w:t>
      </w:r>
      <w:r w:rsidRPr="000353FD">
        <w:t xml:space="preserve"> tend to move to other manual occupations, with about two</w:t>
      </w:r>
      <w:r w:rsidR="005F5800">
        <w:noBreakHyphen/>
      </w:r>
      <w:r w:rsidRPr="000353FD">
        <w:t xml:space="preserve">thirds moving </w:t>
      </w:r>
      <w:r w:rsidR="008853AA" w:rsidRPr="000353FD">
        <w:t xml:space="preserve">to </w:t>
      </w:r>
      <w:r w:rsidRPr="00816A77">
        <w:t>similar</w:t>
      </w:r>
      <w:r w:rsidRPr="000353FD">
        <w:t xml:space="preserve"> labourer jobs, such as factory or forestry workers, or to machine operators and driver occupations. About 20</w:t>
      </w:r>
      <w:r w:rsidR="001F3E06">
        <w:t> per c</w:t>
      </w:r>
      <w:r w:rsidRPr="000353FD">
        <w:t>ent move to trades occupations that tend to require qualifications, particularly construction trades.</w:t>
      </w:r>
    </w:p>
    <w:p w14:paraId="5A4457A1" w14:textId="36A2444B" w:rsidR="00F42503" w:rsidRDefault="00446FBF" w:rsidP="00D04564">
      <w:r>
        <w:t>Between</w:t>
      </w:r>
      <w:r w:rsidR="005F5800">
        <w:noBreakHyphen/>
      </w:r>
      <w:r>
        <w:t>skill mismatch means that significant shares of high</w:t>
      </w:r>
      <w:r w:rsidR="005F5800">
        <w:noBreakHyphen/>
      </w:r>
      <w:r>
        <w:t xml:space="preserve"> and middle</w:t>
      </w:r>
      <w:r w:rsidR="005F5800">
        <w:noBreakHyphen/>
      </w:r>
      <w:r>
        <w:t>skill workers are in occupations that may not make best use of their skills. While most entrants to the workforce find work aligned with their skill levels, many high</w:t>
      </w:r>
      <w:r w:rsidR="005F5800">
        <w:noBreakHyphen/>
      </w:r>
      <w:r>
        <w:t xml:space="preserve"> and middle</w:t>
      </w:r>
      <w:r w:rsidR="005F5800">
        <w:noBreakHyphen/>
      </w:r>
      <w:r>
        <w:t xml:space="preserve">skilled job seekers find work in </w:t>
      </w:r>
      <w:r w:rsidR="00FD66B1">
        <w:t>lower-skill</w:t>
      </w:r>
      <w:r>
        <w:t>ed occupations.</w:t>
      </w:r>
      <w:r w:rsidR="00D04564">
        <w:t xml:space="preserve"> G</w:t>
      </w:r>
      <w:r>
        <w:t>eographic mismatch</w:t>
      </w:r>
      <w:r w:rsidR="00007DA2">
        <w:t xml:space="preserve"> – </w:t>
      </w:r>
      <w:r>
        <w:t>job opportunities and job seekers being in different regions</w:t>
      </w:r>
      <w:r w:rsidR="00007DA2">
        <w:t xml:space="preserve"> – </w:t>
      </w:r>
      <w:r>
        <w:t>can play a significant role in the efficient working of the labour market</w:t>
      </w:r>
      <w:r w:rsidR="00D04564">
        <w:t>. This is explored in the next section.</w:t>
      </w:r>
    </w:p>
    <w:p w14:paraId="615BB2CA" w14:textId="4CEE3B40" w:rsidR="00D23187" w:rsidRDefault="00D23187" w:rsidP="00816A77">
      <w:pPr>
        <w:pStyle w:val="ChartMainHeading"/>
      </w:pPr>
      <w:r>
        <w:lastRenderedPageBreak/>
        <w:t xml:space="preserve">Select </w:t>
      </w:r>
      <w:r w:rsidRPr="00816A77">
        <w:t>occupation</w:t>
      </w:r>
      <w:r w:rsidR="000A44AC">
        <w:t>-</w:t>
      </w:r>
      <w:r>
        <w:t>to</w:t>
      </w:r>
      <w:r w:rsidR="005F5800">
        <w:noBreakHyphen/>
      </w:r>
      <w:r>
        <w:t>occupation transitions</w:t>
      </w:r>
    </w:p>
    <w:p w14:paraId="15E6C8DA" w14:textId="4E9E5368" w:rsidR="00D23187" w:rsidRPr="001B25FD" w:rsidRDefault="00D23187" w:rsidP="00E357EB">
      <w:pPr>
        <w:pStyle w:val="ChartSecondHeading"/>
      </w:pPr>
      <w:r>
        <w:t xml:space="preserve">Destination </w:t>
      </w:r>
      <w:r w:rsidRPr="00440F74">
        <w:t>occupations (rows)</w:t>
      </w:r>
      <w:r>
        <w:t xml:space="preserve"> as a share of newly employed original </w:t>
      </w:r>
      <w:r w:rsidRPr="00E357EB">
        <w:t>occupations</w:t>
      </w:r>
    </w:p>
    <w:p w14:paraId="51B40206" w14:textId="660749C2" w:rsidR="0053748D" w:rsidRPr="00E357EB" w:rsidRDefault="007F58E3" w:rsidP="00E16FB7">
      <w:pPr>
        <w:pStyle w:val="ChartGraphic"/>
        <w:jc w:val="left"/>
      </w:pPr>
      <w:r>
        <w:rPr>
          <w:noProof/>
        </w:rPr>
        <w:drawing>
          <wp:inline distT="0" distB="0" distL="0" distR="0" wp14:anchorId="02BE40E9" wp14:editId="546FE478">
            <wp:extent cx="5759450" cy="5043170"/>
            <wp:effectExtent l="0" t="0" r="0" b="5080"/>
            <wp:docPr id="9" name="Picture 9" descr="A bar chart showing the share of job switchers by origin and destination occupations. The chart shows that business professionals tend to switch jobs to other business-related occupations (eg 30 per cent switch to specialist managers); health professionals, automotive trades workers and carers tend to switch jobs within the same occupation; and construction labourers tend to switch to other labouring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r chart showing the share of job switchers by origin and destination occupations. The chart shows that business professionals tend to switch jobs to other business-related occupations (eg 30 per cent switch to specialist managers); health professionals, automotive trades workers and carers tend to switch jobs within the same occupation; and construction labourers tend to switch to other labouring occup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043170"/>
                    </a:xfrm>
                    <a:prstGeom prst="rect">
                      <a:avLst/>
                    </a:prstGeom>
                    <a:noFill/>
                    <a:ln>
                      <a:noFill/>
                    </a:ln>
                  </pic:spPr>
                </pic:pic>
              </a:graphicData>
            </a:graphic>
          </wp:inline>
        </w:drawing>
      </w:r>
    </w:p>
    <w:p w14:paraId="01BE8E2E" w14:textId="304A17E7" w:rsidR="00D23187" w:rsidRDefault="00D23187" w:rsidP="00625761">
      <w:pPr>
        <w:pStyle w:val="ChartTableFigureNoteorSource"/>
        <w:rPr>
          <w:noProof/>
        </w:rPr>
      </w:pPr>
      <w:r w:rsidRPr="00C563D4">
        <w:t xml:space="preserve">Source: </w:t>
      </w:r>
      <w:r w:rsidR="00816A77">
        <w:tab/>
      </w:r>
      <w:r w:rsidRPr="00E357EB">
        <w:t>Treasury</w:t>
      </w:r>
      <w:r>
        <w:rPr>
          <w:noProof/>
        </w:rPr>
        <w:t xml:space="preserve"> analysis of ABS Longitudinal Labour Force Survey, ABS Job Vacancies, JSA Internet Vacancy Index.</w:t>
      </w:r>
    </w:p>
    <w:p w14:paraId="066120B4" w14:textId="77777777" w:rsidR="00FF6427" w:rsidRPr="00C563D4" w:rsidRDefault="00FF6427" w:rsidP="00153E93">
      <w:pPr>
        <w:pStyle w:val="ChartTableFiguresectionline"/>
      </w:pPr>
    </w:p>
    <w:bookmarkEnd w:id="3"/>
    <w:bookmarkEnd w:id="4"/>
    <w:bookmarkEnd w:id="5"/>
    <w:p w14:paraId="0CAD1424" w14:textId="77777777" w:rsidR="00DD1B1D" w:rsidRDefault="00DD1B1D">
      <w:pPr>
        <w:spacing w:before="0" w:after="160" w:line="259" w:lineRule="auto"/>
      </w:pPr>
    </w:p>
    <w:p w14:paraId="77BA3888" w14:textId="0C21EDD1" w:rsidR="00DD1B1D" w:rsidRPr="00DD1B1D" w:rsidRDefault="00DD1B1D" w:rsidP="00DD1B1D">
      <w:pPr>
        <w:sectPr w:rsidR="00DD1B1D" w:rsidRPr="00DD1B1D" w:rsidSect="00D81ACE">
          <w:pgSz w:w="11906" w:h="16838" w:code="9"/>
          <w:pgMar w:top="1843" w:right="1418" w:bottom="1418" w:left="1418" w:header="709" w:footer="709" w:gutter="0"/>
          <w:cols w:space="708"/>
          <w:docGrid w:linePitch="360"/>
        </w:sectPr>
      </w:pPr>
    </w:p>
    <w:p w14:paraId="57EF389B" w14:textId="54BA83BA" w:rsidR="00446FBF" w:rsidRDefault="00446FBF" w:rsidP="00816A77">
      <w:pPr>
        <w:pStyle w:val="Heading1Numbered"/>
      </w:pPr>
      <w:bookmarkStart w:id="16" w:name="_Toc153452409"/>
      <w:r w:rsidRPr="00E357EB">
        <w:lastRenderedPageBreak/>
        <w:t>Regional</w:t>
      </w:r>
      <w:r w:rsidR="002F48E3">
        <w:t xml:space="preserve"> </w:t>
      </w:r>
      <w:r w:rsidRPr="0035448B">
        <w:t>variations in labour market tightness and matching</w:t>
      </w:r>
      <w:r w:rsidR="002F48E3">
        <w:t xml:space="preserve"> by skill level</w:t>
      </w:r>
      <w:bookmarkEnd w:id="16"/>
    </w:p>
    <w:p w14:paraId="5BE62D07" w14:textId="77777777" w:rsidR="00446FBF" w:rsidRPr="00E357EB" w:rsidRDefault="00446FBF" w:rsidP="005E5F75">
      <w:pPr>
        <w:pStyle w:val="Heading2Numbered"/>
      </w:pPr>
      <w:bookmarkStart w:id="17" w:name="_Toc153452410"/>
      <w:r>
        <w:t>Exploring labour markets by skill and region</w:t>
      </w:r>
      <w:bookmarkEnd w:id="17"/>
    </w:p>
    <w:p w14:paraId="285A5723" w14:textId="3FFF1B8D" w:rsidR="00446FBF" w:rsidRDefault="00446FBF" w:rsidP="007C0488">
      <w:r w:rsidRPr="00E84E31">
        <w:t xml:space="preserve">Australia is not a </w:t>
      </w:r>
      <w:r w:rsidRPr="00290110">
        <w:t xml:space="preserve">single homogenous </w:t>
      </w:r>
      <w:r w:rsidRPr="00E84E31">
        <w:t>labour market</w:t>
      </w:r>
      <w:r>
        <w:t xml:space="preserve">. </w:t>
      </w:r>
      <w:r w:rsidR="006F18CB">
        <w:t>M</w:t>
      </w:r>
      <w:r w:rsidR="003B37CC">
        <w:t>any</w:t>
      </w:r>
      <w:r>
        <w:t xml:space="preserve"> factors drive local labour demand and supply</w:t>
      </w:r>
      <w:r w:rsidR="006F18CB">
        <w:t xml:space="preserve"> within regions</w:t>
      </w:r>
      <w:r w:rsidR="008F4443">
        <w:t>. This</w:t>
      </w:r>
      <w:r w:rsidR="006F18CB">
        <w:t xml:space="preserve"> </w:t>
      </w:r>
      <w:r w:rsidR="008F4443">
        <w:t xml:space="preserve">means </w:t>
      </w:r>
      <w:r>
        <w:t>l</w:t>
      </w:r>
      <w:r w:rsidRPr="00E84E31">
        <w:t>abour market</w:t>
      </w:r>
      <w:r>
        <w:t xml:space="preserve"> conditions can vary significantly. Cyclical and structural forces can have different effects on labour demand in regions based on their industrial composition. Labour supply can respond differently based on its skills mix and demography.</w:t>
      </w:r>
    </w:p>
    <w:p w14:paraId="2CCD9B47" w14:textId="63FC7C8B" w:rsidR="00446FBF" w:rsidRDefault="00446FBF" w:rsidP="007C0488">
      <w:r>
        <w:t>Australia is a large country and geographic mismatch</w:t>
      </w:r>
      <w:r w:rsidR="00007DA2">
        <w:t xml:space="preserve"> – </w:t>
      </w:r>
      <w:r>
        <w:t>job opportunities and job seekers being in different regions</w:t>
      </w:r>
      <w:r w:rsidR="00007DA2">
        <w:t xml:space="preserve"> – </w:t>
      </w:r>
      <w:r>
        <w:t xml:space="preserve">can play a significant role in the efficient working of the labour market. As the majority of work is done in person, strong demand for labour in one corner of the country is unlikely to materially reduce unemployment in another corner. Geographic mobility can provide some solutions to this mismatch. </w:t>
      </w:r>
      <w:r w:rsidR="008F4443">
        <w:t xml:space="preserve">However, </w:t>
      </w:r>
      <w:r>
        <w:t>this is not a viable option for all jobs or for all job seekers.</w:t>
      </w:r>
    </w:p>
    <w:p w14:paraId="66CACA28" w14:textId="71B6EB59" w:rsidR="00446FBF" w:rsidRDefault="00446FBF" w:rsidP="007C0488">
      <w:r>
        <w:t xml:space="preserve">The analysis in this </w:t>
      </w:r>
      <w:r w:rsidR="000D047B">
        <w:t xml:space="preserve">section </w:t>
      </w:r>
      <w:r>
        <w:t>examines the supply of and demand for skilled labour in each region in Australia. It identifies overall regional trends in tightness and mismatch</w:t>
      </w:r>
      <w:r w:rsidR="00686E80">
        <w:t xml:space="preserve"> by skill level</w:t>
      </w:r>
      <w:r>
        <w:t xml:space="preserve">, before examining a series of regional labour markets with distinctly different outcomes. </w:t>
      </w:r>
    </w:p>
    <w:p w14:paraId="0CBA58CB" w14:textId="77777777" w:rsidR="00446FBF" w:rsidRPr="00A31843" w:rsidRDefault="00446FBF" w:rsidP="00446FBF">
      <w:pPr>
        <w:pStyle w:val="Heading3"/>
      </w:pPr>
      <w:bookmarkStart w:id="18" w:name="_Toc153452411"/>
      <w:r>
        <w:t>Geographic mobility is a partial solution to geographic mismatch</w:t>
      </w:r>
      <w:bookmarkEnd w:id="18"/>
    </w:p>
    <w:p w14:paraId="1CB17413" w14:textId="41E1102F" w:rsidR="00446FBF" w:rsidRDefault="00446FBF" w:rsidP="007C0488">
      <w:r w:rsidRPr="00142F56">
        <w:t>Geographic mismatch</w:t>
      </w:r>
      <w:r>
        <w:t xml:space="preserve"> occurs when there are job seekers and appropriate job vacancies in different regional labour markets.</w:t>
      </w:r>
      <w:r w:rsidR="00142F56">
        <w:t xml:space="preserve"> </w:t>
      </w:r>
      <w:r w:rsidRPr="00142F56">
        <w:t>Geographic mobility</w:t>
      </w:r>
      <w:r w:rsidR="00007DA2">
        <w:t xml:space="preserve"> – </w:t>
      </w:r>
      <w:r>
        <w:t xml:space="preserve">workers coming to jobs, jobs coming to workers, or a mix of the </w:t>
      </w:r>
      <w:r w:rsidR="00CD544D">
        <w:t>two</w:t>
      </w:r>
      <w:r w:rsidR="00007DA2">
        <w:t xml:space="preserve"> – </w:t>
      </w:r>
      <w:r>
        <w:t xml:space="preserve">is one tool to reduce geographic </w:t>
      </w:r>
      <w:r w:rsidR="00B207CA">
        <w:t>mismatch</w:t>
      </w:r>
      <w:r w:rsidR="006A790B">
        <w:t xml:space="preserve">. </w:t>
      </w:r>
    </w:p>
    <w:p w14:paraId="01CB60BE" w14:textId="6D5B64A6" w:rsidR="0061437E" w:rsidRPr="0061437E" w:rsidRDefault="00446FBF" w:rsidP="00CB203D">
      <w:pPr>
        <w:pStyle w:val="Bullet"/>
      </w:pPr>
      <w:r>
        <w:t xml:space="preserve">Workers permanently moving to jobs: </w:t>
      </w:r>
      <w:r w:rsidR="00005FDE">
        <w:t>y</w:t>
      </w:r>
      <w:r>
        <w:t>oung people are more likely to move.</w:t>
      </w:r>
      <w:r>
        <w:rPr>
          <w:rStyle w:val="FootnoteReference"/>
        </w:rPr>
        <w:footnoteReference w:id="15"/>
      </w:r>
      <w:r>
        <w:t xml:space="preserve"> There is also a higher propensity for geographic mobility among renters, unemployed and underemployed people.</w:t>
      </w:r>
      <w:r>
        <w:rPr>
          <w:rStyle w:val="FootnoteReference"/>
        </w:rPr>
        <w:footnoteReference w:id="16"/>
      </w:r>
      <w:r>
        <w:t xml:space="preserve"> However, people </w:t>
      </w:r>
      <w:r w:rsidR="0056309A">
        <w:t xml:space="preserve">are </w:t>
      </w:r>
      <w:r w:rsidRPr="007C0488">
        <w:t>most likely to move within the same labour market</w:t>
      </w:r>
      <w:r w:rsidR="0058687C">
        <w:t xml:space="preserve"> </w:t>
      </w:r>
      <w:r w:rsidRPr="007C0488">
        <w:t>because of housing or family reasons rather than work. People who are more established in a</w:t>
      </w:r>
      <w:r w:rsidR="0058687C">
        <w:t xml:space="preserve">n </w:t>
      </w:r>
      <w:r w:rsidRPr="007C0488">
        <w:t>area</w:t>
      </w:r>
      <w:r w:rsidR="00007DA2">
        <w:t xml:space="preserve"> – </w:t>
      </w:r>
      <w:r w:rsidRPr="007C0488">
        <w:t>such as those with children and those who own their own home</w:t>
      </w:r>
      <w:r w:rsidR="00007DA2">
        <w:t xml:space="preserve"> – </w:t>
      </w:r>
      <w:r w:rsidRPr="007C0488">
        <w:t>are less likely to move. Long</w:t>
      </w:r>
      <w:r w:rsidR="005F5800">
        <w:noBreakHyphen/>
      </w:r>
      <w:r w:rsidRPr="007C0488">
        <w:t>term unemployed also face additional challenges in moving long distances in search of work.</w:t>
      </w:r>
      <w:r w:rsidRPr="00467FF6">
        <w:rPr>
          <w:rStyle w:val="FootnoteReference"/>
        </w:rPr>
        <w:footnoteReference w:id="17"/>
      </w:r>
      <w:r w:rsidRPr="007C0488">
        <w:t xml:space="preserve"> </w:t>
      </w:r>
    </w:p>
    <w:p w14:paraId="584FBF11" w14:textId="7ECC6C0E" w:rsidR="00446FBF" w:rsidRDefault="00446FBF" w:rsidP="00CB203D">
      <w:pPr>
        <w:pStyle w:val="Bullet"/>
      </w:pPr>
      <w:r w:rsidRPr="007C0488">
        <w:t>Workers moving to jobs via long</w:t>
      </w:r>
      <w:r w:rsidR="005C2BD6">
        <w:t xml:space="preserve"> </w:t>
      </w:r>
      <w:r w:rsidRPr="007C0488">
        <w:t>distance</w:t>
      </w:r>
      <w:r>
        <w:t xml:space="preserve"> commuting: for employers and employees who </w:t>
      </w:r>
      <w:r w:rsidR="0058687C">
        <w:t xml:space="preserve">cannot </w:t>
      </w:r>
      <w:r>
        <w:t xml:space="preserve">or </w:t>
      </w:r>
      <w:r w:rsidR="0058687C">
        <w:t xml:space="preserve">will not </w:t>
      </w:r>
      <w:r>
        <w:t>permanently move location, fly</w:t>
      </w:r>
      <w:r w:rsidR="005F5800">
        <w:noBreakHyphen/>
      </w:r>
      <w:r>
        <w:t>in</w:t>
      </w:r>
      <w:r w:rsidR="005C2BD6">
        <w:t xml:space="preserve"> </w:t>
      </w:r>
      <w:r>
        <w:t>fly</w:t>
      </w:r>
      <w:r w:rsidR="005F5800">
        <w:noBreakHyphen/>
      </w:r>
      <w:r>
        <w:t>out (FIFO)</w:t>
      </w:r>
      <w:r w:rsidR="000C6C78">
        <w:t xml:space="preserve"> and drive</w:t>
      </w:r>
      <w:r w:rsidR="005F5800">
        <w:noBreakHyphen/>
      </w:r>
      <w:r w:rsidR="000C6C78">
        <w:t>in</w:t>
      </w:r>
      <w:r w:rsidR="005C2BD6">
        <w:t xml:space="preserve"> </w:t>
      </w:r>
      <w:r w:rsidR="000C6C78">
        <w:t>drive</w:t>
      </w:r>
      <w:r w:rsidR="005F5800">
        <w:noBreakHyphen/>
      </w:r>
      <w:r w:rsidR="000C6C78">
        <w:t>out (DIDO)</w:t>
      </w:r>
      <w:r>
        <w:t xml:space="preserve"> provides an alternative pathway for managing geographical mismatch. This approach has been a defining characteristic of Australia</w:t>
      </w:r>
      <w:r w:rsidR="005F5800">
        <w:t>’</w:t>
      </w:r>
      <w:r>
        <w:t xml:space="preserve">s </w:t>
      </w:r>
      <w:r w:rsidRPr="00385057">
        <w:t>mining</w:t>
      </w:r>
      <w:r>
        <w:t xml:space="preserve"> booms with significant </w:t>
      </w:r>
      <w:r w:rsidR="001452DE">
        <w:t xml:space="preserve">population </w:t>
      </w:r>
      <w:r>
        <w:t xml:space="preserve">shares of mining </w:t>
      </w:r>
      <w:r w:rsidRPr="00CB203D">
        <w:t>regions</w:t>
      </w:r>
      <w:r>
        <w:t xml:space="preserve"> appearing to be FIFO workers.</w:t>
      </w:r>
      <w:r>
        <w:rPr>
          <w:rStyle w:val="FootnoteReference"/>
        </w:rPr>
        <w:footnoteReference w:id="18"/>
      </w:r>
      <w:r>
        <w:t xml:space="preserve"> </w:t>
      </w:r>
      <w:r w:rsidR="00AD4824">
        <w:t xml:space="preserve">Long distance commuting </w:t>
      </w:r>
      <w:r>
        <w:t>is also playing a role in hybrid arrangements with remote work.</w:t>
      </w:r>
    </w:p>
    <w:p w14:paraId="6133B963" w14:textId="301C9D85" w:rsidR="0061437E" w:rsidRDefault="00446FBF" w:rsidP="00816A77">
      <w:pPr>
        <w:pStyle w:val="Bullet"/>
        <w:spacing w:after="0"/>
      </w:pPr>
      <w:r>
        <w:lastRenderedPageBreak/>
        <w:t>Jobs moving to workers via remote work: remote work is an option</w:t>
      </w:r>
      <w:r w:rsidR="001452DE" w:rsidRPr="001452DE">
        <w:t xml:space="preserve"> </w:t>
      </w:r>
      <w:r w:rsidR="001452DE">
        <w:t>in some jobs</w:t>
      </w:r>
      <w:r>
        <w:t xml:space="preserve">. This allows workers and jobs in different regions </w:t>
      </w:r>
      <w:r w:rsidRPr="00CB203D">
        <w:t>to</w:t>
      </w:r>
      <w:r>
        <w:t xml:space="preserve"> be matched.</w:t>
      </w:r>
    </w:p>
    <w:p w14:paraId="73B3AA3B" w14:textId="2D116621" w:rsidR="00446FBF" w:rsidRPr="00E357EB" w:rsidRDefault="00446FBF" w:rsidP="00E357EB">
      <w:pPr>
        <w:pStyle w:val="Heading3"/>
      </w:pPr>
      <w:bookmarkStart w:id="20" w:name="_Toc153452412"/>
      <w:r>
        <w:t>The region</w:t>
      </w:r>
      <w:r w:rsidR="00950594">
        <w:t>-</w:t>
      </w:r>
      <w:r>
        <w:t>skill Beveridge Curve</w:t>
      </w:r>
      <w:bookmarkEnd w:id="20"/>
    </w:p>
    <w:p w14:paraId="4E9686FA" w14:textId="09E391CF" w:rsidR="00446FBF" w:rsidRDefault="00446FBF" w:rsidP="00325A54">
      <w:r w:rsidRPr="00E84E31">
        <w:t xml:space="preserve">This </w:t>
      </w:r>
      <w:r w:rsidRPr="008F77A7">
        <w:t>analysis</w:t>
      </w:r>
      <w:r w:rsidRPr="00E84E31">
        <w:t xml:space="preserve"> splits </w:t>
      </w:r>
      <w:r w:rsidR="00EF51DC">
        <w:t xml:space="preserve">the </w:t>
      </w:r>
      <w:r w:rsidRPr="00E84E31">
        <w:t xml:space="preserve">labour market into 37 regions </w:t>
      </w:r>
      <w:r>
        <w:t xml:space="preserve">and </w:t>
      </w:r>
      <w:r w:rsidRPr="00E84E31">
        <w:t xml:space="preserve">3 skill groups </w:t>
      </w:r>
      <w:r w:rsidR="00AA7A9A">
        <w:t xml:space="preserve">(used in Section </w:t>
      </w:r>
      <w:r w:rsidR="00DE5AA6">
        <w:t>3</w:t>
      </w:r>
      <w:r w:rsidR="00AA7A9A">
        <w:t xml:space="preserve">) to </w:t>
      </w:r>
      <w:r w:rsidRPr="00E84E31">
        <w:t xml:space="preserve">explore </w:t>
      </w:r>
      <w:r>
        <w:t>111 region</w:t>
      </w:r>
      <w:r w:rsidR="005F5800">
        <w:noBreakHyphen/>
      </w:r>
      <w:r>
        <w:t xml:space="preserve">skill labour markets in Australia between 2016 and 2022 (see Appendix </w:t>
      </w:r>
      <w:r w:rsidR="00417710">
        <w:t>D</w:t>
      </w:r>
      <w:r>
        <w:t>).</w:t>
      </w:r>
    </w:p>
    <w:p w14:paraId="46A645D2" w14:textId="0D84B05C" w:rsidR="00446FBF" w:rsidRDefault="00446FBF" w:rsidP="00D23A0A">
      <w:r>
        <w:t xml:space="preserve">These regions are used to allow the use of JSA Internet Vacancy Index data by </w:t>
      </w:r>
      <w:r w:rsidR="00EB63DC">
        <w:t>region and</w:t>
      </w:r>
      <w:r>
        <w:t xml:space="preserve"> can provide an overview of regional labour market characteristics. However, some regions span particularly large areas, meaning that some geographic mismatch remains even when looking at specific regions.</w:t>
      </w:r>
    </w:p>
    <w:p w14:paraId="64C12F55" w14:textId="3D2DF16B" w:rsidR="0031591B" w:rsidRDefault="003B06C2" w:rsidP="00D23A0A">
      <w:pPr>
        <w:rPr>
          <w:color w:val="000000" w:themeColor="text1"/>
        </w:rPr>
      </w:pPr>
      <w:r>
        <w:t>All quarterly observations for the region</w:t>
      </w:r>
      <w:r w:rsidR="005F5800">
        <w:noBreakHyphen/>
      </w:r>
      <w:r>
        <w:t xml:space="preserve">skill labour market cells are presented in </w:t>
      </w:r>
      <w:r w:rsidR="00FF6427">
        <w:t>Chart </w:t>
      </w:r>
      <w:r w:rsidR="00DE5AA6">
        <w:t>4</w:t>
      </w:r>
      <w:r>
        <w:t xml:space="preserve">.1. It shows </w:t>
      </w:r>
      <w:r w:rsidRPr="003B06C2">
        <w:rPr>
          <w:color w:val="000000" w:themeColor="text1"/>
        </w:rPr>
        <w:t>that</w:t>
      </w:r>
      <w:r w:rsidR="00105AF7">
        <w:rPr>
          <w:color w:val="000000" w:themeColor="text1"/>
        </w:rPr>
        <w:t xml:space="preserve"> </w:t>
      </w:r>
      <w:r w:rsidR="00A608C3">
        <w:rPr>
          <w:color w:val="000000" w:themeColor="text1"/>
        </w:rPr>
        <w:t xml:space="preserve">the </w:t>
      </w:r>
      <w:r w:rsidR="00CF4A29">
        <w:rPr>
          <w:color w:val="000000" w:themeColor="text1"/>
        </w:rPr>
        <w:t>high-skill</w:t>
      </w:r>
      <w:r w:rsidRPr="003B06C2">
        <w:rPr>
          <w:color w:val="000000" w:themeColor="text1"/>
        </w:rPr>
        <w:t xml:space="preserve"> </w:t>
      </w:r>
      <w:r w:rsidR="00A608C3">
        <w:rPr>
          <w:color w:val="000000" w:themeColor="text1"/>
        </w:rPr>
        <w:t xml:space="preserve">group has </w:t>
      </w:r>
      <w:r w:rsidRPr="003B06C2">
        <w:rPr>
          <w:color w:val="000000" w:themeColor="text1"/>
        </w:rPr>
        <w:t xml:space="preserve">persistently lower rates of unemployment for a given vacancy level than middle or </w:t>
      </w:r>
      <w:r w:rsidR="00FD66B1">
        <w:rPr>
          <w:color w:val="000000" w:themeColor="text1"/>
        </w:rPr>
        <w:t>low-skill</w:t>
      </w:r>
      <w:r w:rsidRPr="003B06C2">
        <w:rPr>
          <w:color w:val="000000" w:themeColor="text1"/>
        </w:rPr>
        <w:t xml:space="preserve"> groups.</w:t>
      </w:r>
      <w:r>
        <w:rPr>
          <w:color w:val="000000" w:themeColor="text1"/>
        </w:rPr>
        <w:t xml:space="preserve"> </w:t>
      </w:r>
      <w:r w:rsidR="007C5DD2">
        <w:rPr>
          <w:color w:val="000000" w:themeColor="text1"/>
        </w:rPr>
        <w:t xml:space="preserve">Across regions, </w:t>
      </w:r>
      <w:r w:rsidR="00FD66B1">
        <w:rPr>
          <w:color w:val="000000" w:themeColor="text1"/>
        </w:rPr>
        <w:t>low-skill</w:t>
      </w:r>
      <w:r w:rsidRPr="003B06C2">
        <w:rPr>
          <w:color w:val="000000" w:themeColor="text1"/>
        </w:rPr>
        <w:t xml:space="preserve"> groups</w:t>
      </w:r>
      <w:r w:rsidR="00976C03">
        <w:rPr>
          <w:color w:val="000000" w:themeColor="text1"/>
        </w:rPr>
        <w:t xml:space="preserve"> </w:t>
      </w:r>
      <w:r w:rsidR="00FA4025">
        <w:rPr>
          <w:color w:val="000000" w:themeColor="text1"/>
        </w:rPr>
        <w:t xml:space="preserve">tend to </w:t>
      </w:r>
      <w:r w:rsidRPr="003B06C2">
        <w:rPr>
          <w:color w:val="000000" w:themeColor="text1"/>
        </w:rPr>
        <w:t xml:space="preserve">have higher unemployment </w:t>
      </w:r>
      <w:r w:rsidRPr="00A761CC">
        <w:rPr>
          <w:rStyle w:val="Emphasis"/>
        </w:rPr>
        <w:t xml:space="preserve">and </w:t>
      </w:r>
      <w:r w:rsidRPr="003B06C2">
        <w:rPr>
          <w:color w:val="000000" w:themeColor="text1"/>
        </w:rPr>
        <w:t>vacanc</w:t>
      </w:r>
      <w:r w:rsidR="00FA4025">
        <w:rPr>
          <w:color w:val="000000" w:themeColor="text1"/>
        </w:rPr>
        <w:t>y rates</w:t>
      </w:r>
      <w:r>
        <w:rPr>
          <w:color w:val="000000" w:themeColor="text1"/>
        </w:rPr>
        <w:t xml:space="preserve">. </w:t>
      </w:r>
    </w:p>
    <w:p w14:paraId="74931F5F" w14:textId="65FAAD27" w:rsidR="00D07488" w:rsidRPr="0031591B" w:rsidRDefault="003B06C2" w:rsidP="00D23A0A">
      <w:pPr>
        <w:rPr>
          <w:color w:val="000000" w:themeColor="text1"/>
        </w:rPr>
      </w:pPr>
      <w:r w:rsidRPr="003B06C2">
        <w:rPr>
          <w:color w:val="000000" w:themeColor="text1"/>
        </w:rPr>
        <w:t xml:space="preserve">Low and </w:t>
      </w:r>
      <w:r w:rsidR="00FD66B1">
        <w:rPr>
          <w:color w:val="000000" w:themeColor="text1"/>
        </w:rPr>
        <w:t>middle-skill</w:t>
      </w:r>
      <w:r w:rsidRPr="003B06C2">
        <w:rPr>
          <w:color w:val="000000" w:themeColor="text1"/>
        </w:rPr>
        <w:t xml:space="preserve"> groups tend to be below the </w:t>
      </w:r>
      <w:r w:rsidR="005F5800">
        <w:rPr>
          <w:color w:val="000000" w:themeColor="text1"/>
        </w:rPr>
        <w:t>‘</w:t>
      </w:r>
      <m:oMath>
        <m:r>
          <w:rPr>
            <w:rFonts w:ascii="Cambria Math" w:hAnsi="Cambria Math"/>
            <w:color w:val="000000" w:themeColor="text1"/>
          </w:rPr>
          <m:t>u=v</m:t>
        </m:r>
      </m:oMath>
      <w:r w:rsidR="005F5800">
        <w:rPr>
          <w:color w:val="000000" w:themeColor="text1"/>
        </w:rPr>
        <w:t>’</w:t>
      </w:r>
      <w:r w:rsidRPr="003B06C2">
        <w:rPr>
          <w:color w:val="000000" w:themeColor="text1"/>
        </w:rPr>
        <w:t xml:space="preserve"> line (where vacancies equal unemployment).</w:t>
      </w:r>
      <w:r w:rsidR="0031591B">
        <w:rPr>
          <w:color w:val="000000" w:themeColor="text1"/>
        </w:rPr>
        <w:t xml:space="preserve"> However, t</w:t>
      </w:r>
      <w:r w:rsidRPr="003B06C2">
        <w:rPr>
          <w:color w:val="000000" w:themeColor="text1"/>
        </w:rPr>
        <w:t>here are some outliers</w:t>
      </w:r>
      <w:r w:rsidR="0031591B">
        <w:rPr>
          <w:color w:val="000000" w:themeColor="text1"/>
        </w:rPr>
        <w:t xml:space="preserve"> that sit above </w:t>
      </w:r>
      <w:r w:rsidR="009C144F">
        <w:rPr>
          <w:color w:val="000000" w:themeColor="text1"/>
        </w:rPr>
        <w:t xml:space="preserve">that </w:t>
      </w:r>
      <w:r w:rsidR="0031591B">
        <w:rPr>
          <w:color w:val="000000" w:themeColor="text1"/>
        </w:rPr>
        <w:t>line</w:t>
      </w:r>
      <w:r w:rsidR="009C144F">
        <w:rPr>
          <w:color w:val="000000" w:themeColor="text1"/>
        </w:rPr>
        <w:t xml:space="preserve">, with </w:t>
      </w:r>
      <w:r w:rsidR="00A01820">
        <w:rPr>
          <w:color w:val="000000" w:themeColor="text1"/>
        </w:rPr>
        <w:t xml:space="preserve">greater vacancies than unemployed </w:t>
      </w:r>
      <w:r w:rsidR="006476F4">
        <w:rPr>
          <w:color w:val="000000" w:themeColor="text1"/>
        </w:rPr>
        <w:t xml:space="preserve">within or </w:t>
      </w:r>
      <w:r w:rsidR="00A01820">
        <w:rPr>
          <w:color w:val="000000" w:themeColor="text1"/>
        </w:rPr>
        <w:t>across skill groups.</w:t>
      </w:r>
      <w:r w:rsidR="001202F2">
        <w:rPr>
          <w:color w:val="000000" w:themeColor="text1"/>
        </w:rPr>
        <w:t xml:space="preserve"> These areas tend to be in smaller capital cities</w:t>
      </w:r>
      <w:r w:rsidR="00774A19">
        <w:rPr>
          <w:color w:val="000000" w:themeColor="text1"/>
        </w:rPr>
        <w:t>.</w:t>
      </w:r>
    </w:p>
    <w:p w14:paraId="5A6E6045" w14:textId="3477565C" w:rsidR="00E0560C" w:rsidRDefault="00E0560C" w:rsidP="00CB203D">
      <w:pPr>
        <w:pStyle w:val="ChartMainHeading"/>
      </w:pPr>
      <w:r w:rsidRPr="00CB203D">
        <w:t>Beveridge</w:t>
      </w:r>
      <w:r>
        <w:t xml:space="preserve"> </w:t>
      </w:r>
      <w:r w:rsidRPr="00E357EB">
        <w:t>curve</w:t>
      </w:r>
      <w:r>
        <w:t xml:space="preserve"> by skill and geography, 2016</w:t>
      </w:r>
      <w:r w:rsidR="002A4BD3">
        <w:t>–</w:t>
      </w:r>
      <w:r>
        <w:t>2022</w:t>
      </w:r>
    </w:p>
    <w:p w14:paraId="57702223" w14:textId="77777777" w:rsidR="00E0560C" w:rsidRPr="00CB203D" w:rsidRDefault="00E0560C" w:rsidP="00CB203D">
      <w:pPr>
        <w:pStyle w:val="ChartSecondHeading"/>
      </w:pPr>
      <w:r w:rsidRPr="00CB203D">
        <w:t>Each point represents a quarterly observation of a skill group in a labour region. Log scales.</w:t>
      </w:r>
    </w:p>
    <w:p w14:paraId="03DA8836" w14:textId="61B62B41" w:rsidR="00E0560C" w:rsidRPr="00E357EB" w:rsidRDefault="00D435C7" w:rsidP="00E357EB">
      <w:pPr>
        <w:pStyle w:val="ChartGraphic"/>
      </w:pPr>
      <w:r>
        <w:rPr>
          <w:noProof/>
        </w:rPr>
        <w:drawing>
          <wp:inline distT="0" distB="0" distL="0" distR="0" wp14:anchorId="194305E8" wp14:editId="4B9DD439">
            <wp:extent cx="5919470" cy="2993390"/>
            <wp:effectExtent l="0" t="0" r="0" b="0"/>
            <wp:docPr id="2" name="Picture 2" descr="A scatter plot with vacancy rate on the vertical axis and the unemployment rate on the horizontal axis, with about 3000 points each representing a unique region, skill level at a point in time. High skill points tend to have lower unemployment and vacancy rates than low skill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atter plot with vacancy rate on the vertical axis and the unemployment rate on the horizontal axis, with about 3000 points each representing a unique region, skill level at a point in time. High skill points tend to have lower unemployment and vacancy rates than low skill poi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470" cy="2993390"/>
                    </a:xfrm>
                    <a:prstGeom prst="rect">
                      <a:avLst/>
                    </a:prstGeom>
                    <a:noFill/>
                  </pic:spPr>
                </pic:pic>
              </a:graphicData>
            </a:graphic>
          </wp:inline>
        </w:drawing>
      </w:r>
    </w:p>
    <w:p w14:paraId="71A83DE1" w14:textId="0A02F98F" w:rsidR="00E0560C" w:rsidRPr="0061437E" w:rsidRDefault="00E0560C" w:rsidP="00625761">
      <w:pPr>
        <w:pStyle w:val="ChartTableFigureNoteorSource"/>
      </w:pPr>
      <w:r w:rsidRPr="0061437E">
        <w:t xml:space="preserve">Source: </w:t>
      </w:r>
      <w:r w:rsidR="00CB203D">
        <w:tab/>
      </w:r>
      <w:r w:rsidRPr="00617EE4">
        <w:t xml:space="preserve">Treasury analysis of ABS Longitudinal Labour Force Survey, ABS Job Vacancies, JSA Internet </w:t>
      </w:r>
      <w:r w:rsidRPr="0061437E">
        <w:t>Vacancy</w:t>
      </w:r>
      <w:r w:rsidRPr="00617EE4">
        <w:t xml:space="preserve"> Index.</w:t>
      </w:r>
    </w:p>
    <w:p w14:paraId="1A45214C" w14:textId="77777777" w:rsidR="00FF6427" w:rsidRDefault="00FF6427" w:rsidP="00FF6427">
      <w:pPr>
        <w:pStyle w:val="ChartTableFiguresectionline"/>
      </w:pPr>
    </w:p>
    <w:p w14:paraId="03B0F49D" w14:textId="77777777" w:rsidR="006139C1" w:rsidRPr="006139C1" w:rsidRDefault="006139C1" w:rsidP="006139C1">
      <w:bookmarkStart w:id="21" w:name="_Toc153452413"/>
      <w:r w:rsidRPr="006139C1">
        <w:br w:type="page"/>
      </w:r>
    </w:p>
    <w:p w14:paraId="062996FB" w14:textId="7F29DA84" w:rsidR="00446FBF" w:rsidRDefault="00446FBF" w:rsidP="005E5F75">
      <w:pPr>
        <w:pStyle w:val="Heading2Numbered"/>
      </w:pPr>
      <w:r>
        <w:lastRenderedPageBreak/>
        <w:t xml:space="preserve">Different labour </w:t>
      </w:r>
      <w:r w:rsidRPr="008D6465">
        <w:t>market</w:t>
      </w:r>
      <w:r>
        <w:t xml:space="preserve"> </w:t>
      </w:r>
      <w:r w:rsidR="00FC43D4">
        <w:t xml:space="preserve">conditions </w:t>
      </w:r>
      <w:r>
        <w:t>across regions</w:t>
      </w:r>
      <w:bookmarkEnd w:id="21"/>
    </w:p>
    <w:p w14:paraId="0491CAB1" w14:textId="6F000581" w:rsidR="00446FBF" w:rsidRDefault="00446FBF" w:rsidP="007C0488">
      <w:r>
        <w:t>The methodology developed across this</w:t>
      </w:r>
      <w:r w:rsidR="00912AEF">
        <w:t>,</w:t>
      </w:r>
      <w:r>
        <w:t xml:space="preserve"> and the previous </w:t>
      </w:r>
      <w:r w:rsidR="0091279B">
        <w:t>sections</w:t>
      </w:r>
      <w:r w:rsidR="00912AEF">
        <w:t>,</w:t>
      </w:r>
      <w:r>
        <w:t xml:space="preserve"> allow</w:t>
      </w:r>
      <w:r w:rsidR="00A35D99">
        <w:t xml:space="preserve">s </w:t>
      </w:r>
      <w:r>
        <w:t>us to measure labour market conditions over time for individual labour markets (within skills and within regions).</w:t>
      </w:r>
    </w:p>
    <w:p w14:paraId="0ECE896C" w14:textId="034CAF4D" w:rsidR="00446FBF" w:rsidRDefault="00446FBF" w:rsidP="007C0488">
      <w:r>
        <w:t>The analysis shows that a broad range of labour market conditions exist within Australia at any point. Case studies are presented in the figures below to illustrate these structural and temporary differences.</w:t>
      </w:r>
      <w:r w:rsidR="00020DD1">
        <w:t xml:space="preserve"> </w:t>
      </w:r>
      <w:r w:rsidR="00DE5AA6">
        <w:t>T</w:t>
      </w:r>
      <w:r>
        <w:t xml:space="preserve">he following figures </w:t>
      </w:r>
      <w:r w:rsidRPr="0014227E">
        <w:t>show unemployment rates and vacancy rates for</w:t>
      </w:r>
      <w:r>
        <w:t xml:space="preserve"> each region</w:t>
      </w:r>
      <w:r w:rsidR="005F5800">
        <w:noBreakHyphen/>
      </w:r>
      <w:r>
        <w:t>skill labour market.</w:t>
      </w:r>
    </w:p>
    <w:p w14:paraId="247ABE91" w14:textId="1B4B940D" w:rsidR="00446FBF" w:rsidRPr="00AC6CE3" w:rsidRDefault="00446FBF" w:rsidP="0096455A">
      <w:pPr>
        <w:pStyle w:val="Heading3"/>
      </w:pPr>
      <w:bookmarkStart w:id="22" w:name="_Toc153452414"/>
      <w:r w:rsidRPr="008E20B6">
        <w:t>Sydney</w:t>
      </w:r>
      <w:r w:rsidRPr="00A946A2">
        <w:t>: Similar trends to national average</w:t>
      </w:r>
      <w:bookmarkEnd w:id="22"/>
    </w:p>
    <w:p w14:paraId="18A1C16D" w14:textId="1110C308" w:rsidR="00446FBF" w:rsidRPr="00DA20E3" w:rsidRDefault="00446FBF" w:rsidP="00B079CC">
      <w:r w:rsidRPr="00B23942">
        <w:t>The Sydney labour market</w:t>
      </w:r>
      <w:r w:rsidRPr="00114DE1">
        <w:rPr>
          <w:b/>
          <w:bCs/>
        </w:rPr>
        <w:t xml:space="preserve"> </w:t>
      </w:r>
      <w:r>
        <w:t>tends to have higher demand and similar unemployment levels to the national average.</w:t>
      </w:r>
      <w:r w:rsidR="00B079CC">
        <w:t xml:space="preserve"> </w:t>
      </w:r>
      <w:r>
        <w:t>The overall vacancy rate (</w:t>
      </w:r>
      <w:r w:rsidR="00FD1745">
        <w:t>P</w:t>
      </w:r>
      <w:r>
        <w:t>anel</w:t>
      </w:r>
      <w:r w:rsidR="00FD1745">
        <w:t xml:space="preserve"> A</w:t>
      </w:r>
      <w:r>
        <w:t>) was relatively flat between 2016 and 2019, before dropping quickly in 2020 and rebounding to surpass previous levels</w:t>
      </w:r>
      <w:r w:rsidR="00BC19D4">
        <w:t xml:space="preserve"> (Chart 4.2)</w:t>
      </w:r>
      <w:r>
        <w:t>. The unemployment rate has moved broadly inversely to the vacancy rate.</w:t>
      </w:r>
    </w:p>
    <w:p w14:paraId="09520BD5" w14:textId="3105FCFB" w:rsidR="00446FBF" w:rsidRDefault="00446FBF" w:rsidP="00B079CC">
      <w:r>
        <w:t xml:space="preserve">The </w:t>
      </w:r>
      <w:r w:rsidR="00CF4A29">
        <w:t>high-skill</w:t>
      </w:r>
      <w:r>
        <w:t xml:space="preserve"> labour market (</w:t>
      </w:r>
      <w:r w:rsidR="00FD1745">
        <w:t>Panel B</w:t>
      </w:r>
      <w:r>
        <w:t xml:space="preserve">) tends to be tighter than the middle and </w:t>
      </w:r>
      <w:r w:rsidR="00FD66B1">
        <w:t>low-skill</w:t>
      </w:r>
      <w:r>
        <w:t xml:space="preserve"> labour markets.</w:t>
      </w:r>
      <w:r w:rsidR="00B079CC">
        <w:t xml:space="preserve"> </w:t>
      </w:r>
      <w:r>
        <w:t xml:space="preserve">The </w:t>
      </w:r>
      <w:r w:rsidR="00FD66B1">
        <w:t>middle-skill</w:t>
      </w:r>
      <w:r>
        <w:t xml:space="preserve"> labour market (</w:t>
      </w:r>
      <w:r w:rsidR="00FD1745">
        <w:t>Panel C</w:t>
      </w:r>
      <w:r>
        <w:t xml:space="preserve">) is persistently looser than the </w:t>
      </w:r>
      <w:r w:rsidR="00CF4A29">
        <w:t>high-skill</w:t>
      </w:r>
      <w:r>
        <w:t xml:space="preserve"> group, with higher unemployment and lower labour demand. However, the </w:t>
      </w:r>
      <w:r w:rsidR="00FD66B1">
        <w:t>middle-skill</w:t>
      </w:r>
      <w:r>
        <w:t xml:space="preserve"> Sydney labour market has tightened significantly over the past </w:t>
      </w:r>
      <w:r w:rsidR="00A35D99">
        <w:t>2</w:t>
      </w:r>
      <w:r w:rsidR="00CB0CA1">
        <w:t> year</w:t>
      </w:r>
      <w:r>
        <w:t>s, in line with the national labour market.</w:t>
      </w:r>
    </w:p>
    <w:p w14:paraId="49152E85" w14:textId="2233379B" w:rsidR="00890952" w:rsidRDefault="00446FBF" w:rsidP="009D19C0">
      <w:r>
        <w:t xml:space="preserve">The </w:t>
      </w:r>
      <w:r w:rsidR="00FD66B1">
        <w:t>low-skill</w:t>
      </w:r>
      <w:r>
        <w:t xml:space="preserve"> labour market (</w:t>
      </w:r>
      <w:r w:rsidR="00FD1745">
        <w:t>Panel D</w:t>
      </w:r>
      <w:r>
        <w:t xml:space="preserve">) has higher rates of unemployment and higher rates of vacancies. </w:t>
      </w:r>
      <w:r w:rsidR="00CF4A29">
        <w:t>Low-skill</w:t>
      </w:r>
      <w:r>
        <w:t xml:space="preserve"> labour demand in Sydney grew rapidly since mid</w:t>
      </w:r>
      <w:r w:rsidR="005F5800">
        <w:noBreakHyphen/>
      </w:r>
      <w:r>
        <w:t xml:space="preserve">2020. Unemployment rates followed, starting to decline from early 2021 and </w:t>
      </w:r>
      <w:r w:rsidR="001F5B55">
        <w:t xml:space="preserve">by 2023 were </w:t>
      </w:r>
      <w:r>
        <w:t>below pre</w:t>
      </w:r>
      <w:r w:rsidR="005F5800">
        <w:noBreakHyphen/>
      </w:r>
      <w:r>
        <w:t>pandemic levels and rising vacancy rates. But within</w:t>
      </w:r>
      <w:r w:rsidR="005F5800">
        <w:noBreakHyphen/>
      </w:r>
      <w:r>
        <w:t xml:space="preserve">skill level mismatch remains high, with about </w:t>
      </w:r>
      <w:r w:rsidR="00D5204D">
        <w:t>8</w:t>
      </w:r>
      <w:r w:rsidR="001F3E06">
        <w:t> per c</w:t>
      </w:r>
      <w:r>
        <w:t>ent of the labour force unable to be matched to available jobs.</w:t>
      </w:r>
    </w:p>
    <w:p w14:paraId="3A53A834" w14:textId="0C9E2618" w:rsidR="00E95738" w:rsidRDefault="00354A0D" w:rsidP="00CB203D">
      <w:pPr>
        <w:pStyle w:val="ChartMainHeading"/>
      </w:pPr>
      <w:r>
        <w:t>Sydney</w:t>
      </w:r>
      <w:r w:rsidR="00D33D92">
        <w:t xml:space="preserve"> unemployment and vacancy shares by skill group</w:t>
      </w:r>
    </w:p>
    <w:p w14:paraId="65B7D622" w14:textId="5CBA0833" w:rsidR="00E95738" w:rsidRPr="00E357EB" w:rsidRDefault="00894FAF" w:rsidP="00E357EB">
      <w:pPr>
        <w:pStyle w:val="ChartGraphic"/>
      </w:pPr>
      <w:r>
        <w:rPr>
          <w:noProof/>
        </w:rPr>
        <w:drawing>
          <wp:inline distT="0" distB="0" distL="0" distR="0" wp14:anchorId="3FF1FFC6" wp14:editId="7DB09DD5">
            <wp:extent cx="5749290" cy="2786380"/>
            <wp:effectExtent l="0" t="0" r="3810" b="0"/>
            <wp:docPr id="19" name="Picture 19" descr="A line chart with four panels showing unemployment and vacancy rates for Sydney between 2016 and 2023. Panel A shows the series for the whole labour market, where unemployment was about 4 per cent and the vacancy rate was about 2.5 per cent before 2020, and have since converged to both be about 4 per cent by mid 2022. Panel B shows the series for the high skill labour market, which has persistently lower unemployment rates. Panel C shows middle skill, which has higher unemployment rate, and Panel D shows low skill, which has both higher unemployment and higher vacancy rates than the oth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ine chart with four panels showing unemployment and vacancy rates for Sydney between 2016 and 2023. Panel A shows the series for the whole labour market, where unemployment was about 4 per cent and the vacancy rate was about 2.5 per cent before 2020, and have since converged to both be about 4 per cent by mid 2022. Panel B shows the series for the high skill labour market, which has persistently lower unemployment rates. Panel C shows middle skill, which has higher unemployment rate, and Panel D shows low skill, which has both higher unemployment and higher vacancy rates than the other grou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290" cy="2786380"/>
                    </a:xfrm>
                    <a:prstGeom prst="rect">
                      <a:avLst/>
                    </a:prstGeom>
                    <a:noFill/>
                  </pic:spPr>
                </pic:pic>
              </a:graphicData>
            </a:graphic>
          </wp:inline>
        </w:drawing>
      </w:r>
    </w:p>
    <w:p w14:paraId="589EC9E4" w14:textId="2DF190A7" w:rsidR="00E95738" w:rsidRPr="00C563D4" w:rsidRDefault="00E95738" w:rsidP="00625761">
      <w:pPr>
        <w:pStyle w:val="ChartTableFigureNoteorSource"/>
      </w:pPr>
      <w:r w:rsidRPr="00C563D4">
        <w:t xml:space="preserve">Source: </w:t>
      </w:r>
      <w:r w:rsidR="00CB203D">
        <w:tab/>
      </w:r>
      <w:r>
        <w:rPr>
          <w:noProof/>
        </w:rPr>
        <w:t>Treasury analysis of ABS Longitudinal Labour Force Survey, ABS Job Vacancies, JSA Internet Vacancy Index.</w:t>
      </w:r>
    </w:p>
    <w:p w14:paraId="7C2F9E0F" w14:textId="77777777" w:rsidR="00FF6427" w:rsidRDefault="00FF6427" w:rsidP="00FF6427">
      <w:pPr>
        <w:pStyle w:val="ChartTableFiguresectionline"/>
      </w:pPr>
    </w:p>
    <w:p w14:paraId="1A4AEE19" w14:textId="6EAA2B64" w:rsidR="00446FBF" w:rsidRPr="00340B02" w:rsidRDefault="00446FBF" w:rsidP="0096455A">
      <w:pPr>
        <w:pStyle w:val="Heading3"/>
      </w:pPr>
      <w:bookmarkStart w:id="23" w:name="_Toc153452415"/>
      <w:r w:rsidRPr="00340B02">
        <w:lastRenderedPageBreak/>
        <w:t xml:space="preserve">Darwin: Persistent </w:t>
      </w:r>
      <w:r w:rsidR="005D600A">
        <w:t>within</w:t>
      </w:r>
      <w:r w:rsidR="00950594">
        <w:t>-</w:t>
      </w:r>
      <w:r w:rsidR="005D600A">
        <w:t xml:space="preserve">skill </w:t>
      </w:r>
      <w:r w:rsidR="009737F3" w:rsidRPr="00E357EB">
        <w:t>labour</w:t>
      </w:r>
      <w:r w:rsidR="009737F3">
        <w:t xml:space="preserve"> </w:t>
      </w:r>
      <w:r w:rsidRPr="00E357EB">
        <w:t>shortages</w:t>
      </w:r>
      <w:bookmarkEnd w:id="23"/>
    </w:p>
    <w:p w14:paraId="2F83E898" w14:textId="50C4CA1C" w:rsidR="003C526D" w:rsidRDefault="00446FBF" w:rsidP="00340B02">
      <w:r w:rsidRPr="001C2916">
        <w:t>Darwin</w:t>
      </w:r>
      <w:r w:rsidR="000B3ABF">
        <w:t xml:space="preserve"> </w:t>
      </w:r>
      <w:r w:rsidRPr="001C2916">
        <w:t xml:space="preserve">has </w:t>
      </w:r>
      <w:r w:rsidR="005E18A4">
        <w:t>had a</w:t>
      </w:r>
      <w:r w:rsidRPr="001C2916">
        <w:t xml:space="preserve"> tight</w:t>
      </w:r>
      <w:r w:rsidR="005E18A4">
        <w:t>er</w:t>
      </w:r>
      <w:r w:rsidRPr="001C2916">
        <w:t xml:space="preserve"> labour market </w:t>
      </w:r>
      <w:r w:rsidR="005E18A4">
        <w:t>than the national average</w:t>
      </w:r>
      <w:r w:rsidR="009C5213">
        <w:t xml:space="preserve">, with about the same number of unemployed job seekers and job vacancies between 2016 </w:t>
      </w:r>
      <w:r w:rsidR="00D738C8">
        <w:t>and 2019</w:t>
      </w:r>
      <w:r w:rsidR="00BC19D4">
        <w:t xml:space="preserve"> (Chart 4.3)</w:t>
      </w:r>
      <w:r w:rsidR="00D738C8">
        <w:t>.</w:t>
      </w:r>
      <w:r w:rsidR="00783D71">
        <w:t xml:space="preserve"> </w:t>
      </w:r>
    </w:p>
    <w:p w14:paraId="6D63838E" w14:textId="75D435DA" w:rsidR="000B676E" w:rsidRDefault="000B676E" w:rsidP="00340B02">
      <w:r>
        <w:t xml:space="preserve">During this time, there was an excess of </w:t>
      </w:r>
      <w:r w:rsidR="00CF4A29">
        <w:t>high-skill</w:t>
      </w:r>
      <w:r w:rsidR="00C72C1E">
        <w:t xml:space="preserve"> labour demand and an excess of </w:t>
      </w:r>
      <w:r w:rsidR="00FD66B1">
        <w:t>low-skill</w:t>
      </w:r>
      <w:r w:rsidR="00C72C1E">
        <w:t xml:space="preserve"> labour supply</w:t>
      </w:r>
      <w:r w:rsidR="005F311B">
        <w:t>.</w:t>
      </w:r>
      <w:r w:rsidR="00303CBC">
        <w:t xml:space="preserve"> </w:t>
      </w:r>
      <w:r w:rsidR="00783D71">
        <w:t>From 2022, the Darwin labour market has</w:t>
      </w:r>
      <w:r w:rsidR="00B87C90">
        <w:t xml:space="preserve"> had a significant excess of labour demand</w:t>
      </w:r>
      <w:r w:rsidR="005F311B">
        <w:t xml:space="preserve">. </w:t>
      </w:r>
      <w:r>
        <w:t>This</w:t>
      </w:r>
      <w:r w:rsidR="00E40265">
        <w:t> </w:t>
      </w:r>
      <w:r>
        <w:t>trend has been seen across all skill</w:t>
      </w:r>
      <w:r w:rsidR="00D20659">
        <w:t> </w:t>
      </w:r>
      <w:r>
        <w:t>levels.</w:t>
      </w:r>
    </w:p>
    <w:p w14:paraId="6265C646" w14:textId="22A0898B" w:rsidR="00A03F47" w:rsidRDefault="00D825A2" w:rsidP="00340B02">
      <w:r>
        <w:t>While</w:t>
      </w:r>
      <w:r w:rsidR="00446FBF" w:rsidRPr="001C2916">
        <w:t xml:space="preserve"> unemployment </w:t>
      </w:r>
      <w:r>
        <w:t xml:space="preserve">rates in Darwin </w:t>
      </w:r>
      <w:r w:rsidR="00D065F7">
        <w:t xml:space="preserve">are </w:t>
      </w:r>
      <w:r>
        <w:t>similar to</w:t>
      </w:r>
      <w:r w:rsidR="00446FBF" w:rsidRPr="001C2916">
        <w:t xml:space="preserve"> national levels</w:t>
      </w:r>
      <w:r>
        <w:t xml:space="preserve">, </w:t>
      </w:r>
      <w:r w:rsidR="003F1438">
        <w:t>v</w:t>
      </w:r>
      <w:r w:rsidR="00446FBF" w:rsidRPr="001C2916">
        <w:t>acanc</w:t>
      </w:r>
      <w:r w:rsidR="003F1438">
        <w:t>y rates are elevated</w:t>
      </w:r>
      <w:r w:rsidR="00446FBF" w:rsidRPr="001C2916">
        <w:t xml:space="preserve"> across </w:t>
      </w:r>
      <w:r w:rsidR="00D678BC">
        <w:t xml:space="preserve">all </w:t>
      </w:r>
      <w:r w:rsidR="00446FBF" w:rsidRPr="001C2916">
        <w:t>skill group</w:t>
      </w:r>
      <w:r w:rsidR="00D678BC">
        <w:t>s</w:t>
      </w:r>
      <w:r w:rsidR="003F1438">
        <w:t>. This indicates</w:t>
      </w:r>
      <w:r w:rsidR="00A83C0B">
        <w:t xml:space="preserve"> that</w:t>
      </w:r>
      <w:r w:rsidR="00427773">
        <w:t xml:space="preserve"> </w:t>
      </w:r>
      <w:r w:rsidR="00D379E2">
        <w:t xml:space="preserve">more </w:t>
      </w:r>
      <w:r w:rsidR="00427773">
        <w:t>jobs and job seekers coexist in the same region with</w:t>
      </w:r>
      <w:r w:rsidR="00D379E2">
        <w:t xml:space="preserve">in </w:t>
      </w:r>
      <w:r w:rsidR="00427773">
        <w:t xml:space="preserve">the same skill level, but </w:t>
      </w:r>
      <w:r w:rsidR="008652EA">
        <w:t>face higher levels of within</w:t>
      </w:r>
      <w:r w:rsidR="005F5800">
        <w:noBreakHyphen/>
      </w:r>
      <w:r w:rsidR="008652EA">
        <w:t xml:space="preserve">skill mismatch. </w:t>
      </w:r>
      <w:r w:rsidR="006A18C3">
        <w:t xml:space="preserve">Darwin has </w:t>
      </w:r>
      <w:r w:rsidR="002E6F95">
        <w:t xml:space="preserve">had </w:t>
      </w:r>
      <w:r w:rsidR="00590803">
        <w:t>a p</w:t>
      </w:r>
      <w:r w:rsidR="00446FBF" w:rsidRPr="001C2916">
        <w:t>ersistent shortage</w:t>
      </w:r>
      <w:r w:rsidR="002E6F95">
        <w:t xml:space="preserve"> of</w:t>
      </w:r>
      <w:r w:rsidR="00446FBF" w:rsidRPr="001C2916">
        <w:t xml:space="preserve"> workers</w:t>
      </w:r>
      <w:r w:rsidR="002E6F95">
        <w:t xml:space="preserve"> in across the </w:t>
      </w:r>
      <w:r w:rsidR="005C7980">
        <w:t xml:space="preserve">3 </w:t>
      </w:r>
      <w:r w:rsidR="002E6F95">
        <w:t>skill groups</w:t>
      </w:r>
      <w:r w:rsidR="005C7980" w:rsidRPr="005C7980">
        <w:t xml:space="preserve"> </w:t>
      </w:r>
      <w:r w:rsidR="005C7980">
        <w:t>since 202</w:t>
      </w:r>
      <w:r w:rsidR="00303CBC">
        <w:t>1</w:t>
      </w:r>
      <w:r w:rsidR="002E6F95">
        <w:t>.</w:t>
      </w:r>
    </w:p>
    <w:p w14:paraId="05B5F428" w14:textId="5DB224D0" w:rsidR="000F1C58" w:rsidRDefault="007F33B6" w:rsidP="00DE2CB3">
      <w:pPr>
        <w:pStyle w:val="ChartMainHeading"/>
      </w:pPr>
      <w:r w:rsidRPr="00E357EB">
        <w:t>Darwin</w:t>
      </w:r>
      <w:r w:rsidR="000F1C58">
        <w:t xml:space="preserve"> unemployment and vacancy shares by skill group</w:t>
      </w:r>
    </w:p>
    <w:p w14:paraId="306451AA" w14:textId="3B9C7C8B" w:rsidR="000F1C58" w:rsidRPr="00E357EB" w:rsidRDefault="00894FAF" w:rsidP="00E357EB">
      <w:pPr>
        <w:pStyle w:val="ChartGraphic"/>
      </w:pPr>
      <w:r>
        <w:rPr>
          <w:noProof/>
        </w:rPr>
        <w:drawing>
          <wp:inline distT="0" distB="0" distL="0" distR="0" wp14:anchorId="7DA35488" wp14:editId="5F5E4A93">
            <wp:extent cx="5773420" cy="2792095"/>
            <wp:effectExtent l="0" t="0" r="0" b="0"/>
            <wp:docPr id="31" name="Picture 31" descr="A line chart with four panels showing unemployment and vacancy rates for Darwin between 2016 and 2023. Panel A shows the series for the whole labour market, where unemployment and vacancy rates were both about 4 per cent before 2020. The vacancy rate has increased to peak at 8 per cent in mid 2022, while the unemployment rate has declined to about 3 per cent. Panels B, C and D show patterns similar to previous chart, with the low skilled labour market having higher unemployment and vacancy rates than the high skilled labour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ine chart with four panels showing unemployment and vacancy rates for Darwin between 2016 and 2023. Panel A shows the series for the whole labour market, where unemployment and vacancy rates were both about 4 per cent before 2020. The vacancy rate has increased to peak at 8 per cent in mid 2022, while the unemployment rate has declined to about 3 per cent. Panels B, C and D show patterns similar to previous chart, with the low skilled labour market having higher unemployment and vacancy rates than the high skilled labour mark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792095"/>
                    </a:xfrm>
                    <a:prstGeom prst="rect">
                      <a:avLst/>
                    </a:prstGeom>
                    <a:noFill/>
                  </pic:spPr>
                </pic:pic>
              </a:graphicData>
            </a:graphic>
          </wp:inline>
        </w:drawing>
      </w:r>
    </w:p>
    <w:p w14:paraId="139DA3E7" w14:textId="43DACC3C" w:rsidR="000F1C58" w:rsidRPr="00E357EB" w:rsidRDefault="000F1C58" w:rsidP="00625761">
      <w:pPr>
        <w:pStyle w:val="ChartTableFigureNoteorSource"/>
      </w:pPr>
      <w:r w:rsidRPr="00E357EB">
        <w:t xml:space="preserve">Source: </w:t>
      </w:r>
      <w:r w:rsidR="00DE2CB3">
        <w:tab/>
      </w:r>
      <w:r w:rsidRPr="00E357EB">
        <w:t>Treasury analysis of ABS Longitudinal Labour Force Survey, ABS Job Vacancies, JSA Internet Vacancy Index.</w:t>
      </w:r>
    </w:p>
    <w:p w14:paraId="6C7B82E9" w14:textId="77777777" w:rsidR="00FF6427" w:rsidRDefault="00FF6427" w:rsidP="00FF6427">
      <w:pPr>
        <w:pStyle w:val="ChartTableFiguresectionline"/>
      </w:pPr>
    </w:p>
    <w:p w14:paraId="7C4985C6" w14:textId="618424BE" w:rsidR="00490EFC" w:rsidRPr="00E357EB" w:rsidRDefault="00490EFC" w:rsidP="00E357EB">
      <w:r>
        <w:rPr>
          <w:b/>
        </w:rPr>
        <w:br w:type="page"/>
      </w:r>
    </w:p>
    <w:p w14:paraId="0CB7E637" w14:textId="3492BC2B" w:rsidR="00446FBF" w:rsidRPr="0014227E" w:rsidRDefault="00446FBF" w:rsidP="0014227E">
      <w:pPr>
        <w:pStyle w:val="Heading3"/>
      </w:pPr>
      <w:bookmarkStart w:id="24" w:name="_Toc153452416"/>
      <w:r w:rsidRPr="0014227E">
        <w:lastRenderedPageBreak/>
        <w:t>Toowoomba and South West Q</w:t>
      </w:r>
      <w:r w:rsidR="005C7980" w:rsidRPr="0014227E">
        <w:t>ueensland</w:t>
      </w:r>
      <w:r w:rsidRPr="0014227E">
        <w:t>: Persistent loose labour market</w:t>
      </w:r>
      <w:bookmarkEnd w:id="24"/>
    </w:p>
    <w:p w14:paraId="6DDDE9CD" w14:textId="7E4D21F0" w:rsidR="003C526D" w:rsidRDefault="00446FBF" w:rsidP="00721156">
      <w:pPr>
        <w:spacing w:before="0"/>
      </w:pPr>
      <w:r w:rsidRPr="004207DD">
        <w:t>Toowoomba and South West Queensland</w:t>
      </w:r>
      <w:r w:rsidR="000F5B77">
        <w:t xml:space="preserve"> </w:t>
      </w:r>
      <w:r w:rsidR="00A03F47">
        <w:t>(</w:t>
      </w:r>
      <w:r w:rsidR="00FA72C0">
        <w:t>Chart 4.4</w:t>
      </w:r>
      <w:r w:rsidR="00A03F47">
        <w:t xml:space="preserve">) </w:t>
      </w:r>
      <w:r w:rsidR="000F5B77">
        <w:t>had a</w:t>
      </w:r>
      <w:r w:rsidRPr="004207DD">
        <w:t xml:space="preserve"> persistently loose labour market </w:t>
      </w:r>
      <w:r w:rsidR="003C526D">
        <w:t>between</w:t>
      </w:r>
      <w:r w:rsidR="00D5120C">
        <w:t xml:space="preserve"> 2016</w:t>
      </w:r>
      <w:r w:rsidR="00811E36">
        <w:t>–</w:t>
      </w:r>
      <w:r w:rsidR="00D5120C">
        <w:t xml:space="preserve">2023. </w:t>
      </w:r>
    </w:p>
    <w:p w14:paraId="29D10CB9" w14:textId="41DAA11F" w:rsidR="00B432A0" w:rsidRDefault="00D5120C" w:rsidP="00721156">
      <w:pPr>
        <w:spacing w:before="0"/>
      </w:pPr>
      <w:r>
        <w:t xml:space="preserve">While unemployment </w:t>
      </w:r>
      <w:r w:rsidR="006E54B3">
        <w:t xml:space="preserve">tends to be </w:t>
      </w:r>
      <w:r>
        <w:t xml:space="preserve">lower for </w:t>
      </w:r>
      <w:r w:rsidR="00CF4A29">
        <w:t>high-skill</w:t>
      </w:r>
      <w:r>
        <w:t xml:space="preserve">ed groups, </w:t>
      </w:r>
      <w:r w:rsidR="00C210F1">
        <w:t>u</w:t>
      </w:r>
      <w:r w:rsidR="00446FBF" w:rsidRPr="004207DD">
        <w:t>nemployment remains high</w:t>
      </w:r>
      <w:r w:rsidR="00C210F1">
        <w:t>er</w:t>
      </w:r>
      <w:r w:rsidR="00446FBF" w:rsidRPr="004207DD">
        <w:t xml:space="preserve"> across </w:t>
      </w:r>
      <w:r>
        <w:t xml:space="preserve">all </w:t>
      </w:r>
      <w:r w:rsidR="00446FBF" w:rsidRPr="004207DD">
        <w:t>skill groups</w:t>
      </w:r>
      <w:r w:rsidR="00C210F1">
        <w:t xml:space="preserve"> than the national average</w:t>
      </w:r>
      <w:r w:rsidR="00E87466">
        <w:t xml:space="preserve">. </w:t>
      </w:r>
      <w:r w:rsidR="00B432A0">
        <w:t xml:space="preserve">People in the </w:t>
      </w:r>
      <w:r w:rsidR="00FD66B1">
        <w:t>low-skill</w:t>
      </w:r>
      <w:r w:rsidR="00B432A0">
        <w:t xml:space="preserve"> labour market have experienced particularly high</w:t>
      </w:r>
      <w:r w:rsidR="002F0E6E">
        <w:t xml:space="preserve"> rates of unemployment.</w:t>
      </w:r>
    </w:p>
    <w:p w14:paraId="0236FDBE" w14:textId="589A3B59" w:rsidR="005E66BD" w:rsidRDefault="00B776AE" w:rsidP="00721156">
      <w:pPr>
        <w:spacing w:before="0"/>
      </w:pPr>
      <w:r>
        <w:t>This is at least in part reflected in l</w:t>
      </w:r>
      <w:r w:rsidR="00446FBF" w:rsidRPr="004207DD">
        <w:t xml:space="preserve">ow </w:t>
      </w:r>
      <w:r>
        <w:t xml:space="preserve">levels of </w:t>
      </w:r>
      <w:r w:rsidR="00446FBF" w:rsidRPr="004207DD">
        <w:t>labour demand</w:t>
      </w:r>
      <w:r>
        <w:t xml:space="preserve">, with </w:t>
      </w:r>
      <w:r w:rsidR="00446FBF" w:rsidRPr="004207DD">
        <w:t xml:space="preserve">vacancies below national levels across skill groups, especially </w:t>
      </w:r>
      <w:r w:rsidR="005F282D">
        <w:t xml:space="preserve">for </w:t>
      </w:r>
      <w:r w:rsidR="00FD66B1">
        <w:t>low-skill</w:t>
      </w:r>
      <w:r w:rsidR="005F282D">
        <w:t xml:space="preserve"> occupations</w:t>
      </w:r>
      <w:r w:rsidR="00A655C1">
        <w:t xml:space="preserve">. </w:t>
      </w:r>
    </w:p>
    <w:p w14:paraId="422DF2FB" w14:textId="40BC3699" w:rsidR="003F1ECD" w:rsidRDefault="003C6125" w:rsidP="00DE2CB3">
      <w:pPr>
        <w:pStyle w:val="ChartMainHeading"/>
      </w:pPr>
      <w:r w:rsidRPr="00DE2CB3">
        <w:t>Toowoomba</w:t>
      </w:r>
      <w:r>
        <w:t xml:space="preserve"> and South West Qld</w:t>
      </w:r>
      <w:r w:rsidR="003F1ECD">
        <w:t xml:space="preserve"> </w:t>
      </w:r>
      <w:r w:rsidR="003F1ECD" w:rsidRPr="00E357EB">
        <w:t>unemployment</w:t>
      </w:r>
      <w:r w:rsidR="003F1ECD">
        <w:t xml:space="preserve"> and vacancy shares by skill</w:t>
      </w:r>
    </w:p>
    <w:p w14:paraId="77CF5076" w14:textId="63AE17E4" w:rsidR="003F1ECD" w:rsidRDefault="00894FAF" w:rsidP="00E357EB">
      <w:pPr>
        <w:pStyle w:val="ChartGraphic"/>
      </w:pPr>
      <w:r>
        <w:rPr>
          <w:noProof/>
        </w:rPr>
        <w:drawing>
          <wp:inline distT="0" distB="0" distL="0" distR="0" wp14:anchorId="17E94EC6" wp14:editId="3D7120D5">
            <wp:extent cx="5749290" cy="2786380"/>
            <wp:effectExtent l="0" t="0" r="3810" b="0"/>
            <wp:docPr id="32" name="Picture 32" descr="A line chart with four panels showing unemployment and vacancy rates for Toowoomba and South West Queensland between 2016 and 2023. Panel A shows the series for the whole labour market, where unemployment has been persistently high (between 6 and 8 per cent) while vacancies have been persistently low (less than 1 per cent before 2020). Panel B shows that unemployment for high skill workers was lower than the average, while Panel D shows that low skill job seekers faced much higher unemployment rates of between 10 and 1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ine chart with four panels showing unemployment and vacancy rates for Toowoomba and South West Queensland between 2016 and 2023. Panel A shows the series for the whole labour market, where unemployment has been persistently high (between 6 and 8 per cent) while vacancies have been persistently low (less than 1 per cent before 2020). Panel B shows that unemployment for high skill workers was lower than the average, while Panel D shows that low skill job seekers faced much higher unemployment rates of between 10 and 18 per c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2786380"/>
                    </a:xfrm>
                    <a:prstGeom prst="rect">
                      <a:avLst/>
                    </a:prstGeom>
                    <a:noFill/>
                  </pic:spPr>
                </pic:pic>
              </a:graphicData>
            </a:graphic>
          </wp:inline>
        </w:drawing>
      </w:r>
    </w:p>
    <w:p w14:paraId="674EB16E" w14:textId="04356117" w:rsidR="003F1ECD" w:rsidRPr="00C563D4" w:rsidRDefault="003F1ECD" w:rsidP="00625761">
      <w:pPr>
        <w:pStyle w:val="ChartTableFigureNoteorSource"/>
      </w:pPr>
      <w:r w:rsidRPr="00C563D4">
        <w:t xml:space="preserve">Source: </w:t>
      </w:r>
      <w:r w:rsidR="00DE2CB3">
        <w:tab/>
      </w:r>
      <w:r>
        <w:rPr>
          <w:noProof/>
        </w:rPr>
        <w:t xml:space="preserve">Treasury analysis of ABS Longitudinal Labour Force Survey, ABS Job Vacancies, JSA Internet </w:t>
      </w:r>
      <w:r w:rsidRPr="00E357EB">
        <w:t>Vacancy</w:t>
      </w:r>
      <w:r>
        <w:rPr>
          <w:noProof/>
        </w:rPr>
        <w:t xml:space="preserve"> Index.</w:t>
      </w:r>
    </w:p>
    <w:p w14:paraId="1AD0AB3C" w14:textId="77777777" w:rsidR="00FF6427" w:rsidRDefault="00FF6427" w:rsidP="00FF6427">
      <w:pPr>
        <w:pStyle w:val="ChartTableFiguresectionline"/>
      </w:pPr>
    </w:p>
    <w:p w14:paraId="4D5E3BC3" w14:textId="77777777" w:rsidR="006139C1" w:rsidRPr="006139C1" w:rsidRDefault="006139C1" w:rsidP="006139C1">
      <w:bookmarkStart w:id="25" w:name="_Toc153452417"/>
      <w:r w:rsidRPr="006139C1">
        <w:br w:type="page"/>
      </w:r>
    </w:p>
    <w:p w14:paraId="662C7251" w14:textId="2B4F0F8D" w:rsidR="00446FBF" w:rsidRPr="00AC6CE3" w:rsidRDefault="00446FBF" w:rsidP="0014227E">
      <w:pPr>
        <w:pStyle w:val="Heading3"/>
      </w:pPr>
      <w:r>
        <w:lastRenderedPageBreak/>
        <w:t xml:space="preserve">Far </w:t>
      </w:r>
      <w:r w:rsidRPr="008F17C5">
        <w:t>North Queensland</w:t>
      </w:r>
      <w:r>
        <w:t xml:space="preserve">: </w:t>
      </w:r>
      <w:r w:rsidRPr="003A4BF3">
        <w:t>Long</w:t>
      </w:r>
      <w:r w:rsidR="00950594">
        <w:t>-</w:t>
      </w:r>
      <w:r w:rsidRPr="003A4BF3">
        <w:t xml:space="preserve">run </w:t>
      </w:r>
      <w:r w:rsidRPr="00E357EB">
        <w:t>tightening</w:t>
      </w:r>
      <w:r w:rsidRPr="003A4BF3">
        <w:t xml:space="preserve"> </w:t>
      </w:r>
      <w:r w:rsidRPr="0014227E">
        <w:t>labour</w:t>
      </w:r>
      <w:r w:rsidRPr="003A4BF3">
        <w:t xml:space="preserve"> market</w:t>
      </w:r>
      <w:bookmarkEnd w:id="25"/>
    </w:p>
    <w:p w14:paraId="546FE8E7" w14:textId="524D8457" w:rsidR="00710D5B" w:rsidRDefault="00F01EE3" w:rsidP="00E357EB">
      <w:r>
        <w:rPr>
          <w:rFonts w:eastAsiaTheme="minorEastAsia"/>
        </w:rPr>
        <w:t xml:space="preserve">Far </w:t>
      </w:r>
      <w:r w:rsidR="00446FBF" w:rsidRPr="003A4BF3">
        <w:rPr>
          <w:rFonts w:eastAsiaTheme="minorEastAsia"/>
        </w:rPr>
        <w:t xml:space="preserve">North Queensland </w:t>
      </w:r>
      <w:r w:rsidR="00B5109A">
        <w:rPr>
          <w:rFonts w:eastAsiaTheme="minorEastAsia"/>
        </w:rPr>
        <w:t>(</w:t>
      </w:r>
      <w:r w:rsidR="00BF4F36">
        <w:rPr>
          <w:rFonts w:eastAsiaTheme="minorEastAsia"/>
        </w:rPr>
        <w:t>Chart 4.5</w:t>
      </w:r>
      <w:r w:rsidR="00B5109A">
        <w:rPr>
          <w:rFonts w:eastAsiaTheme="minorEastAsia"/>
        </w:rPr>
        <w:t>)</w:t>
      </w:r>
      <w:r w:rsidR="00446FBF" w:rsidRPr="003A4BF3">
        <w:rPr>
          <w:rFonts w:eastAsiaTheme="minorEastAsia"/>
        </w:rPr>
        <w:t xml:space="preserve"> has an increasingly tight labour market with average levels of matching efficiency.</w:t>
      </w:r>
      <w:r w:rsidR="002450D2">
        <w:rPr>
          <w:rFonts w:eastAsiaTheme="minorEastAsia"/>
        </w:rPr>
        <w:t xml:space="preserve"> </w:t>
      </w:r>
      <w:r w:rsidR="00446FBF" w:rsidRPr="003A4BF3">
        <w:t xml:space="preserve">Unemployment decreased </w:t>
      </w:r>
      <w:r w:rsidR="00B31CAD">
        <w:t xml:space="preserve">from </w:t>
      </w:r>
      <w:r w:rsidR="00446FBF" w:rsidRPr="003A4BF3">
        <w:t>2016</w:t>
      </w:r>
      <w:r w:rsidR="00E65BD7">
        <w:t>–</w:t>
      </w:r>
      <w:r w:rsidR="00446FBF" w:rsidRPr="003A4BF3">
        <w:t xml:space="preserve">2022 across </w:t>
      </w:r>
      <w:r w:rsidR="00446FBF" w:rsidRPr="00B83CAB">
        <w:t>skill</w:t>
      </w:r>
      <w:r w:rsidR="00446FBF" w:rsidRPr="003A4BF3">
        <w:t xml:space="preserve"> groups</w:t>
      </w:r>
      <w:r w:rsidR="00446FBF">
        <w:t>.</w:t>
      </w:r>
      <w:r w:rsidR="005F282D">
        <w:t xml:space="preserve"> </w:t>
      </w:r>
      <w:r w:rsidR="00446FBF">
        <w:t>Overall, the unemployment rate has declined from about double the national rate to the national rate in 6</w:t>
      </w:r>
      <w:r w:rsidR="00CB0CA1">
        <w:t> year</w:t>
      </w:r>
      <w:r w:rsidR="00446FBF">
        <w:t xml:space="preserve">s. </w:t>
      </w:r>
    </w:p>
    <w:p w14:paraId="37936C7F" w14:textId="6B042A46" w:rsidR="00284E62" w:rsidRPr="00284E62" w:rsidRDefault="00284E62" w:rsidP="00E357EB">
      <w:r>
        <w:t xml:space="preserve">The unemployment rates of </w:t>
      </w:r>
      <w:r w:rsidR="00FD66B1">
        <w:t>low-skill</w:t>
      </w:r>
      <w:r>
        <w:t xml:space="preserve"> workers were above </w:t>
      </w:r>
      <w:r w:rsidR="00B92540">
        <w:t>18</w:t>
      </w:r>
      <w:r w:rsidR="001F3E06">
        <w:t> per c</w:t>
      </w:r>
      <w:r>
        <w:t xml:space="preserve">ent in 2016 and have progressively decreased to </w:t>
      </w:r>
      <w:r w:rsidR="004009E2">
        <w:t>below 8</w:t>
      </w:r>
      <w:r w:rsidR="001F3E06">
        <w:t> per c</w:t>
      </w:r>
      <w:r>
        <w:t>ent by the end of 2022</w:t>
      </w:r>
      <w:r w:rsidR="00E65BD7">
        <w:t xml:space="preserve">. </w:t>
      </w:r>
      <w:r>
        <w:t>The reduction in unemployment has been allowed by rising demand for labour over this period</w:t>
      </w:r>
      <w:r w:rsidR="00404134">
        <w:t xml:space="preserve"> </w:t>
      </w:r>
      <w:r>
        <w:t xml:space="preserve">across all skill levels. </w:t>
      </w:r>
    </w:p>
    <w:p w14:paraId="69AAE50B" w14:textId="14E75B27" w:rsidR="003F1ECD" w:rsidRDefault="003E7912" w:rsidP="00DE2CB3">
      <w:pPr>
        <w:pStyle w:val="ChartMainHeading"/>
      </w:pPr>
      <w:r>
        <w:t>Far North Queensland</w:t>
      </w:r>
      <w:r w:rsidR="003F1ECD">
        <w:t xml:space="preserve"> unemployment and vacancy </w:t>
      </w:r>
      <w:r w:rsidR="003F1ECD" w:rsidRPr="00E357EB">
        <w:t>shares</w:t>
      </w:r>
      <w:r w:rsidR="003F1ECD">
        <w:t xml:space="preserve"> by skill group</w:t>
      </w:r>
    </w:p>
    <w:p w14:paraId="5C21C15B" w14:textId="5272B9A7" w:rsidR="003F1ECD" w:rsidRPr="00DE2CB3" w:rsidRDefault="00403A70" w:rsidP="00DE2CB3">
      <w:pPr>
        <w:pStyle w:val="ChartGraphic"/>
      </w:pPr>
      <w:r>
        <w:rPr>
          <w:noProof/>
        </w:rPr>
        <w:drawing>
          <wp:inline distT="0" distB="0" distL="0" distR="0" wp14:anchorId="1AF6C7C7" wp14:editId="42F410A8">
            <wp:extent cx="5742940" cy="2834640"/>
            <wp:effectExtent l="0" t="0" r="0" b="0"/>
            <wp:docPr id="40" name="Picture 40" descr="A line chart with four panels showing unemployment and vacancy rates for Far North Queensland between 2016 and 2023. Panel A shows the series for the whole labour market, where unemployment has been decreasing from over 10 per cent in 2016 to about 3 per cent in 2023, while vacancies have been increasing from less than 2 per cent to over 3 per cent now. These trends are consistent for high skill (Panel B), middle skill (Panel C) and low skill (Panel D) labou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ine chart with four panels showing unemployment and vacancy rates for Far North Queensland between 2016 and 2023. Panel A shows the series for the whole labour market, where unemployment has been decreasing from over 10 per cent in 2016 to about 3 per cent in 2023, while vacancies have been increasing from less than 2 per cent to over 3 per cent now. These trends are consistent for high skill (Panel B), middle skill (Panel C) and low skill (Panel D) labour mark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2834640"/>
                    </a:xfrm>
                    <a:prstGeom prst="rect">
                      <a:avLst/>
                    </a:prstGeom>
                    <a:noFill/>
                  </pic:spPr>
                </pic:pic>
              </a:graphicData>
            </a:graphic>
          </wp:inline>
        </w:drawing>
      </w:r>
    </w:p>
    <w:p w14:paraId="1603A6DD" w14:textId="60BF38D8" w:rsidR="003F1ECD" w:rsidRPr="00C563D4" w:rsidRDefault="003F1ECD" w:rsidP="00DE2CB3">
      <w:pPr>
        <w:pStyle w:val="ChartTableFigureNoteorSource"/>
      </w:pPr>
      <w:r w:rsidRPr="00C563D4">
        <w:t xml:space="preserve">Source: </w:t>
      </w:r>
      <w:r w:rsidR="00DE2CB3">
        <w:tab/>
      </w:r>
      <w:r w:rsidRPr="00E357EB">
        <w:t>Treasury</w:t>
      </w:r>
      <w:r>
        <w:rPr>
          <w:noProof/>
        </w:rPr>
        <w:t xml:space="preserve"> analysis of ABS Longitudinal Labour Force Survey, ABS Job Vacancies, JSA Internet Vacancy Index.</w:t>
      </w:r>
    </w:p>
    <w:p w14:paraId="39DDF734" w14:textId="77777777" w:rsidR="004C14C4" w:rsidRDefault="004C14C4" w:rsidP="004C14C4">
      <w:pPr>
        <w:pStyle w:val="ChartTableFiguresectionline"/>
      </w:pPr>
    </w:p>
    <w:p w14:paraId="4CC55686" w14:textId="0EE017D4" w:rsidR="003371E4" w:rsidRPr="00E357EB" w:rsidRDefault="00051997" w:rsidP="005E5F75">
      <w:pPr>
        <w:pStyle w:val="Heading2Numbered"/>
      </w:pPr>
      <w:bookmarkStart w:id="26" w:name="_Toc153452418"/>
      <w:r>
        <w:t>Summary</w:t>
      </w:r>
      <w:bookmarkEnd w:id="26"/>
    </w:p>
    <w:p w14:paraId="537C7467" w14:textId="5FF85591" w:rsidR="002E2404" w:rsidRPr="007F35BD" w:rsidRDefault="00B65587" w:rsidP="00DC71EA">
      <w:r w:rsidRPr="00DD057D">
        <w:t xml:space="preserve">Australia </w:t>
      </w:r>
      <w:r w:rsidR="008C0609">
        <w:t xml:space="preserve">is made up of </w:t>
      </w:r>
      <w:r w:rsidRPr="00DD057D">
        <w:t>heterogenous labour markets, each of which can have different levels of mismatch and labour market tightness.</w:t>
      </w:r>
      <w:r w:rsidR="00692AB6">
        <w:t xml:space="preserve"> Some regions experience acute labour or skill</w:t>
      </w:r>
      <w:r w:rsidR="00F4576D">
        <w:t>s</w:t>
      </w:r>
      <w:r w:rsidR="00692AB6">
        <w:t xml:space="preserve"> shortages at the same time </w:t>
      </w:r>
      <w:r w:rsidR="00476984">
        <w:t>others have persistently high rates of unemployment.</w:t>
      </w:r>
      <w:r w:rsidR="00035B5D">
        <w:t xml:space="preserve"> </w:t>
      </w:r>
      <w:r w:rsidR="00355BAA">
        <w:t>However, much of Australia</w:t>
      </w:r>
      <w:r w:rsidR="005F5800">
        <w:t>’</w:t>
      </w:r>
      <w:r w:rsidR="00355BAA">
        <w:t>s labour market mismatch is within region and skill groups.</w:t>
      </w:r>
      <w:r w:rsidR="00692AB6">
        <w:t xml:space="preserve"> </w:t>
      </w:r>
      <w:r w:rsidR="00355BAA">
        <w:t xml:space="preserve">In many regions, including in most major cities, labour supply and demand is currently close to parity. </w:t>
      </w:r>
      <w:r w:rsidR="00CF4A29">
        <w:t>Low-skill</w:t>
      </w:r>
      <w:r w:rsidR="00355BAA">
        <w:t xml:space="preserve"> regional labour markets in particular demonstrate high levels of unemployment and high levels of job vacancies, suggesting within</w:t>
      </w:r>
      <w:r w:rsidR="005F5800">
        <w:noBreakHyphen/>
      </w:r>
      <w:r w:rsidR="00355BAA">
        <w:t>region, within</w:t>
      </w:r>
      <w:r w:rsidR="005F5800">
        <w:noBreakHyphen/>
      </w:r>
      <w:r w:rsidR="00355BAA">
        <w:t>skill group matching efficiency needs to improve to further reduce unemployment.</w:t>
      </w:r>
    </w:p>
    <w:p w14:paraId="28C0C522" w14:textId="77777777" w:rsidR="00DD1B1D" w:rsidRDefault="00DD1B1D" w:rsidP="00DC71EA"/>
    <w:p w14:paraId="277EED5B" w14:textId="11C0B3DC" w:rsidR="00DD1B1D" w:rsidRDefault="00DD1B1D" w:rsidP="00DC71EA">
      <w:pPr>
        <w:sectPr w:rsidR="00DD1B1D" w:rsidSect="00D81ACE">
          <w:pgSz w:w="11906" w:h="16838" w:code="9"/>
          <w:pgMar w:top="1843" w:right="1418" w:bottom="1418" w:left="1418" w:header="709" w:footer="709" w:gutter="0"/>
          <w:cols w:space="708"/>
          <w:docGrid w:linePitch="360"/>
        </w:sectPr>
      </w:pPr>
    </w:p>
    <w:p w14:paraId="68C5EC48" w14:textId="7B7C9288" w:rsidR="00621F33" w:rsidRPr="00E357EB" w:rsidRDefault="00621F33" w:rsidP="00E357EB">
      <w:pPr>
        <w:pStyle w:val="AppendixHeading"/>
      </w:pPr>
      <w:bookmarkStart w:id="27" w:name="_Toc153452419"/>
      <w:r>
        <w:lastRenderedPageBreak/>
        <w:t>Append</w:t>
      </w:r>
      <w:r w:rsidR="00446FBF">
        <w:t>ices</w:t>
      </w:r>
      <w:bookmarkEnd w:id="27"/>
    </w:p>
    <w:p w14:paraId="192D3915" w14:textId="6422711B" w:rsidR="00621F33" w:rsidRDefault="00621F33" w:rsidP="00AB2D45">
      <w:pPr>
        <w:pStyle w:val="Heading2Appendix"/>
      </w:pPr>
      <w:bookmarkStart w:id="28" w:name="_Toc153452420"/>
      <w:r>
        <w:t>Modelling matching efficiency</w:t>
      </w:r>
      <w:bookmarkEnd w:id="28"/>
    </w:p>
    <w:p w14:paraId="7487C681" w14:textId="534070CC" w:rsidR="00673C94" w:rsidRDefault="002E3784" w:rsidP="00CE331C">
      <w:r>
        <w:t xml:space="preserve">This paper estimates aggregate matching efficiency following </w:t>
      </w:r>
      <w:r w:rsidR="00621F33">
        <w:t xml:space="preserve">Consolo and </w:t>
      </w:r>
      <w:r w:rsidR="00CB0CA1">
        <w:t>de Silva</w:t>
      </w:r>
      <w:r w:rsidR="00621F33">
        <w:t xml:space="preserve"> (</w:t>
      </w:r>
      <w:r w:rsidR="002A56F4">
        <w:t xml:space="preserve">section 3, </w:t>
      </w:r>
      <w:hyperlink r:id="rId29" w:history="1">
        <w:r w:rsidR="00015DA6" w:rsidRPr="00285677">
          <w:rPr>
            <w:rStyle w:val="Hyperlink"/>
          </w:rPr>
          <w:t>2019</w:t>
        </w:r>
      </w:hyperlink>
      <w:r w:rsidR="00621F33">
        <w:t>)</w:t>
      </w:r>
      <w:r w:rsidR="00377776">
        <w:t>.</w:t>
      </w:r>
      <w:r w:rsidR="007B1450">
        <w:rPr>
          <w:rStyle w:val="FootnoteReference"/>
        </w:rPr>
        <w:footnoteReference w:id="19"/>
      </w:r>
      <w:r w:rsidR="00377776">
        <w:t xml:space="preserve"> This approach </w:t>
      </w:r>
      <w:r w:rsidR="008B0D2F">
        <w:t>speci</w:t>
      </w:r>
      <w:r>
        <w:t xml:space="preserve">fies </w:t>
      </w:r>
      <w:r w:rsidR="008B0D2F">
        <w:t>the matching function as a constant returns to scale Cobb</w:t>
      </w:r>
      <w:r w:rsidR="005F5800">
        <w:noBreakHyphen/>
      </w:r>
      <w:r w:rsidR="008B0D2F">
        <w:t>Douglas function of the vacancy rate and the unemployment rate</w:t>
      </w:r>
      <w:r w:rsidR="007460BC">
        <w:t xml:space="preserve">. </w:t>
      </w:r>
    </w:p>
    <w:p w14:paraId="7C654806" w14:textId="6F1AC8AD" w:rsidR="00621F33" w:rsidRDefault="007460BC" w:rsidP="00CE331C">
      <w:r>
        <w:t>Following their approach,</w:t>
      </w:r>
      <w:r w:rsidR="00F209E5">
        <w:t xml:space="preserve"> t</w:t>
      </w:r>
      <w:r w:rsidR="00D80E55">
        <w:t xml:space="preserve">he aggregate matching function </w:t>
      </w:r>
      <w:r w:rsidR="00F209E5">
        <w:t xml:space="preserve">is estimated </w:t>
      </w:r>
      <w:r w:rsidR="00D80E55">
        <w:t>by looking at quarterly job finding probabilities</w:t>
      </w:r>
      <w:r w:rsidR="00384598">
        <w:t xml:space="preserve"> and labour market tightness (the vacancy</w:t>
      </w:r>
      <w:r w:rsidR="005F5800">
        <w:noBreakHyphen/>
      </w:r>
      <w:r w:rsidR="00384598">
        <w:t xml:space="preserve">unemployment ratio), </w:t>
      </w:r>
      <w:r w:rsidR="0059436A">
        <w:t xml:space="preserve">with matching efficiency defined as the </w:t>
      </w:r>
      <w:r w:rsidR="005F3DD9">
        <w:t>time</w:t>
      </w:r>
      <w:r w:rsidR="005F5800">
        <w:noBreakHyphen/>
      </w:r>
      <w:r w:rsidR="005F3DD9">
        <w:t xml:space="preserve">varying </w:t>
      </w:r>
      <w:r w:rsidR="0059436A">
        <w:t xml:space="preserve">residual from estimating </w:t>
      </w:r>
      <w:r w:rsidR="005F3DD9">
        <w:t>a reduced form matching function.</w:t>
      </w:r>
      <w:r w:rsidR="00C213BB">
        <w:rPr>
          <w:rStyle w:val="FootnoteReference"/>
        </w:rPr>
        <w:footnoteReference w:id="20"/>
      </w:r>
      <w:r w:rsidR="005F3DD9">
        <w:t xml:space="preserve"> </w:t>
      </w:r>
      <w:r w:rsidR="00621F33">
        <w:t xml:space="preserve">An </w:t>
      </w:r>
      <w:r w:rsidR="005B3E07">
        <w:t>adjusted</w:t>
      </w:r>
      <w:r w:rsidR="00621F33">
        <w:t xml:space="preserve"> version of </w:t>
      </w:r>
      <w:r w:rsidR="00C06816">
        <w:t xml:space="preserve">the Consolo and </w:t>
      </w:r>
      <w:r w:rsidR="00CB0CA1">
        <w:t>de Silva</w:t>
      </w:r>
      <w:r w:rsidR="00C06816">
        <w:t xml:space="preserve"> (equation 1, </w:t>
      </w:r>
      <w:hyperlink r:id="rId30" w:history="1">
        <w:r w:rsidR="00015DA6" w:rsidRPr="00285677">
          <w:rPr>
            <w:rStyle w:val="Hyperlink"/>
          </w:rPr>
          <w:t>2019</w:t>
        </w:r>
      </w:hyperlink>
      <w:r w:rsidR="00C06816">
        <w:t xml:space="preserve">) </w:t>
      </w:r>
      <w:r w:rsidR="00621F33">
        <w:t>model is:</w:t>
      </w:r>
      <w:r w:rsidR="00621F33">
        <w:rPr>
          <w:rStyle w:val="FootnoteReference"/>
        </w:rPr>
        <w:footnoteReference w:id="21"/>
      </w:r>
    </w:p>
    <w:p w14:paraId="54890A7C" w14:textId="6F6E68C6" w:rsidR="00621F33" w:rsidRPr="00D53093" w:rsidRDefault="00193B16" w:rsidP="0014227E">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θ</m:t>
              </m:r>
            </m:e>
            <m:sub>
              <m:r>
                <w:rPr>
                  <w:rFonts w:ascii="Cambria Math" w:hAnsi="Cambria Math"/>
                </w:rPr>
                <m:t>t</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t</m:t>
                  </m:r>
                </m:sub>
              </m:sSub>
            </m:num>
            <m:den>
              <m:r>
                <w:rPr>
                  <w:rFonts w:ascii="Cambria Math" w:hAnsi="Cambria Math"/>
                </w:rPr>
                <m:t>j</m:t>
              </m:r>
              <m:sSub>
                <m:sSubPr>
                  <m:ctrlPr>
                    <w:rPr>
                      <w:rFonts w:ascii="Cambria Math" w:hAnsi="Cambria Math"/>
                    </w:rPr>
                  </m:ctrlPr>
                </m:sSubPr>
                <m:e>
                  <m:r>
                    <w:rPr>
                      <w:rFonts w:ascii="Cambria Math" w:hAnsi="Cambria Math"/>
                    </w:rPr>
                    <m:t>s</m:t>
                  </m:r>
                </m:e>
                <m:sub>
                  <m:r>
                    <w:rPr>
                      <w:rFonts w:ascii="Cambria Math" w:hAnsi="Cambria Math"/>
                    </w:rPr>
                    <m:t>t</m:t>
                  </m:r>
                </m:sub>
              </m:sSub>
            </m:den>
          </m:f>
          <m:r>
            <m:rPr>
              <m:sty m:val="p"/>
            </m:rPr>
            <w:rPr>
              <w:rFonts w:ascii="Cambria Math" w:hAnsi="Cambria Math"/>
            </w:rPr>
            <m:t xml:space="preserve"> </m:t>
          </m:r>
          <m:r>
            <m:rPr>
              <m:nor/>
            </m:rPr>
            <m:t>and</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js</m:t>
                  </m:r>
                  <m:r>
                    <m:rPr>
                      <m:sty m:val="p"/>
                    </m:rPr>
                    <w:rPr>
                      <w:rFonts w:ascii="Cambria Math" w:hAnsi="Cambria Math"/>
                    </w:rPr>
                    <m:t>,</m:t>
                  </m:r>
                  <m:r>
                    <w:rPr>
                      <w:rFonts w:ascii="Cambria Math" w:hAnsi="Cambria Math"/>
                    </w:rPr>
                    <m:t>t</m:t>
                  </m:r>
                </m:sub>
              </m:sSub>
            </m:num>
            <m:den>
              <m:r>
                <w:rPr>
                  <w:rFonts w:ascii="Cambria Math" w:hAnsi="Cambria Math"/>
                </w:rPr>
                <m:t>j</m:t>
              </m:r>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den>
          </m:f>
          <m:r>
            <m:rPr>
              <m:sty m:val="p"/>
            </m:rPr>
            <w:rPr>
              <w:rFonts w:ascii="Cambria Math" w:hAnsi="Cambria Math"/>
            </w:rPr>
            <m:t xml:space="preserve">                 </m:t>
          </m:r>
          <m:r>
            <m:rPr>
              <m:nor/>
            </m:rPr>
            <m:t>(1)</m:t>
          </m:r>
        </m:oMath>
      </m:oMathPara>
    </w:p>
    <w:p w14:paraId="28641E13" w14:textId="713657A8" w:rsidR="00621F33" w:rsidRPr="007B1667" w:rsidRDefault="00621F33" w:rsidP="00CE331C">
      <w:r>
        <w:t xml:space="preserve">where matching probability </w:t>
      </w:r>
      <m:oMath>
        <m:sSub>
          <m:sSubPr>
            <m:ctrlPr>
              <w:rPr>
                <w:rFonts w:ascii="Cambria Math" w:hAnsi="Cambria Math"/>
                <w:i/>
              </w:rPr>
            </m:ctrlPr>
          </m:sSubPr>
          <m:e>
            <m:r>
              <w:rPr>
                <w:rFonts w:ascii="Cambria Math" w:hAnsi="Cambria Math"/>
              </w:rPr>
              <m:t>M</m:t>
            </m:r>
          </m:e>
          <m:sub>
            <m:r>
              <w:rPr>
                <w:rFonts w:ascii="Cambria Math" w:hAnsi="Cambria Math"/>
              </w:rPr>
              <m:t>t</m:t>
            </m:r>
          </m:sub>
        </m:sSub>
      </m:oMath>
      <w:r>
        <w:t xml:space="preserve"> is the share of job searchers the previous period </w:t>
      </w:r>
      <m:oMath>
        <m:r>
          <w:rPr>
            <w:rFonts w:ascii="Cambria Math" w:hAnsi="Cambria Math"/>
          </w:rPr>
          <m:t>j</m:t>
        </m:r>
        <m:sSub>
          <m:sSubPr>
            <m:ctrlPr>
              <w:rPr>
                <w:rFonts w:ascii="Cambria Math" w:hAnsi="Cambria Math"/>
                <w:i/>
              </w:rPr>
            </m:ctrlPr>
          </m:sSubPr>
          <m:e>
            <m:r>
              <w:rPr>
                <w:rFonts w:ascii="Cambria Math" w:hAnsi="Cambria Math"/>
              </w:rPr>
              <m:t>s</m:t>
            </m:r>
          </m:e>
          <m:sub>
            <m:r>
              <w:rPr>
                <w:rFonts w:ascii="Cambria Math" w:hAnsi="Cambria Math"/>
              </w:rPr>
              <m:t>t-1</m:t>
            </m:r>
          </m:sub>
        </m:sSub>
      </m:oMath>
      <w:r>
        <w:t xml:space="preserve"> who found a job in the current period, </w:t>
      </w:r>
      <m:oMath>
        <m:sSub>
          <m:sSubPr>
            <m:ctrlPr>
              <w:rPr>
                <w:rFonts w:ascii="Cambria Math" w:hAnsi="Cambria Math"/>
                <w:i/>
              </w:rPr>
            </m:ctrlPr>
          </m:sSubPr>
          <m:e>
            <m:r>
              <w:rPr>
                <w:rFonts w:ascii="Cambria Math" w:hAnsi="Cambria Math"/>
              </w:rPr>
              <m:t>H</m:t>
            </m:r>
          </m:e>
          <m:sub>
            <m:r>
              <w:rPr>
                <w:rFonts w:ascii="Cambria Math" w:hAnsi="Cambria Math"/>
              </w:rPr>
              <m:t>js,t</m:t>
            </m:r>
          </m:sub>
        </m:sSub>
      </m:oMath>
      <w:r w:rsidR="00AE453A">
        <w:t xml:space="preserve">. </w:t>
      </w:r>
      <w:r>
        <w:t xml:space="preserve">Labour market tightness, </w:t>
      </w:r>
      <m:oMath>
        <m:sSub>
          <m:sSubPr>
            <m:ctrlPr>
              <w:rPr>
                <w:rFonts w:ascii="Cambria Math" w:hAnsi="Cambria Math"/>
                <w:i/>
              </w:rPr>
            </m:ctrlPr>
          </m:sSubPr>
          <m:e>
            <m:r>
              <w:rPr>
                <w:rFonts w:ascii="Cambria Math" w:hAnsi="Cambria Math"/>
              </w:rPr>
              <m:t>θ</m:t>
            </m:r>
          </m:e>
          <m:sub>
            <m:r>
              <w:rPr>
                <w:rFonts w:ascii="Cambria Math" w:hAnsi="Cambria Math"/>
              </w:rPr>
              <m:t>t</m:t>
            </m:r>
          </m:sub>
        </m:sSub>
      </m:oMath>
      <w:r>
        <w:t xml:space="preserve">, is the ratio of job vacancies </w:t>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 xml:space="preserve"> </m:t>
        </m:r>
      </m:oMath>
      <w:r>
        <w:t xml:space="preserve">and job searchers, </w:t>
      </w:r>
      <m:oMath>
        <m:r>
          <w:rPr>
            <w:rFonts w:ascii="Cambria Math" w:hAnsi="Cambria Math"/>
          </w:rPr>
          <m:t>j</m:t>
        </m:r>
        <m:sSub>
          <m:sSubPr>
            <m:ctrlPr>
              <w:rPr>
                <w:rFonts w:ascii="Cambria Math" w:hAnsi="Cambria Math"/>
                <w:i/>
              </w:rPr>
            </m:ctrlPr>
          </m:sSubPr>
          <m:e>
            <m:r>
              <w:rPr>
                <w:rFonts w:ascii="Cambria Math" w:hAnsi="Cambria Math"/>
              </w:rPr>
              <m:t>s</m:t>
            </m:r>
          </m:e>
          <m:sub>
            <m:r>
              <w:rPr>
                <w:rFonts w:ascii="Cambria Math" w:hAnsi="Cambria Math"/>
              </w:rPr>
              <m:t>t</m:t>
            </m:r>
          </m:sub>
        </m:sSub>
      </m:oMath>
      <w:r>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is a control for quarter</w:t>
      </w:r>
      <w:r w:rsidR="004E019B">
        <w:t xml:space="preserve"> to account for regular seasonal effects</w:t>
      </w:r>
      <w:r>
        <w:t xml:space="preserve">. The </w:t>
      </w:r>
      <w:r w:rsidRPr="007B1667">
        <w:t xml:space="preserve">residuals,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7B1667">
        <w:t xml:space="preserve">, can be interpreted as a measure of matching efficiency in the current period. </w:t>
      </w:r>
      <w:r>
        <w:t>In what follows, we describe our implementation of this approach in the Australian setting.</w:t>
      </w:r>
      <w:r w:rsidR="006C6438">
        <w:t xml:space="preserve"> </w:t>
      </w:r>
    </w:p>
    <w:p w14:paraId="23E28F61" w14:textId="441EB285" w:rsidR="00621F33" w:rsidRPr="007F0752" w:rsidRDefault="00621F33" w:rsidP="007F0752">
      <w:r w:rsidRPr="007F0752">
        <w:t>For all models, the period is quarterly and the measure of vacancies in the economy is ABS Job Vacancies.</w:t>
      </w:r>
      <w:r w:rsidRPr="007F0752">
        <w:rPr>
          <w:rStyle w:val="FootnoteReference"/>
          <w:spacing w:val="-3"/>
        </w:rPr>
        <w:footnoteReference w:id="22"/>
      </w:r>
      <w:r w:rsidRPr="007F0752">
        <w:t xml:space="preserve"> Different measures of job searchers (and, therefore, matching probability) are explored in </w:t>
      </w:r>
      <w:r w:rsidR="004E089E" w:rsidRPr="007F0752">
        <w:t>3</w:t>
      </w:r>
      <w:r w:rsidR="007F0752" w:rsidRPr="007F0752">
        <w:t> </w:t>
      </w:r>
      <w:r w:rsidRPr="007F0752">
        <w:t>models:</w:t>
      </w:r>
    </w:p>
    <w:p w14:paraId="45A332DC" w14:textId="211CEE2B" w:rsidR="00621F33" w:rsidRPr="00EC33A1" w:rsidRDefault="00621F33" w:rsidP="00DC71EA">
      <w:pPr>
        <w:pStyle w:val="Bullet"/>
        <w:numPr>
          <w:ilvl w:val="0"/>
          <w:numId w:val="13"/>
        </w:numPr>
        <w:ind w:left="284" w:hanging="284"/>
        <w:rPr>
          <w:b/>
          <w:bCs/>
        </w:rPr>
      </w:pPr>
      <w:r w:rsidRPr="002A7900">
        <w:rPr>
          <w:b/>
          <w:bCs/>
        </w:rPr>
        <w:t>Unemployment model</w:t>
      </w:r>
      <w:r w:rsidRPr="002A7900">
        <w:t>:</w:t>
      </w:r>
      <w:r>
        <w:rPr>
          <w:b/>
          <w:bCs/>
        </w:rPr>
        <w:t xml:space="preserve"> </w:t>
      </w:r>
      <w:r>
        <w:t>the unemployment model follows a standard Beveridge Curve framework</w:t>
      </w:r>
      <w:r w:rsidR="00007DA2">
        <w:t xml:space="preserve"> – </w:t>
      </w:r>
      <w:r>
        <w:t xml:space="preserve">and that used in </w:t>
      </w:r>
      <w:r w:rsidRPr="00285677">
        <w:t xml:space="preserve">Consolo and </w:t>
      </w:r>
      <w:r w:rsidR="00CB0CA1">
        <w:t>de Silva</w:t>
      </w:r>
      <w:r w:rsidRPr="00285677">
        <w:t xml:space="preserve"> (</w:t>
      </w:r>
      <w:hyperlink r:id="rId31" w:history="1">
        <w:r w:rsidRPr="00285677">
          <w:rPr>
            <w:rStyle w:val="Hyperlink"/>
          </w:rPr>
          <w:t>2019</w:t>
        </w:r>
      </w:hyperlink>
      <w:r w:rsidRPr="00285677">
        <w:t>)</w:t>
      </w:r>
      <w:r w:rsidR="00007DA2">
        <w:t xml:space="preserve"> – </w:t>
      </w:r>
      <w:r>
        <w:t xml:space="preserve">by defining </w:t>
      </w:r>
      <w:r w:rsidRPr="00613179">
        <w:t>job searchers as unemployed people,</w:t>
      </w:r>
      <w:r>
        <w:t xml:space="preserve">  </w:t>
      </w:r>
      <m:oMath>
        <m:r>
          <w:rPr>
            <w:rFonts w:ascii="Cambria Math" w:hAnsi="Cambria Math"/>
          </w:rPr>
          <m:t>j</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oMath>
      <w:r>
        <w:t>. Unemployment data is sourced from the Labour Force Survey.</w:t>
      </w:r>
      <w:r>
        <w:rPr>
          <w:rStyle w:val="FootnoteReference"/>
        </w:rPr>
        <w:footnoteReference w:id="23"/>
      </w:r>
    </w:p>
    <w:p w14:paraId="20E30BB9" w14:textId="541F1895" w:rsidR="00621F33" w:rsidRDefault="00621F33" w:rsidP="00ED04C8">
      <w:pPr>
        <w:pStyle w:val="Bullet"/>
        <w:keepLines/>
        <w:numPr>
          <w:ilvl w:val="0"/>
          <w:numId w:val="13"/>
        </w:numPr>
        <w:ind w:left="284" w:hanging="284"/>
        <w:rPr>
          <w:b/>
          <w:bCs/>
        </w:rPr>
      </w:pPr>
      <w:r>
        <w:rPr>
          <w:b/>
          <w:bCs/>
        </w:rPr>
        <w:lastRenderedPageBreak/>
        <w:t>Non</w:t>
      </w:r>
      <w:r w:rsidR="005F5800">
        <w:rPr>
          <w:b/>
          <w:bCs/>
        </w:rPr>
        <w:noBreakHyphen/>
      </w:r>
      <w:r>
        <w:rPr>
          <w:b/>
          <w:bCs/>
        </w:rPr>
        <w:t xml:space="preserve">workers </w:t>
      </w:r>
      <w:r w:rsidRPr="00EC33A1">
        <w:rPr>
          <w:b/>
          <w:bCs/>
        </w:rPr>
        <w:t>model</w:t>
      </w:r>
      <w:r>
        <w:rPr>
          <w:b/>
          <w:bCs/>
        </w:rPr>
        <w:t xml:space="preserve">: </w:t>
      </w:r>
      <w:r>
        <w:t xml:space="preserve">expands the definition of </w:t>
      </w:r>
      <w:r w:rsidRPr="00613179">
        <w:t>job searchers</w:t>
      </w:r>
      <w:r>
        <w:t xml:space="preserve"> to include NILF job seekers, </w:t>
      </w:r>
      <m:oMath>
        <m:sSub>
          <m:sSubPr>
            <m:ctrlPr>
              <w:rPr>
                <w:rFonts w:ascii="Cambria Math" w:hAnsi="Cambria Math"/>
                <w:i/>
              </w:rPr>
            </m:ctrlPr>
          </m:sSubPr>
          <m:e>
            <m:r>
              <w:rPr>
                <w:rFonts w:ascii="Cambria Math" w:hAnsi="Cambria Math"/>
              </w:rPr>
              <m:t>j</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+ns</m:t>
            </m:r>
          </m:e>
          <m:sub>
            <m:r>
              <w:rPr>
                <w:rFonts w:ascii="Cambria Math" w:hAnsi="Cambria Math"/>
              </w:rPr>
              <m:t>t</m:t>
            </m:r>
          </m:sub>
        </m:sSub>
      </m:oMath>
      <w:r>
        <w:t>. Three groups are considered to be possibly searching for employment within the NILF cohort: those actively searching for work, those passively searching for work, and those not searching for work.</w:t>
      </w:r>
      <w:r>
        <w:rPr>
          <w:rStyle w:val="FootnoteReference"/>
        </w:rPr>
        <w:footnoteReference w:id="24"/>
      </w:r>
      <w:r>
        <w:t xml:space="preserve"> ABS </w:t>
      </w:r>
      <w:hyperlink r:id="rId32" w:history="1">
        <w:r w:rsidRPr="0010767A">
          <w:rPr>
            <w:rStyle w:val="Hyperlink"/>
          </w:rPr>
          <w:t>Longitudinal Labour Force</w:t>
        </w:r>
      </w:hyperlink>
      <w:r>
        <w:t xml:space="preserve"> microdata is used to determine how many of each group enter employment in each period. The number of job searchers in each group is defined as the number of job finders divided by the hiring rate of the actively looking group.</w:t>
      </w:r>
      <w:r>
        <w:rPr>
          <w:rStyle w:val="FootnoteReference"/>
        </w:rPr>
        <w:footnoteReference w:id="25"/>
      </w:r>
    </w:p>
    <w:p w14:paraId="6F8066C0" w14:textId="60787FB7" w:rsidR="00CB6566" w:rsidRPr="00AF1A25" w:rsidRDefault="00621F33" w:rsidP="00DC71EA">
      <w:pPr>
        <w:pStyle w:val="Bullet"/>
        <w:numPr>
          <w:ilvl w:val="0"/>
          <w:numId w:val="13"/>
        </w:numPr>
        <w:ind w:left="284" w:hanging="284"/>
      </w:pPr>
      <w:r w:rsidRPr="00EA118F">
        <w:rPr>
          <w:b/>
          <w:bCs/>
        </w:rPr>
        <w:t>Work</w:t>
      </w:r>
      <w:r>
        <w:rPr>
          <w:b/>
          <w:bCs/>
        </w:rPr>
        <w:t>ers</w:t>
      </w:r>
      <w:r w:rsidRPr="00EA118F">
        <w:rPr>
          <w:b/>
          <w:bCs/>
        </w:rPr>
        <w:t xml:space="preserve"> and non</w:t>
      </w:r>
      <w:r w:rsidR="005F5800">
        <w:rPr>
          <w:b/>
          <w:bCs/>
        </w:rPr>
        <w:noBreakHyphen/>
      </w:r>
      <w:r w:rsidRPr="00EA118F">
        <w:rPr>
          <w:b/>
          <w:bCs/>
        </w:rPr>
        <w:t>work</w:t>
      </w:r>
      <w:r>
        <w:rPr>
          <w:b/>
          <w:bCs/>
        </w:rPr>
        <w:t>ers</w:t>
      </w:r>
      <w:r w:rsidRPr="00EA118F">
        <w:rPr>
          <w:b/>
          <w:bCs/>
        </w:rPr>
        <w:t xml:space="preserve"> model: </w:t>
      </w:r>
      <w:r>
        <w:t>adds employed job searchers to the non</w:t>
      </w:r>
      <w:r w:rsidR="005F5800">
        <w:noBreakHyphen/>
      </w:r>
      <w:r>
        <w:t xml:space="preserve">workers model, including all job searchers in the labour market: </w:t>
      </w:r>
      <m:oMath>
        <m:r>
          <w:rPr>
            <w:rFonts w:ascii="Cambria Math" w:hAnsi="Cambria Math"/>
          </w:rPr>
          <m:t>j</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es</m:t>
            </m:r>
          </m:e>
          <m:sub>
            <m:r>
              <w:rPr>
                <w:rFonts w:ascii="Cambria Math" w:hAnsi="Cambria Math"/>
              </w:rPr>
              <m:t>t</m:t>
            </m:r>
          </m:sub>
        </m:sSub>
      </m:oMath>
      <w:r>
        <w:t xml:space="preserve">. ABS </w:t>
      </w:r>
      <w:hyperlink r:id="rId33" w:history="1">
        <w:r w:rsidRPr="0010767A">
          <w:rPr>
            <w:rStyle w:val="Hyperlink"/>
          </w:rPr>
          <w:t>Longitudinal Labour Force</w:t>
        </w:r>
      </w:hyperlink>
      <w:r>
        <w:t xml:space="preserve"> microdata is used to count the number of new hires from the employed pool, measured using the share of previously</w:t>
      </w:r>
      <w:r w:rsidR="00DF2001">
        <w:t xml:space="preserve"> </w:t>
      </w:r>
      <w:r>
        <w:t xml:space="preserve">employed workers who have been in their current job for less than </w:t>
      </w:r>
      <w:r w:rsidR="00DF39DA">
        <w:t>3</w:t>
      </w:r>
      <w:r w:rsidR="00CB0CA1">
        <w:t> month</w:t>
      </w:r>
      <w:r>
        <w:t>s</w:t>
      </w:r>
      <w:r w:rsidR="0048595F">
        <w:t>.</w:t>
      </w:r>
      <w:r>
        <w:t xml:space="preserve"> The share of job searchers who are seeking work </w:t>
      </w:r>
      <w:r w:rsidR="00A52160">
        <w:t xml:space="preserve">at any point </w:t>
      </w:r>
      <w:r>
        <w:t>is assumed to be fixed at 10</w:t>
      </w:r>
      <w:r w:rsidR="001F3E06">
        <w:t> per c</w:t>
      </w:r>
      <w:r>
        <w:t>ent</w:t>
      </w:r>
      <w:r w:rsidR="007A6A96">
        <w:t>.</w:t>
      </w:r>
    </w:p>
    <w:p w14:paraId="6951AEE5" w14:textId="77777777" w:rsidR="00CB682C" w:rsidRPr="00DD76BE" w:rsidRDefault="00CB682C" w:rsidP="00DD76BE">
      <w:bookmarkStart w:id="31" w:name="_Toc153452421"/>
      <w:r>
        <w:br w:type="page"/>
      </w:r>
    </w:p>
    <w:p w14:paraId="4D66767C" w14:textId="58D14F82" w:rsidR="00AB0B47" w:rsidRDefault="00AB0B47" w:rsidP="00DD76BE">
      <w:pPr>
        <w:pStyle w:val="Heading2Appendix"/>
      </w:pPr>
      <w:r>
        <w:lastRenderedPageBreak/>
        <w:t>Defining skill level groups</w:t>
      </w:r>
      <w:bookmarkEnd w:id="31"/>
    </w:p>
    <w:p w14:paraId="6EDC423E" w14:textId="77777777" w:rsidR="00AB0B47" w:rsidRDefault="00AB0B47" w:rsidP="00DC71EA">
      <w:r>
        <w:t xml:space="preserve">This analysis defines skill levels </w:t>
      </w:r>
      <w:r w:rsidRPr="003B392D">
        <w:t xml:space="preserve">to match </w:t>
      </w:r>
      <w:r w:rsidRPr="001C2072">
        <w:t>vacancies</w:t>
      </w:r>
      <w:r w:rsidRPr="003B392D">
        <w:rPr>
          <w:b/>
          <w:bCs/>
        </w:rPr>
        <w:t xml:space="preserve"> </w:t>
      </w:r>
      <w:r w:rsidRPr="003B392D">
        <w:t xml:space="preserve">(which have occupations) </w:t>
      </w:r>
      <w:r w:rsidRPr="0090280B">
        <w:t>and</w:t>
      </w:r>
      <w:r w:rsidRPr="003B392D">
        <w:rPr>
          <w:b/>
          <w:bCs/>
        </w:rPr>
        <w:t xml:space="preserve"> </w:t>
      </w:r>
      <w:r w:rsidRPr="001C2072">
        <w:t>unemployed people</w:t>
      </w:r>
      <w:r w:rsidRPr="003B392D">
        <w:rPr>
          <w:b/>
          <w:bCs/>
        </w:rPr>
        <w:t xml:space="preserve"> </w:t>
      </w:r>
      <w:r w:rsidRPr="003B392D">
        <w:t xml:space="preserve">(who </w:t>
      </w:r>
      <w:r>
        <w:t xml:space="preserve">have </w:t>
      </w:r>
      <w:r w:rsidRPr="003B392D">
        <w:t>education levels</w:t>
      </w:r>
      <w:r>
        <w:t xml:space="preserve"> and, often, a previous occupation</w:t>
      </w:r>
      <w:r w:rsidRPr="003B392D">
        <w:t>)</w:t>
      </w:r>
      <w:r>
        <w:t>.</w:t>
      </w:r>
    </w:p>
    <w:p w14:paraId="12E64481" w14:textId="77777777" w:rsidR="00AB0B47" w:rsidRDefault="00AB0B47" w:rsidP="002974B6">
      <w:pPr>
        <w:pStyle w:val="Heading3"/>
      </w:pPr>
      <w:bookmarkStart w:id="32" w:name="_Toc153452422"/>
      <w:r>
        <w:t>Method</w:t>
      </w:r>
      <w:bookmarkEnd w:id="32"/>
    </w:p>
    <w:p w14:paraId="26DEC5A2" w14:textId="1DEF2C0E" w:rsidR="00AB0B47" w:rsidRPr="003B392D" w:rsidRDefault="00AB0B47" w:rsidP="00AB0B47">
      <w:r w:rsidRPr="00724492">
        <w:t>In this analysis,</w:t>
      </w:r>
      <w:r>
        <w:rPr>
          <w:b/>
          <w:bCs/>
        </w:rPr>
        <w:t xml:space="preserve"> </w:t>
      </w:r>
      <w:r w:rsidRPr="00724492">
        <w:t>skill</w:t>
      </w:r>
      <w:r>
        <w:t xml:space="preserve"> level</w:t>
      </w:r>
      <w:r w:rsidRPr="003B392D">
        <w:t xml:space="preserve"> is defined as</w:t>
      </w:r>
      <w:r>
        <w:t xml:space="preserve"> o</w:t>
      </w:r>
      <w:r w:rsidRPr="003B392D">
        <w:t xml:space="preserve">ne of </w:t>
      </w:r>
      <w:r w:rsidR="0013757C">
        <w:t>3</w:t>
      </w:r>
      <w:r w:rsidR="0013757C" w:rsidRPr="003B392D">
        <w:t xml:space="preserve"> </w:t>
      </w:r>
      <w:r>
        <w:t xml:space="preserve">exclusive and exhaustive </w:t>
      </w:r>
      <w:r w:rsidRPr="003B392D">
        <w:t xml:space="preserve">groups: </w:t>
      </w:r>
    </w:p>
    <w:p w14:paraId="2F1097FF" w14:textId="253C8D0D" w:rsidR="00D07488" w:rsidRPr="00DC71EA" w:rsidRDefault="00AB0B47" w:rsidP="00DC71EA">
      <w:pPr>
        <w:pStyle w:val="Bullet"/>
      </w:pPr>
      <w:r w:rsidRPr="00D07488">
        <w:t>High</w:t>
      </w:r>
      <w:r w:rsidR="00FD66B1">
        <w:t xml:space="preserve"> </w:t>
      </w:r>
      <w:r w:rsidRPr="00D07488">
        <w:t xml:space="preserve">skill: </w:t>
      </w:r>
      <w:r w:rsidR="00EC12EB" w:rsidRPr="00D07488">
        <w:t>Bachelor’s</w:t>
      </w:r>
      <w:r w:rsidRPr="00D07488">
        <w:t xml:space="preserve"> </w:t>
      </w:r>
      <w:r w:rsidRPr="00DC71EA">
        <w:t>degree or above required, ABS skill level 1</w:t>
      </w:r>
    </w:p>
    <w:p w14:paraId="46963D6A" w14:textId="31A7B382" w:rsidR="00D07488" w:rsidRPr="00DC71EA" w:rsidRDefault="00AB0B47" w:rsidP="00DC71EA">
      <w:pPr>
        <w:pStyle w:val="Bullet"/>
      </w:pPr>
      <w:r w:rsidRPr="00DC71EA">
        <w:t>Middle</w:t>
      </w:r>
      <w:r w:rsidR="00FD66B1">
        <w:t xml:space="preserve"> </w:t>
      </w:r>
      <w:r w:rsidRPr="00DC71EA">
        <w:t>skill: Cert III/IV or diploma required, ABS skill level 2 or 3</w:t>
      </w:r>
    </w:p>
    <w:p w14:paraId="0456BA72" w14:textId="4EE5FFA3" w:rsidR="00AB0B47" w:rsidRPr="00D07488" w:rsidRDefault="00AB0B47" w:rsidP="00DC71EA">
      <w:pPr>
        <w:pStyle w:val="Bullet"/>
      </w:pPr>
      <w:r w:rsidRPr="00DC71EA">
        <w:t>Low</w:t>
      </w:r>
      <w:r w:rsidR="00FD66B1">
        <w:t xml:space="preserve"> </w:t>
      </w:r>
      <w:r w:rsidRPr="00DC71EA">
        <w:t>skill: High school or Cert</w:t>
      </w:r>
      <w:r w:rsidRPr="00D07488">
        <w:t xml:space="preserve"> I/II required, ABS skill level 4 or 5</w:t>
      </w:r>
      <w:r w:rsidR="00CC69E7">
        <w:t>.</w:t>
      </w:r>
    </w:p>
    <w:p w14:paraId="178A9DF3" w14:textId="12F1987B" w:rsidR="00AB0B47" w:rsidRPr="003B392D" w:rsidRDefault="00AB0B47" w:rsidP="00DC71EA">
      <w:r w:rsidRPr="003B392D">
        <w:t xml:space="preserve">A job </w:t>
      </w:r>
      <w:r w:rsidRPr="001C2072">
        <w:t>vacancy</w:t>
      </w:r>
      <w:r w:rsidR="005F5800">
        <w:t>’</w:t>
      </w:r>
      <w:r w:rsidRPr="001C2072">
        <w:t>s</w:t>
      </w:r>
      <w:r w:rsidRPr="003B392D">
        <w:rPr>
          <w:b/>
          <w:bCs/>
        </w:rPr>
        <w:t xml:space="preserve"> </w:t>
      </w:r>
      <w:r w:rsidRPr="003B392D">
        <w:t>skill group is defined by the ABS skill level of its ANZSCO occupation</w:t>
      </w:r>
      <w:r>
        <w:t>.</w:t>
      </w:r>
      <w:r w:rsidR="00933812">
        <w:t xml:space="preserve"> </w:t>
      </w:r>
      <w:r w:rsidRPr="003B392D">
        <w:t xml:space="preserve">A </w:t>
      </w:r>
      <w:r w:rsidRPr="001C2072">
        <w:t>person</w:t>
      </w:r>
      <w:r w:rsidR="005F5800">
        <w:t>’</w:t>
      </w:r>
      <w:r w:rsidRPr="001C2072">
        <w:t>s</w:t>
      </w:r>
      <w:r w:rsidRPr="003B392D">
        <w:rPr>
          <w:b/>
          <w:bCs/>
        </w:rPr>
        <w:t xml:space="preserve"> </w:t>
      </w:r>
      <w:r w:rsidRPr="003B392D">
        <w:t>skill group is defined by their highest level of education</w:t>
      </w:r>
      <w:r w:rsidR="0013757C">
        <w:t xml:space="preserve"> or</w:t>
      </w:r>
      <w:r w:rsidRPr="003B392D">
        <w:t xml:space="preserve"> the skill level of their current or previous job</w:t>
      </w:r>
      <w:r>
        <w:t>.</w:t>
      </w:r>
    </w:p>
    <w:p w14:paraId="67C3810E" w14:textId="418475BE" w:rsidR="00D07488" w:rsidRPr="00D07488" w:rsidRDefault="00AB0B47" w:rsidP="00DC71EA">
      <w:pPr>
        <w:pStyle w:val="Bullet"/>
      </w:pPr>
      <w:r w:rsidRPr="00DC71EA">
        <w:t>Education</w:t>
      </w:r>
      <w:r w:rsidRPr="003B392D">
        <w:t xml:space="preserve"> </w:t>
      </w:r>
      <w:r>
        <w:t xml:space="preserve">level </w:t>
      </w:r>
      <w:r w:rsidRPr="003B392D">
        <w:t>is important</w:t>
      </w:r>
      <w:r>
        <w:t xml:space="preserve"> to define the skill levels of people without information on their previous occupation. This group is largely </w:t>
      </w:r>
      <w:r w:rsidRPr="007C0488">
        <w:t>made</w:t>
      </w:r>
      <w:r>
        <w:t xml:space="preserve"> up of y</w:t>
      </w:r>
      <w:r w:rsidRPr="00B069E8">
        <w:t>oung</w:t>
      </w:r>
      <w:r>
        <w:t xml:space="preserve"> job seekers, about half of whom are entering the workforce for the first time</w:t>
      </w:r>
      <w:r w:rsidR="0013757C">
        <w:t>. It is also comprised of those</w:t>
      </w:r>
      <w:r>
        <w:t xml:space="preserve"> who have been without an occupation for an extended period</w:t>
      </w:r>
      <w:r w:rsidR="0013757C">
        <w:t>,</w:t>
      </w:r>
      <w:r>
        <w:t xml:space="preserve"> such as those coming from periods of leave or long</w:t>
      </w:r>
      <w:r w:rsidR="005F5800">
        <w:noBreakHyphen/>
      </w:r>
      <w:r>
        <w:t xml:space="preserve">term unemployment. Education information has only been collected for each rotation group in the ABS </w:t>
      </w:r>
      <w:hyperlink r:id="rId34" w:history="1">
        <w:r w:rsidRPr="0010767A">
          <w:rPr>
            <w:rStyle w:val="Hyperlink"/>
          </w:rPr>
          <w:t>Longitudinal Labour Force</w:t>
        </w:r>
      </w:hyperlink>
      <w:r w:rsidRPr="003B392D">
        <w:t xml:space="preserve"> </w:t>
      </w:r>
      <w:r>
        <w:t>since August 2015.</w:t>
      </w:r>
    </w:p>
    <w:p w14:paraId="08B2BDF5" w14:textId="158146AE" w:rsidR="00D07488" w:rsidRDefault="00AB0B47" w:rsidP="00DC71EA">
      <w:pPr>
        <w:pStyle w:val="Bullet"/>
      </w:pPr>
      <w:r>
        <w:t xml:space="preserve">Note that as people are classified by the </w:t>
      </w:r>
      <w:r w:rsidRPr="001C2072">
        <w:t>highest</w:t>
      </w:r>
      <w:r w:rsidRPr="00A761CC">
        <w:t xml:space="preserve"> </w:t>
      </w:r>
      <w:r>
        <w:t xml:space="preserve">education and occupation skill level, this style of analysis cannot identify </w:t>
      </w:r>
      <w:r w:rsidR="005F5800">
        <w:t>‘</w:t>
      </w:r>
      <w:r>
        <w:t>under</w:t>
      </w:r>
      <w:r w:rsidR="0013757C">
        <w:t xml:space="preserve"> </w:t>
      </w:r>
      <w:r>
        <w:t>skilled</w:t>
      </w:r>
      <w:r w:rsidR="005F5800">
        <w:t>’</w:t>
      </w:r>
      <w:r>
        <w:t xml:space="preserve"> workers. By </w:t>
      </w:r>
      <w:r w:rsidRPr="007C0488">
        <w:t>definition</w:t>
      </w:r>
      <w:r>
        <w:t xml:space="preserve"> a worker without a </w:t>
      </w:r>
      <w:r w:rsidR="002268AF">
        <w:t>bachelor’s</w:t>
      </w:r>
      <w:r>
        <w:t xml:space="preserve"> degree </w:t>
      </w:r>
      <w:r w:rsidRPr="00DC71EA">
        <w:t>working</w:t>
      </w:r>
      <w:r>
        <w:t xml:space="preserve"> in a </w:t>
      </w:r>
      <w:r w:rsidR="00FD66B1">
        <w:t>high-skill</w:t>
      </w:r>
      <w:r>
        <w:t xml:space="preserve"> occupation that would usually require a </w:t>
      </w:r>
      <w:r w:rsidR="00EC12EB">
        <w:t>bachelor’s</w:t>
      </w:r>
      <w:r>
        <w:t xml:space="preserve"> degree is classified as high</w:t>
      </w:r>
      <w:r w:rsidR="006139C1">
        <w:t> </w:t>
      </w:r>
      <w:r>
        <w:t>skill.</w:t>
      </w:r>
    </w:p>
    <w:p w14:paraId="1F46EE12" w14:textId="77777777" w:rsidR="00AB0B47" w:rsidRPr="00DB5657" w:rsidRDefault="00AB0B47" w:rsidP="00DB5657">
      <w:pPr>
        <w:pStyle w:val="Heading3"/>
      </w:pPr>
      <w:bookmarkStart w:id="33" w:name="_Toc153452423"/>
      <w:r w:rsidRPr="00DB5657">
        <w:t>Data</w:t>
      </w:r>
      <w:bookmarkEnd w:id="33"/>
    </w:p>
    <w:p w14:paraId="3ADFBBA9" w14:textId="6EA9892B" w:rsidR="00D07488" w:rsidRPr="00D07488" w:rsidRDefault="00AB0B47" w:rsidP="00DC71EA">
      <w:pPr>
        <w:pStyle w:val="Bullet"/>
      </w:pPr>
      <w:r w:rsidRPr="00D07488">
        <w:t>Skill</w:t>
      </w:r>
      <w:r w:rsidR="00286B36" w:rsidRPr="00D07488">
        <w:t xml:space="preserve"> </w:t>
      </w:r>
      <w:r w:rsidRPr="00D07488">
        <w:t xml:space="preserve">level vacancy shares are taken from the JSA </w:t>
      </w:r>
      <w:hyperlink r:id="rId35" w:history="1">
        <w:r w:rsidRPr="00617EE4">
          <w:rPr>
            <w:rStyle w:val="Hyperlink"/>
            <w:color w:val="0D0D0D" w:themeColor="text1" w:themeTint="F2"/>
            <w:u w:val="none"/>
          </w:rPr>
          <w:t>Internet Vacancy Index</w:t>
        </w:r>
      </w:hyperlink>
      <w:r w:rsidRPr="00D07488">
        <w:t xml:space="preserve"> (by ABS skill level and state), with state shares scaled to state job vacancy levels from ABS </w:t>
      </w:r>
      <w:hyperlink r:id="rId36" w:history="1">
        <w:r w:rsidRPr="00617EE4">
          <w:rPr>
            <w:rStyle w:val="Hyperlink"/>
            <w:color w:val="0D0D0D" w:themeColor="text1" w:themeTint="F2"/>
            <w:u w:val="none"/>
          </w:rPr>
          <w:t>Job Vacancies</w:t>
        </w:r>
      </w:hyperlink>
      <w:r w:rsidRPr="00D07488">
        <w:t>.</w:t>
      </w:r>
    </w:p>
    <w:p w14:paraId="4BB8DA0F" w14:textId="79AF1457" w:rsidR="00D07488" w:rsidRPr="00D07488" w:rsidRDefault="00AB0B47" w:rsidP="00DC71EA">
      <w:pPr>
        <w:pStyle w:val="Bullet"/>
      </w:pPr>
      <w:r w:rsidRPr="00D07488">
        <w:t>Skill</w:t>
      </w:r>
      <w:r w:rsidR="00286B36" w:rsidRPr="00D07488">
        <w:t xml:space="preserve"> </w:t>
      </w:r>
      <w:r w:rsidRPr="00D07488">
        <w:t xml:space="preserve">level employment and unemployment shares are generated from ABS </w:t>
      </w:r>
      <w:hyperlink r:id="rId37" w:history="1">
        <w:r w:rsidRPr="00617EE4">
          <w:rPr>
            <w:rStyle w:val="Hyperlink"/>
            <w:color w:val="0D0D0D" w:themeColor="text1" w:themeTint="F2"/>
            <w:u w:val="none"/>
          </w:rPr>
          <w:t>Longitudinal Labour Force</w:t>
        </w:r>
      </w:hyperlink>
      <w:r w:rsidRPr="00D07488">
        <w:t xml:space="preserve"> microdata using an individual</w:t>
      </w:r>
      <w:r w:rsidR="005F5800">
        <w:t>’</w:t>
      </w:r>
      <w:r w:rsidRPr="00D07488">
        <w:t xml:space="preserve">s highest level of education and ABS skill level of their current or previous occupation. ABS skill levels and education levels are then assigned a high, middle or </w:t>
      </w:r>
      <w:r w:rsidR="00FD66B1">
        <w:t>low-skill</w:t>
      </w:r>
      <w:r w:rsidRPr="00D07488">
        <w:t xml:space="preserve"> grouping according to the method described above.</w:t>
      </w:r>
    </w:p>
    <w:p w14:paraId="7C31AEED" w14:textId="65960E16" w:rsidR="003371E4" w:rsidRPr="00D07488" w:rsidRDefault="00AB0B47" w:rsidP="00DC71EA">
      <w:pPr>
        <w:pStyle w:val="Bullet"/>
      </w:pPr>
      <w:r w:rsidRPr="00D07488">
        <w:t>Skill</w:t>
      </w:r>
      <w:r w:rsidR="00286B36" w:rsidRPr="00D07488">
        <w:t xml:space="preserve"> </w:t>
      </w:r>
      <w:r w:rsidRPr="00D07488">
        <w:t xml:space="preserve">level shares are scaled to publicly available employment and unemployment counts from the ABS </w:t>
      </w:r>
      <w:hyperlink r:id="rId38" w:history="1">
        <w:r w:rsidRPr="00617EE4">
          <w:rPr>
            <w:rStyle w:val="Hyperlink"/>
            <w:color w:val="0D0D0D" w:themeColor="text1" w:themeTint="F2"/>
            <w:u w:val="none"/>
          </w:rPr>
          <w:t>Labour Force Survey</w:t>
        </w:r>
      </w:hyperlink>
      <w:r w:rsidRPr="00D07488">
        <w:t xml:space="preserve"> (original series, not seasonally adjusted). </w:t>
      </w:r>
    </w:p>
    <w:p w14:paraId="5E69A053" w14:textId="77777777" w:rsidR="00CB682C" w:rsidRPr="00DC71EA" w:rsidRDefault="00CB682C" w:rsidP="00DC71EA">
      <w:bookmarkStart w:id="34" w:name="_Toc153452424"/>
      <w:r w:rsidRPr="00DC71EA">
        <w:br w:type="page"/>
      </w:r>
    </w:p>
    <w:p w14:paraId="59C913CE" w14:textId="02D5B96F" w:rsidR="00AB0B47" w:rsidRPr="00740D92" w:rsidRDefault="00AB0B47" w:rsidP="00DD76BE">
      <w:pPr>
        <w:pStyle w:val="Heading2Appendix"/>
      </w:pPr>
      <w:r>
        <w:lastRenderedPageBreak/>
        <w:t>Occupation transition matrices</w:t>
      </w:r>
      <w:bookmarkEnd w:id="34"/>
    </w:p>
    <w:p w14:paraId="428A8F54" w14:textId="1FCF2D34" w:rsidR="00730565" w:rsidRDefault="00AB0B47" w:rsidP="00B73DA7">
      <w:r>
        <w:t xml:space="preserve">ABS </w:t>
      </w:r>
      <w:hyperlink r:id="rId39" w:history="1">
        <w:r w:rsidRPr="0010767A">
          <w:rPr>
            <w:rStyle w:val="Hyperlink"/>
          </w:rPr>
          <w:t>Longitudinal Labour Force</w:t>
        </w:r>
      </w:hyperlink>
      <w:r>
        <w:rPr>
          <w:szCs w:val="22"/>
        </w:rPr>
        <w:t xml:space="preserve"> microdata is used to explore changes in </w:t>
      </w:r>
      <w:r w:rsidR="003232CF">
        <w:rPr>
          <w:szCs w:val="22"/>
        </w:rPr>
        <w:t>ANZSCO sub</w:t>
      </w:r>
      <w:r w:rsidR="005F5800">
        <w:rPr>
          <w:szCs w:val="22"/>
        </w:rPr>
        <w:noBreakHyphen/>
      </w:r>
      <w:r w:rsidR="003232CF">
        <w:rPr>
          <w:szCs w:val="22"/>
        </w:rPr>
        <w:t xml:space="preserve">major </w:t>
      </w:r>
      <w:r>
        <w:rPr>
          <w:szCs w:val="22"/>
        </w:rPr>
        <w:t xml:space="preserve">occupation for individuals from one quarter to the next. </w:t>
      </w:r>
      <w:r>
        <w:t xml:space="preserve">These labour force transition matrices allow us to see where all people, including unemployed people and those without a previous occupation, tend to gain employment by occupation when </w:t>
      </w:r>
      <w:r w:rsidRPr="007C0488">
        <w:t>commencing</w:t>
      </w:r>
      <w:r>
        <w:t xml:space="preserve"> a new job. All transitions observed between 2016 and </w:t>
      </w:r>
      <w:r w:rsidRPr="007C0488">
        <w:t>2022</w:t>
      </w:r>
      <w:r>
        <w:t xml:space="preserve"> are pooled to generate the matrix to avoid sample size issues.</w:t>
      </w:r>
      <w:r w:rsidR="006A285B">
        <w:t xml:space="preserve"> </w:t>
      </w:r>
    </w:p>
    <w:p w14:paraId="77E0E953" w14:textId="5F886DAB" w:rsidR="00941BB4" w:rsidRPr="00B73DA7" w:rsidRDefault="003232CF" w:rsidP="00B73DA7">
      <w:pPr>
        <w:rPr>
          <w:szCs w:val="22"/>
        </w:rPr>
      </w:pPr>
      <w:r>
        <w:t>Chart C</w:t>
      </w:r>
      <w:r w:rsidR="002A0E0F">
        <w:t>.</w:t>
      </w:r>
      <w:r>
        <w:t xml:space="preserve">1 on the following page shows the full </w:t>
      </w:r>
      <w:r w:rsidR="007479EB">
        <w:t>transition matrix.</w:t>
      </w:r>
    </w:p>
    <w:p w14:paraId="5E58AAF6" w14:textId="77777777" w:rsidR="002409F9" w:rsidRPr="00DD76BE" w:rsidRDefault="002409F9" w:rsidP="00DD76BE"/>
    <w:p w14:paraId="742719CF" w14:textId="33C9C35E" w:rsidR="00DD76BE" w:rsidRPr="00DD76BE" w:rsidRDefault="00DD76BE" w:rsidP="00DD76BE">
      <w:pPr>
        <w:sectPr w:rsidR="00DD76BE" w:rsidRPr="00DD76BE" w:rsidSect="00D81ACE">
          <w:pgSz w:w="11906" w:h="16838" w:code="9"/>
          <w:pgMar w:top="1843" w:right="1418" w:bottom="1418" w:left="1418" w:header="709" w:footer="709" w:gutter="0"/>
          <w:cols w:space="708"/>
          <w:docGrid w:linePitch="360"/>
        </w:sectPr>
      </w:pPr>
    </w:p>
    <w:p w14:paraId="68802162" w14:textId="3682A0AB" w:rsidR="00941BB4" w:rsidRDefault="00941BB4" w:rsidP="00DC71EA">
      <w:pPr>
        <w:pStyle w:val="ChartMainHeadingAppendix"/>
        <w:spacing w:before="120"/>
      </w:pPr>
      <w:r w:rsidRPr="00DC71EA">
        <w:lastRenderedPageBreak/>
        <w:t>Occupation</w:t>
      </w:r>
      <w:r w:rsidRPr="00941BB4">
        <w:t xml:space="preserve"> transitions for people commencing new jobs</w:t>
      </w:r>
    </w:p>
    <w:p w14:paraId="168DA085" w14:textId="775AAD0A" w:rsidR="00941BB4" w:rsidRPr="00676FEB" w:rsidRDefault="003A5D08" w:rsidP="00676FEB">
      <w:pPr>
        <w:pStyle w:val="ChartGraphic"/>
      </w:pPr>
      <w:r>
        <w:rPr>
          <w:noProof/>
        </w:rPr>
        <w:drawing>
          <wp:inline distT="0" distB="0" distL="0" distR="0" wp14:anchorId="6939DEAE" wp14:editId="33C24BC9">
            <wp:extent cx="8892000" cy="4621330"/>
            <wp:effectExtent l="0" t="0" r="4445" b="8255"/>
            <wp:docPr id="27" name="Picture 27" descr="A chart showing the share of workers moving job by their original and destination occupations. It shows that there are clusters of related occupations that people commonly switch to and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hart showing the share of workers moving job by their original and destination occupations. It shows that there are clusters of related occupations that people commonly switch to and fr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2000" cy="4621330"/>
                    </a:xfrm>
                    <a:prstGeom prst="rect">
                      <a:avLst/>
                    </a:prstGeom>
                    <a:noFill/>
                    <a:ln>
                      <a:noFill/>
                    </a:ln>
                  </pic:spPr>
                </pic:pic>
              </a:graphicData>
            </a:graphic>
          </wp:inline>
        </w:drawing>
      </w:r>
    </w:p>
    <w:p w14:paraId="5253C1B7" w14:textId="59411DF6" w:rsidR="00941BB4" w:rsidRDefault="00941BB4" w:rsidP="00625761">
      <w:pPr>
        <w:pStyle w:val="ChartTableFigureNoteorSource"/>
      </w:pPr>
      <w:r w:rsidRPr="00676FEB">
        <w:t xml:space="preserve">Source: </w:t>
      </w:r>
      <w:r w:rsidR="00DC71EA">
        <w:tab/>
      </w:r>
      <w:r w:rsidRPr="00676FEB">
        <w:t>Treasury analysis of ABS Longitudinal Labour Force Survey.</w:t>
      </w:r>
    </w:p>
    <w:p w14:paraId="29B5D1F2" w14:textId="107E8CAC" w:rsidR="001D56AC" w:rsidRPr="001D56AC" w:rsidRDefault="001D56AC" w:rsidP="001D56AC">
      <w:pPr>
        <w:pStyle w:val="ChartTableFigureNoteorSource"/>
      </w:pPr>
      <w:r w:rsidRPr="00676FEB">
        <w:t xml:space="preserve">Note: </w:t>
      </w:r>
      <w:r>
        <w:tab/>
      </w:r>
      <w:r w:rsidRPr="00676FEB">
        <w:t>Pooled quarterly transitions between 2016</w:t>
      </w:r>
      <w:r>
        <w:t>–</w:t>
      </w:r>
      <w:r w:rsidRPr="00676FEB">
        <w:t>2022.</w:t>
      </w:r>
    </w:p>
    <w:p w14:paraId="301960D7" w14:textId="77777777" w:rsidR="004C14C4" w:rsidRDefault="004C14C4" w:rsidP="00FA572D">
      <w:pPr>
        <w:pStyle w:val="ChartTableFiguresectionline"/>
      </w:pPr>
    </w:p>
    <w:p w14:paraId="1B160ABE" w14:textId="0E7DC0C2" w:rsidR="002409F9" w:rsidRDefault="002409F9" w:rsidP="00B576B8">
      <w:pPr>
        <w:sectPr w:rsidR="002409F9" w:rsidSect="002A0E0F">
          <w:headerReference w:type="default" r:id="rId41"/>
          <w:footerReference w:type="default" r:id="rId42"/>
          <w:pgSz w:w="16838" w:h="11906" w:orient="landscape" w:code="9"/>
          <w:pgMar w:top="1843" w:right="1418" w:bottom="1418" w:left="1418" w:header="709" w:footer="709" w:gutter="0"/>
          <w:cols w:space="708"/>
          <w:docGrid w:linePitch="360"/>
        </w:sectPr>
      </w:pPr>
    </w:p>
    <w:p w14:paraId="78651C64" w14:textId="75671C30" w:rsidR="00AB0B47" w:rsidRDefault="00AB0B47" w:rsidP="00DC71EA">
      <w:pPr>
        <w:pStyle w:val="Heading2Appendix"/>
      </w:pPr>
      <w:bookmarkStart w:id="35" w:name="_Toc153452425"/>
      <w:r>
        <w:lastRenderedPageBreak/>
        <w:t>Defining region</w:t>
      </w:r>
      <w:r w:rsidR="00950594">
        <w:t>-</w:t>
      </w:r>
      <w:r>
        <w:t>skill groups</w:t>
      </w:r>
      <w:bookmarkEnd w:id="35"/>
    </w:p>
    <w:p w14:paraId="59FF0E61" w14:textId="77777777" w:rsidR="00AB0B47" w:rsidRDefault="00AB0B47" w:rsidP="007C0488">
      <w:r>
        <w:t xml:space="preserve">This analysis defines regions and skill levels </w:t>
      </w:r>
      <w:r w:rsidRPr="003B392D">
        <w:t xml:space="preserve">to match </w:t>
      </w:r>
      <w:r w:rsidRPr="00317323">
        <w:t>vacancies</w:t>
      </w:r>
      <w:r w:rsidRPr="003B392D">
        <w:rPr>
          <w:b/>
          <w:bCs/>
        </w:rPr>
        <w:t xml:space="preserve"> </w:t>
      </w:r>
      <w:r w:rsidRPr="003B392D">
        <w:t xml:space="preserve">(which have </w:t>
      </w:r>
      <w:r>
        <w:t xml:space="preserve">locations and </w:t>
      </w:r>
      <w:r w:rsidRPr="003B392D">
        <w:t xml:space="preserve">occupations) </w:t>
      </w:r>
      <w:r w:rsidRPr="0090280B">
        <w:t>and</w:t>
      </w:r>
      <w:r w:rsidRPr="003B392D">
        <w:rPr>
          <w:b/>
          <w:bCs/>
        </w:rPr>
        <w:t xml:space="preserve"> </w:t>
      </w:r>
      <w:r w:rsidRPr="00317323">
        <w:t>unemployed people</w:t>
      </w:r>
      <w:r w:rsidRPr="003B392D">
        <w:rPr>
          <w:b/>
          <w:bCs/>
        </w:rPr>
        <w:t xml:space="preserve"> </w:t>
      </w:r>
      <w:r w:rsidRPr="003B392D">
        <w:t xml:space="preserve">(who </w:t>
      </w:r>
      <w:r>
        <w:t xml:space="preserve">have locations, </w:t>
      </w:r>
      <w:r w:rsidRPr="003B392D">
        <w:t>education levels</w:t>
      </w:r>
      <w:r>
        <w:t xml:space="preserve"> and previous occupations</w:t>
      </w:r>
      <w:r w:rsidRPr="003B392D">
        <w:t>)</w:t>
      </w:r>
      <w:r>
        <w:t xml:space="preserve">. </w:t>
      </w:r>
    </w:p>
    <w:p w14:paraId="5546226E" w14:textId="177BC813" w:rsidR="00AB0B47" w:rsidRDefault="00AB0B47" w:rsidP="007504FD">
      <w:r w:rsidRPr="00E84E31">
        <w:t>This analysis splits labour market into 37 regions with 3 skill groups (111 cells) to explore varied conditions</w:t>
      </w:r>
      <w:r w:rsidR="005162B5">
        <w:t xml:space="preserve">. </w:t>
      </w:r>
      <w:r>
        <w:t>Regions are defined by JSA Internet Vacancy Index (IVI) Regions.</w:t>
      </w:r>
      <w:r w:rsidR="007504FD">
        <w:t xml:space="preserve"> </w:t>
      </w:r>
      <w:r>
        <w:t xml:space="preserve">Labour force data is sourced from the ABS </w:t>
      </w:r>
      <w:hyperlink r:id="rId43" w:history="1">
        <w:r w:rsidRPr="0010767A">
          <w:rPr>
            <w:rStyle w:val="Hyperlink"/>
          </w:rPr>
          <w:t>Longitudinal Labour Force</w:t>
        </w:r>
      </w:hyperlink>
      <w:r>
        <w:t xml:space="preserve"> microdata at Statistical Area 4 (SA4) level before being </w:t>
      </w:r>
      <w:r w:rsidR="00DB5C5F">
        <w:t>corresponded</w:t>
      </w:r>
      <w:r>
        <w:t xml:space="preserve"> to IVI regions. JSA provides a </w:t>
      </w:r>
      <w:hyperlink r:id="rId44" w:history="1">
        <w:r w:rsidRPr="00B449F1">
          <w:rPr>
            <w:rStyle w:val="Hyperlink"/>
          </w:rPr>
          <w:t>correspondence tables</w:t>
        </w:r>
      </w:hyperlink>
      <w:r>
        <w:t xml:space="preserve"> of SA4 regions to IVI regions.</w:t>
      </w:r>
    </w:p>
    <w:p w14:paraId="36DF4A03" w14:textId="5634F788" w:rsidR="004B010C" w:rsidRDefault="004B0663" w:rsidP="007C0488">
      <w:r>
        <w:t xml:space="preserve">These regions are shown in </w:t>
      </w:r>
      <w:r w:rsidR="004C14C4">
        <w:t>Chart </w:t>
      </w:r>
      <w:r>
        <w:t>D</w:t>
      </w:r>
      <w:r w:rsidR="002A0E0F">
        <w:t>.</w:t>
      </w:r>
      <w:r>
        <w:t>1.</w:t>
      </w:r>
    </w:p>
    <w:p w14:paraId="2F273872" w14:textId="7D6B1F65" w:rsidR="004B010C" w:rsidRDefault="00BD4834" w:rsidP="00DC71EA">
      <w:pPr>
        <w:pStyle w:val="ChartMainHeadingAppendix"/>
      </w:pPr>
      <w:r>
        <w:t>Internet Vacancy Index regions</w:t>
      </w:r>
    </w:p>
    <w:p w14:paraId="57A0E000" w14:textId="4C70E31D" w:rsidR="004B010C" w:rsidRPr="00625761" w:rsidRDefault="0015303E" w:rsidP="00F607CA">
      <w:pPr>
        <w:pStyle w:val="ChartGraphic"/>
        <w:jc w:val="left"/>
      </w:pPr>
      <w:r>
        <w:rPr>
          <w:noProof/>
        </w:rPr>
        <w:drawing>
          <wp:inline distT="0" distB="0" distL="0" distR="0" wp14:anchorId="5D303279" wp14:editId="4B0C4DF5">
            <wp:extent cx="5795520" cy="4490519"/>
            <wp:effectExtent l="0" t="0" r="0" b="0"/>
            <wp:docPr id="6" name="Picture 6" descr="A map of Australia with 37 regions. The map is shown to highlight that some regions are geographically large, such as 'Regional Northern Territory' which covers all the Northern Territory outside of Darwin, and Toowoomba and South West Queensland, which covers almost the entire bottom third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ustralia with 37 regions. The map is shown to highlight that some regions are geographically large, such as 'Regional Northern Territory' which covers all the Northern Territory outside of Darwin, and Toowoomba and South West Queensland, which covers almost the entire bottom third of Queensla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5520" cy="4490519"/>
                    </a:xfrm>
                    <a:prstGeom prst="rect">
                      <a:avLst/>
                    </a:prstGeom>
                    <a:noFill/>
                  </pic:spPr>
                </pic:pic>
              </a:graphicData>
            </a:graphic>
          </wp:inline>
        </w:drawing>
      </w:r>
      <w:r w:rsidR="0096121E">
        <w:br w:type="textWrapping" w:clear="all"/>
      </w:r>
      <w:r w:rsidR="004B010C" w:rsidRPr="00C563D4">
        <w:t xml:space="preserve">Source: </w:t>
      </w:r>
      <w:r w:rsidR="00625761">
        <w:tab/>
      </w:r>
      <w:r w:rsidR="000A6C6B">
        <w:t>Jobs and Skills Australia (2023).</w:t>
      </w:r>
    </w:p>
    <w:p w14:paraId="24E4E4BB" w14:textId="7358D1E7" w:rsidR="00AB0B47" w:rsidRDefault="00AB0B47" w:rsidP="004C14C4">
      <w:pPr>
        <w:pStyle w:val="ChartTableFiguresectionline"/>
      </w:pPr>
    </w:p>
    <w:p w14:paraId="08FE6C30" w14:textId="77777777" w:rsidR="00DD1B1D" w:rsidRPr="00DD1B1D" w:rsidRDefault="00DD1B1D" w:rsidP="00DD1B1D"/>
    <w:p w14:paraId="0ADAB19E" w14:textId="383FF749" w:rsidR="00DD1B1D" w:rsidRPr="00DD1B1D" w:rsidRDefault="00DD1B1D" w:rsidP="00DD1B1D">
      <w:pPr>
        <w:sectPr w:rsidR="00DD1B1D" w:rsidRPr="00DD1B1D" w:rsidSect="002A0E0F">
          <w:headerReference w:type="default" r:id="rId46"/>
          <w:footerReference w:type="default" r:id="rId47"/>
          <w:pgSz w:w="11906" w:h="16838" w:code="9"/>
          <w:pgMar w:top="1843" w:right="1418" w:bottom="1418" w:left="1418" w:header="709" w:footer="709" w:gutter="0"/>
          <w:cols w:space="708"/>
          <w:docGrid w:linePitch="360"/>
        </w:sectPr>
      </w:pPr>
    </w:p>
    <w:p w14:paraId="7F10C454" w14:textId="3E823D4E" w:rsidR="00967385" w:rsidRDefault="00967385" w:rsidP="00DC71EA">
      <w:pPr>
        <w:pStyle w:val="Heading1"/>
      </w:pPr>
      <w:r>
        <w:lastRenderedPageBreak/>
        <w:t>References</w:t>
      </w:r>
    </w:p>
    <w:p w14:paraId="55B2F2F4" w14:textId="33E02123" w:rsidR="00967385" w:rsidRPr="004E5030" w:rsidRDefault="009A5718" w:rsidP="00967385">
      <w:pPr>
        <w:rPr>
          <w:rFonts w:cstheme="minorHAnsi"/>
          <w:szCs w:val="22"/>
        </w:rPr>
      </w:pPr>
      <w:r>
        <w:rPr>
          <w:rFonts w:asciiTheme="minorHAnsi" w:hAnsiTheme="minorHAnsi" w:cstheme="minorHAnsi"/>
          <w:szCs w:val="22"/>
        </w:rPr>
        <w:t>Australian Bureau of Statistics.</w:t>
      </w:r>
      <w:r w:rsidR="00967385" w:rsidRPr="004E5030">
        <w:rPr>
          <w:rFonts w:asciiTheme="minorHAnsi" w:hAnsiTheme="minorHAnsi" w:cstheme="minorHAnsi"/>
          <w:szCs w:val="22"/>
        </w:rPr>
        <w:t xml:space="preserve"> (2022)</w:t>
      </w:r>
      <w:r>
        <w:rPr>
          <w:rFonts w:asciiTheme="minorHAnsi" w:hAnsiTheme="minorHAnsi" w:cstheme="minorHAnsi"/>
          <w:szCs w:val="22"/>
        </w:rPr>
        <w:t>.</w:t>
      </w:r>
      <w:r w:rsidR="00967385" w:rsidRPr="004E5030">
        <w:rPr>
          <w:rFonts w:asciiTheme="minorHAnsi" w:hAnsiTheme="minorHAnsi" w:cstheme="minorHAnsi"/>
          <w:szCs w:val="22"/>
        </w:rPr>
        <w:t xml:space="preserve"> </w:t>
      </w:r>
      <w:r>
        <w:rPr>
          <w:rFonts w:asciiTheme="minorHAnsi" w:hAnsiTheme="minorHAnsi" w:cstheme="minorHAnsi"/>
          <w:szCs w:val="22"/>
        </w:rPr>
        <w:t xml:space="preserve">Classifications: </w:t>
      </w:r>
      <w:r w:rsidR="00967385" w:rsidRPr="004E5030">
        <w:rPr>
          <w:rFonts w:asciiTheme="minorHAnsi" w:hAnsiTheme="minorHAnsi" w:cstheme="minorHAnsi"/>
          <w:szCs w:val="22"/>
        </w:rPr>
        <w:t>Conceptual Basis of ANZSCO</w:t>
      </w:r>
      <w:r>
        <w:rPr>
          <w:rFonts w:asciiTheme="minorHAnsi" w:hAnsiTheme="minorHAnsi" w:cstheme="minorHAnsi"/>
          <w:szCs w:val="22"/>
        </w:rPr>
        <w:t>.</w:t>
      </w:r>
      <w:r w:rsidR="00967385" w:rsidRPr="004E5030">
        <w:rPr>
          <w:rFonts w:asciiTheme="minorHAnsi" w:hAnsiTheme="minorHAnsi" w:cstheme="minorHAnsi"/>
          <w:szCs w:val="22"/>
        </w:rPr>
        <w:t xml:space="preserve"> </w:t>
      </w:r>
      <w:hyperlink r:id="rId48" w:anchor="underlying-concepts" w:history="1">
        <w:r w:rsidR="00967385" w:rsidRPr="004E5030">
          <w:rPr>
            <w:rStyle w:val="Hyperlink"/>
            <w:rFonts w:asciiTheme="minorHAnsi" w:hAnsiTheme="minorHAnsi" w:cstheme="minorHAnsi"/>
            <w:szCs w:val="22"/>
          </w:rPr>
          <w:t>https://www.abs.gov.au/statistics/classifications/anzsco</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australian</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and</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new</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zealand</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standard</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classification</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occupations/2022/conceptual</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basis</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anzsco#underlying</w:t>
        </w:r>
        <w:r w:rsidR="00CB0CA1">
          <w:rPr>
            <w:rStyle w:val="Hyperlink"/>
            <w:rFonts w:asciiTheme="minorHAnsi" w:hAnsiTheme="minorHAnsi" w:cstheme="minorHAnsi"/>
            <w:szCs w:val="22"/>
          </w:rPr>
          <w:t>-</w:t>
        </w:r>
        <w:r w:rsidR="00967385" w:rsidRPr="004E5030">
          <w:rPr>
            <w:rStyle w:val="Hyperlink"/>
            <w:rFonts w:asciiTheme="minorHAnsi" w:hAnsiTheme="minorHAnsi" w:cstheme="minorHAnsi"/>
            <w:szCs w:val="22"/>
          </w:rPr>
          <w:t>concepts</w:t>
        </w:r>
      </w:hyperlink>
    </w:p>
    <w:p w14:paraId="4D1F4B7D" w14:textId="6052F0B1" w:rsidR="00967385" w:rsidRPr="004E5030" w:rsidRDefault="00967385" w:rsidP="00967385">
      <w:pPr>
        <w:rPr>
          <w:rFonts w:cstheme="minorHAnsi"/>
          <w:szCs w:val="22"/>
        </w:rPr>
      </w:pPr>
      <w:r w:rsidRPr="004E5030">
        <w:rPr>
          <w:rFonts w:asciiTheme="minorHAnsi" w:hAnsiTheme="minorHAnsi" w:cstheme="minorHAnsi"/>
          <w:szCs w:val="22"/>
        </w:rPr>
        <w:t>Ahn, H</w:t>
      </w:r>
      <w:r w:rsidR="009A5718">
        <w:rPr>
          <w:rFonts w:asciiTheme="minorHAnsi" w:hAnsiTheme="minorHAnsi" w:cstheme="minorHAnsi"/>
          <w:szCs w:val="22"/>
        </w:rPr>
        <w:t>. &amp;</w:t>
      </w:r>
      <w:r w:rsidRPr="004E5030">
        <w:rPr>
          <w:rFonts w:asciiTheme="minorHAnsi" w:hAnsiTheme="minorHAnsi" w:cstheme="minorHAnsi"/>
          <w:szCs w:val="22"/>
        </w:rPr>
        <w:t xml:space="preserve"> Crane, L</w:t>
      </w:r>
      <w:r w:rsidR="009A5718">
        <w:rPr>
          <w:rFonts w:asciiTheme="minorHAnsi" w:hAnsiTheme="minorHAnsi" w:cstheme="minorHAnsi"/>
          <w:szCs w:val="22"/>
        </w:rPr>
        <w:t>.</w:t>
      </w:r>
      <w:r w:rsidRPr="004E5030">
        <w:rPr>
          <w:rFonts w:asciiTheme="minorHAnsi" w:hAnsiTheme="minorHAnsi" w:cstheme="minorHAnsi"/>
          <w:szCs w:val="22"/>
        </w:rPr>
        <w:t xml:space="preserve"> (2020)</w:t>
      </w:r>
      <w:r w:rsidR="009A5718">
        <w:rPr>
          <w:rFonts w:asciiTheme="minorHAnsi" w:hAnsiTheme="minorHAnsi" w:cstheme="minorHAnsi"/>
          <w:szCs w:val="22"/>
        </w:rPr>
        <w:t>.</w:t>
      </w:r>
      <w:r w:rsidRPr="004E5030">
        <w:rPr>
          <w:rFonts w:asciiTheme="minorHAnsi" w:hAnsiTheme="minorHAnsi" w:cstheme="minorHAnsi"/>
          <w:szCs w:val="22"/>
        </w:rPr>
        <w:t xml:space="preserve"> </w:t>
      </w:r>
      <w:r w:rsidRPr="009A5718">
        <w:rPr>
          <w:rFonts w:asciiTheme="minorHAnsi" w:hAnsiTheme="minorHAnsi" w:cstheme="minorHAnsi"/>
          <w:szCs w:val="22"/>
        </w:rPr>
        <w:t>Dynamic Beveridge Curve Accounting</w:t>
      </w:r>
      <w:r w:rsidRPr="004E5030">
        <w:rPr>
          <w:rFonts w:asciiTheme="minorHAnsi" w:hAnsiTheme="minorHAnsi" w:cstheme="minorHAnsi"/>
          <w:szCs w:val="22"/>
        </w:rPr>
        <w:t xml:space="preserve">, </w:t>
      </w:r>
      <w:r w:rsidRPr="00A761CC">
        <w:rPr>
          <w:rStyle w:val="Emphasis"/>
        </w:rPr>
        <w:t>Federal Reserve</w:t>
      </w:r>
      <w:r w:rsidR="005F5800" w:rsidRPr="00A761CC">
        <w:rPr>
          <w:rStyle w:val="Emphasis"/>
        </w:rPr>
        <w:t xml:space="preserve">. </w:t>
      </w:r>
      <w:hyperlink r:id="rId49" w:history="1">
        <w:r w:rsidRPr="004E5030">
          <w:rPr>
            <w:rStyle w:val="Hyperlink"/>
            <w:rFonts w:asciiTheme="minorHAnsi" w:hAnsiTheme="minorHAnsi" w:cstheme="minorHAnsi"/>
            <w:szCs w:val="22"/>
          </w:rPr>
          <w:t>https://www.federalreserve.gov/econres/feds/dynamic</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beveridge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curve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accounting.htm</w:t>
        </w:r>
      </w:hyperlink>
      <w:r w:rsidRPr="004E5030">
        <w:rPr>
          <w:rFonts w:asciiTheme="minorHAnsi" w:hAnsiTheme="minorHAnsi" w:cstheme="minorHAnsi"/>
          <w:szCs w:val="22"/>
        </w:rPr>
        <w:t xml:space="preserve"> </w:t>
      </w:r>
    </w:p>
    <w:p w14:paraId="449FD3E0" w14:textId="6483AA21" w:rsidR="00967385" w:rsidRPr="004E5030" w:rsidRDefault="00967385" w:rsidP="00967385">
      <w:pPr>
        <w:rPr>
          <w:rFonts w:cstheme="minorHAnsi"/>
          <w:szCs w:val="22"/>
        </w:rPr>
      </w:pPr>
      <w:r w:rsidRPr="004E5030">
        <w:rPr>
          <w:rFonts w:asciiTheme="minorHAnsi" w:hAnsiTheme="minorHAnsi" w:cstheme="minorHAnsi"/>
          <w:szCs w:val="22"/>
        </w:rPr>
        <w:t>Borland, J</w:t>
      </w:r>
      <w:r w:rsidR="009A5718">
        <w:rPr>
          <w:rFonts w:asciiTheme="minorHAnsi" w:hAnsiTheme="minorHAnsi" w:cstheme="minorHAnsi"/>
          <w:szCs w:val="22"/>
        </w:rPr>
        <w:t>.</w:t>
      </w:r>
      <w:r w:rsidRPr="004E5030">
        <w:rPr>
          <w:rFonts w:asciiTheme="minorHAnsi" w:hAnsiTheme="minorHAnsi" w:cstheme="minorHAnsi"/>
          <w:szCs w:val="22"/>
        </w:rPr>
        <w:t xml:space="preserve"> (2011)</w:t>
      </w:r>
      <w:r w:rsidR="009A5718">
        <w:rPr>
          <w:rFonts w:asciiTheme="minorHAnsi" w:hAnsiTheme="minorHAnsi" w:cstheme="minorHAnsi"/>
          <w:szCs w:val="22"/>
        </w:rPr>
        <w:t>.</w:t>
      </w:r>
      <w:r w:rsidRPr="004E5030">
        <w:rPr>
          <w:rFonts w:asciiTheme="minorHAnsi" w:hAnsiTheme="minorHAnsi" w:cstheme="minorHAnsi"/>
          <w:szCs w:val="22"/>
        </w:rPr>
        <w:t xml:space="preserve"> </w:t>
      </w:r>
      <w:r w:rsidRPr="009A5718">
        <w:rPr>
          <w:rFonts w:asciiTheme="minorHAnsi" w:hAnsiTheme="minorHAnsi" w:cstheme="minorHAnsi"/>
          <w:szCs w:val="22"/>
        </w:rPr>
        <w:t>The Australian Labour Market in the 2000s: The Quiet Decade</w:t>
      </w:r>
      <w:r w:rsidR="009A5718">
        <w:rPr>
          <w:rFonts w:asciiTheme="minorHAnsi" w:hAnsiTheme="minorHAnsi" w:cstheme="minorHAnsi"/>
          <w:szCs w:val="22"/>
        </w:rPr>
        <w:t>.</w:t>
      </w:r>
      <w:r w:rsidRPr="004E5030">
        <w:rPr>
          <w:rFonts w:asciiTheme="minorHAnsi" w:hAnsiTheme="minorHAnsi" w:cstheme="minorHAnsi"/>
          <w:szCs w:val="22"/>
        </w:rPr>
        <w:t xml:space="preserve"> </w:t>
      </w:r>
      <w:r w:rsidR="00AA08C8" w:rsidRPr="00AA08C8">
        <w:rPr>
          <w:rFonts w:asciiTheme="minorHAnsi" w:hAnsiTheme="minorHAnsi" w:cstheme="minorHAnsi"/>
          <w:szCs w:val="22"/>
        </w:rPr>
        <w:t>Reserve Bank of Australia</w:t>
      </w:r>
      <w:r w:rsidRPr="00AA08C8">
        <w:rPr>
          <w:rFonts w:asciiTheme="minorHAnsi" w:hAnsiTheme="minorHAnsi" w:cstheme="minorHAnsi"/>
          <w:szCs w:val="22"/>
        </w:rPr>
        <w:t xml:space="preserve"> </w:t>
      </w:r>
      <w:r w:rsidR="00793737">
        <w:rPr>
          <w:rFonts w:asciiTheme="minorHAnsi" w:hAnsiTheme="minorHAnsi" w:cstheme="minorHAnsi"/>
          <w:szCs w:val="22"/>
        </w:rPr>
        <w:t xml:space="preserve">Annual </w:t>
      </w:r>
      <w:r w:rsidRPr="00AA08C8">
        <w:rPr>
          <w:rFonts w:asciiTheme="minorHAnsi" w:hAnsiTheme="minorHAnsi" w:cstheme="minorHAnsi"/>
          <w:szCs w:val="22"/>
        </w:rPr>
        <w:t>Conference 2011</w:t>
      </w:r>
      <w:r w:rsidR="009A5718">
        <w:rPr>
          <w:rFonts w:asciiTheme="minorHAnsi" w:hAnsiTheme="minorHAnsi" w:cstheme="minorHAnsi"/>
          <w:szCs w:val="22"/>
        </w:rPr>
        <w:t>.</w:t>
      </w:r>
      <w:r w:rsidRPr="004E5030">
        <w:rPr>
          <w:rFonts w:asciiTheme="minorHAnsi" w:hAnsiTheme="minorHAnsi" w:cstheme="minorHAnsi"/>
          <w:szCs w:val="22"/>
        </w:rPr>
        <w:t xml:space="preserve"> </w:t>
      </w:r>
      <w:hyperlink r:id="rId50" w:history="1">
        <w:r w:rsidRPr="004E5030">
          <w:rPr>
            <w:rStyle w:val="Hyperlink"/>
            <w:rFonts w:asciiTheme="minorHAnsi" w:hAnsiTheme="minorHAnsi" w:cstheme="minorHAnsi"/>
            <w:szCs w:val="22"/>
          </w:rPr>
          <w:t>https://www.rba.gov.au/publications/confs/2011/pdf/borland.pdf</w:t>
        </w:r>
      </w:hyperlink>
      <w:r w:rsidRPr="004E5030">
        <w:rPr>
          <w:rFonts w:asciiTheme="minorHAnsi" w:hAnsiTheme="minorHAnsi" w:cstheme="minorHAnsi"/>
          <w:szCs w:val="22"/>
        </w:rPr>
        <w:t xml:space="preserve"> </w:t>
      </w:r>
    </w:p>
    <w:p w14:paraId="42900D92" w14:textId="1333F8EA" w:rsidR="00967385" w:rsidRPr="004E5030" w:rsidRDefault="00967385" w:rsidP="00967385">
      <w:pPr>
        <w:rPr>
          <w:rFonts w:cstheme="minorHAnsi"/>
          <w:szCs w:val="22"/>
        </w:rPr>
      </w:pPr>
      <w:r w:rsidRPr="004E5030">
        <w:rPr>
          <w:rFonts w:asciiTheme="minorHAnsi" w:hAnsiTheme="minorHAnsi" w:cstheme="minorHAnsi"/>
          <w:szCs w:val="22"/>
        </w:rPr>
        <w:t>Consolo</w:t>
      </w:r>
      <w:r w:rsidR="009A5718">
        <w:rPr>
          <w:rFonts w:asciiTheme="minorHAnsi" w:hAnsiTheme="minorHAnsi" w:cstheme="minorHAnsi"/>
          <w:szCs w:val="22"/>
        </w:rPr>
        <w:t>, A. &amp;</w:t>
      </w:r>
      <w:r w:rsidRPr="004E5030">
        <w:rPr>
          <w:rFonts w:asciiTheme="minorHAnsi" w:hAnsiTheme="minorHAnsi" w:cstheme="minorHAnsi"/>
          <w:szCs w:val="22"/>
        </w:rPr>
        <w:t xml:space="preserve"> da Silva</w:t>
      </w:r>
      <w:r w:rsidR="009A5718">
        <w:rPr>
          <w:rFonts w:asciiTheme="minorHAnsi" w:hAnsiTheme="minorHAnsi" w:cstheme="minorHAnsi"/>
          <w:szCs w:val="22"/>
        </w:rPr>
        <w:t>, A.</w:t>
      </w:r>
      <w:r w:rsidRPr="004E5030">
        <w:rPr>
          <w:rFonts w:asciiTheme="minorHAnsi" w:hAnsiTheme="minorHAnsi" w:cstheme="minorHAnsi"/>
          <w:szCs w:val="22"/>
        </w:rPr>
        <w:t xml:space="preserve"> (2019)</w:t>
      </w:r>
      <w:r w:rsidR="009A5718">
        <w:rPr>
          <w:rFonts w:asciiTheme="minorHAnsi" w:hAnsiTheme="minorHAnsi" w:cstheme="minorHAnsi"/>
          <w:szCs w:val="22"/>
        </w:rPr>
        <w:t>.</w:t>
      </w:r>
      <w:r w:rsidRPr="004E5030">
        <w:rPr>
          <w:rFonts w:asciiTheme="minorHAnsi" w:hAnsiTheme="minorHAnsi" w:cstheme="minorHAnsi"/>
          <w:szCs w:val="22"/>
        </w:rPr>
        <w:t xml:space="preserve"> </w:t>
      </w:r>
      <w:r w:rsidRPr="009A5718">
        <w:rPr>
          <w:rFonts w:asciiTheme="minorHAnsi" w:hAnsiTheme="minorHAnsi" w:cstheme="minorHAnsi"/>
          <w:szCs w:val="22"/>
        </w:rPr>
        <w:t>The euro area labour market through the lens of the Beveridge curve</w:t>
      </w:r>
      <w:r w:rsidR="009A5718" w:rsidRPr="009A5718">
        <w:rPr>
          <w:rFonts w:asciiTheme="minorHAnsi" w:hAnsiTheme="minorHAnsi" w:cstheme="minorHAnsi"/>
          <w:szCs w:val="22"/>
        </w:rPr>
        <w:t>.</w:t>
      </w:r>
      <w:r w:rsidRPr="004E5030">
        <w:rPr>
          <w:rFonts w:asciiTheme="minorHAnsi" w:hAnsiTheme="minorHAnsi" w:cstheme="minorHAnsi"/>
          <w:szCs w:val="22"/>
        </w:rPr>
        <w:t xml:space="preserve"> European Central Bank, Economic Bulletin Issue 4/2019. </w:t>
      </w:r>
      <w:hyperlink r:id="rId51" w:history="1">
        <w:r w:rsidRPr="004E5030">
          <w:rPr>
            <w:rStyle w:val="Hyperlink"/>
            <w:rFonts w:asciiTheme="minorHAnsi" w:hAnsiTheme="minorHAnsi" w:cstheme="minorHAnsi"/>
            <w:szCs w:val="22"/>
          </w:rPr>
          <w:t>https://www.ecb.europa.eu/pub/economic</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bulletin/articles/2019/html/ecb.ebart201904_01~9070de27a0.en.html</w:t>
        </w:r>
      </w:hyperlink>
    </w:p>
    <w:p w14:paraId="2B6561AC" w14:textId="413362B1" w:rsidR="00967385" w:rsidRPr="004E5030" w:rsidRDefault="00967385" w:rsidP="00967385">
      <w:pPr>
        <w:rPr>
          <w:rFonts w:cstheme="minorHAnsi"/>
          <w:color w:val="2A2A2A"/>
          <w:szCs w:val="22"/>
          <w:shd w:val="clear" w:color="auto" w:fill="FFFFFF"/>
        </w:rPr>
      </w:pPr>
      <w:r w:rsidRPr="004E5030">
        <w:rPr>
          <w:rFonts w:asciiTheme="minorHAnsi" w:hAnsiTheme="minorHAnsi" w:cstheme="minorHAnsi"/>
          <w:szCs w:val="22"/>
        </w:rPr>
        <w:t xml:space="preserve">Cotofan, M., Cassar, L., Dur, R., </w:t>
      </w:r>
      <w:r w:rsidR="009A5718">
        <w:rPr>
          <w:rFonts w:asciiTheme="minorHAnsi" w:hAnsiTheme="minorHAnsi" w:cstheme="minorHAnsi"/>
          <w:szCs w:val="22"/>
        </w:rPr>
        <w:t xml:space="preserve">&amp; </w:t>
      </w:r>
      <w:r w:rsidRPr="004E5030">
        <w:rPr>
          <w:rFonts w:asciiTheme="minorHAnsi" w:hAnsiTheme="minorHAnsi" w:cstheme="minorHAnsi"/>
          <w:szCs w:val="22"/>
        </w:rPr>
        <w:t>Meier, S. (2023)</w:t>
      </w:r>
      <w:r w:rsidR="009A5718">
        <w:rPr>
          <w:rFonts w:asciiTheme="minorHAnsi" w:hAnsiTheme="minorHAnsi" w:cstheme="minorHAnsi"/>
          <w:szCs w:val="22"/>
        </w:rPr>
        <w:t>.</w:t>
      </w:r>
      <w:r w:rsidRPr="004E5030">
        <w:rPr>
          <w:rFonts w:asciiTheme="minorHAnsi" w:hAnsiTheme="minorHAnsi" w:cstheme="minorHAnsi"/>
          <w:szCs w:val="22"/>
        </w:rPr>
        <w:t xml:space="preserve"> </w:t>
      </w:r>
      <w:r w:rsidRPr="009A5718">
        <w:rPr>
          <w:rFonts w:asciiTheme="minorHAnsi" w:hAnsiTheme="minorHAnsi" w:cstheme="minorHAnsi"/>
          <w:szCs w:val="22"/>
        </w:rPr>
        <w:t>Macroeconomic Conditions When Young Shape Job Preferences for Life</w:t>
      </w:r>
      <w:r w:rsidRPr="004E5030">
        <w:rPr>
          <w:rFonts w:asciiTheme="minorHAnsi" w:hAnsiTheme="minorHAnsi" w:cstheme="minorHAnsi"/>
          <w:szCs w:val="22"/>
        </w:rPr>
        <w:t xml:space="preserve">. </w:t>
      </w:r>
      <w:r w:rsidRPr="00A761CC">
        <w:rPr>
          <w:rStyle w:val="Emphasis"/>
        </w:rPr>
        <w:t>The Review of Economics and Statistics 2023</w:t>
      </w:r>
      <w:r w:rsidRPr="004E5030">
        <w:rPr>
          <w:rFonts w:asciiTheme="minorHAnsi" w:hAnsiTheme="minorHAnsi" w:cstheme="minorHAnsi"/>
          <w:szCs w:val="22"/>
        </w:rPr>
        <w:t>; 105 (2): 467–473. doi:</w:t>
      </w:r>
      <w:r w:rsidR="00DD1B1D">
        <w:rPr>
          <w:rFonts w:asciiTheme="minorHAnsi" w:hAnsiTheme="minorHAnsi" w:cstheme="minorHAnsi"/>
          <w:szCs w:val="22"/>
        </w:rPr>
        <w:t> </w:t>
      </w:r>
      <w:hyperlink r:id="rId52" w:history="1">
        <w:r w:rsidRPr="004E5030">
          <w:rPr>
            <w:rStyle w:val="Hyperlink"/>
            <w:rFonts w:asciiTheme="minorHAnsi" w:hAnsiTheme="minorHAnsi" w:cstheme="minorHAnsi"/>
            <w:szCs w:val="22"/>
          </w:rPr>
          <w:t>https://doi.org/10.1162/rest_a_01057</w:t>
        </w:r>
      </w:hyperlink>
    </w:p>
    <w:p w14:paraId="6B60CFD5" w14:textId="785AA0B8" w:rsidR="00967385" w:rsidRPr="004E5030" w:rsidRDefault="00967385" w:rsidP="00967385">
      <w:pPr>
        <w:rPr>
          <w:rFonts w:cstheme="minorBidi"/>
          <w:szCs w:val="22"/>
        </w:rPr>
      </w:pPr>
      <w:r w:rsidRPr="004E5030">
        <w:rPr>
          <w:szCs w:val="22"/>
        </w:rPr>
        <w:t>D</w:t>
      </w:r>
      <w:r w:rsidR="005F5800">
        <w:rPr>
          <w:szCs w:val="22"/>
        </w:rPr>
        <w:t>’</w:t>
      </w:r>
      <w:r w:rsidRPr="004E5030">
        <w:rPr>
          <w:szCs w:val="22"/>
        </w:rPr>
        <w:t xml:space="preserve">Arcy, P., Gustafsson, L., Lewis, C., </w:t>
      </w:r>
      <w:r w:rsidR="009A5718">
        <w:rPr>
          <w:szCs w:val="22"/>
        </w:rPr>
        <w:t xml:space="preserve">&amp; </w:t>
      </w:r>
      <w:r w:rsidRPr="004E5030">
        <w:rPr>
          <w:szCs w:val="22"/>
        </w:rPr>
        <w:t>Wiltshire, T. (2012)</w:t>
      </w:r>
      <w:r w:rsidR="009A5718">
        <w:rPr>
          <w:szCs w:val="22"/>
        </w:rPr>
        <w:t>.</w:t>
      </w:r>
      <w:r w:rsidRPr="004E5030">
        <w:rPr>
          <w:szCs w:val="22"/>
        </w:rPr>
        <w:t xml:space="preserve"> </w:t>
      </w:r>
      <w:r w:rsidRPr="009A5718">
        <w:rPr>
          <w:szCs w:val="22"/>
        </w:rPr>
        <w:t>Labour Market Turnover and Mobility</w:t>
      </w:r>
      <w:r w:rsidRPr="004E5030">
        <w:rPr>
          <w:szCs w:val="22"/>
        </w:rPr>
        <w:t>. RBA Bulletin December Quarter 2012</w:t>
      </w:r>
      <w:r w:rsidR="009A5718">
        <w:rPr>
          <w:szCs w:val="22"/>
        </w:rPr>
        <w:t>.</w:t>
      </w:r>
      <w:r w:rsidRPr="004E5030">
        <w:rPr>
          <w:szCs w:val="22"/>
        </w:rPr>
        <w:t xml:space="preserve"> </w:t>
      </w:r>
      <w:hyperlink r:id="rId53" w:history="1">
        <w:r w:rsidRPr="004E5030">
          <w:rPr>
            <w:rStyle w:val="Hyperlink"/>
            <w:szCs w:val="22"/>
          </w:rPr>
          <w:t>https://www.rba.gov.au/publications/bulletin/2012/dec/pdf/bu</w:t>
        </w:r>
        <w:r w:rsidR="00CB0CA1">
          <w:rPr>
            <w:rStyle w:val="Hyperlink"/>
            <w:szCs w:val="22"/>
          </w:rPr>
          <w:t>-</w:t>
        </w:r>
        <w:r w:rsidRPr="004E5030">
          <w:rPr>
            <w:rStyle w:val="Hyperlink"/>
            <w:szCs w:val="22"/>
          </w:rPr>
          <w:t>1212</w:t>
        </w:r>
        <w:r w:rsidR="00CB0CA1">
          <w:rPr>
            <w:rStyle w:val="Hyperlink"/>
            <w:szCs w:val="22"/>
          </w:rPr>
          <w:t>-</w:t>
        </w:r>
        <w:r w:rsidRPr="004E5030">
          <w:rPr>
            <w:rStyle w:val="Hyperlink"/>
            <w:szCs w:val="22"/>
          </w:rPr>
          <w:t>1.pdf</w:t>
        </w:r>
      </w:hyperlink>
    </w:p>
    <w:p w14:paraId="7C122219" w14:textId="402A510D" w:rsidR="00967385" w:rsidRPr="004E5030" w:rsidRDefault="00967385" w:rsidP="00967385">
      <w:pPr>
        <w:rPr>
          <w:rFonts w:cstheme="minorHAnsi"/>
          <w:szCs w:val="22"/>
        </w:rPr>
      </w:pPr>
      <w:r w:rsidRPr="004E5030">
        <w:rPr>
          <w:rFonts w:asciiTheme="minorHAnsi" w:hAnsiTheme="minorHAnsi" w:cstheme="minorHAnsi"/>
          <w:szCs w:val="22"/>
        </w:rPr>
        <w:t>Deming, J. (2017)</w:t>
      </w:r>
      <w:r w:rsidR="009A5718">
        <w:rPr>
          <w:rFonts w:asciiTheme="minorHAnsi" w:hAnsiTheme="minorHAnsi" w:cstheme="minorHAnsi"/>
          <w:szCs w:val="22"/>
        </w:rPr>
        <w:t>.</w:t>
      </w:r>
      <w:r w:rsidRPr="004E5030">
        <w:rPr>
          <w:rFonts w:asciiTheme="minorHAnsi" w:hAnsiTheme="minorHAnsi" w:cstheme="minorHAnsi"/>
          <w:szCs w:val="22"/>
        </w:rPr>
        <w:t xml:space="preserve"> </w:t>
      </w:r>
      <w:r w:rsidRPr="009A5718">
        <w:rPr>
          <w:rFonts w:asciiTheme="minorHAnsi" w:hAnsiTheme="minorHAnsi" w:cstheme="minorHAnsi"/>
          <w:szCs w:val="22"/>
        </w:rPr>
        <w:t>The Growing Importance of Social Skills in the Labor Market</w:t>
      </w:r>
      <w:r w:rsidR="009A5718">
        <w:rPr>
          <w:rFonts w:asciiTheme="minorHAnsi" w:hAnsiTheme="minorHAnsi" w:cstheme="minorHAnsi"/>
          <w:szCs w:val="22"/>
        </w:rPr>
        <w:t>.</w:t>
      </w:r>
      <w:r w:rsidRPr="004E5030">
        <w:rPr>
          <w:rFonts w:asciiTheme="minorHAnsi" w:hAnsiTheme="minorHAnsi" w:cstheme="minorHAnsi"/>
          <w:szCs w:val="22"/>
        </w:rPr>
        <w:t xml:space="preserve"> </w:t>
      </w:r>
      <w:r w:rsidRPr="00A761CC">
        <w:rPr>
          <w:rStyle w:val="Emphasis"/>
        </w:rPr>
        <w:t>The Quarterly Journal of Economics</w:t>
      </w:r>
      <w:r w:rsidRPr="004E5030">
        <w:rPr>
          <w:rFonts w:asciiTheme="minorHAnsi" w:hAnsiTheme="minorHAnsi" w:cstheme="minorHAnsi"/>
          <w:szCs w:val="22"/>
        </w:rPr>
        <w:t>, 132</w:t>
      </w:r>
      <w:r w:rsidR="007D08A9">
        <w:rPr>
          <w:rFonts w:asciiTheme="minorHAnsi" w:hAnsiTheme="minorHAnsi" w:cstheme="minorHAnsi"/>
          <w:szCs w:val="22"/>
        </w:rPr>
        <w:t xml:space="preserve"> (</w:t>
      </w:r>
      <w:r w:rsidRPr="004E5030">
        <w:rPr>
          <w:rFonts w:asciiTheme="minorHAnsi" w:hAnsiTheme="minorHAnsi" w:cstheme="minorHAnsi"/>
          <w:szCs w:val="22"/>
        </w:rPr>
        <w:t>4</w:t>
      </w:r>
      <w:r w:rsidR="007D08A9">
        <w:rPr>
          <w:rFonts w:asciiTheme="minorHAnsi" w:hAnsiTheme="minorHAnsi" w:cstheme="minorHAnsi"/>
          <w:szCs w:val="22"/>
        </w:rPr>
        <w:t>):</w:t>
      </w:r>
      <w:r w:rsidRPr="004E5030">
        <w:rPr>
          <w:rFonts w:asciiTheme="minorHAnsi" w:hAnsiTheme="minorHAnsi" w:cstheme="minorHAnsi"/>
          <w:szCs w:val="22"/>
        </w:rPr>
        <w:t xml:space="preserve"> 1593–1640</w:t>
      </w:r>
      <w:r w:rsidR="0021548B">
        <w:rPr>
          <w:rFonts w:asciiTheme="minorHAnsi" w:hAnsiTheme="minorHAnsi" w:cstheme="minorHAnsi"/>
          <w:szCs w:val="22"/>
        </w:rPr>
        <w:t xml:space="preserve">. </w:t>
      </w:r>
      <w:hyperlink r:id="rId54" w:history="1">
        <w:r w:rsidR="00FA6811" w:rsidRPr="0092537B">
          <w:rPr>
            <w:rStyle w:val="Hyperlink"/>
            <w:rFonts w:cstheme="minorHAnsi"/>
            <w:szCs w:val="22"/>
          </w:rPr>
          <w:t>https://doi.org/10.1093/qje/qjx022</w:t>
        </w:r>
      </w:hyperlink>
    </w:p>
    <w:p w14:paraId="5EB325DF" w14:textId="2B42B300" w:rsidR="00967385" w:rsidRPr="004E5030" w:rsidRDefault="00967385" w:rsidP="00967385">
      <w:pPr>
        <w:rPr>
          <w:rFonts w:cstheme="minorHAnsi"/>
          <w:szCs w:val="22"/>
        </w:rPr>
      </w:pPr>
      <w:r w:rsidRPr="004E5030">
        <w:rPr>
          <w:rFonts w:asciiTheme="minorHAnsi" w:hAnsiTheme="minorHAnsi" w:cstheme="minorHAnsi"/>
          <w:color w:val="2A2A2A"/>
          <w:szCs w:val="22"/>
          <w:shd w:val="clear" w:color="auto" w:fill="FFFFFF"/>
        </w:rPr>
        <w:t xml:space="preserve">Deming, D., </w:t>
      </w:r>
      <w:r w:rsidR="0021548B">
        <w:rPr>
          <w:rFonts w:asciiTheme="minorHAnsi" w:hAnsiTheme="minorHAnsi" w:cstheme="minorHAnsi"/>
          <w:color w:val="2A2A2A"/>
          <w:szCs w:val="22"/>
          <w:shd w:val="clear" w:color="auto" w:fill="FFFFFF"/>
        </w:rPr>
        <w:t xml:space="preserve">&amp; </w:t>
      </w:r>
      <w:r w:rsidRPr="004E5030">
        <w:rPr>
          <w:rFonts w:asciiTheme="minorHAnsi" w:hAnsiTheme="minorHAnsi" w:cstheme="minorHAnsi"/>
          <w:color w:val="2A2A2A"/>
          <w:szCs w:val="22"/>
          <w:shd w:val="clear" w:color="auto" w:fill="FFFFFF"/>
        </w:rPr>
        <w:t>Noray, K. (2020)</w:t>
      </w:r>
      <w:r w:rsidR="0021548B">
        <w:rPr>
          <w:rFonts w:asciiTheme="minorHAnsi" w:hAnsiTheme="minorHAnsi" w:cstheme="minorHAnsi"/>
          <w:color w:val="2A2A2A"/>
          <w:szCs w:val="22"/>
          <w:shd w:val="clear" w:color="auto" w:fill="FFFFFF"/>
        </w:rPr>
        <w:t>.</w:t>
      </w:r>
      <w:r w:rsidRPr="004E5030">
        <w:rPr>
          <w:rFonts w:asciiTheme="minorHAnsi" w:hAnsiTheme="minorHAnsi" w:cstheme="minorHAnsi"/>
          <w:color w:val="2A2A2A"/>
          <w:szCs w:val="22"/>
          <w:shd w:val="clear" w:color="auto" w:fill="FFFFFF"/>
        </w:rPr>
        <w:t xml:space="preserve"> </w:t>
      </w:r>
      <w:r w:rsidRPr="0021548B">
        <w:rPr>
          <w:rFonts w:asciiTheme="minorHAnsi" w:hAnsiTheme="minorHAnsi" w:cstheme="minorHAnsi"/>
          <w:color w:val="2A2A2A"/>
          <w:szCs w:val="22"/>
          <w:shd w:val="clear" w:color="auto" w:fill="FFFFFF"/>
        </w:rPr>
        <w:t>Earnings Dynamics, Changing Job Skills, and STEM Careers</w:t>
      </w:r>
      <w:r w:rsidRPr="004E5030">
        <w:rPr>
          <w:rFonts w:asciiTheme="minorHAnsi" w:hAnsiTheme="minorHAnsi" w:cstheme="minorHAnsi"/>
          <w:color w:val="2A2A2A"/>
          <w:szCs w:val="22"/>
          <w:shd w:val="clear" w:color="auto" w:fill="FFFFFF"/>
        </w:rPr>
        <w:t>.</w:t>
      </w:r>
      <w:r w:rsidR="00DD1B1D">
        <w:rPr>
          <w:rFonts w:asciiTheme="minorHAnsi" w:hAnsiTheme="minorHAnsi" w:cstheme="minorHAnsi"/>
          <w:color w:val="2A2A2A"/>
          <w:szCs w:val="22"/>
          <w:shd w:val="clear" w:color="auto" w:fill="FFFFFF"/>
        </w:rPr>
        <w:t xml:space="preserve"> </w:t>
      </w:r>
      <w:r w:rsidRPr="00A761CC">
        <w:rPr>
          <w:rStyle w:val="Emphasis"/>
        </w:rPr>
        <w:t>The Quarterly Journal of Economics</w:t>
      </w:r>
      <w:r w:rsidRPr="004E5030">
        <w:rPr>
          <w:rFonts w:asciiTheme="minorHAnsi" w:hAnsiTheme="minorHAnsi" w:cstheme="minorHAnsi"/>
          <w:color w:val="2A2A2A"/>
          <w:szCs w:val="22"/>
          <w:shd w:val="clear" w:color="auto" w:fill="FFFFFF"/>
        </w:rPr>
        <w:t>, 135</w:t>
      </w:r>
      <w:r w:rsidR="0021548B">
        <w:rPr>
          <w:rFonts w:asciiTheme="minorHAnsi" w:hAnsiTheme="minorHAnsi" w:cstheme="minorHAnsi"/>
          <w:color w:val="2A2A2A"/>
          <w:szCs w:val="22"/>
          <w:shd w:val="clear" w:color="auto" w:fill="FFFFFF"/>
        </w:rPr>
        <w:t xml:space="preserve"> (</w:t>
      </w:r>
      <w:r w:rsidRPr="004E5030">
        <w:rPr>
          <w:rFonts w:asciiTheme="minorHAnsi" w:hAnsiTheme="minorHAnsi" w:cstheme="minorHAnsi"/>
          <w:color w:val="2A2A2A"/>
          <w:szCs w:val="22"/>
          <w:shd w:val="clear" w:color="auto" w:fill="FFFFFF"/>
        </w:rPr>
        <w:t>4</w:t>
      </w:r>
      <w:r w:rsidR="0021548B">
        <w:rPr>
          <w:rFonts w:asciiTheme="minorHAnsi" w:hAnsiTheme="minorHAnsi" w:cstheme="minorHAnsi"/>
          <w:color w:val="2A2A2A"/>
          <w:szCs w:val="22"/>
          <w:shd w:val="clear" w:color="auto" w:fill="FFFFFF"/>
        </w:rPr>
        <w:t>):</w:t>
      </w:r>
      <w:r w:rsidRPr="004E5030">
        <w:rPr>
          <w:rFonts w:asciiTheme="minorHAnsi" w:hAnsiTheme="minorHAnsi" w:cstheme="minorHAnsi"/>
          <w:color w:val="2A2A2A"/>
          <w:szCs w:val="22"/>
          <w:shd w:val="clear" w:color="auto" w:fill="FFFFFF"/>
        </w:rPr>
        <w:t xml:space="preserve"> 1965–2005</w:t>
      </w:r>
      <w:r w:rsidR="0021548B">
        <w:rPr>
          <w:rFonts w:asciiTheme="minorHAnsi" w:hAnsiTheme="minorHAnsi" w:cstheme="minorHAnsi"/>
          <w:color w:val="2A2A2A"/>
          <w:szCs w:val="22"/>
          <w:shd w:val="clear" w:color="auto" w:fill="FFFFFF"/>
        </w:rPr>
        <w:t>.</w:t>
      </w:r>
      <w:r w:rsidRPr="00FA6811">
        <w:rPr>
          <w:rFonts w:asciiTheme="minorHAnsi" w:hAnsiTheme="minorHAnsi" w:cstheme="minorHAnsi"/>
          <w:color w:val="5D779D" w:themeColor="accent3"/>
          <w:szCs w:val="22"/>
          <w:shd w:val="clear" w:color="auto" w:fill="FFFFFF"/>
        </w:rPr>
        <w:t> </w:t>
      </w:r>
      <w:hyperlink r:id="rId55" w:history="1">
        <w:r w:rsidRPr="00FA6811">
          <w:rPr>
            <w:rStyle w:val="Hyperlink"/>
            <w:rFonts w:asciiTheme="minorHAnsi" w:hAnsiTheme="minorHAnsi" w:cstheme="minorHAnsi"/>
            <w:szCs w:val="22"/>
            <w:bdr w:val="none" w:sz="0" w:space="0" w:color="auto" w:frame="1"/>
            <w:shd w:val="clear" w:color="auto" w:fill="FFFFFF"/>
          </w:rPr>
          <w:t>https://doi.org/10.1093/qje/qjaa021</w:t>
        </w:r>
      </w:hyperlink>
    </w:p>
    <w:p w14:paraId="19C0C18B" w14:textId="49270993" w:rsidR="00967385" w:rsidRPr="004E5030" w:rsidRDefault="00967385" w:rsidP="00967385">
      <w:pPr>
        <w:rPr>
          <w:rFonts w:cstheme="minorHAnsi"/>
          <w:szCs w:val="22"/>
        </w:rPr>
      </w:pPr>
      <w:r w:rsidRPr="004E5030">
        <w:rPr>
          <w:rFonts w:asciiTheme="minorHAnsi" w:hAnsiTheme="minorHAnsi" w:cstheme="minorHAnsi"/>
          <w:szCs w:val="22"/>
        </w:rPr>
        <w:t>Deutscher, N</w:t>
      </w:r>
      <w:r w:rsidR="00FA6811">
        <w:rPr>
          <w:rFonts w:asciiTheme="minorHAnsi" w:hAnsiTheme="minorHAnsi" w:cstheme="minorHAnsi"/>
          <w:szCs w:val="22"/>
        </w:rPr>
        <w:t>.</w:t>
      </w:r>
      <w:r w:rsidRPr="004E5030">
        <w:rPr>
          <w:rFonts w:asciiTheme="minorHAnsi" w:hAnsiTheme="minorHAnsi" w:cstheme="minorHAnsi"/>
          <w:szCs w:val="22"/>
        </w:rPr>
        <w:t xml:space="preserve"> (2019)</w:t>
      </w:r>
      <w:r w:rsidR="00FA6811">
        <w:rPr>
          <w:rFonts w:asciiTheme="minorHAnsi" w:hAnsiTheme="minorHAnsi" w:cstheme="minorHAnsi"/>
          <w:szCs w:val="22"/>
        </w:rPr>
        <w:t>.</w:t>
      </w:r>
      <w:r w:rsidRPr="004E5030">
        <w:rPr>
          <w:rFonts w:asciiTheme="minorHAnsi" w:hAnsiTheme="minorHAnsi" w:cstheme="minorHAnsi"/>
          <w:szCs w:val="22"/>
        </w:rPr>
        <w:t xml:space="preserve"> </w:t>
      </w:r>
      <w:r w:rsidRPr="00FA6811">
        <w:rPr>
          <w:rFonts w:asciiTheme="minorHAnsi" w:hAnsiTheme="minorHAnsi" w:cstheme="minorHAnsi"/>
          <w:szCs w:val="22"/>
        </w:rPr>
        <w:t>Job</w:t>
      </w:r>
      <w:r w:rsidR="00CB0CA1">
        <w:rPr>
          <w:rFonts w:asciiTheme="minorHAnsi" w:hAnsiTheme="minorHAnsi" w:cstheme="minorHAnsi"/>
          <w:szCs w:val="22"/>
        </w:rPr>
        <w:t>-</w:t>
      </w:r>
      <w:r w:rsidRPr="00FA6811">
        <w:rPr>
          <w:rFonts w:asciiTheme="minorHAnsi" w:hAnsiTheme="minorHAnsi" w:cstheme="minorHAnsi"/>
          <w:szCs w:val="22"/>
        </w:rPr>
        <w:t>to</w:t>
      </w:r>
      <w:r w:rsidR="00CB0CA1">
        <w:rPr>
          <w:rFonts w:asciiTheme="minorHAnsi" w:hAnsiTheme="minorHAnsi" w:cstheme="minorHAnsi"/>
          <w:szCs w:val="22"/>
        </w:rPr>
        <w:t>-</w:t>
      </w:r>
      <w:r w:rsidRPr="00FA6811">
        <w:rPr>
          <w:rFonts w:asciiTheme="minorHAnsi" w:hAnsiTheme="minorHAnsi" w:cstheme="minorHAnsi"/>
          <w:szCs w:val="22"/>
        </w:rPr>
        <w:t>job transitions and the wages of Australian workers</w:t>
      </w:r>
      <w:r w:rsidR="00FA6811">
        <w:rPr>
          <w:rFonts w:asciiTheme="minorHAnsi" w:hAnsiTheme="minorHAnsi" w:cstheme="minorHAnsi"/>
          <w:szCs w:val="22"/>
        </w:rPr>
        <w:t>.</w:t>
      </w:r>
      <w:r w:rsidRPr="004E5030">
        <w:rPr>
          <w:rFonts w:asciiTheme="minorHAnsi" w:hAnsiTheme="minorHAnsi" w:cstheme="minorHAnsi"/>
          <w:szCs w:val="22"/>
        </w:rPr>
        <w:t xml:space="preserve"> Treasury Working Paper 2019</w:t>
      </w:r>
      <w:r w:rsidR="005F5800">
        <w:rPr>
          <w:rFonts w:asciiTheme="minorHAnsi" w:hAnsiTheme="minorHAnsi" w:cstheme="minorHAnsi"/>
          <w:szCs w:val="22"/>
        </w:rPr>
        <w:noBreakHyphen/>
      </w:r>
      <w:r w:rsidRPr="004E5030">
        <w:rPr>
          <w:rFonts w:asciiTheme="minorHAnsi" w:hAnsiTheme="minorHAnsi" w:cstheme="minorHAnsi"/>
          <w:szCs w:val="22"/>
        </w:rPr>
        <w:t>07</w:t>
      </w:r>
      <w:r w:rsidR="00FA6811">
        <w:rPr>
          <w:rFonts w:asciiTheme="minorHAnsi" w:hAnsiTheme="minorHAnsi" w:cstheme="minorHAnsi"/>
          <w:szCs w:val="22"/>
        </w:rPr>
        <w:t>.</w:t>
      </w:r>
      <w:r w:rsidRPr="004E5030">
        <w:rPr>
          <w:rFonts w:asciiTheme="minorHAnsi" w:hAnsiTheme="minorHAnsi" w:cstheme="minorHAnsi"/>
          <w:szCs w:val="22"/>
        </w:rPr>
        <w:t xml:space="preserve"> </w:t>
      </w:r>
      <w:hyperlink r:id="rId56" w:history="1">
        <w:r w:rsidRPr="004E5030">
          <w:rPr>
            <w:rStyle w:val="Hyperlink"/>
            <w:rFonts w:asciiTheme="minorHAnsi" w:hAnsiTheme="minorHAnsi" w:cstheme="minorHAnsi"/>
            <w:szCs w:val="22"/>
          </w:rPr>
          <w:t>https://treasury.gov.au/sites/default/files/2019</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11/p2019</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37418</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jobswitching</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v2.pdf</w:t>
        </w:r>
      </w:hyperlink>
    </w:p>
    <w:p w14:paraId="12CDA9B2" w14:textId="466374E5" w:rsidR="00967385" w:rsidRPr="004E5030" w:rsidRDefault="00967385" w:rsidP="00967385">
      <w:pPr>
        <w:rPr>
          <w:rFonts w:cstheme="minorHAnsi"/>
          <w:szCs w:val="22"/>
        </w:rPr>
      </w:pPr>
      <w:r w:rsidRPr="004E5030">
        <w:rPr>
          <w:rFonts w:asciiTheme="minorHAnsi" w:hAnsiTheme="minorHAnsi" w:cstheme="minorHAnsi"/>
          <w:szCs w:val="22"/>
        </w:rPr>
        <w:t>Figura, A</w:t>
      </w:r>
      <w:r w:rsidR="00FA6811">
        <w:rPr>
          <w:rFonts w:asciiTheme="minorHAnsi" w:hAnsiTheme="minorHAnsi" w:cstheme="minorHAnsi"/>
          <w:szCs w:val="22"/>
        </w:rPr>
        <w:t>.</w:t>
      </w:r>
      <w:r w:rsidRPr="004E5030">
        <w:rPr>
          <w:rFonts w:asciiTheme="minorHAnsi" w:hAnsiTheme="minorHAnsi" w:cstheme="minorHAnsi"/>
          <w:szCs w:val="22"/>
        </w:rPr>
        <w:t xml:space="preserve"> </w:t>
      </w:r>
      <w:r w:rsidR="00FA6811">
        <w:rPr>
          <w:rFonts w:asciiTheme="minorHAnsi" w:hAnsiTheme="minorHAnsi" w:cstheme="minorHAnsi"/>
          <w:szCs w:val="22"/>
        </w:rPr>
        <w:t>&amp;</w:t>
      </w:r>
      <w:r w:rsidRPr="004E5030">
        <w:rPr>
          <w:rFonts w:asciiTheme="minorHAnsi" w:hAnsiTheme="minorHAnsi" w:cstheme="minorHAnsi"/>
          <w:szCs w:val="22"/>
        </w:rPr>
        <w:t xml:space="preserve"> Waller, C</w:t>
      </w:r>
      <w:r w:rsidR="00FA6811">
        <w:rPr>
          <w:rFonts w:asciiTheme="minorHAnsi" w:hAnsiTheme="minorHAnsi" w:cstheme="minorHAnsi"/>
          <w:szCs w:val="22"/>
        </w:rPr>
        <w:t>.</w:t>
      </w:r>
      <w:r w:rsidRPr="004E5030">
        <w:rPr>
          <w:rFonts w:asciiTheme="minorHAnsi" w:hAnsiTheme="minorHAnsi" w:cstheme="minorHAnsi"/>
          <w:szCs w:val="22"/>
        </w:rPr>
        <w:t xml:space="preserve"> (2022)</w:t>
      </w:r>
      <w:r w:rsidR="00FA6811">
        <w:rPr>
          <w:rFonts w:asciiTheme="minorHAnsi" w:hAnsiTheme="minorHAnsi" w:cstheme="minorHAnsi"/>
          <w:szCs w:val="22"/>
        </w:rPr>
        <w:t>.</w:t>
      </w:r>
      <w:r w:rsidRPr="004E5030">
        <w:rPr>
          <w:rFonts w:asciiTheme="minorHAnsi" w:hAnsiTheme="minorHAnsi" w:cstheme="minorHAnsi"/>
          <w:szCs w:val="22"/>
        </w:rPr>
        <w:t xml:space="preserve"> </w:t>
      </w:r>
      <w:r w:rsidRPr="00FA6811">
        <w:rPr>
          <w:rFonts w:asciiTheme="minorHAnsi" w:hAnsiTheme="minorHAnsi" w:cstheme="minorHAnsi"/>
          <w:szCs w:val="22"/>
        </w:rPr>
        <w:t>What does the Beveridge curve tell us about the likelihood of a soft landing?</w:t>
      </w:r>
      <w:r w:rsidRPr="00A761CC">
        <w:rPr>
          <w:rFonts w:asciiTheme="minorHAnsi" w:hAnsiTheme="minorHAnsi" w:cstheme="minorHAnsi"/>
          <w:szCs w:val="22"/>
        </w:rPr>
        <w:t xml:space="preserve"> </w:t>
      </w:r>
      <w:r w:rsidRPr="004E5030">
        <w:rPr>
          <w:rFonts w:asciiTheme="minorHAnsi" w:hAnsiTheme="minorHAnsi" w:cstheme="minorHAnsi"/>
          <w:szCs w:val="22"/>
        </w:rPr>
        <w:t>Federal Reserve</w:t>
      </w:r>
      <w:r w:rsidR="00FA6811">
        <w:rPr>
          <w:rFonts w:asciiTheme="minorHAnsi" w:hAnsiTheme="minorHAnsi" w:cstheme="minorHAnsi"/>
          <w:szCs w:val="22"/>
        </w:rPr>
        <w:t>.</w:t>
      </w:r>
      <w:r w:rsidRPr="004E5030">
        <w:rPr>
          <w:rFonts w:asciiTheme="minorHAnsi" w:hAnsiTheme="minorHAnsi" w:cstheme="minorHAnsi"/>
          <w:szCs w:val="22"/>
        </w:rPr>
        <w:t xml:space="preserve"> </w:t>
      </w:r>
      <w:hyperlink r:id="rId57" w:history="1">
        <w:r w:rsidRPr="004E5030">
          <w:rPr>
            <w:rStyle w:val="Hyperlink"/>
            <w:rFonts w:asciiTheme="minorHAnsi" w:hAnsiTheme="minorHAnsi" w:cstheme="minorHAnsi"/>
            <w:szCs w:val="22"/>
          </w:rPr>
          <w:t>https://www.federalreserve.gov/econres/notes/feds</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notes/what</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does</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the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beveridge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curve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tell</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us</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about</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the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likelihood</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of</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a</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soft</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landing</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20220729.html</w:t>
        </w:r>
      </w:hyperlink>
      <w:r w:rsidRPr="004E5030">
        <w:rPr>
          <w:rFonts w:asciiTheme="minorHAnsi" w:hAnsiTheme="minorHAnsi" w:cstheme="minorHAnsi"/>
          <w:szCs w:val="22"/>
        </w:rPr>
        <w:t xml:space="preserve"> </w:t>
      </w:r>
    </w:p>
    <w:p w14:paraId="76F3CDFA" w14:textId="70B3C9AA" w:rsidR="00967385" w:rsidRPr="004E5030" w:rsidRDefault="00967385" w:rsidP="00967385">
      <w:pPr>
        <w:rPr>
          <w:rFonts w:cstheme="minorHAnsi"/>
          <w:szCs w:val="22"/>
        </w:rPr>
      </w:pPr>
      <w:r w:rsidRPr="004E5030">
        <w:rPr>
          <w:rFonts w:asciiTheme="minorHAnsi" w:hAnsiTheme="minorHAnsi" w:cstheme="minorHAnsi"/>
          <w:szCs w:val="22"/>
        </w:rPr>
        <w:t>Gore, J., Holmes, K., Smith, M. et al. (2015)</w:t>
      </w:r>
      <w:r w:rsidR="00FA6811">
        <w:rPr>
          <w:rFonts w:asciiTheme="minorHAnsi" w:hAnsiTheme="minorHAnsi" w:cstheme="minorHAnsi"/>
          <w:szCs w:val="22"/>
        </w:rPr>
        <w:t>.</w:t>
      </w:r>
      <w:r w:rsidRPr="004E5030">
        <w:rPr>
          <w:rFonts w:asciiTheme="minorHAnsi" w:hAnsiTheme="minorHAnsi" w:cstheme="minorHAnsi"/>
          <w:szCs w:val="22"/>
        </w:rPr>
        <w:t xml:space="preserve"> </w:t>
      </w:r>
      <w:r w:rsidRPr="00FA6811">
        <w:rPr>
          <w:rFonts w:asciiTheme="minorHAnsi" w:hAnsiTheme="minorHAnsi" w:cstheme="minorHAnsi"/>
          <w:szCs w:val="22"/>
        </w:rPr>
        <w:t>Socioeconomic status and the career aspirations of Australian school students: Testing enduring assumptions</w:t>
      </w:r>
      <w:r w:rsidRPr="004E5030">
        <w:rPr>
          <w:rFonts w:asciiTheme="minorHAnsi" w:hAnsiTheme="minorHAnsi" w:cstheme="minorHAnsi"/>
          <w:szCs w:val="22"/>
        </w:rPr>
        <w:t xml:space="preserve">. </w:t>
      </w:r>
      <w:r w:rsidRPr="00A761CC">
        <w:rPr>
          <w:rStyle w:val="Emphasis"/>
        </w:rPr>
        <w:t>Aust. Educ. Res.</w:t>
      </w:r>
      <w:r w:rsidRPr="004E5030">
        <w:rPr>
          <w:rFonts w:asciiTheme="minorHAnsi" w:hAnsiTheme="minorHAnsi" w:cstheme="minorHAnsi"/>
          <w:szCs w:val="22"/>
        </w:rPr>
        <w:t xml:space="preserve"> 42</w:t>
      </w:r>
      <w:r w:rsidR="00FA6811">
        <w:rPr>
          <w:rFonts w:asciiTheme="minorHAnsi" w:hAnsiTheme="minorHAnsi" w:cstheme="minorHAnsi"/>
          <w:szCs w:val="22"/>
        </w:rPr>
        <w:t>:</w:t>
      </w:r>
      <w:r w:rsidRPr="004E5030">
        <w:rPr>
          <w:rFonts w:asciiTheme="minorHAnsi" w:hAnsiTheme="minorHAnsi" w:cstheme="minorHAnsi"/>
          <w:szCs w:val="22"/>
        </w:rPr>
        <w:t xml:space="preserve"> 155–177. </w:t>
      </w:r>
      <w:hyperlink r:id="rId58" w:history="1">
        <w:r w:rsidRPr="004E5030">
          <w:rPr>
            <w:rStyle w:val="Hyperlink"/>
            <w:rFonts w:asciiTheme="minorHAnsi" w:hAnsiTheme="minorHAnsi" w:cstheme="minorHAnsi"/>
            <w:szCs w:val="22"/>
          </w:rPr>
          <w:t>https://doi.org/10.1007/s13384</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015</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0172</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5</w:t>
        </w:r>
      </w:hyperlink>
      <w:r w:rsidRPr="004E5030">
        <w:rPr>
          <w:rFonts w:asciiTheme="minorHAnsi" w:hAnsiTheme="minorHAnsi" w:cstheme="minorHAnsi"/>
          <w:szCs w:val="22"/>
        </w:rPr>
        <w:t xml:space="preserve"> </w:t>
      </w:r>
    </w:p>
    <w:p w14:paraId="0231F87E" w14:textId="202E1A89" w:rsidR="00967385" w:rsidRPr="004E5030" w:rsidRDefault="00967385" w:rsidP="00967385">
      <w:pPr>
        <w:rPr>
          <w:rFonts w:cstheme="minorHAnsi"/>
          <w:szCs w:val="22"/>
        </w:rPr>
      </w:pPr>
      <w:r w:rsidRPr="004E5030">
        <w:rPr>
          <w:rFonts w:asciiTheme="minorHAnsi" w:hAnsiTheme="minorHAnsi" w:cstheme="minorHAnsi"/>
          <w:szCs w:val="22"/>
        </w:rPr>
        <w:t>Heath, A</w:t>
      </w:r>
      <w:r w:rsidR="00FA6811">
        <w:rPr>
          <w:rFonts w:asciiTheme="minorHAnsi" w:hAnsiTheme="minorHAnsi" w:cstheme="minorHAnsi"/>
          <w:szCs w:val="22"/>
        </w:rPr>
        <w:t>.</w:t>
      </w:r>
      <w:r w:rsidRPr="004E5030">
        <w:rPr>
          <w:rFonts w:asciiTheme="minorHAnsi" w:hAnsiTheme="minorHAnsi" w:cstheme="minorHAnsi"/>
          <w:szCs w:val="22"/>
        </w:rPr>
        <w:t xml:space="preserve"> (2020)</w:t>
      </w:r>
      <w:r w:rsidR="00FA6811">
        <w:rPr>
          <w:rFonts w:asciiTheme="minorHAnsi" w:hAnsiTheme="minorHAnsi" w:cstheme="minorHAnsi"/>
          <w:szCs w:val="22"/>
        </w:rPr>
        <w:t>.</w:t>
      </w:r>
      <w:r w:rsidRPr="004E5030">
        <w:rPr>
          <w:rFonts w:asciiTheme="minorHAnsi" w:hAnsiTheme="minorHAnsi" w:cstheme="minorHAnsi"/>
          <w:szCs w:val="22"/>
        </w:rPr>
        <w:t xml:space="preserve"> </w:t>
      </w:r>
      <w:r w:rsidRPr="00FA6811">
        <w:rPr>
          <w:rFonts w:asciiTheme="minorHAnsi" w:hAnsiTheme="minorHAnsi" w:cstheme="minorHAnsi"/>
          <w:szCs w:val="22"/>
        </w:rPr>
        <w:t>Skills, Technology and the Future of Work</w:t>
      </w:r>
      <w:r w:rsidR="00FA6811">
        <w:rPr>
          <w:rFonts w:asciiTheme="minorHAnsi" w:hAnsiTheme="minorHAnsi" w:cstheme="minorHAnsi"/>
          <w:szCs w:val="22"/>
        </w:rPr>
        <w:t>.</w:t>
      </w:r>
      <w:r w:rsidRPr="004E5030">
        <w:rPr>
          <w:rFonts w:asciiTheme="minorHAnsi" w:hAnsiTheme="minorHAnsi" w:cstheme="minorHAnsi"/>
          <w:szCs w:val="22"/>
        </w:rPr>
        <w:t xml:space="preserve"> </w:t>
      </w:r>
      <w:r w:rsidR="00FA6811">
        <w:rPr>
          <w:rFonts w:asciiTheme="minorHAnsi" w:hAnsiTheme="minorHAnsi" w:cstheme="minorHAnsi"/>
          <w:szCs w:val="22"/>
        </w:rPr>
        <w:t xml:space="preserve">Reserve Bank of Australia. </w:t>
      </w:r>
      <w:hyperlink r:id="rId59" w:history="1">
        <w:r w:rsidRPr="004E5030">
          <w:rPr>
            <w:rStyle w:val="Hyperlink"/>
            <w:rFonts w:asciiTheme="minorHAnsi" w:hAnsiTheme="minorHAnsi" w:cstheme="minorHAnsi"/>
            <w:szCs w:val="22"/>
          </w:rPr>
          <w:t>https://www.rba.gov.au/speeches/2020/sp</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so</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2020</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03</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16.html</w:t>
        </w:r>
      </w:hyperlink>
      <w:r w:rsidRPr="004E5030">
        <w:rPr>
          <w:rFonts w:asciiTheme="minorHAnsi" w:hAnsiTheme="minorHAnsi" w:cstheme="minorHAnsi"/>
          <w:szCs w:val="22"/>
        </w:rPr>
        <w:t xml:space="preserve"> </w:t>
      </w:r>
    </w:p>
    <w:p w14:paraId="5216B93D" w14:textId="3F505CD4" w:rsidR="00967385" w:rsidRPr="004E5030" w:rsidRDefault="00967385" w:rsidP="00967385">
      <w:pPr>
        <w:rPr>
          <w:rFonts w:asciiTheme="minorHAnsi" w:hAnsiTheme="minorHAnsi" w:cstheme="minorHAnsi"/>
          <w:szCs w:val="22"/>
        </w:rPr>
      </w:pPr>
      <w:r w:rsidRPr="004E5030">
        <w:rPr>
          <w:rFonts w:asciiTheme="minorHAnsi" w:hAnsiTheme="minorHAnsi" w:cstheme="minorHAnsi"/>
          <w:szCs w:val="22"/>
        </w:rPr>
        <w:t>Jobs and Skills Australia</w:t>
      </w:r>
      <w:r w:rsidR="00FA6811">
        <w:rPr>
          <w:rFonts w:asciiTheme="minorHAnsi" w:hAnsiTheme="minorHAnsi" w:cstheme="minorHAnsi"/>
          <w:szCs w:val="22"/>
        </w:rPr>
        <w:t>.</w:t>
      </w:r>
      <w:r w:rsidRPr="004E5030">
        <w:rPr>
          <w:rFonts w:asciiTheme="minorHAnsi" w:hAnsiTheme="minorHAnsi" w:cstheme="minorHAnsi"/>
          <w:szCs w:val="22"/>
        </w:rPr>
        <w:t xml:space="preserve"> (2022)</w:t>
      </w:r>
      <w:r w:rsidR="00FA6811">
        <w:rPr>
          <w:rFonts w:asciiTheme="minorHAnsi" w:hAnsiTheme="minorHAnsi" w:cstheme="minorHAnsi"/>
          <w:szCs w:val="22"/>
        </w:rPr>
        <w:t>.</w:t>
      </w:r>
      <w:r w:rsidRPr="004E5030">
        <w:rPr>
          <w:rFonts w:asciiTheme="minorHAnsi" w:hAnsiTheme="minorHAnsi" w:cstheme="minorHAnsi"/>
          <w:szCs w:val="22"/>
        </w:rPr>
        <w:t xml:space="preserve"> </w:t>
      </w:r>
      <w:r w:rsidRPr="00FA6811">
        <w:rPr>
          <w:rFonts w:asciiTheme="minorHAnsi" w:hAnsiTheme="minorHAnsi" w:cstheme="minorHAnsi"/>
          <w:szCs w:val="22"/>
        </w:rPr>
        <w:t>State of Australia</w:t>
      </w:r>
      <w:r w:rsidR="005F5800">
        <w:rPr>
          <w:rFonts w:asciiTheme="minorHAnsi" w:hAnsiTheme="minorHAnsi" w:cstheme="minorHAnsi"/>
          <w:szCs w:val="22"/>
        </w:rPr>
        <w:t>’</w:t>
      </w:r>
      <w:r w:rsidRPr="00FA6811">
        <w:rPr>
          <w:rFonts w:asciiTheme="minorHAnsi" w:hAnsiTheme="minorHAnsi" w:cstheme="minorHAnsi"/>
          <w:szCs w:val="22"/>
        </w:rPr>
        <w:t>s Skills: now and into the future</w:t>
      </w:r>
      <w:r w:rsidR="00FA6811">
        <w:rPr>
          <w:rFonts w:asciiTheme="minorHAnsi" w:hAnsiTheme="minorHAnsi" w:cstheme="minorHAnsi"/>
          <w:szCs w:val="22"/>
        </w:rPr>
        <w:t>.</w:t>
      </w:r>
      <w:r w:rsidRPr="00A761CC">
        <w:rPr>
          <w:rFonts w:asciiTheme="minorHAnsi" w:hAnsiTheme="minorHAnsi" w:cstheme="minorHAnsi"/>
          <w:szCs w:val="22"/>
        </w:rPr>
        <w:t xml:space="preserve"> </w:t>
      </w:r>
      <w:hyperlink r:id="rId60" w:history="1">
        <w:r w:rsidRPr="004E5030">
          <w:rPr>
            <w:rStyle w:val="Hyperlink"/>
            <w:rFonts w:asciiTheme="minorHAnsi" w:hAnsiTheme="minorHAnsi" w:cstheme="minorHAnsi"/>
            <w:szCs w:val="22"/>
          </w:rPr>
          <w:t>https://www.jobsandskills.gov.au/sites/default/files/2022</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02/State%20of%20Australia%27s%20Skills%20Overview.pdf</w:t>
        </w:r>
      </w:hyperlink>
      <w:r w:rsidRPr="004E5030">
        <w:rPr>
          <w:rFonts w:asciiTheme="minorHAnsi" w:hAnsiTheme="minorHAnsi" w:cstheme="minorHAnsi"/>
          <w:szCs w:val="22"/>
        </w:rPr>
        <w:t xml:space="preserve"> </w:t>
      </w:r>
    </w:p>
    <w:p w14:paraId="4CCD2D3B" w14:textId="4D63FF91" w:rsidR="00967385" w:rsidRPr="00A761CC" w:rsidRDefault="00967385" w:rsidP="00967385">
      <w:r w:rsidRPr="004E5030">
        <w:rPr>
          <w:rFonts w:asciiTheme="minorHAnsi" w:hAnsiTheme="minorHAnsi" w:cstheme="minorHAnsi"/>
          <w:szCs w:val="22"/>
        </w:rPr>
        <w:t>Jobs and Skills Australia</w:t>
      </w:r>
      <w:r w:rsidR="00FA6811">
        <w:rPr>
          <w:rFonts w:asciiTheme="minorHAnsi" w:hAnsiTheme="minorHAnsi" w:cstheme="minorHAnsi"/>
          <w:szCs w:val="22"/>
        </w:rPr>
        <w:t xml:space="preserve">. </w:t>
      </w:r>
      <w:r w:rsidRPr="004E5030">
        <w:rPr>
          <w:rFonts w:asciiTheme="minorHAnsi" w:hAnsiTheme="minorHAnsi" w:cstheme="minorHAnsi"/>
          <w:szCs w:val="22"/>
        </w:rPr>
        <w:t>(2023)</w:t>
      </w:r>
      <w:r w:rsidR="00FA6811">
        <w:rPr>
          <w:rFonts w:asciiTheme="minorHAnsi" w:hAnsiTheme="minorHAnsi" w:cstheme="minorHAnsi"/>
          <w:szCs w:val="22"/>
        </w:rPr>
        <w:t>.</w:t>
      </w:r>
      <w:r w:rsidRPr="004E5030">
        <w:rPr>
          <w:rFonts w:asciiTheme="minorHAnsi" w:hAnsiTheme="minorHAnsi" w:cstheme="minorHAnsi"/>
          <w:szCs w:val="22"/>
        </w:rPr>
        <w:t xml:space="preserve"> </w:t>
      </w:r>
      <w:r w:rsidRPr="00FA6811">
        <w:rPr>
          <w:rFonts w:asciiTheme="minorHAnsi" w:hAnsiTheme="minorHAnsi" w:cstheme="minorHAnsi"/>
          <w:szCs w:val="22"/>
        </w:rPr>
        <w:t>Australian Skills Classification</w:t>
      </w:r>
      <w:r w:rsidR="00FA6811">
        <w:rPr>
          <w:rFonts w:asciiTheme="minorHAnsi" w:hAnsiTheme="minorHAnsi" w:cstheme="minorHAnsi"/>
          <w:szCs w:val="22"/>
        </w:rPr>
        <w:t>.</w:t>
      </w:r>
      <w:r w:rsidRPr="00A761CC">
        <w:rPr>
          <w:rFonts w:asciiTheme="minorHAnsi" w:hAnsiTheme="minorHAnsi" w:cstheme="minorHAnsi"/>
          <w:szCs w:val="22"/>
        </w:rPr>
        <w:t xml:space="preserve"> </w:t>
      </w:r>
      <w:hyperlink r:id="rId61" w:history="1">
        <w:r w:rsidRPr="004E5030">
          <w:rPr>
            <w:rStyle w:val="Hyperlink"/>
            <w:rFonts w:asciiTheme="minorHAnsi" w:hAnsiTheme="minorHAnsi" w:cstheme="minorHAnsi"/>
            <w:szCs w:val="22"/>
          </w:rPr>
          <w:t>https://www.jobsandskills.gov.au/australian</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skills</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classification</w:t>
        </w:r>
      </w:hyperlink>
      <w:r w:rsidRPr="004E5030">
        <w:rPr>
          <w:rFonts w:asciiTheme="minorHAnsi" w:hAnsiTheme="minorHAnsi" w:cstheme="minorHAnsi"/>
          <w:szCs w:val="22"/>
        </w:rPr>
        <w:t xml:space="preserve"> </w:t>
      </w:r>
    </w:p>
    <w:p w14:paraId="764D19A1" w14:textId="473161EE" w:rsidR="00967385" w:rsidRDefault="00967385" w:rsidP="00967385">
      <w:pPr>
        <w:rPr>
          <w:rFonts w:cstheme="minorHAnsi"/>
        </w:rPr>
      </w:pPr>
      <w:r w:rsidRPr="004E5030">
        <w:rPr>
          <w:rFonts w:asciiTheme="minorHAnsi" w:hAnsiTheme="minorHAnsi" w:cstheme="minorHAnsi"/>
          <w:szCs w:val="22"/>
        </w:rPr>
        <w:t xml:space="preserve">Norton, A., Cherastidtham, I., </w:t>
      </w:r>
      <w:r w:rsidR="00FA6811">
        <w:rPr>
          <w:rFonts w:asciiTheme="minorHAnsi" w:hAnsiTheme="minorHAnsi" w:cstheme="minorHAnsi"/>
          <w:szCs w:val="22"/>
        </w:rPr>
        <w:t>&amp;</w:t>
      </w:r>
      <w:r w:rsidRPr="004E5030">
        <w:rPr>
          <w:rFonts w:asciiTheme="minorHAnsi" w:hAnsiTheme="minorHAnsi" w:cstheme="minorHAnsi"/>
          <w:szCs w:val="22"/>
        </w:rPr>
        <w:t xml:space="preserve"> Mackey, W. (2019) </w:t>
      </w:r>
      <w:r w:rsidRPr="00FA6811">
        <w:rPr>
          <w:rFonts w:asciiTheme="minorHAnsi" w:hAnsiTheme="minorHAnsi" w:cstheme="minorHAnsi"/>
          <w:szCs w:val="22"/>
        </w:rPr>
        <w:t>Risks and rewards: when is vocational education a good alternative to higher education?</w:t>
      </w:r>
      <w:r w:rsidR="00FA6811">
        <w:rPr>
          <w:rFonts w:asciiTheme="minorHAnsi" w:hAnsiTheme="minorHAnsi" w:cstheme="minorHAnsi"/>
          <w:szCs w:val="22"/>
        </w:rPr>
        <w:t>.</w:t>
      </w:r>
      <w:r w:rsidRPr="004E5030">
        <w:rPr>
          <w:rFonts w:asciiTheme="minorHAnsi" w:hAnsiTheme="minorHAnsi" w:cstheme="minorHAnsi"/>
          <w:szCs w:val="22"/>
        </w:rPr>
        <w:t xml:space="preserve"> Grattan Institute</w:t>
      </w:r>
      <w:r w:rsidR="00FA6811">
        <w:rPr>
          <w:rFonts w:asciiTheme="minorHAnsi" w:hAnsiTheme="minorHAnsi" w:cstheme="minorHAnsi"/>
          <w:szCs w:val="22"/>
        </w:rPr>
        <w:t>.</w:t>
      </w:r>
      <w:r w:rsidRPr="004E5030">
        <w:rPr>
          <w:rFonts w:asciiTheme="minorHAnsi" w:hAnsiTheme="minorHAnsi" w:cstheme="minorHAnsi"/>
          <w:szCs w:val="22"/>
        </w:rPr>
        <w:t xml:space="preserve"> </w:t>
      </w:r>
      <w:hyperlink r:id="rId62" w:history="1">
        <w:r w:rsidRPr="004E5030">
          <w:rPr>
            <w:rStyle w:val="Hyperlink"/>
            <w:rFonts w:asciiTheme="minorHAnsi" w:hAnsiTheme="minorHAnsi" w:cstheme="minorHAnsi"/>
            <w:szCs w:val="22"/>
          </w:rPr>
          <w:t>https://grattan.edu.au/wp</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content/uploads/2019/08/919</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Risks</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and</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rewards.pdf</w:t>
        </w:r>
      </w:hyperlink>
    </w:p>
    <w:p w14:paraId="06DD3698" w14:textId="2BFFB816" w:rsidR="00967385" w:rsidRDefault="00967385" w:rsidP="00967385">
      <w:pPr>
        <w:rPr>
          <w:rFonts w:cstheme="minorHAnsi"/>
        </w:rPr>
      </w:pPr>
      <w:r w:rsidRPr="004E5030">
        <w:rPr>
          <w:szCs w:val="22"/>
        </w:rPr>
        <w:lastRenderedPageBreak/>
        <w:t xml:space="preserve">Petrongolo, B., </w:t>
      </w:r>
      <w:r w:rsidR="00315273">
        <w:rPr>
          <w:szCs w:val="22"/>
        </w:rPr>
        <w:t>&amp;</w:t>
      </w:r>
      <w:r w:rsidRPr="004E5030">
        <w:rPr>
          <w:szCs w:val="22"/>
        </w:rPr>
        <w:t xml:space="preserve"> Pissarides, C. (2001)</w:t>
      </w:r>
      <w:r w:rsidR="00315273">
        <w:rPr>
          <w:szCs w:val="22"/>
        </w:rPr>
        <w:t>.</w:t>
      </w:r>
      <w:r w:rsidRPr="004E5030">
        <w:rPr>
          <w:szCs w:val="22"/>
        </w:rPr>
        <w:t xml:space="preserve"> </w:t>
      </w:r>
      <w:r w:rsidRPr="00315273">
        <w:rPr>
          <w:szCs w:val="22"/>
        </w:rPr>
        <w:t>Looking into the Black Box: A Survey of the Matching Function</w:t>
      </w:r>
      <w:r w:rsidRPr="004E5030">
        <w:rPr>
          <w:szCs w:val="22"/>
        </w:rPr>
        <w:t xml:space="preserve">. </w:t>
      </w:r>
      <w:r w:rsidRPr="00A761CC">
        <w:rPr>
          <w:rStyle w:val="Emphasis"/>
        </w:rPr>
        <w:t>Journal of Economic Literature</w:t>
      </w:r>
      <w:r w:rsidRPr="004E5030">
        <w:rPr>
          <w:szCs w:val="22"/>
        </w:rPr>
        <w:t>, 39 (2): 390</w:t>
      </w:r>
      <w:r w:rsidR="00CB0CA1">
        <w:rPr>
          <w:szCs w:val="22"/>
        </w:rPr>
        <w:t>–</w:t>
      </w:r>
      <w:r w:rsidRPr="004E5030">
        <w:rPr>
          <w:szCs w:val="22"/>
        </w:rPr>
        <w:t xml:space="preserve">431. </w:t>
      </w:r>
      <w:r w:rsidR="00315273">
        <w:rPr>
          <w:szCs w:val="22"/>
        </w:rPr>
        <w:t>doi</w:t>
      </w:r>
      <w:r w:rsidRPr="004E5030">
        <w:rPr>
          <w:szCs w:val="22"/>
        </w:rPr>
        <w:t xml:space="preserve">:10.1257/jel.39.2.390 </w:t>
      </w:r>
    </w:p>
    <w:p w14:paraId="6F84177E" w14:textId="173D24DB" w:rsidR="00967385" w:rsidRPr="004E5030" w:rsidRDefault="00967385" w:rsidP="00967385">
      <w:pPr>
        <w:rPr>
          <w:rFonts w:cstheme="minorHAnsi"/>
          <w:szCs w:val="22"/>
        </w:rPr>
      </w:pPr>
      <w:r w:rsidRPr="004E5030">
        <w:rPr>
          <w:rFonts w:cstheme="minorHAnsi"/>
          <w:szCs w:val="22"/>
        </w:rPr>
        <w:t>Productivity Commission</w:t>
      </w:r>
      <w:r w:rsidR="00742ECE">
        <w:rPr>
          <w:rFonts w:cstheme="minorHAnsi"/>
          <w:szCs w:val="22"/>
        </w:rPr>
        <w:t>.</w:t>
      </w:r>
      <w:r w:rsidRPr="004E5030">
        <w:rPr>
          <w:rFonts w:cstheme="minorHAnsi"/>
          <w:szCs w:val="22"/>
        </w:rPr>
        <w:t xml:space="preserve"> (2014)</w:t>
      </w:r>
      <w:r w:rsidR="00742ECE">
        <w:rPr>
          <w:rFonts w:cstheme="minorHAnsi"/>
          <w:szCs w:val="22"/>
        </w:rPr>
        <w:t>.</w:t>
      </w:r>
      <w:r w:rsidRPr="004E5030">
        <w:rPr>
          <w:rFonts w:cstheme="minorHAnsi"/>
          <w:szCs w:val="22"/>
        </w:rPr>
        <w:t xml:space="preserve"> </w:t>
      </w:r>
      <w:r w:rsidRPr="00742ECE">
        <w:rPr>
          <w:rFonts w:cstheme="minorHAnsi"/>
          <w:szCs w:val="22"/>
        </w:rPr>
        <w:t>Geographic Labour Mobility</w:t>
      </w:r>
      <w:r w:rsidRPr="004E5030">
        <w:rPr>
          <w:rFonts w:cstheme="minorHAnsi"/>
          <w:szCs w:val="22"/>
        </w:rPr>
        <w:t xml:space="preserve">. Research Report, Canberra. </w:t>
      </w:r>
      <w:hyperlink r:id="rId63" w:history="1">
        <w:r w:rsidRPr="004E5030">
          <w:rPr>
            <w:rStyle w:val="Hyperlink"/>
            <w:rFonts w:cstheme="minorHAnsi"/>
            <w:szCs w:val="22"/>
          </w:rPr>
          <w:t>https://www.pc.gov.au/inquiries/completed/labour</w:t>
        </w:r>
        <w:r w:rsidR="00CB0CA1">
          <w:rPr>
            <w:rStyle w:val="Hyperlink"/>
            <w:rFonts w:cstheme="minorHAnsi"/>
            <w:szCs w:val="22"/>
          </w:rPr>
          <w:t>-</w:t>
        </w:r>
        <w:r w:rsidRPr="004E5030">
          <w:rPr>
            <w:rStyle w:val="Hyperlink"/>
            <w:rFonts w:cstheme="minorHAnsi"/>
            <w:szCs w:val="22"/>
          </w:rPr>
          <w:t>mobility/report/labour</w:t>
        </w:r>
        <w:r w:rsidR="00CB0CA1">
          <w:rPr>
            <w:rStyle w:val="Hyperlink"/>
            <w:rFonts w:cstheme="minorHAnsi"/>
            <w:szCs w:val="22"/>
          </w:rPr>
          <w:t>-</w:t>
        </w:r>
        <w:r w:rsidRPr="004E5030">
          <w:rPr>
            <w:rStyle w:val="Hyperlink"/>
            <w:rFonts w:cstheme="minorHAnsi"/>
            <w:szCs w:val="22"/>
          </w:rPr>
          <w:t>mobility.pdf</w:t>
        </w:r>
      </w:hyperlink>
      <w:r w:rsidRPr="004E5030">
        <w:rPr>
          <w:rFonts w:cstheme="minorHAnsi"/>
          <w:szCs w:val="22"/>
        </w:rPr>
        <w:t xml:space="preserve"> </w:t>
      </w:r>
    </w:p>
    <w:p w14:paraId="39863868" w14:textId="78124880" w:rsidR="00967385" w:rsidRPr="004E5030" w:rsidRDefault="00967385" w:rsidP="00967385">
      <w:pPr>
        <w:rPr>
          <w:rFonts w:asciiTheme="minorHAnsi" w:hAnsiTheme="minorHAnsi" w:cstheme="minorHAnsi"/>
          <w:szCs w:val="22"/>
        </w:rPr>
      </w:pPr>
      <w:r w:rsidRPr="004E5030">
        <w:rPr>
          <w:rFonts w:asciiTheme="minorHAnsi" w:hAnsiTheme="minorHAnsi" w:cstheme="minorHAnsi"/>
          <w:szCs w:val="22"/>
        </w:rPr>
        <w:t>Richardson, S</w:t>
      </w:r>
      <w:r w:rsidR="00556766">
        <w:rPr>
          <w:rFonts w:asciiTheme="minorHAnsi" w:hAnsiTheme="minorHAnsi" w:cstheme="minorHAnsi"/>
          <w:szCs w:val="22"/>
        </w:rPr>
        <w:t>.</w:t>
      </w:r>
      <w:r w:rsidRPr="004E5030">
        <w:rPr>
          <w:rFonts w:asciiTheme="minorHAnsi" w:hAnsiTheme="minorHAnsi" w:cstheme="minorHAnsi"/>
          <w:szCs w:val="22"/>
        </w:rPr>
        <w:t xml:space="preserve"> (2007) </w:t>
      </w:r>
      <w:r w:rsidRPr="00556766">
        <w:rPr>
          <w:rFonts w:asciiTheme="minorHAnsi" w:hAnsiTheme="minorHAnsi" w:cstheme="minorHAnsi"/>
          <w:szCs w:val="22"/>
        </w:rPr>
        <w:t>What is a skill shortage?</w:t>
      </w:r>
      <w:r w:rsidR="00556766" w:rsidRPr="00556766">
        <w:rPr>
          <w:rFonts w:asciiTheme="minorHAnsi" w:hAnsiTheme="minorHAnsi" w:cstheme="minorHAnsi"/>
          <w:szCs w:val="22"/>
        </w:rPr>
        <w:t>.</w:t>
      </w:r>
      <w:r w:rsidRPr="00556766">
        <w:rPr>
          <w:rFonts w:asciiTheme="minorHAnsi" w:hAnsiTheme="minorHAnsi" w:cstheme="minorHAnsi"/>
          <w:szCs w:val="22"/>
        </w:rPr>
        <w:t xml:space="preserve"> </w:t>
      </w:r>
      <w:r w:rsidRPr="004E5030">
        <w:rPr>
          <w:rFonts w:asciiTheme="minorHAnsi" w:hAnsiTheme="minorHAnsi" w:cstheme="minorHAnsi"/>
          <w:szCs w:val="22"/>
        </w:rPr>
        <w:t xml:space="preserve">National Centre for Vocational Education Research </w:t>
      </w:r>
      <w:hyperlink r:id="rId64" w:history="1">
        <w:r w:rsidRPr="004E5030">
          <w:rPr>
            <w:rStyle w:val="Hyperlink"/>
            <w:rFonts w:asciiTheme="minorHAnsi" w:hAnsiTheme="minorHAnsi" w:cstheme="minorHAnsi"/>
            <w:szCs w:val="22"/>
          </w:rPr>
          <w:t>https://www.ncver.edu.au/__data/assets/file/0019/7282/what</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is</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skill</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shortage</w:t>
        </w:r>
        <w:r w:rsidR="00CB0CA1">
          <w:rPr>
            <w:rStyle w:val="Hyperlink"/>
            <w:rFonts w:asciiTheme="minorHAnsi" w:hAnsiTheme="minorHAnsi" w:cstheme="minorHAnsi"/>
            <w:szCs w:val="22"/>
          </w:rPr>
          <w:t>-</w:t>
        </w:r>
        <w:r w:rsidRPr="004E5030">
          <w:rPr>
            <w:rStyle w:val="Hyperlink"/>
            <w:rFonts w:asciiTheme="minorHAnsi" w:hAnsiTheme="minorHAnsi" w:cstheme="minorHAnsi"/>
            <w:szCs w:val="22"/>
          </w:rPr>
          <w:t>4022.pdf</w:t>
        </w:r>
      </w:hyperlink>
      <w:r w:rsidRPr="004E5030">
        <w:rPr>
          <w:rFonts w:asciiTheme="minorHAnsi" w:hAnsiTheme="minorHAnsi" w:cstheme="minorHAnsi"/>
          <w:szCs w:val="22"/>
        </w:rPr>
        <w:t xml:space="preserve"> </w:t>
      </w:r>
    </w:p>
    <w:p w14:paraId="6D2EBC87" w14:textId="367CFD00" w:rsidR="00967385" w:rsidRPr="004E5030" w:rsidRDefault="00967385" w:rsidP="00967385">
      <w:pPr>
        <w:rPr>
          <w:szCs w:val="22"/>
        </w:rPr>
      </w:pPr>
      <w:r w:rsidRPr="004E5030">
        <w:rPr>
          <w:rFonts w:cstheme="minorHAnsi"/>
          <w:szCs w:val="22"/>
        </w:rPr>
        <w:t>Whelan, S.</w:t>
      </w:r>
      <w:r w:rsidR="00556766">
        <w:rPr>
          <w:rFonts w:cstheme="minorHAnsi"/>
          <w:szCs w:val="22"/>
        </w:rPr>
        <w:t xml:space="preserve"> &amp;</w:t>
      </w:r>
      <w:r w:rsidRPr="004E5030">
        <w:rPr>
          <w:rFonts w:cstheme="minorHAnsi"/>
          <w:szCs w:val="22"/>
        </w:rPr>
        <w:t xml:space="preserve"> Parkinson, S. (2017)</w:t>
      </w:r>
      <w:r w:rsidR="00556766">
        <w:rPr>
          <w:rFonts w:cstheme="minorHAnsi"/>
          <w:szCs w:val="22"/>
        </w:rPr>
        <w:t>.</w:t>
      </w:r>
      <w:r w:rsidRPr="004E5030">
        <w:rPr>
          <w:rFonts w:cstheme="minorHAnsi"/>
          <w:szCs w:val="22"/>
        </w:rPr>
        <w:t xml:space="preserve"> </w:t>
      </w:r>
      <w:r w:rsidRPr="00556766">
        <w:rPr>
          <w:szCs w:val="22"/>
        </w:rPr>
        <w:t>Housing tenure, mobility and labour market behaviour: Inquiry into housing policies, labour force participation and economic growth</w:t>
      </w:r>
      <w:r w:rsidRPr="004E5030">
        <w:rPr>
          <w:szCs w:val="22"/>
        </w:rPr>
        <w:t>. AHURI Final Report No. 280, Australian Housing and Urban Research Institute Limited, Melbourne</w:t>
      </w:r>
      <w:r w:rsidR="00FD1403">
        <w:rPr>
          <w:szCs w:val="22"/>
        </w:rPr>
        <w:t>.</w:t>
      </w:r>
      <w:r w:rsidRPr="004E5030">
        <w:rPr>
          <w:szCs w:val="22"/>
        </w:rPr>
        <w:t xml:space="preserve"> </w:t>
      </w:r>
      <w:hyperlink r:id="rId65" w:history="1">
        <w:r w:rsidRPr="004E5030">
          <w:rPr>
            <w:rStyle w:val="Hyperlink"/>
            <w:szCs w:val="22"/>
          </w:rPr>
          <w:t>http://www.ahuri.edu.au/research/final</w:t>
        </w:r>
        <w:r w:rsidR="00CB0CA1">
          <w:rPr>
            <w:rStyle w:val="Hyperlink"/>
            <w:szCs w:val="22"/>
          </w:rPr>
          <w:t>-</w:t>
        </w:r>
        <w:r w:rsidRPr="004E5030">
          <w:rPr>
            <w:rStyle w:val="Hyperlink"/>
            <w:szCs w:val="22"/>
          </w:rPr>
          <w:t>reports/280</w:t>
        </w:r>
      </w:hyperlink>
      <w:r w:rsidRPr="004E5030">
        <w:rPr>
          <w:szCs w:val="22"/>
        </w:rPr>
        <w:t xml:space="preserve"> </w:t>
      </w:r>
    </w:p>
    <w:p w14:paraId="0271BBAA" w14:textId="77777777" w:rsidR="00967385" w:rsidRPr="004C14C4" w:rsidRDefault="00967385" w:rsidP="004C14C4"/>
    <w:sectPr w:rsidR="00967385" w:rsidRPr="004C14C4" w:rsidSect="002A0E0F">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73F2" w14:textId="77777777" w:rsidR="00F57C28" w:rsidRDefault="00F57C28">
      <w:pPr>
        <w:spacing w:before="0" w:after="0"/>
      </w:pPr>
      <w:r>
        <w:separator/>
      </w:r>
    </w:p>
  </w:endnote>
  <w:endnote w:type="continuationSeparator" w:id="0">
    <w:p w14:paraId="05B0E1E3" w14:textId="77777777" w:rsidR="00F57C28" w:rsidRDefault="00F57C28">
      <w:pPr>
        <w:spacing w:before="0" w:after="0"/>
      </w:pPr>
      <w:r>
        <w:continuationSeparator/>
      </w:r>
    </w:p>
  </w:endnote>
  <w:endnote w:type="continuationNotice" w:id="1">
    <w:p w14:paraId="567F3CAA" w14:textId="77777777" w:rsidR="00F57C28" w:rsidRDefault="00F57C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45 Light">
    <w:altName w:val="Calibri"/>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A875" w14:textId="3C2FA6D6" w:rsidR="00E01325" w:rsidRPr="0027070B" w:rsidRDefault="00E01325" w:rsidP="0027070B">
    <w:pPr>
      <w:pStyle w:val="FooterEven"/>
    </w:pPr>
    <w:r w:rsidRPr="002567AD">
      <w:fldChar w:fldCharType="begin"/>
    </w:r>
    <w:r w:rsidRPr="002567AD">
      <w:instrText xml:space="preserve"> PAGE   \* MERGEFORMAT </w:instrText>
    </w:r>
    <w:r w:rsidRPr="002567AD">
      <w:fldChar w:fldCharType="separate"/>
    </w:r>
    <w:r w:rsidRPr="002567AD">
      <w:t>2</w:t>
    </w:r>
    <w:r w:rsidRPr="002567AD">
      <w:fldChar w:fldCharType="end"/>
    </w:r>
    <w:r w:rsidRPr="002567AD">
      <w:t xml:space="preserve"> | </w:t>
    </w:r>
    <w:fldSimple w:instr="STYLEREF  &quot;Heading 1 Numbered&quot; \l  \* MERGEFORMAT">
      <w:r w:rsidR="00913308">
        <w:t>Introduction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A07C" w14:textId="2386079E" w:rsidR="00E01325" w:rsidRPr="001C6678" w:rsidRDefault="001C6678" w:rsidP="009227A7">
    <w:pPr>
      <w:pStyle w:val="Footer"/>
      <w:jc w:val="right"/>
    </w:pPr>
    <w:r w:rsidRPr="00103F3C">
      <w:rPr>
        <w:noProof/>
        <w:position w:val="-8"/>
      </w:rPr>
      <w:drawing>
        <wp:inline distT="0" distB="0" distL="0" distR="0" wp14:anchorId="70D1DF4A" wp14:editId="5DD78C64">
          <wp:extent cx="1324800" cy="201600"/>
          <wp:effectExtent l="0" t="0" r="0" b="825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Report title&quot;  \* MERGEFORMAT">
      <w:r w:rsidR="00193B16" w:rsidRPr="00193B16">
        <w:rPr>
          <w:noProof/>
          <w:lang w:val="en-US"/>
        </w:rPr>
        <w:t>Labour market matching across skills and regions in Australia</w:t>
      </w:r>
    </w:fldSimple>
    <w:r w:rsidRPr="00DE2941">
      <w:t xml:space="preserve"> </w:t>
    </w:r>
    <w:r>
      <w:t xml:space="preserve"> </w:t>
    </w:r>
    <w:r w:rsidRPr="00D1425F">
      <w:t xml:space="preserve">|  </w:t>
    </w:r>
    <w:r w:rsidRPr="00D1425F">
      <w:fldChar w:fldCharType="begin"/>
    </w:r>
    <w:r w:rsidRPr="00D1425F">
      <w:instrText xml:space="preserve"> PAGE   \* MERGEFORMAT </w:instrText>
    </w:r>
    <w:r w:rsidRPr="00D1425F">
      <w:fldChar w:fldCharType="separate"/>
    </w:r>
    <w:r>
      <w:t>3</w:t>
    </w:r>
    <w:r w:rsidRPr="00D142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D401" w14:textId="0016751A" w:rsidR="00C84F9C" w:rsidRPr="001C6678" w:rsidRDefault="00C84F9C" w:rsidP="009227A7">
    <w:pPr>
      <w:pStyle w:val="Footer"/>
      <w:jc w:val="right"/>
    </w:pPr>
    <w:r w:rsidRPr="00103F3C">
      <w:rPr>
        <w:noProof/>
        <w:position w:val="-8"/>
      </w:rPr>
      <w:drawing>
        <wp:anchor distT="0" distB="0" distL="114300" distR="114300" simplePos="0" relativeHeight="251658241" behindDoc="0" locked="0" layoutInCell="1" allowOverlap="1" wp14:anchorId="45B5F3A5" wp14:editId="4C0D28BC">
          <wp:simplePos x="0" y="0"/>
          <wp:positionH relativeFrom="column">
            <wp:align>left</wp:align>
          </wp:positionH>
          <wp:positionV relativeFrom="paragraph">
            <wp:posOffset>17780</wp:posOffset>
          </wp:positionV>
          <wp:extent cx="1324800" cy="201600"/>
          <wp:effectExtent l="0" t="0" r="0" b="825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tab/>
    </w:r>
    <w:fldSimple w:instr="STYLEREF  &quot;Report title&quot;  \* MERGEFORMAT">
      <w:r w:rsidR="00193B16" w:rsidRPr="00193B16">
        <w:rPr>
          <w:noProof/>
          <w:lang w:val="en-US"/>
        </w:rPr>
        <w:t>Labour market matching across skills and regions in Australia</w:t>
      </w:r>
    </w:fldSimple>
    <w:r>
      <w:t xml:space="preserve">  </w:t>
    </w:r>
    <w:r w:rsidRPr="00D1425F">
      <w:t xml:space="preserve">|  </w:t>
    </w:r>
    <w:r w:rsidRPr="00D1425F">
      <w:fldChar w:fldCharType="begin"/>
    </w:r>
    <w:r w:rsidRPr="00D1425F">
      <w:instrText xml:space="preserve"> PAGE   \* MERGEFORMAT </w:instrText>
    </w:r>
    <w:r w:rsidRPr="00D1425F">
      <w:fldChar w:fldCharType="separate"/>
    </w:r>
    <w:r>
      <w:t>3</w:t>
    </w:r>
    <w:r w:rsidRPr="00D1425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35ED" w14:textId="70B24C7F" w:rsidR="00C84F9C" w:rsidRPr="004E6AB5" w:rsidRDefault="004E6AB5" w:rsidP="004E6AB5">
    <w:pPr>
      <w:pStyle w:val="Footer"/>
      <w:jc w:val="right"/>
    </w:pPr>
    <w:r w:rsidRPr="00103F3C">
      <w:rPr>
        <w:noProof/>
        <w:position w:val="-8"/>
      </w:rPr>
      <w:drawing>
        <wp:inline distT="0" distB="0" distL="0" distR="0" wp14:anchorId="183913E9" wp14:editId="22011B18">
          <wp:extent cx="1324800" cy="201600"/>
          <wp:effectExtent l="0" t="0" r="0" b="825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Report title&quot;  \* MERGEFORMAT">
      <w:r w:rsidR="00193B16" w:rsidRPr="00193B16">
        <w:rPr>
          <w:noProof/>
          <w:lang w:val="en-US"/>
        </w:rPr>
        <w:t>Labour market matching across skills and regions in Australia</w:t>
      </w:r>
    </w:fldSimple>
    <w:r>
      <w:t xml:space="preserve">  </w:t>
    </w:r>
    <w:r w:rsidRPr="00D1425F">
      <w:t xml:space="preserve">|  </w:t>
    </w:r>
    <w:r w:rsidRPr="00D1425F">
      <w:fldChar w:fldCharType="begin"/>
    </w:r>
    <w:r w:rsidRPr="00D1425F">
      <w:instrText xml:space="preserve"> PAGE   \* MERGEFORMAT </w:instrText>
    </w:r>
    <w:r w:rsidRPr="00D1425F">
      <w:fldChar w:fldCharType="separate"/>
    </w:r>
    <w:r>
      <w:t>23</w:t>
    </w:r>
    <w:r w:rsidRPr="00D142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97A0D" w14:textId="77777777" w:rsidR="00F57C28" w:rsidRPr="007B6A8B" w:rsidRDefault="00F57C28" w:rsidP="00F268A7">
      <w:pPr>
        <w:rPr>
          <w:color w:val="D9D9D9" w:themeColor="background1" w:themeShade="D9"/>
        </w:rPr>
      </w:pPr>
      <w:r w:rsidRPr="007B6A8B">
        <w:rPr>
          <w:color w:val="D9D9D9" w:themeColor="background1" w:themeShade="D9"/>
        </w:rPr>
        <w:separator/>
      </w:r>
    </w:p>
  </w:footnote>
  <w:footnote w:type="continuationSeparator" w:id="0">
    <w:p w14:paraId="655724AB" w14:textId="77777777" w:rsidR="00F57C28" w:rsidRPr="00B737EB" w:rsidRDefault="00F57C28">
      <w:pPr>
        <w:spacing w:before="0" w:after="0"/>
        <w:rPr>
          <w:color w:val="2C384A" w:themeColor="accent1"/>
        </w:rPr>
      </w:pPr>
      <w:r w:rsidRPr="00B737EB">
        <w:rPr>
          <w:color w:val="2C384A" w:themeColor="accent1"/>
        </w:rPr>
        <w:continuationSeparator/>
      </w:r>
    </w:p>
  </w:footnote>
  <w:footnote w:type="continuationNotice" w:id="1">
    <w:p w14:paraId="7309920D" w14:textId="77777777" w:rsidR="00F57C28" w:rsidRDefault="00F57C28">
      <w:pPr>
        <w:spacing w:before="0" w:after="0"/>
      </w:pPr>
    </w:p>
  </w:footnote>
  <w:footnote w:id="2">
    <w:p w14:paraId="1DE9DF89" w14:textId="08133638" w:rsidR="007C6E16" w:rsidRDefault="005F5800" w:rsidP="00181FF4">
      <w:pPr>
        <w:pStyle w:val="FootnoteText"/>
      </w:pPr>
      <w:r w:rsidRPr="005F5800">
        <w:rPr>
          <w:rStyle w:val="FootnoteReference"/>
          <w:vertAlign w:val="baseline"/>
        </w:rPr>
        <w:footnoteRef/>
      </w:r>
      <w:r w:rsidR="00D07488">
        <w:t xml:space="preserve"> </w:t>
      </w:r>
      <w:r w:rsidR="00181FF4">
        <w:tab/>
      </w:r>
      <w:r w:rsidR="007C6E16" w:rsidRPr="00A65722">
        <w:t>Thanks</w:t>
      </w:r>
      <w:r w:rsidR="007C6E16" w:rsidRPr="003A0019">
        <w:t xml:space="preserve"> to </w:t>
      </w:r>
      <w:r w:rsidR="00570749">
        <w:t xml:space="preserve">Professor </w:t>
      </w:r>
      <w:r w:rsidR="007C6E16">
        <w:t xml:space="preserve">Jeff Borland, </w:t>
      </w:r>
      <w:r w:rsidR="007C6E16" w:rsidRPr="003A0019">
        <w:t>Stephanie Parsons, Josh Hickson, Nathan Deutscher, Omid</w:t>
      </w:r>
      <w:r w:rsidR="00CB0CA1">
        <w:t> </w:t>
      </w:r>
      <w:r w:rsidR="007C6E16" w:rsidRPr="003A0019">
        <w:t>Mousavi, Phoebe</w:t>
      </w:r>
      <w:r w:rsidR="00CB0CA1">
        <w:t> </w:t>
      </w:r>
      <w:r w:rsidR="007C6E16" w:rsidRPr="003A0019">
        <w:t>Wilk, Oscar</w:t>
      </w:r>
      <w:r w:rsidR="007C6E16">
        <w:t> </w:t>
      </w:r>
      <w:r w:rsidR="007C6E16" w:rsidRPr="003A0019">
        <w:t xml:space="preserve">Lane, as well as other staff from </w:t>
      </w:r>
      <w:r w:rsidR="007C6E16">
        <w:t xml:space="preserve">Treasury and </w:t>
      </w:r>
      <w:r w:rsidR="007C6E16" w:rsidRPr="003A0019">
        <w:t>Jobs and Skills Australia</w:t>
      </w:r>
      <w:r w:rsidR="007C6E16">
        <w:t>, and participants at the Australian Conference of Economists</w:t>
      </w:r>
      <w:r w:rsidR="007C6E16" w:rsidRPr="003A0019">
        <w:t>, for their thoughtful feedback and supporting analysis for this</w:t>
      </w:r>
      <w:r w:rsidR="007C6E16">
        <w:t xml:space="preserve"> paper</w:t>
      </w:r>
      <w:r w:rsidR="007C6E16" w:rsidRPr="003A0019">
        <w:t>.</w:t>
      </w:r>
      <w:r w:rsidR="007C6E16">
        <w:t xml:space="preserve"> </w:t>
      </w:r>
      <w:r w:rsidR="007C6E16" w:rsidRPr="00201442">
        <w:t>The views expressed are those of the authors and do not necessarily reflect those of the Australian Treasury or the Australian Government.</w:t>
      </w:r>
    </w:p>
  </w:footnote>
  <w:footnote w:id="3">
    <w:p w14:paraId="4084FB3F" w14:textId="5C41EFB9" w:rsidR="00F54134" w:rsidRPr="0033722B" w:rsidRDefault="005F5800" w:rsidP="00340CB9">
      <w:pPr>
        <w:pStyle w:val="FootnoteText"/>
      </w:pPr>
      <w:r w:rsidRPr="005F5800">
        <w:rPr>
          <w:rStyle w:val="FootnoteReference"/>
          <w:vertAlign w:val="baseline"/>
        </w:rPr>
        <w:footnoteRef/>
      </w:r>
      <w:r w:rsidR="00F54134" w:rsidRPr="004B427C">
        <w:t xml:space="preserve"> </w:t>
      </w:r>
      <w:r w:rsidR="00181FF4">
        <w:tab/>
      </w:r>
      <w:r w:rsidR="00C75814">
        <w:t xml:space="preserve">A more detailed conceptualisation of labour market skills and </w:t>
      </w:r>
      <w:r w:rsidR="00C75814" w:rsidRPr="00AE453A">
        <w:t>skills</w:t>
      </w:r>
      <w:r w:rsidR="00C75814">
        <w:t xml:space="preserve"> </w:t>
      </w:r>
      <w:r w:rsidR="00C75814" w:rsidRPr="00340CB9">
        <w:t>shortages</w:t>
      </w:r>
      <w:r w:rsidR="00C75814">
        <w:t xml:space="preserve"> are outlined </w:t>
      </w:r>
      <w:r w:rsidR="00C75814" w:rsidRPr="009E7FCC">
        <w:t>in Richardson</w:t>
      </w:r>
      <w:r w:rsidR="00D07488">
        <w:t> </w:t>
      </w:r>
      <w:r w:rsidR="00C75814" w:rsidRPr="009E7FCC">
        <w:t>(</w:t>
      </w:r>
      <w:hyperlink r:id="rId1" w:history="1">
        <w:r w:rsidR="00C75814" w:rsidRPr="00AE453A">
          <w:rPr>
            <w:rStyle w:val="Hyperlink"/>
          </w:rPr>
          <w:t>2007</w:t>
        </w:r>
      </w:hyperlink>
      <w:r w:rsidR="00C75814" w:rsidRPr="009E7FCC">
        <w:t>).</w:t>
      </w:r>
    </w:p>
  </w:footnote>
  <w:footnote w:id="4">
    <w:p w14:paraId="1C6DCAC3" w14:textId="21B606CF" w:rsidR="00621F33" w:rsidRPr="0081196B" w:rsidRDefault="005F5800" w:rsidP="00181FF4">
      <w:pPr>
        <w:pStyle w:val="FootnoteText"/>
      </w:pPr>
      <w:r w:rsidRPr="005F5800">
        <w:rPr>
          <w:rStyle w:val="FootnoteReference"/>
          <w:vertAlign w:val="baseline"/>
        </w:rPr>
        <w:footnoteRef/>
      </w:r>
      <w:r w:rsidR="00621F33" w:rsidRPr="004B427C">
        <w:t xml:space="preserve"> </w:t>
      </w:r>
      <w:r w:rsidR="00181FF4">
        <w:tab/>
      </w:r>
      <w:r w:rsidR="00E90C2C">
        <w:t>T</w:t>
      </w:r>
      <w:r w:rsidR="00621F33">
        <w:t xml:space="preserve">he Beveridge Curve </w:t>
      </w:r>
      <w:r w:rsidR="00E90C2C">
        <w:t xml:space="preserve">is </w:t>
      </w:r>
      <w:r w:rsidR="00621F33">
        <w:t xml:space="preserve">the relationship between job </w:t>
      </w:r>
      <w:r w:rsidR="00621F33" w:rsidRPr="00191B40">
        <w:t>vacancy</w:t>
      </w:r>
      <w:r w:rsidR="00621F33">
        <w:t xml:space="preserve"> </w:t>
      </w:r>
      <w:r w:rsidR="00621F33" w:rsidRPr="004B427C">
        <w:t>and</w:t>
      </w:r>
      <w:r w:rsidR="00621F33">
        <w:t xml:space="preserve"> job seeker rates. </w:t>
      </w:r>
      <w:r w:rsidR="00621F33" w:rsidRPr="0081196B">
        <w:t xml:space="preserve">Key Beveridge Curve concepts are </w:t>
      </w:r>
      <w:r w:rsidR="00621F33">
        <w:t xml:space="preserve">also </w:t>
      </w:r>
      <w:r w:rsidR="00621F33" w:rsidRPr="0081196B">
        <w:t>explained in</w:t>
      </w:r>
      <w:r w:rsidR="00621F33">
        <w:t xml:space="preserve"> Figura and Waller (</w:t>
      </w:r>
      <w:hyperlink r:id="rId2" w:history="1">
        <w:r w:rsidR="00621F33" w:rsidRPr="004B427C">
          <w:rPr>
            <w:rStyle w:val="Hyperlink"/>
          </w:rPr>
          <w:t>2022</w:t>
        </w:r>
      </w:hyperlink>
      <w:r w:rsidR="00621F33">
        <w:t>);</w:t>
      </w:r>
      <w:r w:rsidR="00621F33" w:rsidRPr="0081196B">
        <w:t xml:space="preserve"> Jobs and Skills Australia (chapter 5, </w:t>
      </w:r>
      <w:hyperlink r:id="rId3" w:history="1">
        <w:r w:rsidR="00621F33" w:rsidRPr="004B427C">
          <w:rPr>
            <w:rStyle w:val="Hyperlink"/>
          </w:rPr>
          <w:t>2021</w:t>
        </w:r>
      </w:hyperlink>
      <w:r w:rsidR="00621F33" w:rsidRPr="0081196B">
        <w:t>); Anh</w:t>
      </w:r>
      <w:r w:rsidR="00E473C3">
        <w:t> </w:t>
      </w:r>
      <w:r w:rsidR="00621F33" w:rsidRPr="0081196B">
        <w:t>and Crane (</w:t>
      </w:r>
      <w:hyperlink r:id="rId4" w:history="1">
        <w:r w:rsidR="00621F33" w:rsidRPr="004B427C">
          <w:rPr>
            <w:rStyle w:val="Hyperlink"/>
          </w:rPr>
          <w:t>2020</w:t>
        </w:r>
      </w:hyperlink>
      <w:r w:rsidR="00621F33" w:rsidRPr="0081196B">
        <w:t xml:space="preserve">); Consolo and </w:t>
      </w:r>
      <w:r w:rsidR="00CB0CA1">
        <w:t>de Silva</w:t>
      </w:r>
      <w:r w:rsidR="00621F33" w:rsidRPr="0081196B">
        <w:t xml:space="preserve"> (</w:t>
      </w:r>
      <w:hyperlink r:id="rId5" w:history="1">
        <w:r w:rsidR="00621F33" w:rsidRPr="004B427C">
          <w:rPr>
            <w:rStyle w:val="Hyperlink"/>
          </w:rPr>
          <w:t>2019</w:t>
        </w:r>
      </w:hyperlink>
      <w:r w:rsidR="00621F33" w:rsidRPr="0081196B">
        <w:t xml:space="preserve">); Borland (chapter 11, </w:t>
      </w:r>
      <w:hyperlink r:id="rId6" w:history="1">
        <w:r w:rsidR="00621F33" w:rsidRPr="004B427C">
          <w:rPr>
            <w:rStyle w:val="Hyperlink"/>
          </w:rPr>
          <w:t>2011</w:t>
        </w:r>
      </w:hyperlink>
      <w:r w:rsidR="00621F33" w:rsidRPr="0081196B">
        <w:t>)</w:t>
      </w:r>
      <w:r w:rsidR="00621F33">
        <w:t>.</w:t>
      </w:r>
    </w:p>
  </w:footnote>
  <w:footnote w:id="5">
    <w:p w14:paraId="3A9BF89F" w14:textId="7435285C" w:rsidR="00621F33" w:rsidRPr="0081196B" w:rsidRDefault="005F5800" w:rsidP="00816A77">
      <w:pPr>
        <w:pStyle w:val="FootnoteText"/>
      </w:pPr>
      <w:r w:rsidRPr="005F5800">
        <w:rPr>
          <w:rStyle w:val="FootnoteReference"/>
          <w:vertAlign w:val="baseline"/>
        </w:rPr>
        <w:footnoteRef/>
      </w:r>
      <w:r w:rsidR="00621F33" w:rsidRPr="004B427C">
        <w:t xml:space="preserve"> </w:t>
      </w:r>
      <w:r w:rsidR="00816A77">
        <w:tab/>
      </w:r>
      <w:r w:rsidR="00621F33" w:rsidRPr="004B427C">
        <w:t>About</w:t>
      </w:r>
      <w:r w:rsidR="00621F33" w:rsidRPr="0081196B">
        <w:t xml:space="preserve"> twice as many </w:t>
      </w:r>
      <w:r w:rsidR="00621F33" w:rsidRPr="002A2248">
        <w:t>people</w:t>
      </w:r>
      <w:r w:rsidR="00621F33" w:rsidRPr="0081196B">
        <w:t xml:space="preserve"> move from being outside the labour force to employment each period than move from unemployed to employed. Capturing this group provides a fuller picture of matches and job searchers in the Australian labour market.</w:t>
      </w:r>
    </w:p>
  </w:footnote>
  <w:footnote w:id="6">
    <w:p w14:paraId="0231C960" w14:textId="4D72AB81" w:rsidR="00E76D79" w:rsidRPr="00816A77" w:rsidRDefault="005F5800" w:rsidP="00816A77">
      <w:pPr>
        <w:pStyle w:val="FootnoteText"/>
      </w:pPr>
      <w:r w:rsidRPr="005F5800">
        <w:rPr>
          <w:rStyle w:val="FootnoteReference"/>
          <w:vertAlign w:val="baseline"/>
        </w:rPr>
        <w:footnoteRef/>
      </w:r>
      <w:r w:rsidR="00E76D79" w:rsidRPr="004B427C">
        <w:t xml:space="preserve"> </w:t>
      </w:r>
      <w:r w:rsidR="00816A77">
        <w:tab/>
      </w:r>
      <w:r w:rsidR="00E76D79" w:rsidRPr="0081196B">
        <w:t xml:space="preserve">Treasury analysis of ABS Labour Force microdata. See </w:t>
      </w:r>
      <w:r w:rsidR="00E76D79" w:rsidRPr="002A2248">
        <w:t>Deutscher (</w:t>
      </w:r>
      <w:hyperlink r:id="rId7" w:history="1">
        <w:r w:rsidR="00E76D79" w:rsidRPr="002A2248">
          <w:rPr>
            <w:rStyle w:val="Hyperlink"/>
          </w:rPr>
          <w:t>2019</w:t>
        </w:r>
      </w:hyperlink>
      <w:r w:rsidR="00E76D79" w:rsidRPr="002A2248">
        <w:t>) for further</w:t>
      </w:r>
      <w:r w:rsidR="00E76D79" w:rsidRPr="0081196B">
        <w:t xml:space="preserve"> </w:t>
      </w:r>
      <w:r w:rsidR="00E76D79" w:rsidRPr="002A2248">
        <w:t>discussions</w:t>
      </w:r>
      <w:r w:rsidR="00E76D79" w:rsidRPr="0081196B">
        <w:t xml:space="preserve"> of job</w:t>
      </w:r>
      <w:r>
        <w:noBreakHyphen/>
      </w:r>
      <w:r w:rsidR="00E76D79" w:rsidRPr="0081196B">
        <w:t>to</w:t>
      </w:r>
      <w:r>
        <w:noBreakHyphen/>
      </w:r>
      <w:r w:rsidR="00E76D79" w:rsidRPr="0081196B">
        <w:t xml:space="preserve">job </w:t>
      </w:r>
      <w:r w:rsidR="00E76D79" w:rsidRPr="00816A77">
        <w:t>transitions.</w:t>
      </w:r>
    </w:p>
  </w:footnote>
  <w:footnote w:id="7">
    <w:p w14:paraId="128A67B0" w14:textId="74692B86" w:rsidR="00446FBF" w:rsidRPr="004364C6" w:rsidRDefault="005F5800" w:rsidP="00816A77">
      <w:pPr>
        <w:pStyle w:val="FootnoteText"/>
      </w:pPr>
      <w:r w:rsidRPr="005F5800">
        <w:rPr>
          <w:rStyle w:val="FootnoteReference"/>
          <w:vertAlign w:val="baseline"/>
        </w:rPr>
        <w:footnoteRef/>
      </w:r>
      <w:r w:rsidR="00446FBF" w:rsidRPr="00816A77">
        <w:t xml:space="preserve"> </w:t>
      </w:r>
      <w:r w:rsidR="00816A77" w:rsidRPr="00816A77">
        <w:tab/>
      </w:r>
      <w:r w:rsidR="00446FBF" w:rsidRPr="00816A77">
        <w:t>This de</w:t>
      </w:r>
      <w:r w:rsidR="00446FBF" w:rsidRPr="004364C6">
        <w:t xml:space="preserve">finition of </w:t>
      </w:r>
      <w:r>
        <w:t>‘</w:t>
      </w:r>
      <w:r w:rsidR="00446FBF" w:rsidRPr="004364C6">
        <w:t>skill</w:t>
      </w:r>
      <w:r>
        <w:t>’</w:t>
      </w:r>
      <w:r w:rsidR="00446FBF" w:rsidRPr="004364C6">
        <w:t xml:space="preserve"> is common in </w:t>
      </w:r>
      <w:r w:rsidR="00446FBF">
        <w:t>the</w:t>
      </w:r>
      <w:r w:rsidR="00446FBF" w:rsidRPr="004364C6">
        <w:t xml:space="preserve"> literature and is used by the ABS to form its occupational skill level framework: </w:t>
      </w:r>
      <w:r w:rsidR="00446FBF" w:rsidRPr="00217FC8">
        <w:t>ABS (</w:t>
      </w:r>
      <w:hyperlink r:id="rId8" w:anchor="underlying-concepts" w:history="1">
        <w:r w:rsidR="00446FBF" w:rsidRPr="00217FC8">
          <w:rPr>
            <w:rStyle w:val="Hyperlink"/>
          </w:rPr>
          <w:t>202</w:t>
        </w:r>
        <w:r w:rsidR="005C559B">
          <w:rPr>
            <w:rStyle w:val="Hyperlink"/>
          </w:rPr>
          <w:t>2</w:t>
        </w:r>
      </w:hyperlink>
      <w:r w:rsidR="00446FBF" w:rsidRPr="00217FC8">
        <w:t>). However, this definition of skill does not include or measure the full range of skills and abilities required by occupations, or for specific jobs within occupations, or those performed by individuals within their job.</w:t>
      </w:r>
      <w:r w:rsidR="0098396A" w:rsidRPr="00217FC8">
        <w:t xml:space="preserve"> </w:t>
      </w:r>
      <w:r w:rsidR="00060814" w:rsidRPr="00217FC8">
        <w:t>Jobs and Skills Australia (</w:t>
      </w:r>
      <w:hyperlink r:id="rId9" w:history="1">
        <w:r w:rsidR="00060814" w:rsidRPr="00217FC8">
          <w:rPr>
            <w:rStyle w:val="Hyperlink"/>
          </w:rPr>
          <w:t>2023</w:t>
        </w:r>
      </w:hyperlink>
      <w:r w:rsidR="00060814" w:rsidRPr="00217FC8">
        <w:t>) provides detailed descriptions of specific skills that are required for individual occupations in its Australian Skills Classification.</w:t>
      </w:r>
      <w:r w:rsidR="00FD738F" w:rsidRPr="00217FC8">
        <w:t xml:space="preserve"> See Richardson (</w:t>
      </w:r>
      <w:hyperlink r:id="rId10" w:history="1">
        <w:r w:rsidR="00FD738F" w:rsidRPr="00217FC8">
          <w:rPr>
            <w:rStyle w:val="Hyperlink"/>
          </w:rPr>
          <w:t>2007</w:t>
        </w:r>
      </w:hyperlink>
      <w:r w:rsidR="00FD738F" w:rsidRPr="00217FC8">
        <w:t>)</w:t>
      </w:r>
      <w:r w:rsidR="002B6A2A" w:rsidRPr="00217FC8">
        <w:t xml:space="preserve"> for</w:t>
      </w:r>
      <w:r w:rsidR="002B6A2A">
        <w:t xml:space="preserve"> a detailed discussion of labour market skills.</w:t>
      </w:r>
    </w:p>
  </w:footnote>
  <w:footnote w:id="8">
    <w:p w14:paraId="62B8780B" w14:textId="57AFCDE1" w:rsidR="00446FBF" w:rsidRDefault="005F5800" w:rsidP="00816A77">
      <w:pPr>
        <w:pStyle w:val="FootnoteText"/>
      </w:pPr>
      <w:r w:rsidRPr="005F5800">
        <w:rPr>
          <w:rStyle w:val="FootnoteReference"/>
          <w:vertAlign w:val="baseline"/>
        </w:rPr>
        <w:footnoteRef/>
      </w:r>
      <w:r w:rsidR="00D07488">
        <w:t xml:space="preserve"> </w:t>
      </w:r>
      <w:r w:rsidR="00816A77">
        <w:tab/>
      </w:r>
      <w:r w:rsidR="00446FBF" w:rsidRPr="004364C6">
        <w:t xml:space="preserve">Alternative approaches that rely solely on a </w:t>
      </w:r>
      <w:r w:rsidR="001F1C10">
        <w:t>person</w:t>
      </w:r>
      <w:r>
        <w:t>’</w:t>
      </w:r>
      <w:r w:rsidR="001F1C10">
        <w:t xml:space="preserve">s </w:t>
      </w:r>
      <w:r w:rsidR="00446FBF" w:rsidRPr="004364C6">
        <w:t xml:space="preserve">previous </w:t>
      </w:r>
      <w:r w:rsidR="00446FBF" w:rsidRPr="00217FC8">
        <w:t>occupation</w:t>
      </w:r>
      <w:r w:rsidR="00446FBF" w:rsidRPr="004364C6">
        <w:t xml:space="preserve"> </w:t>
      </w:r>
      <w:r w:rsidR="001F1C10">
        <w:t xml:space="preserve">to determine their skill level </w:t>
      </w:r>
      <w:r w:rsidR="008252CC">
        <w:t xml:space="preserve">are unable to </w:t>
      </w:r>
      <w:r w:rsidR="00446FBF" w:rsidRPr="004364C6">
        <w:t>classify a significant share of the job seeker pool, particularly long</w:t>
      </w:r>
      <w:r>
        <w:noBreakHyphen/>
      </w:r>
      <w:r w:rsidR="00446FBF" w:rsidRPr="004364C6">
        <w:t>term unemployed and new entrants to the workforce.</w:t>
      </w:r>
    </w:p>
  </w:footnote>
  <w:footnote w:id="9">
    <w:p w14:paraId="37F00163" w14:textId="2CFB6434" w:rsidR="007B7E2A" w:rsidRPr="00E357EB" w:rsidRDefault="005F5800" w:rsidP="00816A77">
      <w:pPr>
        <w:pStyle w:val="FootnoteText"/>
      </w:pPr>
      <w:r w:rsidRPr="005F5800">
        <w:rPr>
          <w:rStyle w:val="FootnoteReference"/>
          <w:vertAlign w:val="baseline"/>
        </w:rPr>
        <w:footnoteRef/>
      </w:r>
      <w:r w:rsidR="007B7E2A" w:rsidRPr="00C43E13">
        <w:t xml:space="preserve"> </w:t>
      </w:r>
      <w:r w:rsidR="00816A77">
        <w:tab/>
      </w:r>
      <w:r w:rsidR="007B7E2A" w:rsidRPr="00E357EB">
        <w:t xml:space="preserve">Heath (Graph 11, </w:t>
      </w:r>
      <w:hyperlink r:id="rId11" w:history="1">
        <w:r w:rsidR="007B7E2A" w:rsidRPr="00E357EB">
          <w:rPr>
            <w:rStyle w:val="Hyperlink"/>
          </w:rPr>
          <w:t>20</w:t>
        </w:r>
        <w:r w:rsidR="005C559B">
          <w:rPr>
            <w:rStyle w:val="Hyperlink"/>
          </w:rPr>
          <w:t>20</w:t>
        </w:r>
      </w:hyperlink>
      <w:r w:rsidR="007B7E2A" w:rsidRPr="00E357EB">
        <w:t xml:space="preserve">). While </w:t>
      </w:r>
      <w:r w:rsidR="007B7E2A" w:rsidRPr="00285663">
        <w:t>education</w:t>
      </w:r>
      <w:r w:rsidR="007B7E2A" w:rsidRPr="00E357EB">
        <w:t xml:space="preserve"> and occupation skill level definitions of skills mismatch are presented in this paper, Treasury analysis of HILDA data also finds that about 25</w:t>
      </w:r>
      <w:r w:rsidR="001F3E06">
        <w:t> per c</w:t>
      </w:r>
      <w:r w:rsidR="007B7E2A" w:rsidRPr="00E357EB">
        <w:t>ent of people with post</w:t>
      </w:r>
      <w:r>
        <w:noBreakHyphen/>
      </w:r>
      <w:r w:rsidR="007B7E2A" w:rsidRPr="00E357EB">
        <w:t>secondary qualifications self</w:t>
      </w:r>
      <w:r>
        <w:noBreakHyphen/>
      </w:r>
      <w:r w:rsidR="007B7E2A" w:rsidRPr="00E357EB">
        <w:t xml:space="preserve">report that their skills are not well utilised in their current job. </w:t>
      </w:r>
    </w:p>
  </w:footnote>
  <w:footnote w:id="10">
    <w:p w14:paraId="0D720D2F" w14:textId="04929983" w:rsidR="007B7E2A" w:rsidRPr="00E357EB" w:rsidRDefault="005F5800" w:rsidP="00816A77">
      <w:pPr>
        <w:pStyle w:val="FootnoteText"/>
      </w:pPr>
      <w:r w:rsidRPr="005F5800">
        <w:rPr>
          <w:rStyle w:val="FootnoteReference"/>
          <w:vertAlign w:val="baseline"/>
        </w:rPr>
        <w:footnoteRef/>
      </w:r>
      <w:r w:rsidR="007B7E2A" w:rsidRPr="00E357EB">
        <w:t xml:space="preserve"> </w:t>
      </w:r>
      <w:r w:rsidR="00816A77">
        <w:tab/>
      </w:r>
      <w:r w:rsidR="007B7E2A" w:rsidRPr="00E357EB">
        <w:t>Rates of vocational attainment have remained flat over this period at about 35</w:t>
      </w:r>
      <w:r w:rsidR="001F3E06">
        <w:t> per c</w:t>
      </w:r>
      <w:r w:rsidR="007B7E2A" w:rsidRPr="00E357EB">
        <w:t>ent. Norton, Cherastidtham and Mackey (</w:t>
      </w:r>
      <w:r w:rsidR="007B7E2A">
        <w:t>Figure </w:t>
      </w:r>
      <w:r w:rsidR="007B7E2A" w:rsidRPr="00E357EB">
        <w:t xml:space="preserve">1.1, </w:t>
      </w:r>
      <w:hyperlink r:id="rId12" w:history="1">
        <w:r w:rsidR="007B7E2A" w:rsidRPr="00E357EB">
          <w:rPr>
            <w:rStyle w:val="Hyperlink"/>
          </w:rPr>
          <w:t>2019</w:t>
        </w:r>
      </w:hyperlink>
      <w:r w:rsidR="007B7E2A" w:rsidRPr="00E357EB">
        <w:t>).</w:t>
      </w:r>
    </w:p>
  </w:footnote>
  <w:footnote w:id="11">
    <w:p w14:paraId="51985A0B" w14:textId="2B2E6D2A" w:rsidR="000D40FD" w:rsidRPr="00E357EB" w:rsidRDefault="005F5800" w:rsidP="00816A77">
      <w:pPr>
        <w:pStyle w:val="FootnoteText"/>
      </w:pPr>
      <w:r w:rsidRPr="005F5800">
        <w:rPr>
          <w:rStyle w:val="FootnoteReference"/>
          <w:vertAlign w:val="baseline"/>
        </w:rPr>
        <w:footnoteRef/>
      </w:r>
      <w:r w:rsidR="000D40FD" w:rsidRPr="00E357EB">
        <w:t xml:space="preserve"> </w:t>
      </w:r>
      <w:r w:rsidR="00816A77">
        <w:tab/>
      </w:r>
      <w:r w:rsidR="000D40FD" w:rsidRPr="00E357EB">
        <w:t>Deming and Noray (</w:t>
      </w:r>
      <w:hyperlink r:id="rId13" w:history="1">
        <w:r w:rsidR="000D40FD" w:rsidRPr="00E357EB">
          <w:rPr>
            <w:rStyle w:val="Hyperlink"/>
          </w:rPr>
          <w:t>2020</w:t>
        </w:r>
      </w:hyperlink>
      <w:r w:rsidR="000D40FD" w:rsidRPr="00E357EB">
        <w:t xml:space="preserve">) demonstrate this effect in the United States, showing that skill </w:t>
      </w:r>
      <w:r w:rsidR="000D40FD" w:rsidRPr="00816A77">
        <w:t>obsolescence</w:t>
      </w:r>
      <w:r w:rsidR="000D40FD" w:rsidRPr="00E357EB">
        <w:t xml:space="preserve"> lowers the income returns to work experience in faster</w:t>
      </w:r>
      <w:r>
        <w:noBreakHyphen/>
      </w:r>
      <w:r w:rsidR="000D40FD" w:rsidRPr="00E357EB">
        <w:t>changing occupations.</w:t>
      </w:r>
    </w:p>
  </w:footnote>
  <w:footnote w:id="12">
    <w:p w14:paraId="1B636C72" w14:textId="514487C1" w:rsidR="000D40FD" w:rsidRPr="00596796" w:rsidRDefault="005F5800" w:rsidP="00707FD5">
      <w:pPr>
        <w:pStyle w:val="FootnoteText"/>
      </w:pPr>
      <w:r w:rsidRPr="005F5800">
        <w:rPr>
          <w:rStyle w:val="FootnoteReference"/>
          <w:vertAlign w:val="baseline"/>
        </w:rPr>
        <w:footnoteRef/>
      </w:r>
      <w:r w:rsidR="000D40FD" w:rsidRPr="00596796">
        <w:t xml:space="preserve"> </w:t>
      </w:r>
      <w:r w:rsidR="00816A77">
        <w:tab/>
      </w:r>
      <w:r w:rsidR="000D40FD" w:rsidRPr="00596796">
        <w:t>For example, these preferences are affected by</w:t>
      </w:r>
      <w:r w:rsidR="000D40FD">
        <w:t>:</w:t>
      </w:r>
      <w:r w:rsidR="000D40FD" w:rsidRPr="00596796">
        <w:t xml:space="preserve"> socio</w:t>
      </w:r>
      <w:r>
        <w:noBreakHyphen/>
      </w:r>
      <w:r w:rsidR="000D40FD" w:rsidRPr="00596796">
        <w:t xml:space="preserve">economic status </w:t>
      </w:r>
      <w:r w:rsidR="000D40FD" w:rsidRPr="00E357EB">
        <w:t>during</w:t>
      </w:r>
      <w:r w:rsidR="000D40FD" w:rsidRPr="00596796">
        <w:t xml:space="preserve"> childhood</w:t>
      </w:r>
      <w:r w:rsidR="000D40FD">
        <w:t>,</w:t>
      </w:r>
      <w:r w:rsidR="000D40FD" w:rsidRPr="00596796">
        <w:t xml:space="preserve"> Gore (</w:t>
      </w:r>
      <w:hyperlink r:id="rId14" w:history="1">
        <w:r w:rsidR="000D40FD" w:rsidRPr="00E357EB">
          <w:rPr>
            <w:rStyle w:val="Hyperlink"/>
          </w:rPr>
          <w:t>2015</w:t>
        </w:r>
      </w:hyperlink>
      <w:r w:rsidR="000D40FD" w:rsidRPr="00596796">
        <w:t xml:space="preserve">); by macroeconomic </w:t>
      </w:r>
      <w:r w:rsidR="000D40FD" w:rsidRPr="00707FD5">
        <w:t>conditions</w:t>
      </w:r>
      <w:r w:rsidR="000D40FD" w:rsidRPr="00596796">
        <w:t xml:space="preserve"> when growing up</w:t>
      </w:r>
      <w:r w:rsidR="000D40FD">
        <w:t>,</w:t>
      </w:r>
      <w:r w:rsidR="000D40FD" w:rsidRPr="00596796">
        <w:t xml:space="preserve"> Cotofan, Cassar, Dur &amp; Meier (</w:t>
      </w:r>
      <w:hyperlink r:id="rId15" w:history="1">
        <w:r w:rsidR="000D40FD" w:rsidRPr="00E357EB">
          <w:rPr>
            <w:rStyle w:val="Hyperlink"/>
          </w:rPr>
          <w:t>2023</w:t>
        </w:r>
      </w:hyperlink>
      <w:r w:rsidR="000D40FD" w:rsidRPr="00596796">
        <w:t>); and by gender stereotypes and highly</w:t>
      </w:r>
      <w:r w:rsidR="005B272C">
        <w:t xml:space="preserve"> </w:t>
      </w:r>
      <w:r w:rsidR="000D40FD" w:rsidRPr="00596796">
        <w:t>segregated occupations</w:t>
      </w:r>
      <w:r w:rsidR="000D40FD">
        <w:t>,</w:t>
      </w:r>
      <w:r w:rsidR="000D40FD" w:rsidRPr="00596796">
        <w:t xml:space="preserve"> Women</w:t>
      </w:r>
      <w:r>
        <w:t>’</w:t>
      </w:r>
      <w:r w:rsidR="000D40FD" w:rsidRPr="00596796">
        <w:t xml:space="preserve">s Budget Statement (pp 28–30, </w:t>
      </w:r>
      <w:hyperlink r:id="rId16" w:history="1">
        <w:r w:rsidR="000D40FD" w:rsidRPr="00E357EB">
          <w:rPr>
            <w:rStyle w:val="Hyperlink"/>
          </w:rPr>
          <w:t>2023</w:t>
        </w:r>
      </w:hyperlink>
      <w:r w:rsidR="000D40FD" w:rsidRPr="00596796">
        <w:t>).</w:t>
      </w:r>
    </w:p>
  </w:footnote>
  <w:footnote w:id="13">
    <w:p w14:paraId="504423AF" w14:textId="5D56BECC" w:rsidR="000D40FD" w:rsidRPr="00596796" w:rsidRDefault="005F5800" w:rsidP="00707FD5">
      <w:pPr>
        <w:pStyle w:val="FootnoteText"/>
      </w:pPr>
      <w:r w:rsidRPr="005F5800">
        <w:rPr>
          <w:rStyle w:val="FootnoteReference"/>
          <w:vertAlign w:val="baseline"/>
        </w:rPr>
        <w:footnoteRef/>
      </w:r>
      <w:r w:rsidR="000D40FD" w:rsidRPr="00596796">
        <w:t xml:space="preserve"> </w:t>
      </w:r>
      <w:r w:rsidR="00816A77">
        <w:tab/>
      </w:r>
      <w:r w:rsidR="000D40FD" w:rsidRPr="00596796">
        <w:t xml:space="preserve">The importance of these foundational skills in a changing labour market is outlined by the National Skills Commission (pp 146–151, </w:t>
      </w:r>
      <w:hyperlink r:id="rId17" w:history="1">
        <w:r w:rsidR="000D40FD" w:rsidRPr="00E357EB">
          <w:rPr>
            <w:rStyle w:val="Hyperlink"/>
          </w:rPr>
          <w:t>2021</w:t>
        </w:r>
      </w:hyperlink>
      <w:r w:rsidR="000D40FD" w:rsidRPr="00596796">
        <w:t>).</w:t>
      </w:r>
      <w:r w:rsidR="000D40FD">
        <w:t xml:space="preserve"> </w:t>
      </w:r>
      <w:r w:rsidR="000D40FD" w:rsidRPr="00596796">
        <w:t>An examination of the growing importance of</w:t>
      </w:r>
      <w:r w:rsidR="00007DA2">
        <w:t xml:space="preserve"> – </w:t>
      </w:r>
      <w:r w:rsidR="000D40FD" w:rsidRPr="00596796">
        <w:t>and returns to</w:t>
      </w:r>
      <w:r w:rsidR="00007DA2">
        <w:t xml:space="preserve"> – </w:t>
      </w:r>
      <w:r w:rsidR="000D40FD" w:rsidRPr="00E357EB">
        <w:t>social</w:t>
      </w:r>
      <w:r w:rsidR="000D40FD" w:rsidRPr="00596796">
        <w:t xml:space="preserve"> skills in the labour market is explored in Deming (</w:t>
      </w:r>
      <w:hyperlink r:id="rId18" w:history="1">
        <w:r w:rsidR="000D40FD" w:rsidRPr="00E357EB">
          <w:rPr>
            <w:rStyle w:val="Hyperlink"/>
          </w:rPr>
          <w:t>2017</w:t>
        </w:r>
      </w:hyperlink>
      <w:r w:rsidR="000D40FD" w:rsidRPr="00596796">
        <w:t>).</w:t>
      </w:r>
    </w:p>
  </w:footnote>
  <w:footnote w:id="14">
    <w:p w14:paraId="087F1DC4" w14:textId="7AE24CC8" w:rsidR="000D40FD" w:rsidRPr="00DB1DC6" w:rsidRDefault="005F5800" w:rsidP="00707FD5">
      <w:pPr>
        <w:pStyle w:val="FootnoteText"/>
      </w:pPr>
      <w:r w:rsidRPr="005F5800">
        <w:rPr>
          <w:rStyle w:val="FootnoteReference"/>
          <w:vertAlign w:val="baseline"/>
        </w:rPr>
        <w:footnoteRef/>
      </w:r>
      <w:r w:rsidR="000D40FD" w:rsidRPr="00596796">
        <w:t xml:space="preserve"> </w:t>
      </w:r>
      <w:r w:rsidR="00816A77">
        <w:tab/>
      </w:r>
      <w:r w:rsidR="000D40FD" w:rsidRPr="00596796">
        <w:t xml:space="preserve">The similarity of occupations by specialised skills are explored in </w:t>
      </w:r>
      <w:r w:rsidR="000D40FD" w:rsidRPr="00707FD5">
        <w:t>the</w:t>
      </w:r>
      <w:r w:rsidR="000D40FD" w:rsidRPr="00596796">
        <w:t xml:space="preserve"> </w:t>
      </w:r>
      <w:r w:rsidR="000D40FD" w:rsidRPr="00E357EB">
        <w:t>Jobs</w:t>
      </w:r>
      <w:r w:rsidR="000D40FD" w:rsidRPr="00596796">
        <w:t xml:space="preserve"> and Skills Australia </w:t>
      </w:r>
      <w:r w:rsidR="000D40FD" w:rsidRPr="00596796">
        <w:rPr>
          <w:i/>
          <w:iCs/>
        </w:rPr>
        <w:t>Australian Skills Classification</w:t>
      </w:r>
      <w:r w:rsidR="000D40FD" w:rsidRPr="00596796">
        <w:t xml:space="preserve"> (</w:t>
      </w:r>
      <w:hyperlink r:id="rId19" w:anchor="similarity" w:history="1">
        <w:r w:rsidR="000D40FD" w:rsidRPr="00E357EB">
          <w:rPr>
            <w:rStyle w:val="Hyperlink"/>
          </w:rPr>
          <w:t>2023</w:t>
        </w:r>
      </w:hyperlink>
      <w:r w:rsidR="000D40FD" w:rsidRPr="00596796">
        <w:t>)</w:t>
      </w:r>
      <w:r w:rsidR="000D40FD" w:rsidRPr="00596796">
        <w:rPr>
          <w:i/>
          <w:iCs/>
        </w:rPr>
        <w:t>.</w:t>
      </w:r>
    </w:p>
  </w:footnote>
  <w:footnote w:id="15">
    <w:p w14:paraId="05F5B60A" w14:textId="4898405E" w:rsidR="00446FBF" w:rsidRPr="00E357EB" w:rsidRDefault="005F5800" w:rsidP="00707FD5">
      <w:pPr>
        <w:pStyle w:val="FootnoteText"/>
      </w:pPr>
      <w:r w:rsidRPr="005F5800">
        <w:rPr>
          <w:rStyle w:val="FootnoteReference"/>
          <w:vertAlign w:val="baseline"/>
        </w:rPr>
        <w:footnoteRef/>
      </w:r>
      <w:r w:rsidR="00446FBF" w:rsidRPr="00E357EB">
        <w:t xml:space="preserve"> </w:t>
      </w:r>
      <w:r w:rsidR="00816A77">
        <w:tab/>
      </w:r>
      <w:r w:rsidR="00446FBF" w:rsidRPr="00E357EB">
        <w:t xml:space="preserve">Administrative data published by </w:t>
      </w:r>
      <w:r w:rsidR="00446FBF" w:rsidRPr="00707FD5">
        <w:t>the</w:t>
      </w:r>
      <w:r w:rsidR="00446FBF" w:rsidRPr="00E357EB">
        <w:t xml:space="preserve"> ABS (</w:t>
      </w:r>
      <w:hyperlink r:id="rId20" w:anchor="movement-within-australia" w:history="1">
        <w:r w:rsidR="00446FBF" w:rsidRPr="00E357EB">
          <w:rPr>
            <w:rStyle w:val="Hyperlink"/>
          </w:rPr>
          <w:t>2023</w:t>
        </w:r>
      </w:hyperlink>
      <w:r w:rsidR="00446FBF" w:rsidRPr="00E357EB">
        <w:t>).</w:t>
      </w:r>
    </w:p>
  </w:footnote>
  <w:footnote w:id="16">
    <w:p w14:paraId="3E554904" w14:textId="7311B8D4" w:rsidR="00446FBF" w:rsidRPr="00E357EB" w:rsidRDefault="005F5800" w:rsidP="00707FD5">
      <w:pPr>
        <w:pStyle w:val="FootnoteText"/>
      </w:pPr>
      <w:r w:rsidRPr="005F5800">
        <w:rPr>
          <w:rStyle w:val="FootnoteReference"/>
          <w:vertAlign w:val="baseline"/>
        </w:rPr>
        <w:footnoteRef/>
      </w:r>
      <w:r w:rsidR="00446FBF" w:rsidRPr="00E357EB">
        <w:t xml:space="preserve"> </w:t>
      </w:r>
      <w:r w:rsidR="00816A77">
        <w:tab/>
      </w:r>
      <w:r w:rsidR="00446FBF" w:rsidRPr="00E357EB">
        <w:t>Whelan and Parkinson (</w:t>
      </w:r>
      <w:hyperlink r:id="rId21" w:history="1">
        <w:r w:rsidR="00446FBF" w:rsidRPr="00E357EB">
          <w:rPr>
            <w:rStyle w:val="Hyperlink"/>
          </w:rPr>
          <w:t>2017</w:t>
        </w:r>
      </w:hyperlink>
      <w:r w:rsidR="00446FBF" w:rsidRPr="00E357EB">
        <w:t xml:space="preserve">); Productivity Commission (Chapter 7, </w:t>
      </w:r>
      <w:hyperlink r:id="rId22" w:history="1">
        <w:r w:rsidR="00446FBF" w:rsidRPr="00E357EB">
          <w:rPr>
            <w:rStyle w:val="Hyperlink"/>
          </w:rPr>
          <w:t>2014</w:t>
        </w:r>
      </w:hyperlink>
      <w:r w:rsidR="00446FBF" w:rsidRPr="00E357EB">
        <w:t>).</w:t>
      </w:r>
    </w:p>
  </w:footnote>
  <w:footnote w:id="17">
    <w:p w14:paraId="68DEFECF" w14:textId="0DE31D17" w:rsidR="00446FBF" w:rsidRPr="00E357EB" w:rsidRDefault="005F5800" w:rsidP="00707FD5">
      <w:pPr>
        <w:pStyle w:val="FootnoteText"/>
      </w:pPr>
      <w:r w:rsidRPr="005F5800">
        <w:rPr>
          <w:rStyle w:val="FootnoteReference"/>
          <w:vertAlign w:val="baseline"/>
        </w:rPr>
        <w:footnoteRef/>
      </w:r>
      <w:r w:rsidR="00446FBF" w:rsidRPr="00E357EB">
        <w:t xml:space="preserve"> </w:t>
      </w:r>
      <w:r w:rsidR="00816A77">
        <w:tab/>
      </w:r>
      <w:r w:rsidR="00446FBF" w:rsidRPr="00E357EB">
        <w:t xml:space="preserve">Productivity Commission (Chapter 7, </w:t>
      </w:r>
      <w:hyperlink r:id="rId23" w:history="1">
        <w:r w:rsidR="00446FBF" w:rsidRPr="00E357EB">
          <w:rPr>
            <w:rStyle w:val="Hyperlink"/>
          </w:rPr>
          <w:t>2014</w:t>
        </w:r>
      </w:hyperlink>
      <w:r w:rsidR="00446FBF" w:rsidRPr="00E357EB">
        <w:t xml:space="preserve">). The Productivity Commission also noted that </w:t>
      </w:r>
      <w:r>
        <w:t>‘</w:t>
      </w:r>
      <w:r w:rsidR="00446FBF" w:rsidRPr="00E357EB">
        <w:t>longer distance moves for the purpose of finding work are likely to be challenging for many long</w:t>
      </w:r>
      <w:r>
        <w:noBreakHyphen/>
      </w:r>
      <w:r w:rsidR="00446FBF" w:rsidRPr="00E357EB">
        <w:t>term unemployed people due to lower levels of education and skills, poorer health, less access to affordable transport and greater reliance on family networks for support</w:t>
      </w:r>
      <w:r>
        <w:t>’</w:t>
      </w:r>
      <w:r w:rsidR="00446FBF" w:rsidRPr="00E357EB">
        <w:t xml:space="preserve"> (p 147).</w:t>
      </w:r>
    </w:p>
  </w:footnote>
  <w:footnote w:id="18">
    <w:p w14:paraId="4DE23BAB" w14:textId="61AE543B" w:rsidR="00446FBF" w:rsidRPr="00E357EB" w:rsidRDefault="005F5800" w:rsidP="00707FD5">
      <w:pPr>
        <w:pStyle w:val="FootnoteText"/>
      </w:pPr>
      <w:r w:rsidRPr="005F5800">
        <w:rPr>
          <w:rStyle w:val="FootnoteReference"/>
          <w:vertAlign w:val="baseline"/>
        </w:rPr>
        <w:footnoteRef/>
      </w:r>
      <w:r w:rsidR="00446FBF" w:rsidRPr="00E357EB">
        <w:t xml:space="preserve"> </w:t>
      </w:r>
      <w:bookmarkStart w:id="19" w:name="_Hlk155533887"/>
      <w:r w:rsidR="00816A77">
        <w:tab/>
      </w:r>
      <w:r w:rsidR="00446FBF" w:rsidRPr="00E357EB">
        <w:t>D</w:t>
      </w:r>
      <w:r>
        <w:t>’</w:t>
      </w:r>
      <w:r w:rsidR="00446FBF" w:rsidRPr="00E357EB">
        <w:t>Arcy, Gustafsson, Lewis and Wiltshire</w:t>
      </w:r>
      <w:bookmarkEnd w:id="19"/>
      <w:r w:rsidR="00446FBF" w:rsidRPr="00E357EB">
        <w:t xml:space="preserve"> (</w:t>
      </w:r>
      <w:hyperlink r:id="rId24" w:history="1">
        <w:r w:rsidR="00446FBF" w:rsidRPr="00E357EB">
          <w:rPr>
            <w:rStyle w:val="Hyperlink"/>
          </w:rPr>
          <w:t>2012</w:t>
        </w:r>
      </w:hyperlink>
      <w:r w:rsidR="00446FBF" w:rsidRPr="00E357EB">
        <w:t>).</w:t>
      </w:r>
    </w:p>
  </w:footnote>
  <w:footnote w:id="19">
    <w:p w14:paraId="62E3C621" w14:textId="74B53EE6" w:rsidR="007B1450" w:rsidRPr="007B1450" w:rsidRDefault="005F5800" w:rsidP="00CB0CA1">
      <w:pPr>
        <w:pStyle w:val="FootnoteText"/>
      </w:pPr>
      <w:r w:rsidRPr="005F5800">
        <w:rPr>
          <w:rStyle w:val="FootnoteReference"/>
          <w:vertAlign w:val="baseline"/>
        </w:rPr>
        <w:footnoteRef/>
      </w:r>
      <w:r w:rsidR="007B1450" w:rsidRPr="004A5871">
        <w:t xml:space="preserve"> </w:t>
      </w:r>
      <w:r w:rsidR="00DC71EA">
        <w:tab/>
      </w:r>
      <w:r w:rsidR="00770355">
        <w:t xml:space="preserve">For more detail about how this approach fits into the Beveridge Curve framework, </w:t>
      </w:r>
      <w:r w:rsidR="00770355" w:rsidRPr="00926BA9">
        <w:t xml:space="preserve">see </w:t>
      </w:r>
      <w:r w:rsidR="00926BA9" w:rsidRPr="00926BA9">
        <w:t xml:space="preserve">Consolo and </w:t>
      </w:r>
      <w:r w:rsidR="00CB0CA1">
        <w:t>de Silva</w:t>
      </w:r>
      <w:r w:rsidR="00926BA9" w:rsidRPr="00926BA9">
        <w:t xml:space="preserve"> (Box 2, </w:t>
      </w:r>
      <w:hyperlink r:id="rId25" w:history="1">
        <w:r w:rsidR="00926BA9" w:rsidRPr="00AF1A25">
          <w:rPr>
            <w:rStyle w:val="Hyperlink"/>
          </w:rPr>
          <w:t>2019</w:t>
        </w:r>
      </w:hyperlink>
      <w:r w:rsidR="00926BA9" w:rsidRPr="00926BA9">
        <w:t>)</w:t>
      </w:r>
      <w:r w:rsidR="00E00A1B">
        <w:t xml:space="preserve">; </w:t>
      </w:r>
      <w:bookmarkStart w:id="29" w:name="_Hlk155533971"/>
      <w:r w:rsidR="007B1450" w:rsidRPr="007B1450">
        <w:t>Petrongolo and Pissarides (</w:t>
      </w:r>
      <w:hyperlink r:id="rId26" w:history="1">
        <w:r w:rsidR="007B1450" w:rsidRPr="00AF1A25">
          <w:rPr>
            <w:rStyle w:val="Hyperlink"/>
          </w:rPr>
          <w:t>2001</w:t>
        </w:r>
      </w:hyperlink>
      <w:r w:rsidR="007B1450" w:rsidRPr="007B1450">
        <w:t>)</w:t>
      </w:r>
      <w:bookmarkEnd w:id="29"/>
      <w:r w:rsidR="002A115F">
        <w:t xml:space="preserve">; and Figura </w:t>
      </w:r>
      <w:r w:rsidR="002A115F" w:rsidRPr="00E40265">
        <w:t>and</w:t>
      </w:r>
      <w:r w:rsidR="002A115F">
        <w:t xml:space="preserve"> Waller (</w:t>
      </w:r>
      <w:hyperlink r:id="rId27" w:history="1">
        <w:r w:rsidR="002A115F" w:rsidRPr="00AF1A25">
          <w:rPr>
            <w:rStyle w:val="Hyperlink"/>
          </w:rPr>
          <w:t>2022</w:t>
        </w:r>
      </w:hyperlink>
      <w:r w:rsidR="002A115F">
        <w:t>).</w:t>
      </w:r>
    </w:p>
  </w:footnote>
  <w:footnote w:id="20">
    <w:p w14:paraId="26B7E9E8" w14:textId="3B64DEF2" w:rsidR="00C213BB" w:rsidRPr="00C213BB" w:rsidRDefault="005F5800" w:rsidP="00CB0CA1">
      <w:pPr>
        <w:pStyle w:val="FootnoteText"/>
      </w:pPr>
      <w:r w:rsidRPr="005F5800">
        <w:rPr>
          <w:rStyle w:val="FootnoteReference"/>
          <w:vertAlign w:val="baseline"/>
        </w:rPr>
        <w:footnoteRef/>
      </w:r>
      <w:r w:rsidR="00C213BB" w:rsidRPr="00C213BB">
        <w:t xml:space="preserve"> </w:t>
      </w:r>
      <w:r w:rsidR="00DC71EA">
        <w:tab/>
      </w:r>
      <w:r w:rsidR="00E00A1B">
        <w:t xml:space="preserve">The authors show that </w:t>
      </w:r>
      <w:r w:rsidR="00CD74A8">
        <w:t xml:space="preserve">in the European context </w:t>
      </w:r>
      <w:r w:rsidR="00600D97">
        <w:t xml:space="preserve">from 2000, </w:t>
      </w:r>
      <w:r w:rsidR="00E00A1B">
        <w:t xml:space="preserve">the reduced form matching </w:t>
      </w:r>
      <w:r w:rsidR="00E00A1B" w:rsidRPr="00AF1A25">
        <w:t>function</w:t>
      </w:r>
      <w:r w:rsidR="00E00A1B">
        <w:t xml:space="preserve"> approach </w:t>
      </w:r>
      <w:r w:rsidR="00600D97">
        <w:t xml:space="preserve">reveals </w:t>
      </w:r>
      <w:r w:rsidR="00E00A1B">
        <w:t xml:space="preserve">similar </w:t>
      </w:r>
      <w:r w:rsidR="00600D97">
        <w:t xml:space="preserve">matching efficiency estimates </w:t>
      </w:r>
      <w:r w:rsidR="00E00A1B">
        <w:t xml:space="preserve">to </w:t>
      </w:r>
      <w:r w:rsidR="00D65075">
        <w:t>a</w:t>
      </w:r>
      <w:r w:rsidR="00D65075" w:rsidRPr="00D65075">
        <w:t>n alternative measure derived by estimating the elasticity between vacancies and unemployment</w:t>
      </w:r>
      <w:r w:rsidR="00D65075">
        <w:t xml:space="preserve">: </w:t>
      </w:r>
      <w:r w:rsidR="005F76CA" w:rsidRPr="00926BA9">
        <w:t xml:space="preserve">Consolo and </w:t>
      </w:r>
      <w:r w:rsidR="00CB0CA1">
        <w:t>de Silva</w:t>
      </w:r>
      <w:r w:rsidR="005F76CA" w:rsidRPr="00926BA9">
        <w:t xml:space="preserve"> (</w:t>
      </w:r>
      <w:r w:rsidR="005F76CA">
        <w:t>equation</w:t>
      </w:r>
      <w:r w:rsidR="004C14C4">
        <w:t> </w:t>
      </w:r>
      <w:r w:rsidR="005F76CA">
        <w:t xml:space="preserve">2 and </w:t>
      </w:r>
      <w:r w:rsidR="00A87D11">
        <w:t>chart</w:t>
      </w:r>
      <w:r w:rsidR="004C14C4">
        <w:t> </w:t>
      </w:r>
      <w:r w:rsidR="00A87D11">
        <w:t>5</w:t>
      </w:r>
      <w:r w:rsidR="005F76CA" w:rsidRPr="00926BA9">
        <w:t xml:space="preserve">, </w:t>
      </w:r>
      <w:hyperlink r:id="rId28" w:history="1">
        <w:r w:rsidR="005F76CA" w:rsidRPr="00AF1A25">
          <w:rPr>
            <w:rStyle w:val="Hyperlink"/>
          </w:rPr>
          <w:t>2019</w:t>
        </w:r>
      </w:hyperlink>
      <w:r w:rsidR="005F76CA" w:rsidRPr="00926BA9">
        <w:t>)</w:t>
      </w:r>
      <w:r w:rsidR="00A87D11">
        <w:t>.</w:t>
      </w:r>
      <w:r w:rsidR="001E7410">
        <w:t xml:space="preserve"> </w:t>
      </w:r>
    </w:p>
  </w:footnote>
  <w:footnote w:id="21">
    <w:p w14:paraId="665AEC6C" w14:textId="57152B4C" w:rsidR="00621F33" w:rsidRPr="00AB2D45" w:rsidRDefault="005F5800" w:rsidP="00CB0CA1">
      <w:pPr>
        <w:pStyle w:val="FootnoteText"/>
        <w:rPr>
          <w:spacing w:val="-2"/>
        </w:rPr>
      </w:pPr>
      <w:r w:rsidRPr="00AB2D45">
        <w:rPr>
          <w:rStyle w:val="FootnoteReference"/>
          <w:spacing w:val="-2"/>
          <w:vertAlign w:val="baseline"/>
        </w:rPr>
        <w:footnoteRef/>
      </w:r>
      <w:r w:rsidR="00621F33" w:rsidRPr="00AB2D45">
        <w:rPr>
          <w:spacing w:val="-2"/>
        </w:rPr>
        <w:t xml:space="preserve"> </w:t>
      </w:r>
      <w:r w:rsidR="00DC71EA" w:rsidRPr="00AB2D45">
        <w:rPr>
          <w:spacing w:val="-2"/>
        </w:rPr>
        <w:tab/>
      </w:r>
      <w:r w:rsidR="00621F33" w:rsidRPr="00AB2D45">
        <w:rPr>
          <w:spacing w:val="-2"/>
        </w:rPr>
        <w:t xml:space="preserve">A polynomial term </w:t>
      </w:r>
      <m:oMath>
        <m:sSup>
          <m:sSupPr>
            <m:ctrlPr>
              <w:rPr>
                <w:rFonts w:ascii="Cambria Math" w:hAnsi="Cambria Math"/>
                <w:i/>
                <w:spacing w:val="-2"/>
              </w:rPr>
            </m:ctrlPr>
          </m:sSupPr>
          <m:e>
            <m:r>
              <w:rPr>
                <w:rFonts w:ascii="Cambria Math" w:hAnsi="Cambria Math"/>
                <w:spacing w:val="-2"/>
              </w:rPr>
              <m:t>θ</m:t>
            </m:r>
          </m:e>
          <m:sup>
            <m:r>
              <w:rPr>
                <w:rFonts w:ascii="Cambria Math" w:hAnsi="Cambria Math"/>
                <w:spacing w:val="-2"/>
              </w:rPr>
              <m:t>2</m:t>
            </m:r>
          </m:sup>
        </m:sSup>
      </m:oMath>
      <w:r w:rsidR="00621F33" w:rsidRPr="00AB2D45">
        <w:rPr>
          <w:spacing w:val="-2"/>
        </w:rPr>
        <w:t xml:space="preserve"> is added to account for potential non</w:t>
      </w:r>
      <w:r w:rsidRPr="00AB2D45">
        <w:rPr>
          <w:spacing w:val="-2"/>
        </w:rPr>
        <w:noBreakHyphen/>
      </w:r>
      <w:r w:rsidR="00621F33" w:rsidRPr="00AB2D45">
        <w:rPr>
          <w:spacing w:val="-2"/>
        </w:rPr>
        <w:t>linearity in the relationship between labour market tightness and job finding probability. The findings in this paper are robust to the removal of this term.</w:t>
      </w:r>
    </w:p>
  </w:footnote>
  <w:footnote w:id="22">
    <w:p w14:paraId="603CA1D3" w14:textId="0167541E" w:rsidR="00621F33" w:rsidRPr="0081196B" w:rsidRDefault="005F5800" w:rsidP="00CB0CA1">
      <w:pPr>
        <w:pStyle w:val="FootnoteText"/>
      </w:pPr>
      <w:r w:rsidRPr="005F5800">
        <w:rPr>
          <w:rStyle w:val="FootnoteReference"/>
          <w:vertAlign w:val="baseline"/>
        </w:rPr>
        <w:footnoteRef/>
      </w:r>
      <w:r w:rsidR="00621F33" w:rsidRPr="004A5871">
        <w:t xml:space="preserve"> </w:t>
      </w:r>
      <w:bookmarkStart w:id="30" w:name="_Hlk130308323"/>
      <w:r w:rsidR="00DC71EA">
        <w:tab/>
      </w:r>
      <w:r w:rsidR="00621F33" w:rsidRPr="0081196B">
        <w:t xml:space="preserve">ABS </w:t>
      </w:r>
      <w:hyperlink r:id="rId29" w:history="1">
        <w:r w:rsidR="00621F33" w:rsidRPr="00AF1A25">
          <w:rPr>
            <w:rStyle w:val="Hyperlink"/>
          </w:rPr>
          <w:t>Job Vacancies</w:t>
        </w:r>
      </w:hyperlink>
      <w:r w:rsidR="00621F33" w:rsidRPr="0081196B">
        <w:t xml:space="preserve"> (Australia: </w:t>
      </w:r>
      <w:r w:rsidR="004C14C4">
        <w:t>Table </w:t>
      </w:r>
      <w:r w:rsidR="00621F33" w:rsidRPr="0081196B">
        <w:t xml:space="preserve">1; and states: </w:t>
      </w:r>
      <w:r w:rsidR="004C14C4">
        <w:t>Table </w:t>
      </w:r>
      <w:r w:rsidR="00621F33" w:rsidRPr="0081196B">
        <w:t>2</w:t>
      </w:r>
      <w:bookmarkEnd w:id="30"/>
      <w:r w:rsidR="00621F33" w:rsidRPr="0081196B">
        <w:t xml:space="preserve">). Job vacancy data was not </w:t>
      </w:r>
      <w:r w:rsidR="00621F33" w:rsidRPr="00AF1A25">
        <w:t>collected</w:t>
      </w:r>
      <w:r w:rsidR="00621F33" w:rsidRPr="0081196B">
        <w:t xml:space="preserve"> between August 2008 and August 2009 and is linearly interpolated for analysis conducted in this paper. </w:t>
      </w:r>
    </w:p>
  </w:footnote>
  <w:footnote w:id="23">
    <w:p w14:paraId="1118FE30" w14:textId="551273CC" w:rsidR="00621F33" w:rsidRPr="00AF1A25" w:rsidRDefault="005F5800" w:rsidP="00CB0CA1">
      <w:pPr>
        <w:pStyle w:val="FootnoteText"/>
      </w:pPr>
      <w:r w:rsidRPr="005F5800">
        <w:rPr>
          <w:rStyle w:val="FootnoteReference"/>
          <w:vertAlign w:val="baseline"/>
        </w:rPr>
        <w:footnoteRef/>
      </w:r>
      <w:r w:rsidR="00621F33" w:rsidRPr="00AF1A25">
        <w:t xml:space="preserve"> </w:t>
      </w:r>
      <w:r w:rsidR="00DC71EA">
        <w:tab/>
      </w:r>
      <w:r w:rsidR="00621F33" w:rsidRPr="00AF1A25">
        <w:t xml:space="preserve">ABS </w:t>
      </w:r>
      <w:hyperlink r:id="rId30" w:anchor="data-downloads" w:history="1">
        <w:r w:rsidR="00621F33" w:rsidRPr="00AF1A25">
          <w:rPr>
            <w:rStyle w:val="Hyperlink"/>
            <w:color w:val="auto"/>
          </w:rPr>
          <w:t>LFS</w:t>
        </w:r>
      </w:hyperlink>
      <w:r w:rsidR="00621F33" w:rsidRPr="00AF1A25">
        <w:t xml:space="preserve">, </w:t>
      </w:r>
      <w:r w:rsidR="004C14C4">
        <w:t>Table </w:t>
      </w:r>
      <w:r w:rsidR="00621F33" w:rsidRPr="00AF1A25">
        <w:t>1. Original series are used. State</w:t>
      </w:r>
      <w:r>
        <w:noBreakHyphen/>
      </w:r>
      <w:r w:rsidR="00621F33" w:rsidRPr="00AF1A25">
        <w:t xml:space="preserve">based analysis also uses this model, with data coming from </w:t>
      </w:r>
      <w:r w:rsidR="004C14C4">
        <w:t>Table </w:t>
      </w:r>
      <w:r w:rsidR="00621F33" w:rsidRPr="00AF1A25">
        <w:t xml:space="preserve">12. Job finding probabilities of unemployed people is sourced from ABS </w:t>
      </w:r>
      <w:hyperlink r:id="rId31" w:anchor="data-downloads" w:history="1">
        <w:r w:rsidR="00621F33" w:rsidRPr="00AF1A25">
          <w:rPr>
            <w:rStyle w:val="Hyperlink"/>
            <w:color w:val="auto"/>
          </w:rPr>
          <w:t>LFS</w:t>
        </w:r>
      </w:hyperlink>
      <w:r w:rsidR="00621F33" w:rsidRPr="00AF1A25">
        <w:t xml:space="preserve"> Flows into and out of employment (GM1).</w:t>
      </w:r>
    </w:p>
  </w:footnote>
  <w:footnote w:id="24">
    <w:p w14:paraId="06DC2573" w14:textId="567CC35C" w:rsidR="00621F33" w:rsidRPr="007F0752" w:rsidRDefault="005F5800" w:rsidP="007F0752">
      <w:pPr>
        <w:pStyle w:val="FootnoteText"/>
      </w:pPr>
      <w:r w:rsidRPr="007F0752">
        <w:rPr>
          <w:rStyle w:val="FootnoteReference"/>
          <w:spacing w:val="-3"/>
          <w:vertAlign w:val="baseline"/>
        </w:rPr>
        <w:footnoteRef/>
      </w:r>
      <w:r w:rsidR="00621F33" w:rsidRPr="007F0752">
        <w:t xml:space="preserve"> </w:t>
      </w:r>
      <w:r w:rsidR="00DC71EA" w:rsidRPr="007F0752">
        <w:tab/>
      </w:r>
      <w:r w:rsidR="007F5A3D" w:rsidRPr="007F0752">
        <w:t xml:space="preserve">Treasury research by </w:t>
      </w:r>
      <w:r w:rsidR="00621F33" w:rsidRPr="007F0752">
        <w:t xml:space="preserve">Parsons and Hickson </w:t>
      </w:r>
      <w:r w:rsidR="00564E14" w:rsidRPr="007F0752">
        <w:t>(</w:t>
      </w:r>
      <w:r w:rsidR="00621F33" w:rsidRPr="007F0752">
        <w:t>2022)</w:t>
      </w:r>
      <w:r w:rsidR="000763F0" w:rsidRPr="007F0752">
        <w:t xml:space="preserve"> [unpublished]</w:t>
      </w:r>
      <w:r w:rsidR="00621F33" w:rsidRPr="007F0752">
        <w:t xml:space="preserve"> show</w:t>
      </w:r>
      <w:r w:rsidR="00257785" w:rsidRPr="007F0752">
        <w:t>s</w:t>
      </w:r>
      <w:r w:rsidR="00621F33" w:rsidRPr="007F0752">
        <w:t xml:space="preserve"> the </w:t>
      </w:r>
      <w:r w:rsidRPr="007F0752">
        <w:t>‘</w:t>
      </w:r>
      <w:r w:rsidR="00621F33" w:rsidRPr="007F0752">
        <w:t>not looking for work</w:t>
      </w:r>
      <w:r w:rsidRPr="007F0752">
        <w:t>’</w:t>
      </w:r>
      <w:r w:rsidR="00621F33" w:rsidRPr="007F0752">
        <w:t xml:space="preserve"> NILF group is the largest group, accounting for just under half of the whole NILF group. Those who are retired or permanent unable to work, the second largest NILF group, are excluded. This group has very low levels of job finding.</w:t>
      </w:r>
    </w:p>
  </w:footnote>
  <w:footnote w:id="25">
    <w:p w14:paraId="46954E1F" w14:textId="735994E6" w:rsidR="00621F33" w:rsidRPr="0081196B" w:rsidRDefault="005F5800" w:rsidP="00CB0CA1">
      <w:pPr>
        <w:pStyle w:val="FootnoteText"/>
      </w:pPr>
      <w:r w:rsidRPr="005F5800">
        <w:rPr>
          <w:rStyle w:val="FootnoteReference"/>
          <w:vertAlign w:val="baseline"/>
        </w:rPr>
        <w:footnoteRef/>
      </w:r>
      <w:r w:rsidR="00621F33" w:rsidRPr="007F6F67">
        <w:t xml:space="preserve"> </w:t>
      </w:r>
      <w:r w:rsidR="00DC71EA">
        <w:tab/>
      </w:r>
      <w:r w:rsidR="00621F33" w:rsidRPr="0081196B">
        <w:t xml:space="preserve">The intuition </w:t>
      </w:r>
      <w:r w:rsidR="00590FC4">
        <w:t xml:space="preserve">is </w:t>
      </w:r>
      <w:r w:rsidR="00621F33" w:rsidRPr="0081196B">
        <w:t xml:space="preserve">that a NILF person will move from </w:t>
      </w:r>
      <w:r>
        <w:t>‘</w:t>
      </w:r>
      <w:r w:rsidR="00621F33" w:rsidRPr="0081196B">
        <w:t>not looking</w:t>
      </w:r>
      <w:r>
        <w:t>’</w:t>
      </w:r>
      <w:r w:rsidR="00621F33" w:rsidRPr="0081196B">
        <w:t xml:space="preserve"> or </w:t>
      </w:r>
      <w:r>
        <w:t>‘</w:t>
      </w:r>
      <w:r w:rsidR="00621F33" w:rsidRPr="0081196B">
        <w:t>passively looking</w:t>
      </w:r>
      <w:r>
        <w:t>’</w:t>
      </w:r>
      <w:r w:rsidR="00621F33" w:rsidRPr="0081196B">
        <w:t xml:space="preserve"> to </w:t>
      </w:r>
      <w:r>
        <w:t>‘</w:t>
      </w:r>
      <w:r w:rsidR="00621F33" w:rsidRPr="0081196B">
        <w:t>actively looking</w:t>
      </w:r>
      <w:r>
        <w:t>’</w:t>
      </w:r>
      <w:r w:rsidR="00621F33" w:rsidRPr="0081196B">
        <w:t xml:space="preserve"> before finding a job, even if they are only ever measured as being </w:t>
      </w:r>
      <w:r>
        <w:t>‘</w:t>
      </w:r>
      <w:r w:rsidR="00621F33" w:rsidRPr="0081196B">
        <w:t>not looking</w:t>
      </w:r>
      <w:r>
        <w:t>’</w:t>
      </w:r>
      <w:r w:rsidR="00621F33" w:rsidRPr="0081196B">
        <w:t xml:space="preserve"> in one </w:t>
      </w:r>
      <w:r w:rsidR="00621F33" w:rsidRPr="00AF1A25">
        <w:t>period</w:t>
      </w:r>
      <w:r w:rsidR="00621F33" w:rsidRPr="0081196B">
        <w:t xml:space="preserve"> and </w:t>
      </w:r>
      <w:r>
        <w:t>‘</w:t>
      </w:r>
      <w:r w:rsidR="00621F33" w:rsidRPr="0081196B">
        <w:t>employed</w:t>
      </w:r>
      <w:r>
        <w:t>’</w:t>
      </w:r>
      <w:r w:rsidR="00621F33" w:rsidRPr="0081196B">
        <w:t xml:space="preserve"> in the next.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C813" w14:textId="77777777" w:rsidR="00E01325" w:rsidRPr="00AC75E2" w:rsidRDefault="00E01325" w:rsidP="00AC75E2">
    <w:pPr>
      <w:pStyle w:val="HeaderEven"/>
    </w:pPr>
    <w:r>
      <w:rPr>
        <w:noProof/>
      </w:rPr>
      <w:drawing>
        <wp:anchor distT="0" distB="0" distL="114300" distR="114300" simplePos="0" relativeHeight="251658240" behindDoc="1" locked="1" layoutInCell="1" allowOverlap="1" wp14:anchorId="1E884E15" wp14:editId="2A14D9D2">
          <wp:simplePos x="0" y="0"/>
          <wp:positionH relativeFrom="page">
            <wp:posOffset>3810</wp:posOffset>
          </wp:positionH>
          <wp:positionV relativeFrom="page">
            <wp:posOffset>0</wp:posOffset>
          </wp:positionV>
          <wp:extent cx="7551420" cy="1083310"/>
          <wp:effectExtent l="0" t="0" r="0" b="254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1420" cy="1083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B19F" w14:textId="4B745050" w:rsidR="00E01325" w:rsidRPr="00F60198" w:rsidRDefault="00E879F1" w:rsidP="00183759">
    <w:pPr>
      <w:pStyle w:val="Header"/>
    </w:pPr>
    <w:r>
      <w:rPr>
        <w:noProof/>
      </w:rPr>
      <w:drawing>
        <wp:anchor distT="0" distB="0" distL="114300" distR="114300" simplePos="0" relativeHeight="251658242" behindDoc="1" locked="0" layoutInCell="1" allowOverlap="1" wp14:anchorId="71C730FD" wp14:editId="146F1A98">
          <wp:simplePos x="0" y="0"/>
          <wp:positionH relativeFrom="page">
            <wp:align>left</wp:align>
          </wp:positionH>
          <wp:positionV relativeFrom="page">
            <wp:align>top</wp:align>
          </wp:positionV>
          <wp:extent cx="7524000" cy="1036800"/>
          <wp:effectExtent l="0" t="0" r="127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4000" cy="1036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adec="http://schemas.microsoft.com/office/drawing/2017/decorative" xmlns:oel="http://schemas.microsoft.com/office/2019/extlst"/>
                    </a:ext>
                  </a:extLst>
                </pic:spPr>
              </pic:pic>
            </a:graphicData>
          </a:graphic>
          <wp14:sizeRelH relativeFrom="page">
            <wp14:pctWidth>0</wp14:pctWidth>
          </wp14:sizeRelH>
          <wp14:sizeRelV relativeFrom="page">
            <wp14:pctHeight>0</wp14:pctHeight>
          </wp14:sizeRelV>
        </wp:anchor>
      </w:drawing>
    </w:r>
    <w:r>
      <w:t xml:space="preserve">Treasury Round Up  |  </w:t>
    </w:r>
    <w:r w:rsidR="00990947">
      <w:t>March</w:t>
    </w:r>
    <w:r w:rsidR="00C97AFB">
      <w:t xml:space="preserve"> </w:t>
    </w:r>
    <w:r w:rsidR="002110C8">
      <w:t>202</w:t>
    </w:r>
    <w:r w:rsidR="00FE71F4">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7865" w14:textId="75F48163" w:rsidR="00E520A5" w:rsidRPr="00F60198" w:rsidRDefault="009227A7" w:rsidP="00DC71EA">
    <w:pPr>
      <w:pStyle w:val="Header"/>
    </w:pPr>
    <w:r>
      <w:rPr>
        <w:noProof/>
      </w:rPr>
      <w:drawing>
        <wp:anchor distT="0" distB="0" distL="114300" distR="114300" simplePos="0" relativeHeight="251658243" behindDoc="1" locked="0" layoutInCell="1" allowOverlap="1" wp14:anchorId="7B3D47B7" wp14:editId="78F53DD3">
          <wp:simplePos x="0" y="0"/>
          <wp:positionH relativeFrom="page">
            <wp:align>left</wp:align>
          </wp:positionH>
          <wp:positionV relativeFrom="page">
            <wp:align>top</wp:align>
          </wp:positionV>
          <wp:extent cx="7524000" cy="1036800"/>
          <wp:effectExtent l="0" t="0" r="127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4000" cy="1036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adec="http://schemas.microsoft.com/office/drawing/2017/decorative" xmlns:oel="http://schemas.microsoft.com/office/2019/extlst"/>
                    </a:ext>
                  </a:extLst>
                </pic:spPr>
              </pic:pic>
            </a:graphicData>
          </a:graphic>
          <wp14:sizeRelH relativeFrom="page">
            <wp14:pctWidth>0</wp14:pctWidth>
          </wp14:sizeRelH>
          <wp14:sizeRelV relativeFrom="page">
            <wp14:pctHeight>0</wp14:pctHeight>
          </wp14:sizeRelV>
        </wp:anchor>
      </w:drawing>
    </w:r>
    <w:r>
      <w:t xml:space="preserve">Treasury Round Up  |  </w:t>
    </w:r>
    <w:r w:rsidR="008044FD">
      <w:t>January</w:t>
    </w:r>
    <w:r>
      <w:t xml:space="preserve"> 202</w:t>
    </w:r>
    <w:r w:rsidR="008044FD">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61F56" w14:textId="66A1201B" w:rsidR="004E6AB5" w:rsidRPr="00F60198" w:rsidRDefault="004E6AB5" w:rsidP="004E6AB5">
    <w:pPr>
      <w:pStyle w:val="Header"/>
    </w:pPr>
    <w:r>
      <w:rPr>
        <w:noProof/>
      </w:rPr>
      <w:drawing>
        <wp:anchor distT="0" distB="0" distL="114300" distR="114300" simplePos="0" relativeHeight="251658244" behindDoc="1" locked="0" layoutInCell="1" allowOverlap="1" wp14:anchorId="374CF285" wp14:editId="1E00AEB6">
          <wp:simplePos x="0" y="0"/>
          <wp:positionH relativeFrom="page">
            <wp:align>left</wp:align>
          </wp:positionH>
          <wp:positionV relativeFrom="page">
            <wp:align>top</wp:align>
          </wp:positionV>
          <wp:extent cx="7524000" cy="1036800"/>
          <wp:effectExtent l="0" t="0" r="127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4000" cy="1036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adec="http://schemas.microsoft.com/office/drawing/2017/decorative" xmlns:oel="http://schemas.microsoft.com/office/2019/extlst"/>
                    </a:ext>
                  </a:extLst>
                </pic:spPr>
              </pic:pic>
            </a:graphicData>
          </a:graphic>
          <wp14:sizeRelH relativeFrom="page">
            <wp14:pctWidth>0</wp14:pctWidth>
          </wp14:sizeRelH>
          <wp14:sizeRelV relativeFrom="page">
            <wp14:pctHeight>0</wp14:pctHeight>
          </wp14:sizeRelV>
        </wp:anchor>
      </w:drawing>
    </w:r>
    <w:r>
      <w:t xml:space="preserve">Treasury Round Up  |  </w:t>
    </w:r>
    <w:r w:rsidR="008044FD">
      <w:t xml:space="preserve">January </w:t>
    </w:r>
    <w:r>
      <w:t>202</w:t>
    </w:r>
    <w:r w:rsidR="008044FD">
      <w:t>4</w:t>
    </w:r>
  </w:p>
  <w:p w14:paraId="0C2C423B" w14:textId="733DDD87" w:rsidR="00E01325" w:rsidRPr="00F60198" w:rsidRDefault="00E01325" w:rsidP="00A12F62">
    <w:pPr>
      <w:pStyle w:val="HeaderOdd"/>
    </w:pPr>
    <w:r w:rsidRPr="00F6019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4A06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E681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C8C2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A91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78A1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DC38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1C78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6EE73A"/>
    <w:lvl w:ilvl="0">
      <w:start w:val="1"/>
      <w:numFmt w:val="bullet"/>
      <w:lvlText w:val="-"/>
      <w:lvlJc w:val="left"/>
      <w:pPr>
        <w:tabs>
          <w:tab w:val="num" w:pos="623"/>
        </w:tabs>
        <w:ind w:left="623" w:hanging="340"/>
      </w:pPr>
      <w:rPr>
        <w:rFonts w:ascii="9999999" w:hAnsi="9999999" w:cs="Courier New" w:hint="default"/>
      </w:rPr>
    </w:lvl>
  </w:abstractNum>
  <w:abstractNum w:abstractNumId="8" w15:restartNumberingAfterBreak="0">
    <w:nsid w:val="FFFFFF88"/>
    <w:multiLevelType w:val="singleLevel"/>
    <w:tmpl w:val="86A85B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1E1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942C8"/>
    <w:multiLevelType w:val="multilevel"/>
    <w:tmpl w:val="B17EC1AE"/>
    <w:lvl w:ilvl="0">
      <w:start w:val="1"/>
      <w:numFmt w:val="decimal"/>
      <w:pStyle w:val="BoxHeadingPolicy"/>
      <w:lvlText w:val="Policy direction %1"/>
      <w:lvlJc w:val="left"/>
      <w:pPr>
        <w:ind w:left="0" w:firstLine="0"/>
      </w:pPr>
      <w:rPr>
        <w:rFonts w:ascii="Calibri Light" w:hAnsi="Calibri Light" w:hint="default"/>
        <w:b/>
        <w:i w:val="0"/>
        <w:sz w:val="26"/>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0B8F13AF"/>
    <w:multiLevelType w:val="multilevel"/>
    <w:tmpl w:val="3E663956"/>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EB1DC8"/>
    <w:multiLevelType w:val="multilevel"/>
    <w:tmpl w:val="DC1A4F9A"/>
    <w:lvl w:ilvl="0">
      <w:start w:val="1"/>
      <w:numFmt w:val="lowerLetter"/>
      <w:pStyle w:val="ChartandTableFootnoteAlpha"/>
      <w:lvlText w:val="(%1)"/>
      <w:lvlJc w:val="left"/>
      <w:pPr>
        <w:tabs>
          <w:tab w:val="num" w:pos="284"/>
        </w:tabs>
        <w:ind w:left="851" w:hanging="567"/>
      </w:pPr>
      <w:rPr>
        <w:rFonts w:asciiTheme="minorHAnsi" w:hAnsiTheme="minorHAnsi" w:hint="default"/>
        <w:b w:val="0"/>
        <w:i w:val="0"/>
        <w:caps w:val="0"/>
        <w:strike w:val="0"/>
        <w:dstrike w:val="0"/>
        <w:vanish w:val="0"/>
        <w:color w:val="auto"/>
        <w:sz w:val="16"/>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0FEA"/>
    <w:multiLevelType w:val="multilevel"/>
    <w:tmpl w:val="143A4AF6"/>
    <w:styleLink w:val="StyleBulletedSymbolsymbol11ptLeft4cmHanging05"/>
    <w:lvl w:ilvl="0">
      <w:start w:val="1"/>
      <w:numFmt w:val="bullet"/>
      <w:lvlText w:val=""/>
      <w:lvlJc w:val="left"/>
      <w:pPr>
        <w:tabs>
          <w:tab w:val="num" w:pos="340"/>
        </w:tabs>
        <w:ind w:left="340" w:hanging="34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DF7717"/>
    <w:multiLevelType w:val="multilevel"/>
    <w:tmpl w:val="3FF4C16E"/>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Numbered"/>
      <w:lvlText w:val="%1.%2.%3.%4.%5"/>
      <w:lvlJc w:val="left"/>
      <w:pPr>
        <w:ind w:left="851" w:hanging="851"/>
      </w:pPr>
      <w:rPr>
        <w:rFonts w:hint="default"/>
      </w:rPr>
    </w:lvl>
    <w:lvl w:ilvl="5">
      <w:start w:val="1"/>
      <w:numFmt w:val="decimal"/>
      <w:lvlRestart w:val="0"/>
      <w:suff w:val="space"/>
      <w:lvlText w:val="Box %6:"/>
      <w:lvlJc w:val="left"/>
      <w:pPr>
        <w:ind w:left="851" w:hanging="851"/>
      </w:pPr>
      <w:rPr>
        <w:rFonts w:hint="default"/>
      </w:rPr>
    </w:lvl>
    <w:lvl w:ilvl="6">
      <w:start w:val="1"/>
      <w:numFmt w:val="decimal"/>
      <w:lvlRestart w:val="1"/>
      <w:suff w:val="space"/>
      <w:lvlText w:val="Figure %1.%7:"/>
      <w:lvlJc w:val="left"/>
      <w:pPr>
        <w:ind w:left="851" w:hanging="851"/>
      </w:pPr>
      <w:rPr>
        <w:rFonts w:hint="default"/>
      </w:rPr>
    </w:lvl>
    <w:lvl w:ilvl="7">
      <w:start w:val="1"/>
      <w:numFmt w:val="decimal"/>
      <w:lvlRestart w:val="1"/>
      <w:suff w:val="space"/>
      <w:lvlText w:val="Chart %1.%8:"/>
      <w:lvlJc w:val="left"/>
      <w:pPr>
        <w:ind w:left="851" w:hanging="851"/>
      </w:pPr>
    </w:lvl>
    <w:lvl w:ilvl="8">
      <w:start w:val="1"/>
      <w:numFmt w:val="decimal"/>
      <w:lvlRestart w:val="1"/>
      <w:suff w:val="space"/>
      <w:lvlText w:val="Table %1.%9:"/>
      <w:lvlJc w:val="left"/>
      <w:pPr>
        <w:ind w:left="851" w:hanging="851"/>
      </w:pPr>
      <w:rPr>
        <w:rFonts w:hint="default"/>
      </w:rPr>
    </w:lvl>
  </w:abstractNum>
  <w:abstractNum w:abstractNumId="17" w15:restartNumberingAfterBreak="0">
    <w:nsid w:val="20C86029"/>
    <w:multiLevelType w:val="hybridMultilevel"/>
    <w:tmpl w:val="E1224F3C"/>
    <w:lvl w:ilvl="0" w:tplc="230E4B2C">
      <w:start w:val="1"/>
      <w:numFmt w:val="upperLetter"/>
      <w:lvlText w:val="%1."/>
      <w:lvlJc w:val="left"/>
      <w:pPr>
        <w:ind w:left="720" w:hanging="360"/>
      </w:pPr>
      <w:rPr>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77475F"/>
    <w:multiLevelType w:val="multilevel"/>
    <w:tmpl w:val="00EA5824"/>
    <w:lvl w:ilvl="0">
      <w:start w:val="1"/>
      <w:numFmt w:val="upperLetter"/>
      <w:pStyle w:val="Heading1Appendix"/>
      <w:lvlText w:val="Appendix %1"/>
      <w:lvlJc w:val="left"/>
      <w:pPr>
        <w:ind w:left="2835" w:hanging="2835"/>
      </w:pPr>
      <w:rPr>
        <w:rFonts w:hint="default"/>
      </w:rPr>
    </w:lvl>
    <w:lvl w:ilvl="1">
      <w:start w:val="1"/>
      <w:numFmt w:val="upperLetter"/>
      <w:lvlRestart w:val="0"/>
      <w:pStyle w:val="Heading2Appendix"/>
      <w:lvlText w:val="Appendix %2"/>
      <w:lvlJc w:val="left"/>
      <w:pPr>
        <w:ind w:left="1701" w:hanging="1701"/>
      </w:pPr>
      <w:rPr>
        <w:rFonts w:hint="default"/>
      </w:rPr>
    </w:lvl>
    <w:lvl w:ilvl="2">
      <w:start w:val="1"/>
      <w:numFmt w:val="decimal"/>
      <w:pStyle w:val="Heading3Appendix"/>
      <w:lvlText w:val="%1.%2.%3"/>
      <w:lvlJc w:val="left"/>
      <w:pPr>
        <w:ind w:left="1134" w:hanging="1134"/>
      </w:pPr>
      <w:rPr>
        <w:rFonts w:hint="default"/>
      </w:rPr>
    </w:lvl>
    <w:lvl w:ilvl="3">
      <w:start w:val="1"/>
      <w:numFmt w:val="decimal"/>
      <w:pStyle w:val="Heading4Appendix"/>
      <w:lvlText w:val="%1.%2.%3.%4"/>
      <w:lvlJc w:val="left"/>
      <w:pPr>
        <w:ind w:left="1134" w:hanging="1134"/>
      </w:pPr>
      <w:rPr>
        <w:rFonts w:hint="default"/>
      </w:rPr>
    </w:lvl>
    <w:lvl w:ilvl="4">
      <w:start w:val="1"/>
      <w:numFmt w:val="decimal"/>
      <w:lvlRestart w:val="2"/>
      <w:pStyle w:val="BoxHeadingBoxA1Appendix"/>
      <w:lvlText w:val="Box %2.%5:"/>
      <w:lvlJc w:val="left"/>
      <w:pPr>
        <w:ind w:left="0" w:firstLine="0"/>
      </w:pPr>
      <w:rPr>
        <w:rFonts w:hint="default"/>
      </w:rPr>
    </w:lvl>
    <w:lvl w:ilvl="5">
      <w:start w:val="1"/>
      <w:numFmt w:val="decimal"/>
      <w:lvlRestart w:val="2"/>
      <w:pStyle w:val="ChartMainHeadingAppendix"/>
      <w:lvlText w:val="Chart %2.%6:"/>
      <w:lvlJc w:val="left"/>
      <w:pPr>
        <w:ind w:left="0" w:firstLine="0"/>
      </w:pPr>
      <w:rPr>
        <w:rFonts w:hint="default"/>
      </w:rPr>
    </w:lvl>
    <w:lvl w:ilvl="6">
      <w:start w:val="1"/>
      <w:numFmt w:val="decimal"/>
      <w:lvlRestart w:val="2"/>
      <w:pStyle w:val="FigureMainHeadingAppendix"/>
      <w:lvlText w:val="Figure %2.%7:"/>
      <w:lvlJc w:val="left"/>
      <w:pPr>
        <w:ind w:left="0" w:firstLine="0"/>
      </w:pPr>
      <w:rPr>
        <w:rFonts w:hint="default"/>
      </w:rPr>
    </w:lvl>
    <w:lvl w:ilvl="7">
      <w:start w:val="1"/>
      <w:numFmt w:val="decimal"/>
      <w:lvlRestart w:val="2"/>
      <w:pStyle w:val="TableMainHeadingAppendix"/>
      <w:lvlText w:val="Table %2.%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277B46D1"/>
    <w:multiLevelType w:val="singleLevel"/>
    <w:tmpl w:val="890880B8"/>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8C2710"/>
    <w:multiLevelType w:val="multilevel"/>
    <w:tmpl w:val="29D2B774"/>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D7B47B4"/>
    <w:multiLevelType w:val="multilevel"/>
    <w:tmpl w:val="EDCE922A"/>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283B4E"/>
    <w:multiLevelType w:val="multilevel"/>
    <w:tmpl w:val="F12831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Restart w:val="1"/>
      <w:lvlText w:val="Chart %1.%5"/>
      <w:lvlJc w:val="left"/>
      <w:pPr>
        <w:ind w:left="1418" w:hanging="1418"/>
      </w:pPr>
      <w:rPr>
        <w:rFonts w:hint="default"/>
      </w:rPr>
    </w:lvl>
    <w:lvl w:ilvl="5">
      <w:start w:val="1"/>
      <w:numFmt w:val="decimal"/>
      <w:lvlRestart w:val="1"/>
      <w:lvlText w:val="Table %1.%6."/>
      <w:lvlJc w:val="left"/>
      <w:pPr>
        <w:ind w:left="1418" w:hanging="1418"/>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10D2021"/>
    <w:multiLevelType w:val="multilevel"/>
    <w:tmpl w:val="72F8140E"/>
    <w:numStyleLink w:val="OutlineList"/>
  </w:abstractNum>
  <w:abstractNum w:abstractNumId="27" w15:restartNumberingAfterBreak="0">
    <w:nsid w:val="56C9273A"/>
    <w:multiLevelType w:val="multilevel"/>
    <w:tmpl w:val="1DD240F0"/>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567" w:hanging="567"/>
      </w:pPr>
      <w:rPr>
        <w:rFonts w:hint="default"/>
      </w:rPr>
    </w:lvl>
    <w:lvl w:ilvl="3">
      <w:start w:val="1"/>
      <w:numFmt w:val="decimal"/>
      <w:pStyle w:val="Heading4Numbered"/>
      <w:lvlText w:val="%1.%2.%3.%4"/>
      <w:lvlJc w:val="left"/>
      <w:pPr>
        <w:ind w:left="567" w:hanging="567"/>
      </w:pPr>
      <w:rPr>
        <w:rFonts w:hint="default"/>
      </w:rPr>
    </w:lvl>
    <w:lvl w:ilvl="4">
      <w:start w:val="1"/>
      <w:numFmt w:val="decimal"/>
      <w:lvlRestart w:val="1"/>
      <w:pStyle w:val="ChartMainHeading"/>
      <w:lvlText w:val="Chart %1.%5"/>
      <w:lvlJc w:val="left"/>
      <w:pPr>
        <w:ind w:left="1134" w:hanging="1134"/>
      </w:pPr>
      <w:rPr>
        <w:rFonts w:hint="default"/>
      </w:rPr>
    </w:lvl>
    <w:lvl w:ilvl="5">
      <w:start w:val="1"/>
      <w:numFmt w:val="decimal"/>
      <w:lvlRestart w:val="1"/>
      <w:pStyle w:val="TableMainHeading"/>
      <w:lvlText w:val="Table %1.%6"/>
      <w:lvlJc w:val="left"/>
      <w:pPr>
        <w:ind w:left="1134" w:hanging="1134"/>
      </w:pPr>
      <w:rPr>
        <w:rFonts w:hint="default"/>
      </w:rPr>
    </w:lvl>
    <w:lvl w:ilvl="6">
      <w:start w:val="1"/>
      <w:numFmt w:val="decimal"/>
      <w:lvlRestart w:val="1"/>
      <w:pStyle w:val="BoxHeadingNumbered"/>
      <w:lvlText w:val="Box %1.%7"/>
      <w:lvlJc w:val="left"/>
      <w:pPr>
        <w:ind w:left="1134" w:hanging="1134"/>
      </w:pPr>
      <w:rPr>
        <w:rFonts w:hint="default"/>
      </w:rPr>
    </w:lvl>
    <w:lvl w:ilvl="7">
      <w:start w:val="1"/>
      <w:numFmt w:val="decimal"/>
      <w:lvlRestart w:val="1"/>
      <w:pStyle w:val="FigureMainHeading"/>
      <w:lvlText w:val="Figure %1.%8"/>
      <w:lvlJc w:val="left"/>
      <w:pPr>
        <w:ind w:left="1134" w:hanging="1134"/>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7AD61FE"/>
    <w:multiLevelType w:val="singleLevel"/>
    <w:tmpl w:val="12BC0E22"/>
    <w:lvl w:ilvl="0">
      <w:start w:val="1"/>
      <w:numFmt w:val="bullet"/>
      <w:lvlText w:val=""/>
      <w:lvlJc w:val="left"/>
      <w:pPr>
        <w:tabs>
          <w:tab w:val="num" w:pos="340"/>
        </w:tabs>
        <w:ind w:left="340" w:hanging="340"/>
      </w:pPr>
      <w:rPr>
        <w:rFonts w:ascii="Symbol" w:hAnsi="Symbol" w:hint="default"/>
        <w:color w:val="auto"/>
        <w:sz w:val="22"/>
      </w:rPr>
    </w:lvl>
  </w:abstractNum>
  <w:abstractNum w:abstractNumId="29" w15:restartNumberingAfterBreak="0">
    <w:nsid w:val="5B8E0DED"/>
    <w:multiLevelType w:val="hybridMultilevel"/>
    <w:tmpl w:val="420E9DAE"/>
    <w:lvl w:ilvl="0" w:tplc="5BCC39D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334467"/>
    <w:multiLevelType w:val="multilevel"/>
    <w:tmpl w:val="F37ECF38"/>
    <w:styleLink w:val="StyleBulletedSymbolsymbol11ptLeft4cmHanging051"/>
    <w:lvl w:ilvl="0">
      <w:start w:val="1"/>
      <w:numFmt w:val="bullet"/>
      <w:lvlText w:val=""/>
      <w:lvlJc w:val="left"/>
      <w:pPr>
        <w:tabs>
          <w:tab w:val="num" w:pos="340"/>
        </w:tabs>
        <w:ind w:left="340" w:hanging="34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6B5224"/>
    <w:multiLevelType w:val="multilevel"/>
    <w:tmpl w:val="99D04666"/>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FA36AF1"/>
    <w:multiLevelType w:val="multilevel"/>
    <w:tmpl w:val="6B5AB944"/>
    <w:lvl w:ilvl="0">
      <w:start w:val="1"/>
      <w:numFmt w:val="bullet"/>
      <w:lvlRestart w:val="0"/>
      <w:pStyle w:val="TableTextBullet"/>
      <w:lvlText w:val="•"/>
      <w:lvlJc w:val="left"/>
      <w:pPr>
        <w:ind w:left="284" w:hanging="284"/>
      </w:pPr>
      <w:rPr>
        <w:rFonts w:ascii="Times New Roman" w:hAnsi="Times New Roman" w:cs="Times New Roman" w:hint="default"/>
        <w:b w:val="0"/>
        <w:i w:val="0"/>
        <w:sz w:val="20"/>
      </w:rPr>
    </w:lvl>
    <w:lvl w:ilvl="1">
      <w:start w:val="1"/>
      <w:numFmt w:val="bullet"/>
      <w:pStyle w:val="TableTextDash"/>
      <w:lvlText w:val="–"/>
      <w:lvlJc w:val="left"/>
      <w:pPr>
        <w:tabs>
          <w:tab w:val="num" w:pos="567"/>
        </w:tabs>
        <w:ind w:left="568" w:hanging="284"/>
      </w:pPr>
      <w:rPr>
        <w:rFonts w:hint="default"/>
        <w:b w:val="0"/>
        <w:i w:val="0"/>
      </w:rPr>
    </w:lvl>
    <w:lvl w:ilvl="2">
      <w:start w:val="1"/>
      <w:numFmt w:val="bullet"/>
      <w:lvlText w:val=":"/>
      <w:lvlJc w:val="left"/>
      <w:pPr>
        <w:tabs>
          <w:tab w:val="num" w:pos="850"/>
        </w:tabs>
        <w:ind w:left="852" w:hanging="28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num w:numId="1">
    <w:abstractNumId w:val="21"/>
  </w:num>
  <w:num w:numId="2">
    <w:abstractNumId w:val="11"/>
  </w:num>
  <w:num w:numId="3">
    <w:abstractNumId w:val="23"/>
  </w:num>
  <w:num w:numId="4">
    <w:abstractNumId w:val="15"/>
  </w:num>
  <w:num w:numId="5">
    <w:abstractNumId w:val="26"/>
  </w:num>
  <w:num w:numId="6">
    <w:abstractNumId w:val="16"/>
  </w:num>
  <w:num w:numId="7">
    <w:abstractNumId w:val="20"/>
  </w:num>
  <w:num w:numId="8">
    <w:abstractNumId w:val="22"/>
  </w:num>
  <w:num w:numId="9">
    <w:abstractNumId w:val="3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6"/>
  </w:num>
  <w:num w:numId="15">
    <w:abstractNumId w:val="16"/>
  </w:num>
  <w:num w:numId="16">
    <w:abstractNumId w:val="18"/>
  </w:num>
  <w:num w:numId="17">
    <w:abstractNumId w:val="14"/>
  </w:num>
  <w:num w:numId="18">
    <w:abstractNumId w:val="30"/>
  </w:num>
  <w:num w:numId="19">
    <w:abstractNumId w:val="28"/>
  </w:num>
  <w:num w:numId="20">
    <w:abstractNumId w:val="29"/>
  </w:num>
  <w:num w:numId="21">
    <w:abstractNumId w:val="19"/>
  </w:num>
  <w:num w:numId="22">
    <w:abstractNumId w:val="7"/>
  </w:num>
  <w:num w:numId="23">
    <w:abstractNumId w:val="12"/>
  </w:num>
  <w:num w:numId="24">
    <w:abstractNumId w:val="31"/>
  </w:num>
  <w:num w:numId="25">
    <w:abstractNumId w:val="9"/>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4"/>
  </w:num>
  <w:num w:numId="35">
    <w:abstractNumId w:val="27"/>
  </w:num>
  <w:num w:numId="3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9A3743"/>
    <w:rsid w:val="000012E1"/>
    <w:rsid w:val="000015F7"/>
    <w:rsid w:val="00002EE9"/>
    <w:rsid w:val="00002F18"/>
    <w:rsid w:val="000030E2"/>
    <w:rsid w:val="0000473A"/>
    <w:rsid w:val="00005D0C"/>
    <w:rsid w:val="00005FDE"/>
    <w:rsid w:val="000063B8"/>
    <w:rsid w:val="00006FE0"/>
    <w:rsid w:val="00007DA2"/>
    <w:rsid w:val="000105C9"/>
    <w:rsid w:val="0001074E"/>
    <w:rsid w:val="00010A32"/>
    <w:rsid w:val="000110F8"/>
    <w:rsid w:val="00011725"/>
    <w:rsid w:val="0001177C"/>
    <w:rsid w:val="00012C62"/>
    <w:rsid w:val="0001396A"/>
    <w:rsid w:val="0001530E"/>
    <w:rsid w:val="00015DA6"/>
    <w:rsid w:val="00017ECA"/>
    <w:rsid w:val="00020DD1"/>
    <w:rsid w:val="0002158D"/>
    <w:rsid w:val="00021C0E"/>
    <w:rsid w:val="000237A4"/>
    <w:rsid w:val="00024E8C"/>
    <w:rsid w:val="0002544D"/>
    <w:rsid w:val="000257ED"/>
    <w:rsid w:val="00025E91"/>
    <w:rsid w:val="00027312"/>
    <w:rsid w:val="00027607"/>
    <w:rsid w:val="00030CF5"/>
    <w:rsid w:val="00033398"/>
    <w:rsid w:val="00033DD4"/>
    <w:rsid w:val="00034ED6"/>
    <w:rsid w:val="000350E3"/>
    <w:rsid w:val="00035223"/>
    <w:rsid w:val="000353FD"/>
    <w:rsid w:val="00035B5D"/>
    <w:rsid w:val="000364D7"/>
    <w:rsid w:val="000364FB"/>
    <w:rsid w:val="0003680E"/>
    <w:rsid w:val="00037129"/>
    <w:rsid w:val="00037DDB"/>
    <w:rsid w:val="00040C7C"/>
    <w:rsid w:val="00041553"/>
    <w:rsid w:val="0004228E"/>
    <w:rsid w:val="0004274D"/>
    <w:rsid w:val="0004303C"/>
    <w:rsid w:val="00043348"/>
    <w:rsid w:val="00043D5B"/>
    <w:rsid w:val="0004483F"/>
    <w:rsid w:val="00044E98"/>
    <w:rsid w:val="00046CB4"/>
    <w:rsid w:val="00050340"/>
    <w:rsid w:val="00050FEF"/>
    <w:rsid w:val="0005138B"/>
    <w:rsid w:val="000516D3"/>
    <w:rsid w:val="00051997"/>
    <w:rsid w:val="00051E15"/>
    <w:rsid w:val="000522B7"/>
    <w:rsid w:val="000533FA"/>
    <w:rsid w:val="00053717"/>
    <w:rsid w:val="00053D35"/>
    <w:rsid w:val="00055C69"/>
    <w:rsid w:val="00055E2C"/>
    <w:rsid w:val="00056880"/>
    <w:rsid w:val="00056B48"/>
    <w:rsid w:val="00057115"/>
    <w:rsid w:val="00057330"/>
    <w:rsid w:val="00060814"/>
    <w:rsid w:val="00060EEC"/>
    <w:rsid w:val="00061943"/>
    <w:rsid w:val="00062907"/>
    <w:rsid w:val="00062B7E"/>
    <w:rsid w:val="00062EB7"/>
    <w:rsid w:val="000642B1"/>
    <w:rsid w:val="000646BA"/>
    <w:rsid w:val="000655C3"/>
    <w:rsid w:val="0006688D"/>
    <w:rsid w:val="00067409"/>
    <w:rsid w:val="000675D1"/>
    <w:rsid w:val="00070E5C"/>
    <w:rsid w:val="0007221A"/>
    <w:rsid w:val="00072939"/>
    <w:rsid w:val="00073521"/>
    <w:rsid w:val="000763F0"/>
    <w:rsid w:val="00076DAB"/>
    <w:rsid w:val="00076E14"/>
    <w:rsid w:val="000775DE"/>
    <w:rsid w:val="00077966"/>
    <w:rsid w:val="000803B8"/>
    <w:rsid w:val="00082BC3"/>
    <w:rsid w:val="000845F4"/>
    <w:rsid w:val="0008572D"/>
    <w:rsid w:val="0008605E"/>
    <w:rsid w:val="00087331"/>
    <w:rsid w:val="0008756C"/>
    <w:rsid w:val="000879EC"/>
    <w:rsid w:val="00087C7E"/>
    <w:rsid w:val="00087FAF"/>
    <w:rsid w:val="0009047F"/>
    <w:rsid w:val="00090EB3"/>
    <w:rsid w:val="000916C1"/>
    <w:rsid w:val="00092257"/>
    <w:rsid w:val="00092DB4"/>
    <w:rsid w:val="00092F2B"/>
    <w:rsid w:val="000945E9"/>
    <w:rsid w:val="00095516"/>
    <w:rsid w:val="000959B8"/>
    <w:rsid w:val="00095B86"/>
    <w:rsid w:val="00095D88"/>
    <w:rsid w:val="000969BC"/>
    <w:rsid w:val="00096AE9"/>
    <w:rsid w:val="000A0646"/>
    <w:rsid w:val="000A08C5"/>
    <w:rsid w:val="000A0B20"/>
    <w:rsid w:val="000A27A4"/>
    <w:rsid w:val="000A362F"/>
    <w:rsid w:val="000A3F42"/>
    <w:rsid w:val="000A44AC"/>
    <w:rsid w:val="000A5951"/>
    <w:rsid w:val="000A6B30"/>
    <w:rsid w:val="000A6C6B"/>
    <w:rsid w:val="000A6DB2"/>
    <w:rsid w:val="000A6DE4"/>
    <w:rsid w:val="000A721F"/>
    <w:rsid w:val="000A7D7F"/>
    <w:rsid w:val="000A7E39"/>
    <w:rsid w:val="000B093F"/>
    <w:rsid w:val="000B1A80"/>
    <w:rsid w:val="000B2068"/>
    <w:rsid w:val="000B302A"/>
    <w:rsid w:val="000B3ABF"/>
    <w:rsid w:val="000B448B"/>
    <w:rsid w:val="000B4E35"/>
    <w:rsid w:val="000B5038"/>
    <w:rsid w:val="000B54B0"/>
    <w:rsid w:val="000B5807"/>
    <w:rsid w:val="000B676E"/>
    <w:rsid w:val="000B677B"/>
    <w:rsid w:val="000B67D3"/>
    <w:rsid w:val="000B6C55"/>
    <w:rsid w:val="000C1E6C"/>
    <w:rsid w:val="000C50B7"/>
    <w:rsid w:val="000C561D"/>
    <w:rsid w:val="000C568E"/>
    <w:rsid w:val="000C571D"/>
    <w:rsid w:val="000C585D"/>
    <w:rsid w:val="000C5F40"/>
    <w:rsid w:val="000C6835"/>
    <w:rsid w:val="000C6C78"/>
    <w:rsid w:val="000C6F4F"/>
    <w:rsid w:val="000D047B"/>
    <w:rsid w:val="000D0AB6"/>
    <w:rsid w:val="000D332E"/>
    <w:rsid w:val="000D3417"/>
    <w:rsid w:val="000D3FE4"/>
    <w:rsid w:val="000D40FD"/>
    <w:rsid w:val="000D5610"/>
    <w:rsid w:val="000D6BA7"/>
    <w:rsid w:val="000E0424"/>
    <w:rsid w:val="000E0B74"/>
    <w:rsid w:val="000E1318"/>
    <w:rsid w:val="000E1525"/>
    <w:rsid w:val="000E2452"/>
    <w:rsid w:val="000E367A"/>
    <w:rsid w:val="000E37F7"/>
    <w:rsid w:val="000E3F5F"/>
    <w:rsid w:val="000E595C"/>
    <w:rsid w:val="000E6148"/>
    <w:rsid w:val="000E64C4"/>
    <w:rsid w:val="000E7901"/>
    <w:rsid w:val="000F02D9"/>
    <w:rsid w:val="000F15AB"/>
    <w:rsid w:val="000F1C58"/>
    <w:rsid w:val="000F1D8A"/>
    <w:rsid w:val="000F2114"/>
    <w:rsid w:val="000F372B"/>
    <w:rsid w:val="000F5386"/>
    <w:rsid w:val="000F5B77"/>
    <w:rsid w:val="000F6233"/>
    <w:rsid w:val="000F6DE8"/>
    <w:rsid w:val="0010080B"/>
    <w:rsid w:val="00100F41"/>
    <w:rsid w:val="001012C5"/>
    <w:rsid w:val="00103F3C"/>
    <w:rsid w:val="00105AF6"/>
    <w:rsid w:val="00105AF7"/>
    <w:rsid w:val="00106E46"/>
    <w:rsid w:val="001078E5"/>
    <w:rsid w:val="00111044"/>
    <w:rsid w:val="001118CB"/>
    <w:rsid w:val="00112845"/>
    <w:rsid w:val="001134D5"/>
    <w:rsid w:val="00113AA1"/>
    <w:rsid w:val="00114DE1"/>
    <w:rsid w:val="00115A8E"/>
    <w:rsid w:val="001174C0"/>
    <w:rsid w:val="00117F00"/>
    <w:rsid w:val="001202F2"/>
    <w:rsid w:val="00120399"/>
    <w:rsid w:val="0012050B"/>
    <w:rsid w:val="001216B2"/>
    <w:rsid w:val="001220DA"/>
    <w:rsid w:val="0012213A"/>
    <w:rsid w:val="00122859"/>
    <w:rsid w:val="00122D43"/>
    <w:rsid w:val="00122F11"/>
    <w:rsid w:val="0012384C"/>
    <w:rsid w:val="00125AB7"/>
    <w:rsid w:val="00125FCA"/>
    <w:rsid w:val="0012709A"/>
    <w:rsid w:val="00131347"/>
    <w:rsid w:val="001315C0"/>
    <w:rsid w:val="00131DC3"/>
    <w:rsid w:val="00131E65"/>
    <w:rsid w:val="001331BF"/>
    <w:rsid w:val="00133844"/>
    <w:rsid w:val="00134149"/>
    <w:rsid w:val="00134B72"/>
    <w:rsid w:val="00135E4C"/>
    <w:rsid w:val="00136CFB"/>
    <w:rsid w:val="001373F5"/>
    <w:rsid w:val="0013757C"/>
    <w:rsid w:val="001406E7"/>
    <w:rsid w:val="00140796"/>
    <w:rsid w:val="0014148B"/>
    <w:rsid w:val="001421EB"/>
    <w:rsid w:val="0014227E"/>
    <w:rsid w:val="00142F56"/>
    <w:rsid w:val="00142F9D"/>
    <w:rsid w:val="001439CA"/>
    <w:rsid w:val="001445BB"/>
    <w:rsid w:val="00144842"/>
    <w:rsid w:val="00144B7B"/>
    <w:rsid w:val="001452DE"/>
    <w:rsid w:val="001465CE"/>
    <w:rsid w:val="0014729F"/>
    <w:rsid w:val="001509ED"/>
    <w:rsid w:val="00150D35"/>
    <w:rsid w:val="0015303E"/>
    <w:rsid w:val="00153842"/>
    <w:rsid w:val="00153E93"/>
    <w:rsid w:val="00154705"/>
    <w:rsid w:val="0015485B"/>
    <w:rsid w:val="001550D2"/>
    <w:rsid w:val="001557E5"/>
    <w:rsid w:val="00155EA5"/>
    <w:rsid w:val="001565B7"/>
    <w:rsid w:val="001573C9"/>
    <w:rsid w:val="001574C0"/>
    <w:rsid w:val="001606CF"/>
    <w:rsid w:val="0016128D"/>
    <w:rsid w:val="0016142E"/>
    <w:rsid w:val="0016207C"/>
    <w:rsid w:val="001628F9"/>
    <w:rsid w:val="0016344D"/>
    <w:rsid w:val="001634AF"/>
    <w:rsid w:val="00164599"/>
    <w:rsid w:val="00164A49"/>
    <w:rsid w:val="0017013F"/>
    <w:rsid w:val="00170742"/>
    <w:rsid w:val="0017089D"/>
    <w:rsid w:val="00171610"/>
    <w:rsid w:val="00171D70"/>
    <w:rsid w:val="00172FE6"/>
    <w:rsid w:val="00173CFE"/>
    <w:rsid w:val="00174513"/>
    <w:rsid w:val="001747C4"/>
    <w:rsid w:val="00176E82"/>
    <w:rsid w:val="00177632"/>
    <w:rsid w:val="001778DF"/>
    <w:rsid w:val="00177B28"/>
    <w:rsid w:val="00180508"/>
    <w:rsid w:val="001805A8"/>
    <w:rsid w:val="00181FF4"/>
    <w:rsid w:val="00182D62"/>
    <w:rsid w:val="00183759"/>
    <w:rsid w:val="00183CD8"/>
    <w:rsid w:val="00184090"/>
    <w:rsid w:val="001840CA"/>
    <w:rsid w:val="001847AC"/>
    <w:rsid w:val="00184E52"/>
    <w:rsid w:val="00184ECC"/>
    <w:rsid w:val="001851AA"/>
    <w:rsid w:val="00185939"/>
    <w:rsid w:val="00185F05"/>
    <w:rsid w:val="00187327"/>
    <w:rsid w:val="0019101A"/>
    <w:rsid w:val="00191B40"/>
    <w:rsid w:val="00191C36"/>
    <w:rsid w:val="001935CD"/>
    <w:rsid w:val="00193B16"/>
    <w:rsid w:val="0019401B"/>
    <w:rsid w:val="0019521C"/>
    <w:rsid w:val="00195860"/>
    <w:rsid w:val="00195C8E"/>
    <w:rsid w:val="00195E07"/>
    <w:rsid w:val="001972D2"/>
    <w:rsid w:val="0019744A"/>
    <w:rsid w:val="00197A4C"/>
    <w:rsid w:val="001A1CD1"/>
    <w:rsid w:val="001A2B2C"/>
    <w:rsid w:val="001A2BA3"/>
    <w:rsid w:val="001A31B1"/>
    <w:rsid w:val="001A3566"/>
    <w:rsid w:val="001A3EBE"/>
    <w:rsid w:val="001A40A1"/>
    <w:rsid w:val="001A40A5"/>
    <w:rsid w:val="001A50EA"/>
    <w:rsid w:val="001A566B"/>
    <w:rsid w:val="001B045F"/>
    <w:rsid w:val="001B1452"/>
    <w:rsid w:val="001B161C"/>
    <w:rsid w:val="001B25FD"/>
    <w:rsid w:val="001B2699"/>
    <w:rsid w:val="001B4555"/>
    <w:rsid w:val="001B56AB"/>
    <w:rsid w:val="001C19A6"/>
    <w:rsid w:val="001C2002"/>
    <w:rsid w:val="001C2072"/>
    <w:rsid w:val="001C358D"/>
    <w:rsid w:val="001C40A0"/>
    <w:rsid w:val="001C4160"/>
    <w:rsid w:val="001C5128"/>
    <w:rsid w:val="001C61D3"/>
    <w:rsid w:val="001C6275"/>
    <w:rsid w:val="001C6678"/>
    <w:rsid w:val="001C67B2"/>
    <w:rsid w:val="001C716D"/>
    <w:rsid w:val="001C77A8"/>
    <w:rsid w:val="001D000A"/>
    <w:rsid w:val="001D0056"/>
    <w:rsid w:val="001D01F8"/>
    <w:rsid w:val="001D2439"/>
    <w:rsid w:val="001D272E"/>
    <w:rsid w:val="001D2A9D"/>
    <w:rsid w:val="001D2BE7"/>
    <w:rsid w:val="001D2F49"/>
    <w:rsid w:val="001D46F2"/>
    <w:rsid w:val="001D5110"/>
    <w:rsid w:val="001D56AC"/>
    <w:rsid w:val="001D6BE1"/>
    <w:rsid w:val="001D70C4"/>
    <w:rsid w:val="001D70EE"/>
    <w:rsid w:val="001D7A02"/>
    <w:rsid w:val="001D7EEB"/>
    <w:rsid w:val="001E003B"/>
    <w:rsid w:val="001E08B5"/>
    <w:rsid w:val="001E0969"/>
    <w:rsid w:val="001E1094"/>
    <w:rsid w:val="001E24AC"/>
    <w:rsid w:val="001E431C"/>
    <w:rsid w:val="001E5496"/>
    <w:rsid w:val="001E5AF2"/>
    <w:rsid w:val="001E6E0F"/>
    <w:rsid w:val="001E7410"/>
    <w:rsid w:val="001E7A22"/>
    <w:rsid w:val="001F0AB9"/>
    <w:rsid w:val="001F1B27"/>
    <w:rsid w:val="001F1C10"/>
    <w:rsid w:val="001F1DAA"/>
    <w:rsid w:val="001F270D"/>
    <w:rsid w:val="001F3E06"/>
    <w:rsid w:val="001F4AD3"/>
    <w:rsid w:val="001F519A"/>
    <w:rsid w:val="001F5B55"/>
    <w:rsid w:val="001F64AF"/>
    <w:rsid w:val="001F7168"/>
    <w:rsid w:val="00200969"/>
    <w:rsid w:val="00201442"/>
    <w:rsid w:val="00202C01"/>
    <w:rsid w:val="00202F9A"/>
    <w:rsid w:val="00203999"/>
    <w:rsid w:val="00205193"/>
    <w:rsid w:val="002110B7"/>
    <w:rsid w:val="002110C8"/>
    <w:rsid w:val="0021314B"/>
    <w:rsid w:val="0021548B"/>
    <w:rsid w:val="002169FD"/>
    <w:rsid w:val="00217312"/>
    <w:rsid w:val="0021734C"/>
    <w:rsid w:val="00217FC8"/>
    <w:rsid w:val="00221EC0"/>
    <w:rsid w:val="00222F12"/>
    <w:rsid w:val="002230D5"/>
    <w:rsid w:val="00223E82"/>
    <w:rsid w:val="002258F6"/>
    <w:rsid w:val="002268AF"/>
    <w:rsid w:val="00230739"/>
    <w:rsid w:val="00230850"/>
    <w:rsid w:val="00231049"/>
    <w:rsid w:val="002312FC"/>
    <w:rsid w:val="002314D2"/>
    <w:rsid w:val="00231AF5"/>
    <w:rsid w:val="00232036"/>
    <w:rsid w:val="00232AC4"/>
    <w:rsid w:val="00232D2A"/>
    <w:rsid w:val="0023305C"/>
    <w:rsid w:val="00236609"/>
    <w:rsid w:val="0023683F"/>
    <w:rsid w:val="002409F9"/>
    <w:rsid w:val="00241881"/>
    <w:rsid w:val="0024294C"/>
    <w:rsid w:val="00242BDA"/>
    <w:rsid w:val="00243A7E"/>
    <w:rsid w:val="00243A89"/>
    <w:rsid w:val="00243CE3"/>
    <w:rsid w:val="002447AE"/>
    <w:rsid w:val="002450D2"/>
    <w:rsid w:val="002461BA"/>
    <w:rsid w:val="00246F7C"/>
    <w:rsid w:val="002515E1"/>
    <w:rsid w:val="002517AE"/>
    <w:rsid w:val="00253E56"/>
    <w:rsid w:val="002543D8"/>
    <w:rsid w:val="002557A4"/>
    <w:rsid w:val="0025652F"/>
    <w:rsid w:val="002567AD"/>
    <w:rsid w:val="002573DB"/>
    <w:rsid w:val="00257785"/>
    <w:rsid w:val="00260F5B"/>
    <w:rsid w:val="00260FCE"/>
    <w:rsid w:val="0026107D"/>
    <w:rsid w:val="00261459"/>
    <w:rsid w:val="00261D3E"/>
    <w:rsid w:val="00263523"/>
    <w:rsid w:val="00263B6C"/>
    <w:rsid w:val="00266A96"/>
    <w:rsid w:val="0026786C"/>
    <w:rsid w:val="0027070B"/>
    <w:rsid w:val="00271A0B"/>
    <w:rsid w:val="00272710"/>
    <w:rsid w:val="00272939"/>
    <w:rsid w:val="00272951"/>
    <w:rsid w:val="002729F1"/>
    <w:rsid w:val="00273921"/>
    <w:rsid w:val="002741A8"/>
    <w:rsid w:val="0027511C"/>
    <w:rsid w:val="0027590B"/>
    <w:rsid w:val="0027596A"/>
    <w:rsid w:val="002767BF"/>
    <w:rsid w:val="002769DD"/>
    <w:rsid w:val="00277DF4"/>
    <w:rsid w:val="00281C13"/>
    <w:rsid w:val="00284ACA"/>
    <w:rsid w:val="00284E62"/>
    <w:rsid w:val="00285663"/>
    <w:rsid w:val="002856E2"/>
    <w:rsid w:val="0028570A"/>
    <w:rsid w:val="00285969"/>
    <w:rsid w:val="002859C4"/>
    <w:rsid w:val="00285BA3"/>
    <w:rsid w:val="00286B36"/>
    <w:rsid w:val="002874C4"/>
    <w:rsid w:val="00290815"/>
    <w:rsid w:val="0029097A"/>
    <w:rsid w:val="002914C6"/>
    <w:rsid w:val="00292F41"/>
    <w:rsid w:val="00295B30"/>
    <w:rsid w:val="00295F01"/>
    <w:rsid w:val="00296289"/>
    <w:rsid w:val="002971F0"/>
    <w:rsid w:val="0029747C"/>
    <w:rsid w:val="002974B6"/>
    <w:rsid w:val="002A0E0F"/>
    <w:rsid w:val="002A0ECE"/>
    <w:rsid w:val="002A115F"/>
    <w:rsid w:val="002A19F1"/>
    <w:rsid w:val="002A2248"/>
    <w:rsid w:val="002A2855"/>
    <w:rsid w:val="002A3A29"/>
    <w:rsid w:val="002A3CF3"/>
    <w:rsid w:val="002A4BD3"/>
    <w:rsid w:val="002A56F4"/>
    <w:rsid w:val="002A5EF9"/>
    <w:rsid w:val="002A6A9C"/>
    <w:rsid w:val="002A6AB7"/>
    <w:rsid w:val="002A73D1"/>
    <w:rsid w:val="002A74EF"/>
    <w:rsid w:val="002A774A"/>
    <w:rsid w:val="002A7A31"/>
    <w:rsid w:val="002B0748"/>
    <w:rsid w:val="002B2397"/>
    <w:rsid w:val="002B29F6"/>
    <w:rsid w:val="002B3829"/>
    <w:rsid w:val="002B44D2"/>
    <w:rsid w:val="002B4F0B"/>
    <w:rsid w:val="002B5504"/>
    <w:rsid w:val="002B6A2A"/>
    <w:rsid w:val="002B6B80"/>
    <w:rsid w:val="002B6DEF"/>
    <w:rsid w:val="002B7146"/>
    <w:rsid w:val="002B71BE"/>
    <w:rsid w:val="002B7450"/>
    <w:rsid w:val="002C002A"/>
    <w:rsid w:val="002C0209"/>
    <w:rsid w:val="002C0BC8"/>
    <w:rsid w:val="002C0CD8"/>
    <w:rsid w:val="002C1093"/>
    <w:rsid w:val="002C22EF"/>
    <w:rsid w:val="002C331A"/>
    <w:rsid w:val="002C35D7"/>
    <w:rsid w:val="002C3F6B"/>
    <w:rsid w:val="002C4170"/>
    <w:rsid w:val="002C41E0"/>
    <w:rsid w:val="002C456E"/>
    <w:rsid w:val="002C4B76"/>
    <w:rsid w:val="002C6CE6"/>
    <w:rsid w:val="002C7256"/>
    <w:rsid w:val="002D0576"/>
    <w:rsid w:val="002D0D64"/>
    <w:rsid w:val="002D16AE"/>
    <w:rsid w:val="002D3125"/>
    <w:rsid w:val="002D4D66"/>
    <w:rsid w:val="002D61FA"/>
    <w:rsid w:val="002D64D4"/>
    <w:rsid w:val="002D689E"/>
    <w:rsid w:val="002E1FB6"/>
    <w:rsid w:val="002E23AD"/>
    <w:rsid w:val="002E2404"/>
    <w:rsid w:val="002E25E3"/>
    <w:rsid w:val="002E27EB"/>
    <w:rsid w:val="002E3197"/>
    <w:rsid w:val="002E31B1"/>
    <w:rsid w:val="002E3784"/>
    <w:rsid w:val="002E3A90"/>
    <w:rsid w:val="002E454C"/>
    <w:rsid w:val="002E46A3"/>
    <w:rsid w:val="002E585B"/>
    <w:rsid w:val="002E6B1C"/>
    <w:rsid w:val="002E6F95"/>
    <w:rsid w:val="002E7ED0"/>
    <w:rsid w:val="002F06B5"/>
    <w:rsid w:val="002F0E6E"/>
    <w:rsid w:val="002F2558"/>
    <w:rsid w:val="002F25A4"/>
    <w:rsid w:val="002F32D0"/>
    <w:rsid w:val="002F33A7"/>
    <w:rsid w:val="002F48E3"/>
    <w:rsid w:val="002F517F"/>
    <w:rsid w:val="002F5BE3"/>
    <w:rsid w:val="002F617F"/>
    <w:rsid w:val="002F6F7F"/>
    <w:rsid w:val="00300109"/>
    <w:rsid w:val="0030019D"/>
    <w:rsid w:val="0030029A"/>
    <w:rsid w:val="00301755"/>
    <w:rsid w:val="00303798"/>
    <w:rsid w:val="003037C5"/>
    <w:rsid w:val="00303CBC"/>
    <w:rsid w:val="003045D7"/>
    <w:rsid w:val="00305225"/>
    <w:rsid w:val="0030665E"/>
    <w:rsid w:val="00306894"/>
    <w:rsid w:val="0030766E"/>
    <w:rsid w:val="003101EB"/>
    <w:rsid w:val="00311000"/>
    <w:rsid w:val="003114B2"/>
    <w:rsid w:val="0031161F"/>
    <w:rsid w:val="00311988"/>
    <w:rsid w:val="003122F4"/>
    <w:rsid w:val="00312493"/>
    <w:rsid w:val="00315273"/>
    <w:rsid w:val="0031591B"/>
    <w:rsid w:val="00316882"/>
    <w:rsid w:val="0031697B"/>
    <w:rsid w:val="00316A0D"/>
    <w:rsid w:val="00317323"/>
    <w:rsid w:val="003173A1"/>
    <w:rsid w:val="00320598"/>
    <w:rsid w:val="003216E6"/>
    <w:rsid w:val="00321F74"/>
    <w:rsid w:val="003232CF"/>
    <w:rsid w:val="00325A54"/>
    <w:rsid w:val="00325CF6"/>
    <w:rsid w:val="003268D5"/>
    <w:rsid w:val="003308EF"/>
    <w:rsid w:val="00333374"/>
    <w:rsid w:val="0033446A"/>
    <w:rsid w:val="00335DEB"/>
    <w:rsid w:val="003371E4"/>
    <w:rsid w:val="0033722B"/>
    <w:rsid w:val="0033755F"/>
    <w:rsid w:val="003375A5"/>
    <w:rsid w:val="00337D0E"/>
    <w:rsid w:val="00340494"/>
    <w:rsid w:val="003408F8"/>
    <w:rsid w:val="00340903"/>
    <w:rsid w:val="00340B02"/>
    <w:rsid w:val="00340CB9"/>
    <w:rsid w:val="003412D8"/>
    <w:rsid w:val="00341727"/>
    <w:rsid w:val="00341750"/>
    <w:rsid w:val="00341CC9"/>
    <w:rsid w:val="00344093"/>
    <w:rsid w:val="003441A3"/>
    <w:rsid w:val="00344258"/>
    <w:rsid w:val="003448B1"/>
    <w:rsid w:val="003448F6"/>
    <w:rsid w:val="00344C59"/>
    <w:rsid w:val="00347991"/>
    <w:rsid w:val="00350254"/>
    <w:rsid w:val="00350759"/>
    <w:rsid w:val="00352EA3"/>
    <w:rsid w:val="00353BE1"/>
    <w:rsid w:val="00353DC9"/>
    <w:rsid w:val="00354A0D"/>
    <w:rsid w:val="00354D27"/>
    <w:rsid w:val="00355225"/>
    <w:rsid w:val="00355BAA"/>
    <w:rsid w:val="00355FF5"/>
    <w:rsid w:val="003563F7"/>
    <w:rsid w:val="0035650A"/>
    <w:rsid w:val="0035738A"/>
    <w:rsid w:val="00360B5D"/>
    <w:rsid w:val="0036302B"/>
    <w:rsid w:val="003651BA"/>
    <w:rsid w:val="00365A4C"/>
    <w:rsid w:val="00366083"/>
    <w:rsid w:val="003675A2"/>
    <w:rsid w:val="003700CB"/>
    <w:rsid w:val="0037066D"/>
    <w:rsid w:val="00371140"/>
    <w:rsid w:val="00373523"/>
    <w:rsid w:val="00375655"/>
    <w:rsid w:val="003756E4"/>
    <w:rsid w:val="00375ACE"/>
    <w:rsid w:val="003769D2"/>
    <w:rsid w:val="003772EB"/>
    <w:rsid w:val="00377776"/>
    <w:rsid w:val="0038039C"/>
    <w:rsid w:val="003812A1"/>
    <w:rsid w:val="00381B45"/>
    <w:rsid w:val="00383400"/>
    <w:rsid w:val="00383459"/>
    <w:rsid w:val="00384598"/>
    <w:rsid w:val="00385057"/>
    <w:rsid w:val="003858A6"/>
    <w:rsid w:val="00385A5C"/>
    <w:rsid w:val="0038632F"/>
    <w:rsid w:val="00387BF6"/>
    <w:rsid w:val="00392DCC"/>
    <w:rsid w:val="00394B31"/>
    <w:rsid w:val="003959A7"/>
    <w:rsid w:val="0039757A"/>
    <w:rsid w:val="00397BB5"/>
    <w:rsid w:val="00397D8C"/>
    <w:rsid w:val="003A0019"/>
    <w:rsid w:val="003A02A8"/>
    <w:rsid w:val="003A296A"/>
    <w:rsid w:val="003A33A4"/>
    <w:rsid w:val="003A567C"/>
    <w:rsid w:val="003A58F6"/>
    <w:rsid w:val="003A5B36"/>
    <w:rsid w:val="003A5D08"/>
    <w:rsid w:val="003A7464"/>
    <w:rsid w:val="003A7A32"/>
    <w:rsid w:val="003B06C2"/>
    <w:rsid w:val="003B37CC"/>
    <w:rsid w:val="003B3CAD"/>
    <w:rsid w:val="003B46F7"/>
    <w:rsid w:val="003B4DC8"/>
    <w:rsid w:val="003B6646"/>
    <w:rsid w:val="003B6B27"/>
    <w:rsid w:val="003B7A7F"/>
    <w:rsid w:val="003B7F04"/>
    <w:rsid w:val="003C0811"/>
    <w:rsid w:val="003C0FB1"/>
    <w:rsid w:val="003C124F"/>
    <w:rsid w:val="003C2076"/>
    <w:rsid w:val="003C22C2"/>
    <w:rsid w:val="003C24B4"/>
    <w:rsid w:val="003C3E38"/>
    <w:rsid w:val="003C43FE"/>
    <w:rsid w:val="003C49D6"/>
    <w:rsid w:val="003C4CE5"/>
    <w:rsid w:val="003C526D"/>
    <w:rsid w:val="003C54B7"/>
    <w:rsid w:val="003C5F49"/>
    <w:rsid w:val="003C6125"/>
    <w:rsid w:val="003D1F24"/>
    <w:rsid w:val="003D2D4D"/>
    <w:rsid w:val="003D5699"/>
    <w:rsid w:val="003D66F0"/>
    <w:rsid w:val="003D71BE"/>
    <w:rsid w:val="003E02CB"/>
    <w:rsid w:val="003E02DE"/>
    <w:rsid w:val="003E1A1A"/>
    <w:rsid w:val="003E1F26"/>
    <w:rsid w:val="003E1F89"/>
    <w:rsid w:val="003E20D6"/>
    <w:rsid w:val="003E28B3"/>
    <w:rsid w:val="003E2C3B"/>
    <w:rsid w:val="003E3261"/>
    <w:rsid w:val="003E3B6C"/>
    <w:rsid w:val="003E4D87"/>
    <w:rsid w:val="003E5DE7"/>
    <w:rsid w:val="003E6385"/>
    <w:rsid w:val="003E6C17"/>
    <w:rsid w:val="003E7912"/>
    <w:rsid w:val="003E7AD5"/>
    <w:rsid w:val="003F0650"/>
    <w:rsid w:val="003F0EF0"/>
    <w:rsid w:val="003F1296"/>
    <w:rsid w:val="003F1438"/>
    <w:rsid w:val="003F1668"/>
    <w:rsid w:val="003F195A"/>
    <w:rsid w:val="003F1986"/>
    <w:rsid w:val="003F1ECD"/>
    <w:rsid w:val="003F4B2E"/>
    <w:rsid w:val="003F5C28"/>
    <w:rsid w:val="003F740E"/>
    <w:rsid w:val="003F7B36"/>
    <w:rsid w:val="004009D6"/>
    <w:rsid w:val="004009E2"/>
    <w:rsid w:val="00401082"/>
    <w:rsid w:val="00401260"/>
    <w:rsid w:val="00401554"/>
    <w:rsid w:val="004020D9"/>
    <w:rsid w:val="0040220D"/>
    <w:rsid w:val="004033F1"/>
    <w:rsid w:val="00403626"/>
    <w:rsid w:val="00403A70"/>
    <w:rsid w:val="00404134"/>
    <w:rsid w:val="0040415A"/>
    <w:rsid w:val="00405476"/>
    <w:rsid w:val="0040559E"/>
    <w:rsid w:val="004074E4"/>
    <w:rsid w:val="00407CA1"/>
    <w:rsid w:val="00410819"/>
    <w:rsid w:val="00411159"/>
    <w:rsid w:val="00412364"/>
    <w:rsid w:val="00412376"/>
    <w:rsid w:val="00413A22"/>
    <w:rsid w:val="00414101"/>
    <w:rsid w:val="00416762"/>
    <w:rsid w:val="00416E55"/>
    <w:rsid w:val="00417428"/>
    <w:rsid w:val="00417710"/>
    <w:rsid w:val="00420493"/>
    <w:rsid w:val="00420A49"/>
    <w:rsid w:val="00420FEF"/>
    <w:rsid w:val="00421874"/>
    <w:rsid w:val="00421955"/>
    <w:rsid w:val="004222B0"/>
    <w:rsid w:val="00422A69"/>
    <w:rsid w:val="004238E5"/>
    <w:rsid w:val="00423F79"/>
    <w:rsid w:val="00424571"/>
    <w:rsid w:val="00425094"/>
    <w:rsid w:val="004250AC"/>
    <w:rsid w:val="0042518A"/>
    <w:rsid w:val="004254A5"/>
    <w:rsid w:val="0042658D"/>
    <w:rsid w:val="004275E5"/>
    <w:rsid w:val="004276A0"/>
    <w:rsid w:val="00427773"/>
    <w:rsid w:val="0042779D"/>
    <w:rsid w:val="004314AD"/>
    <w:rsid w:val="00431DB0"/>
    <w:rsid w:val="004350AF"/>
    <w:rsid w:val="00440F74"/>
    <w:rsid w:val="00441096"/>
    <w:rsid w:val="0044193A"/>
    <w:rsid w:val="00444A63"/>
    <w:rsid w:val="00444F01"/>
    <w:rsid w:val="00445265"/>
    <w:rsid w:val="00446FBF"/>
    <w:rsid w:val="00447CC5"/>
    <w:rsid w:val="004505AE"/>
    <w:rsid w:val="004517FD"/>
    <w:rsid w:val="004523B6"/>
    <w:rsid w:val="00452704"/>
    <w:rsid w:val="004555F3"/>
    <w:rsid w:val="004559CE"/>
    <w:rsid w:val="00456435"/>
    <w:rsid w:val="00456664"/>
    <w:rsid w:val="00456FA0"/>
    <w:rsid w:val="00457058"/>
    <w:rsid w:val="00460DA3"/>
    <w:rsid w:val="00460E1A"/>
    <w:rsid w:val="004610C2"/>
    <w:rsid w:val="00461DE3"/>
    <w:rsid w:val="0046239F"/>
    <w:rsid w:val="00463DF8"/>
    <w:rsid w:val="00467FF6"/>
    <w:rsid w:val="004712D2"/>
    <w:rsid w:val="00471E79"/>
    <w:rsid w:val="00473105"/>
    <w:rsid w:val="00474AC9"/>
    <w:rsid w:val="00474BDD"/>
    <w:rsid w:val="00475085"/>
    <w:rsid w:val="0047516D"/>
    <w:rsid w:val="00475EAA"/>
    <w:rsid w:val="00476984"/>
    <w:rsid w:val="00476CF6"/>
    <w:rsid w:val="00477AA8"/>
    <w:rsid w:val="00477B41"/>
    <w:rsid w:val="00480AE3"/>
    <w:rsid w:val="00482626"/>
    <w:rsid w:val="00483C3F"/>
    <w:rsid w:val="00485493"/>
    <w:rsid w:val="0048595F"/>
    <w:rsid w:val="00490EFC"/>
    <w:rsid w:val="00491894"/>
    <w:rsid w:val="00492141"/>
    <w:rsid w:val="00492FCB"/>
    <w:rsid w:val="004939D2"/>
    <w:rsid w:val="00495AD1"/>
    <w:rsid w:val="004979A3"/>
    <w:rsid w:val="004A0526"/>
    <w:rsid w:val="004A0DCB"/>
    <w:rsid w:val="004A0F11"/>
    <w:rsid w:val="004A12FB"/>
    <w:rsid w:val="004A1F63"/>
    <w:rsid w:val="004A2A65"/>
    <w:rsid w:val="004A3EAA"/>
    <w:rsid w:val="004A4187"/>
    <w:rsid w:val="004A5871"/>
    <w:rsid w:val="004A5A20"/>
    <w:rsid w:val="004A5D38"/>
    <w:rsid w:val="004A774B"/>
    <w:rsid w:val="004A775E"/>
    <w:rsid w:val="004A779A"/>
    <w:rsid w:val="004A7857"/>
    <w:rsid w:val="004A7C1E"/>
    <w:rsid w:val="004A7D97"/>
    <w:rsid w:val="004B010C"/>
    <w:rsid w:val="004B03AE"/>
    <w:rsid w:val="004B0663"/>
    <w:rsid w:val="004B0665"/>
    <w:rsid w:val="004B08E3"/>
    <w:rsid w:val="004B236B"/>
    <w:rsid w:val="004B27CB"/>
    <w:rsid w:val="004B41B6"/>
    <w:rsid w:val="004B427C"/>
    <w:rsid w:val="004B4677"/>
    <w:rsid w:val="004B4924"/>
    <w:rsid w:val="004B4E95"/>
    <w:rsid w:val="004B5133"/>
    <w:rsid w:val="004B6396"/>
    <w:rsid w:val="004B75D8"/>
    <w:rsid w:val="004B7CFD"/>
    <w:rsid w:val="004B7D69"/>
    <w:rsid w:val="004C14C4"/>
    <w:rsid w:val="004C16D4"/>
    <w:rsid w:val="004C236B"/>
    <w:rsid w:val="004C2406"/>
    <w:rsid w:val="004C2794"/>
    <w:rsid w:val="004C2902"/>
    <w:rsid w:val="004C2F1C"/>
    <w:rsid w:val="004C33A1"/>
    <w:rsid w:val="004C41B6"/>
    <w:rsid w:val="004C61AD"/>
    <w:rsid w:val="004C661B"/>
    <w:rsid w:val="004C67CB"/>
    <w:rsid w:val="004C6C0E"/>
    <w:rsid w:val="004C7098"/>
    <w:rsid w:val="004C756B"/>
    <w:rsid w:val="004D0012"/>
    <w:rsid w:val="004D2010"/>
    <w:rsid w:val="004D3EDF"/>
    <w:rsid w:val="004D5048"/>
    <w:rsid w:val="004D564D"/>
    <w:rsid w:val="004D59A1"/>
    <w:rsid w:val="004D6458"/>
    <w:rsid w:val="004D6E37"/>
    <w:rsid w:val="004D7238"/>
    <w:rsid w:val="004D77B0"/>
    <w:rsid w:val="004D7D68"/>
    <w:rsid w:val="004E00EA"/>
    <w:rsid w:val="004E019B"/>
    <w:rsid w:val="004E089E"/>
    <w:rsid w:val="004E1B84"/>
    <w:rsid w:val="004E4304"/>
    <w:rsid w:val="004E5396"/>
    <w:rsid w:val="004E685F"/>
    <w:rsid w:val="004E69ED"/>
    <w:rsid w:val="004E6AB5"/>
    <w:rsid w:val="004E6B14"/>
    <w:rsid w:val="004E6D99"/>
    <w:rsid w:val="004E755E"/>
    <w:rsid w:val="004E7A42"/>
    <w:rsid w:val="004E7E4D"/>
    <w:rsid w:val="004F390A"/>
    <w:rsid w:val="004F42AF"/>
    <w:rsid w:val="004F4B92"/>
    <w:rsid w:val="004F6BC7"/>
    <w:rsid w:val="004F7BA1"/>
    <w:rsid w:val="004F7C88"/>
    <w:rsid w:val="0050008E"/>
    <w:rsid w:val="0050060E"/>
    <w:rsid w:val="00500AF6"/>
    <w:rsid w:val="00500BA5"/>
    <w:rsid w:val="00500C0E"/>
    <w:rsid w:val="00501B6C"/>
    <w:rsid w:val="00502A9D"/>
    <w:rsid w:val="005036DC"/>
    <w:rsid w:val="00504288"/>
    <w:rsid w:val="00507F3A"/>
    <w:rsid w:val="00507F46"/>
    <w:rsid w:val="00510FD8"/>
    <w:rsid w:val="00511093"/>
    <w:rsid w:val="005113D6"/>
    <w:rsid w:val="0051147B"/>
    <w:rsid w:val="00511903"/>
    <w:rsid w:val="0051248C"/>
    <w:rsid w:val="005127CB"/>
    <w:rsid w:val="0051435C"/>
    <w:rsid w:val="005145E9"/>
    <w:rsid w:val="005160BC"/>
    <w:rsid w:val="005162B5"/>
    <w:rsid w:val="00516785"/>
    <w:rsid w:val="00516B81"/>
    <w:rsid w:val="005204E9"/>
    <w:rsid w:val="00521098"/>
    <w:rsid w:val="00522333"/>
    <w:rsid w:val="005228B6"/>
    <w:rsid w:val="00522CFA"/>
    <w:rsid w:val="0052342B"/>
    <w:rsid w:val="005236BB"/>
    <w:rsid w:val="005240A6"/>
    <w:rsid w:val="0052419D"/>
    <w:rsid w:val="00524C75"/>
    <w:rsid w:val="00525901"/>
    <w:rsid w:val="00526053"/>
    <w:rsid w:val="005301F8"/>
    <w:rsid w:val="00531077"/>
    <w:rsid w:val="005312FC"/>
    <w:rsid w:val="00532C6D"/>
    <w:rsid w:val="00533553"/>
    <w:rsid w:val="005337CD"/>
    <w:rsid w:val="005339F1"/>
    <w:rsid w:val="00535016"/>
    <w:rsid w:val="00535268"/>
    <w:rsid w:val="005355E9"/>
    <w:rsid w:val="0053569E"/>
    <w:rsid w:val="0053603D"/>
    <w:rsid w:val="005367EB"/>
    <w:rsid w:val="00536A7F"/>
    <w:rsid w:val="0053742A"/>
    <w:rsid w:val="0053748D"/>
    <w:rsid w:val="00537C85"/>
    <w:rsid w:val="005402C5"/>
    <w:rsid w:val="00540541"/>
    <w:rsid w:val="005410C6"/>
    <w:rsid w:val="005414EC"/>
    <w:rsid w:val="00541D29"/>
    <w:rsid w:val="005424FE"/>
    <w:rsid w:val="00542FFE"/>
    <w:rsid w:val="0054381F"/>
    <w:rsid w:val="00543F23"/>
    <w:rsid w:val="00544409"/>
    <w:rsid w:val="00551F24"/>
    <w:rsid w:val="0055216C"/>
    <w:rsid w:val="00552FB5"/>
    <w:rsid w:val="00554384"/>
    <w:rsid w:val="005552DA"/>
    <w:rsid w:val="00556562"/>
    <w:rsid w:val="00556766"/>
    <w:rsid w:val="00557020"/>
    <w:rsid w:val="00557A39"/>
    <w:rsid w:val="00557FFB"/>
    <w:rsid w:val="005600FC"/>
    <w:rsid w:val="00560201"/>
    <w:rsid w:val="005604B7"/>
    <w:rsid w:val="00561DA2"/>
    <w:rsid w:val="00562F17"/>
    <w:rsid w:val="0056309A"/>
    <w:rsid w:val="00564A0C"/>
    <w:rsid w:val="00564E14"/>
    <w:rsid w:val="00564F8C"/>
    <w:rsid w:val="0056582C"/>
    <w:rsid w:val="0056792C"/>
    <w:rsid w:val="00567D3D"/>
    <w:rsid w:val="00570749"/>
    <w:rsid w:val="0057083E"/>
    <w:rsid w:val="00572092"/>
    <w:rsid w:val="0057248D"/>
    <w:rsid w:val="00572969"/>
    <w:rsid w:val="00573657"/>
    <w:rsid w:val="00573C29"/>
    <w:rsid w:val="00574532"/>
    <w:rsid w:val="00574674"/>
    <w:rsid w:val="00575DFA"/>
    <w:rsid w:val="00577107"/>
    <w:rsid w:val="005776B2"/>
    <w:rsid w:val="00585240"/>
    <w:rsid w:val="00585C8E"/>
    <w:rsid w:val="005863B3"/>
    <w:rsid w:val="00586605"/>
    <w:rsid w:val="0058687C"/>
    <w:rsid w:val="005868DE"/>
    <w:rsid w:val="00586FAB"/>
    <w:rsid w:val="0058735D"/>
    <w:rsid w:val="005874ED"/>
    <w:rsid w:val="005877AC"/>
    <w:rsid w:val="00587AD5"/>
    <w:rsid w:val="00590803"/>
    <w:rsid w:val="00590FC4"/>
    <w:rsid w:val="0059154C"/>
    <w:rsid w:val="00591F12"/>
    <w:rsid w:val="00592608"/>
    <w:rsid w:val="00594223"/>
    <w:rsid w:val="0059428D"/>
    <w:rsid w:val="0059436A"/>
    <w:rsid w:val="005946EC"/>
    <w:rsid w:val="005955BE"/>
    <w:rsid w:val="00595B6D"/>
    <w:rsid w:val="0059635A"/>
    <w:rsid w:val="005966B7"/>
    <w:rsid w:val="00596796"/>
    <w:rsid w:val="005A0943"/>
    <w:rsid w:val="005A0CCF"/>
    <w:rsid w:val="005A130B"/>
    <w:rsid w:val="005A15E8"/>
    <w:rsid w:val="005A247B"/>
    <w:rsid w:val="005A426E"/>
    <w:rsid w:val="005A48F9"/>
    <w:rsid w:val="005A51B9"/>
    <w:rsid w:val="005A60BC"/>
    <w:rsid w:val="005B00E7"/>
    <w:rsid w:val="005B03CB"/>
    <w:rsid w:val="005B0D1C"/>
    <w:rsid w:val="005B196C"/>
    <w:rsid w:val="005B1E9A"/>
    <w:rsid w:val="005B271C"/>
    <w:rsid w:val="005B272C"/>
    <w:rsid w:val="005B35D5"/>
    <w:rsid w:val="005B3CEC"/>
    <w:rsid w:val="005B3E07"/>
    <w:rsid w:val="005B50F4"/>
    <w:rsid w:val="005B56C6"/>
    <w:rsid w:val="005B5E2A"/>
    <w:rsid w:val="005B63CD"/>
    <w:rsid w:val="005B6EEA"/>
    <w:rsid w:val="005B7DB1"/>
    <w:rsid w:val="005C02A4"/>
    <w:rsid w:val="005C12CC"/>
    <w:rsid w:val="005C194A"/>
    <w:rsid w:val="005C20D2"/>
    <w:rsid w:val="005C2A13"/>
    <w:rsid w:val="005C2BD6"/>
    <w:rsid w:val="005C32FE"/>
    <w:rsid w:val="005C3988"/>
    <w:rsid w:val="005C4FA2"/>
    <w:rsid w:val="005C503A"/>
    <w:rsid w:val="005C559B"/>
    <w:rsid w:val="005C6945"/>
    <w:rsid w:val="005C7980"/>
    <w:rsid w:val="005D024A"/>
    <w:rsid w:val="005D0D26"/>
    <w:rsid w:val="005D3BAE"/>
    <w:rsid w:val="005D40DB"/>
    <w:rsid w:val="005D4521"/>
    <w:rsid w:val="005D4B2C"/>
    <w:rsid w:val="005D4FD4"/>
    <w:rsid w:val="005D524E"/>
    <w:rsid w:val="005D600A"/>
    <w:rsid w:val="005D6D64"/>
    <w:rsid w:val="005D713F"/>
    <w:rsid w:val="005E0143"/>
    <w:rsid w:val="005E03F2"/>
    <w:rsid w:val="005E0583"/>
    <w:rsid w:val="005E114C"/>
    <w:rsid w:val="005E18A4"/>
    <w:rsid w:val="005E1904"/>
    <w:rsid w:val="005E1985"/>
    <w:rsid w:val="005E3B12"/>
    <w:rsid w:val="005E44D3"/>
    <w:rsid w:val="005E4B53"/>
    <w:rsid w:val="005E4EDD"/>
    <w:rsid w:val="005E5A15"/>
    <w:rsid w:val="005E5A22"/>
    <w:rsid w:val="005E5F75"/>
    <w:rsid w:val="005E66BD"/>
    <w:rsid w:val="005F06C2"/>
    <w:rsid w:val="005F0983"/>
    <w:rsid w:val="005F0CBE"/>
    <w:rsid w:val="005F2764"/>
    <w:rsid w:val="005F282D"/>
    <w:rsid w:val="005F311B"/>
    <w:rsid w:val="005F3DD9"/>
    <w:rsid w:val="005F48D1"/>
    <w:rsid w:val="005F5800"/>
    <w:rsid w:val="005F5FB5"/>
    <w:rsid w:val="005F6504"/>
    <w:rsid w:val="005F6658"/>
    <w:rsid w:val="005F76CA"/>
    <w:rsid w:val="00600A64"/>
    <w:rsid w:val="00600D97"/>
    <w:rsid w:val="00600F85"/>
    <w:rsid w:val="00601650"/>
    <w:rsid w:val="00602D11"/>
    <w:rsid w:val="00603247"/>
    <w:rsid w:val="006032A6"/>
    <w:rsid w:val="006033F0"/>
    <w:rsid w:val="00603C99"/>
    <w:rsid w:val="00603E91"/>
    <w:rsid w:val="0060408E"/>
    <w:rsid w:val="00604DA5"/>
    <w:rsid w:val="00604EEF"/>
    <w:rsid w:val="00605AFD"/>
    <w:rsid w:val="00606A1F"/>
    <w:rsid w:val="0061015F"/>
    <w:rsid w:val="00610360"/>
    <w:rsid w:val="00610E38"/>
    <w:rsid w:val="00611867"/>
    <w:rsid w:val="006118E0"/>
    <w:rsid w:val="006123D4"/>
    <w:rsid w:val="00612C48"/>
    <w:rsid w:val="0061393B"/>
    <w:rsid w:val="006139C1"/>
    <w:rsid w:val="00614084"/>
    <w:rsid w:val="0061437E"/>
    <w:rsid w:val="0061445B"/>
    <w:rsid w:val="00615742"/>
    <w:rsid w:val="00615F20"/>
    <w:rsid w:val="006170A1"/>
    <w:rsid w:val="00617EE4"/>
    <w:rsid w:val="00620C08"/>
    <w:rsid w:val="00621F33"/>
    <w:rsid w:val="00622892"/>
    <w:rsid w:val="00622B87"/>
    <w:rsid w:val="00622F7C"/>
    <w:rsid w:val="00624C4B"/>
    <w:rsid w:val="00625108"/>
    <w:rsid w:val="00625616"/>
    <w:rsid w:val="00625761"/>
    <w:rsid w:val="00626F8D"/>
    <w:rsid w:val="00627F06"/>
    <w:rsid w:val="00630389"/>
    <w:rsid w:val="00631863"/>
    <w:rsid w:val="00632896"/>
    <w:rsid w:val="00632E54"/>
    <w:rsid w:val="00632EFD"/>
    <w:rsid w:val="006343F4"/>
    <w:rsid w:val="00636955"/>
    <w:rsid w:val="006369DD"/>
    <w:rsid w:val="006372D5"/>
    <w:rsid w:val="006427B9"/>
    <w:rsid w:val="00642B5E"/>
    <w:rsid w:val="00644416"/>
    <w:rsid w:val="00644B35"/>
    <w:rsid w:val="00645614"/>
    <w:rsid w:val="006460C0"/>
    <w:rsid w:val="0064641E"/>
    <w:rsid w:val="006469CC"/>
    <w:rsid w:val="006476D6"/>
    <w:rsid w:val="006476F4"/>
    <w:rsid w:val="0065118B"/>
    <w:rsid w:val="00652F3D"/>
    <w:rsid w:val="006535C6"/>
    <w:rsid w:val="006542C7"/>
    <w:rsid w:val="00654FAC"/>
    <w:rsid w:val="006552AE"/>
    <w:rsid w:val="00655A31"/>
    <w:rsid w:val="00656602"/>
    <w:rsid w:val="00656F7E"/>
    <w:rsid w:val="00657BCF"/>
    <w:rsid w:val="00657E37"/>
    <w:rsid w:val="006608DF"/>
    <w:rsid w:val="00660A7D"/>
    <w:rsid w:val="006614E2"/>
    <w:rsid w:val="00662176"/>
    <w:rsid w:val="00662E71"/>
    <w:rsid w:val="0066301C"/>
    <w:rsid w:val="00663C9F"/>
    <w:rsid w:val="00664CBF"/>
    <w:rsid w:val="00664EAD"/>
    <w:rsid w:val="00666541"/>
    <w:rsid w:val="00667F67"/>
    <w:rsid w:val="0067199A"/>
    <w:rsid w:val="0067229E"/>
    <w:rsid w:val="00672B5D"/>
    <w:rsid w:val="00672C8E"/>
    <w:rsid w:val="00673C94"/>
    <w:rsid w:val="006745EA"/>
    <w:rsid w:val="0067595C"/>
    <w:rsid w:val="0067622C"/>
    <w:rsid w:val="00676FEB"/>
    <w:rsid w:val="00677841"/>
    <w:rsid w:val="00682249"/>
    <w:rsid w:val="00682435"/>
    <w:rsid w:val="0068389F"/>
    <w:rsid w:val="00685181"/>
    <w:rsid w:val="0068520B"/>
    <w:rsid w:val="006853B6"/>
    <w:rsid w:val="00685CF7"/>
    <w:rsid w:val="00686165"/>
    <w:rsid w:val="00686E80"/>
    <w:rsid w:val="00686F33"/>
    <w:rsid w:val="00687EDE"/>
    <w:rsid w:val="006908D0"/>
    <w:rsid w:val="00691CB5"/>
    <w:rsid w:val="00691E2B"/>
    <w:rsid w:val="006923DF"/>
    <w:rsid w:val="00692AB6"/>
    <w:rsid w:val="006932B3"/>
    <w:rsid w:val="006942EF"/>
    <w:rsid w:val="00695054"/>
    <w:rsid w:val="00697A74"/>
    <w:rsid w:val="006A07E3"/>
    <w:rsid w:val="006A1182"/>
    <w:rsid w:val="006A18C3"/>
    <w:rsid w:val="006A210A"/>
    <w:rsid w:val="006A21EF"/>
    <w:rsid w:val="006A285B"/>
    <w:rsid w:val="006A37F5"/>
    <w:rsid w:val="006A790B"/>
    <w:rsid w:val="006B16FA"/>
    <w:rsid w:val="006B29C4"/>
    <w:rsid w:val="006B2D43"/>
    <w:rsid w:val="006B38FF"/>
    <w:rsid w:val="006B3E7C"/>
    <w:rsid w:val="006B4127"/>
    <w:rsid w:val="006B67C4"/>
    <w:rsid w:val="006B7E0B"/>
    <w:rsid w:val="006C099B"/>
    <w:rsid w:val="006C15A0"/>
    <w:rsid w:val="006C1892"/>
    <w:rsid w:val="006C1A16"/>
    <w:rsid w:val="006C303E"/>
    <w:rsid w:val="006C568F"/>
    <w:rsid w:val="006C5B11"/>
    <w:rsid w:val="006C5B73"/>
    <w:rsid w:val="006C6438"/>
    <w:rsid w:val="006C645D"/>
    <w:rsid w:val="006C7026"/>
    <w:rsid w:val="006C77B0"/>
    <w:rsid w:val="006D01DB"/>
    <w:rsid w:val="006D0475"/>
    <w:rsid w:val="006D2C84"/>
    <w:rsid w:val="006D2E86"/>
    <w:rsid w:val="006D3092"/>
    <w:rsid w:val="006D3CBB"/>
    <w:rsid w:val="006D4B4C"/>
    <w:rsid w:val="006D4F1A"/>
    <w:rsid w:val="006D51D1"/>
    <w:rsid w:val="006D5530"/>
    <w:rsid w:val="006D6711"/>
    <w:rsid w:val="006D6B92"/>
    <w:rsid w:val="006D710E"/>
    <w:rsid w:val="006E0359"/>
    <w:rsid w:val="006E04D0"/>
    <w:rsid w:val="006E107D"/>
    <w:rsid w:val="006E155B"/>
    <w:rsid w:val="006E1A81"/>
    <w:rsid w:val="006E2158"/>
    <w:rsid w:val="006E2D2A"/>
    <w:rsid w:val="006E307C"/>
    <w:rsid w:val="006E3337"/>
    <w:rsid w:val="006E3CC3"/>
    <w:rsid w:val="006E54B3"/>
    <w:rsid w:val="006E5F69"/>
    <w:rsid w:val="006E5FB4"/>
    <w:rsid w:val="006E62F7"/>
    <w:rsid w:val="006F18CB"/>
    <w:rsid w:val="006F2558"/>
    <w:rsid w:val="006F258B"/>
    <w:rsid w:val="006F3316"/>
    <w:rsid w:val="006F5A79"/>
    <w:rsid w:val="006F5B08"/>
    <w:rsid w:val="006F607D"/>
    <w:rsid w:val="006F623D"/>
    <w:rsid w:val="006F69C3"/>
    <w:rsid w:val="006F76A6"/>
    <w:rsid w:val="0070115F"/>
    <w:rsid w:val="00702C34"/>
    <w:rsid w:val="00703D82"/>
    <w:rsid w:val="00706E8E"/>
    <w:rsid w:val="00706FEE"/>
    <w:rsid w:val="00707FD5"/>
    <w:rsid w:val="00710D5B"/>
    <w:rsid w:val="00710E37"/>
    <w:rsid w:val="007129B6"/>
    <w:rsid w:val="007131EA"/>
    <w:rsid w:val="00713417"/>
    <w:rsid w:val="0071421B"/>
    <w:rsid w:val="007153E3"/>
    <w:rsid w:val="00715D60"/>
    <w:rsid w:val="00720327"/>
    <w:rsid w:val="00720664"/>
    <w:rsid w:val="00720821"/>
    <w:rsid w:val="00721156"/>
    <w:rsid w:val="00722B53"/>
    <w:rsid w:val="0072365A"/>
    <w:rsid w:val="0072412F"/>
    <w:rsid w:val="00725F93"/>
    <w:rsid w:val="00726AAA"/>
    <w:rsid w:val="00726C80"/>
    <w:rsid w:val="0072725F"/>
    <w:rsid w:val="007276EF"/>
    <w:rsid w:val="00727A14"/>
    <w:rsid w:val="00727F01"/>
    <w:rsid w:val="00730565"/>
    <w:rsid w:val="007314E4"/>
    <w:rsid w:val="00732AC4"/>
    <w:rsid w:val="00733639"/>
    <w:rsid w:val="00733834"/>
    <w:rsid w:val="00736F20"/>
    <w:rsid w:val="007371CE"/>
    <w:rsid w:val="007402C9"/>
    <w:rsid w:val="007403E7"/>
    <w:rsid w:val="00742366"/>
    <w:rsid w:val="00742E22"/>
    <w:rsid w:val="00742ECE"/>
    <w:rsid w:val="007437E8"/>
    <w:rsid w:val="007439A9"/>
    <w:rsid w:val="00744106"/>
    <w:rsid w:val="00744484"/>
    <w:rsid w:val="00744846"/>
    <w:rsid w:val="007460BC"/>
    <w:rsid w:val="00746C6A"/>
    <w:rsid w:val="007479BE"/>
    <w:rsid w:val="007479EB"/>
    <w:rsid w:val="00747CDA"/>
    <w:rsid w:val="00747E2D"/>
    <w:rsid w:val="007504FD"/>
    <w:rsid w:val="007509DD"/>
    <w:rsid w:val="00753071"/>
    <w:rsid w:val="0075352D"/>
    <w:rsid w:val="00753BD5"/>
    <w:rsid w:val="00754502"/>
    <w:rsid w:val="00754570"/>
    <w:rsid w:val="00755541"/>
    <w:rsid w:val="00755F8F"/>
    <w:rsid w:val="007579B2"/>
    <w:rsid w:val="00760ED6"/>
    <w:rsid w:val="0076210C"/>
    <w:rsid w:val="00762AB9"/>
    <w:rsid w:val="00763474"/>
    <w:rsid w:val="00764178"/>
    <w:rsid w:val="007649EA"/>
    <w:rsid w:val="00764B8B"/>
    <w:rsid w:val="007653BF"/>
    <w:rsid w:val="00766184"/>
    <w:rsid w:val="00766256"/>
    <w:rsid w:val="00766A9C"/>
    <w:rsid w:val="00766D67"/>
    <w:rsid w:val="00767219"/>
    <w:rsid w:val="007700B9"/>
    <w:rsid w:val="00770355"/>
    <w:rsid w:val="007715BD"/>
    <w:rsid w:val="0077161C"/>
    <w:rsid w:val="00772A5C"/>
    <w:rsid w:val="00773185"/>
    <w:rsid w:val="007734F9"/>
    <w:rsid w:val="0077478A"/>
    <w:rsid w:val="00774A19"/>
    <w:rsid w:val="0077526D"/>
    <w:rsid w:val="00775C29"/>
    <w:rsid w:val="00776182"/>
    <w:rsid w:val="00776637"/>
    <w:rsid w:val="00777F79"/>
    <w:rsid w:val="00780263"/>
    <w:rsid w:val="00780595"/>
    <w:rsid w:val="00781430"/>
    <w:rsid w:val="0078257B"/>
    <w:rsid w:val="00783200"/>
    <w:rsid w:val="007836FC"/>
    <w:rsid w:val="00783D71"/>
    <w:rsid w:val="00783D75"/>
    <w:rsid w:val="00784736"/>
    <w:rsid w:val="00784C0A"/>
    <w:rsid w:val="007860B7"/>
    <w:rsid w:val="0078646D"/>
    <w:rsid w:val="0078662C"/>
    <w:rsid w:val="007930D2"/>
    <w:rsid w:val="007933BC"/>
    <w:rsid w:val="00793737"/>
    <w:rsid w:val="00794B40"/>
    <w:rsid w:val="00795465"/>
    <w:rsid w:val="007961E9"/>
    <w:rsid w:val="00796A9D"/>
    <w:rsid w:val="00796E26"/>
    <w:rsid w:val="00796F06"/>
    <w:rsid w:val="007A1079"/>
    <w:rsid w:val="007A14A9"/>
    <w:rsid w:val="007A189F"/>
    <w:rsid w:val="007A2D09"/>
    <w:rsid w:val="007A2E19"/>
    <w:rsid w:val="007A50FA"/>
    <w:rsid w:val="007A6A96"/>
    <w:rsid w:val="007A703B"/>
    <w:rsid w:val="007B12BB"/>
    <w:rsid w:val="007B1450"/>
    <w:rsid w:val="007B18B9"/>
    <w:rsid w:val="007B2677"/>
    <w:rsid w:val="007B281E"/>
    <w:rsid w:val="007B3CFD"/>
    <w:rsid w:val="007B5857"/>
    <w:rsid w:val="007B5CB1"/>
    <w:rsid w:val="007B5FC0"/>
    <w:rsid w:val="007B6167"/>
    <w:rsid w:val="007B6A8B"/>
    <w:rsid w:val="007B6B67"/>
    <w:rsid w:val="007B7087"/>
    <w:rsid w:val="007B738E"/>
    <w:rsid w:val="007B76AB"/>
    <w:rsid w:val="007B7E2A"/>
    <w:rsid w:val="007B7F75"/>
    <w:rsid w:val="007C0488"/>
    <w:rsid w:val="007C3F88"/>
    <w:rsid w:val="007C4EC2"/>
    <w:rsid w:val="007C5DD2"/>
    <w:rsid w:val="007C6676"/>
    <w:rsid w:val="007C6A41"/>
    <w:rsid w:val="007C6B9C"/>
    <w:rsid w:val="007C6E16"/>
    <w:rsid w:val="007C70D9"/>
    <w:rsid w:val="007C72CF"/>
    <w:rsid w:val="007C7590"/>
    <w:rsid w:val="007C75C6"/>
    <w:rsid w:val="007C7F7E"/>
    <w:rsid w:val="007D0864"/>
    <w:rsid w:val="007D08A9"/>
    <w:rsid w:val="007D1D22"/>
    <w:rsid w:val="007D28C3"/>
    <w:rsid w:val="007D3DF2"/>
    <w:rsid w:val="007D4EFC"/>
    <w:rsid w:val="007D58CE"/>
    <w:rsid w:val="007D592B"/>
    <w:rsid w:val="007D5AA6"/>
    <w:rsid w:val="007D5D51"/>
    <w:rsid w:val="007D5E40"/>
    <w:rsid w:val="007D6226"/>
    <w:rsid w:val="007D7A91"/>
    <w:rsid w:val="007D7F45"/>
    <w:rsid w:val="007E0037"/>
    <w:rsid w:val="007E0BAA"/>
    <w:rsid w:val="007E1702"/>
    <w:rsid w:val="007E325C"/>
    <w:rsid w:val="007E4353"/>
    <w:rsid w:val="007E5F54"/>
    <w:rsid w:val="007E6456"/>
    <w:rsid w:val="007F0752"/>
    <w:rsid w:val="007F15AF"/>
    <w:rsid w:val="007F210C"/>
    <w:rsid w:val="007F3144"/>
    <w:rsid w:val="007F33B6"/>
    <w:rsid w:val="007F35BD"/>
    <w:rsid w:val="007F4C61"/>
    <w:rsid w:val="007F4D15"/>
    <w:rsid w:val="007F4DBD"/>
    <w:rsid w:val="007F58E3"/>
    <w:rsid w:val="007F5A3D"/>
    <w:rsid w:val="007F5C9F"/>
    <w:rsid w:val="007F603A"/>
    <w:rsid w:val="007F6A45"/>
    <w:rsid w:val="007F6F67"/>
    <w:rsid w:val="007F7513"/>
    <w:rsid w:val="00800080"/>
    <w:rsid w:val="00803F80"/>
    <w:rsid w:val="0080425A"/>
    <w:rsid w:val="00804417"/>
    <w:rsid w:val="008044FD"/>
    <w:rsid w:val="0080591D"/>
    <w:rsid w:val="008070F4"/>
    <w:rsid w:val="008071C8"/>
    <w:rsid w:val="00807265"/>
    <w:rsid w:val="00807BB9"/>
    <w:rsid w:val="00810569"/>
    <w:rsid w:val="00811943"/>
    <w:rsid w:val="00811969"/>
    <w:rsid w:val="00811E36"/>
    <w:rsid w:val="00812654"/>
    <w:rsid w:val="00812C14"/>
    <w:rsid w:val="008135C7"/>
    <w:rsid w:val="00815C81"/>
    <w:rsid w:val="00815EE9"/>
    <w:rsid w:val="00816A77"/>
    <w:rsid w:val="00817DAB"/>
    <w:rsid w:val="008210EE"/>
    <w:rsid w:val="00821EA9"/>
    <w:rsid w:val="008232A3"/>
    <w:rsid w:val="0082380A"/>
    <w:rsid w:val="0082405D"/>
    <w:rsid w:val="00824EA9"/>
    <w:rsid w:val="008252CC"/>
    <w:rsid w:val="00826652"/>
    <w:rsid w:val="00826D40"/>
    <w:rsid w:val="00827076"/>
    <w:rsid w:val="008275F2"/>
    <w:rsid w:val="0083066F"/>
    <w:rsid w:val="008311B8"/>
    <w:rsid w:val="008319AC"/>
    <w:rsid w:val="00831E8F"/>
    <w:rsid w:val="00833F12"/>
    <w:rsid w:val="00833FEA"/>
    <w:rsid w:val="00834243"/>
    <w:rsid w:val="008374C4"/>
    <w:rsid w:val="0084111E"/>
    <w:rsid w:val="008424F5"/>
    <w:rsid w:val="008448E1"/>
    <w:rsid w:val="00844D2C"/>
    <w:rsid w:val="00845B38"/>
    <w:rsid w:val="00846F38"/>
    <w:rsid w:val="00847CEA"/>
    <w:rsid w:val="00847DDA"/>
    <w:rsid w:val="00850762"/>
    <w:rsid w:val="00851053"/>
    <w:rsid w:val="0085338E"/>
    <w:rsid w:val="00853B83"/>
    <w:rsid w:val="008542BB"/>
    <w:rsid w:val="0085681F"/>
    <w:rsid w:val="00857969"/>
    <w:rsid w:val="008621F3"/>
    <w:rsid w:val="008622EE"/>
    <w:rsid w:val="00862339"/>
    <w:rsid w:val="008624C7"/>
    <w:rsid w:val="008627BD"/>
    <w:rsid w:val="00862A93"/>
    <w:rsid w:val="008652EA"/>
    <w:rsid w:val="008665D2"/>
    <w:rsid w:val="00866C8B"/>
    <w:rsid w:val="00866FDF"/>
    <w:rsid w:val="00871875"/>
    <w:rsid w:val="008719F9"/>
    <w:rsid w:val="00871E17"/>
    <w:rsid w:val="00872698"/>
    <w:rsid w:val="0087272C"/>
    <w:rsid w:val="00872C6C"/>
    <w:rsid w:val="008737A3"/>
    <w:rsid w:val="0087462D"/>
    <w:rsid w:val="00874A35"/>
    <w:rsid w:val="00875AD4"/>
    <w:rsid w:val="00875AF2"/>
    <w:rsid w:val="00875F9A"/>
    <w:rsid w:val="00875FB9"/>
    <w:rsid w:val="00876CB7"/>
    <w:rsid w:val="00876DCB"/>
    <w:rsid w:val="00876F96"/>
    <w:rsid w:val="00882CC4"/>
    <w:rsid w:val="00883A8F"/>
    <w:rsid w:val="008844AC"/>
    <w:rsid w:val="008853AA"/>
    <w:rsid w:val="00885556"/>
    <w:rsid w:val="008903DB"/>
    <w:rsid w:val="00890562"/>
    <w:rsid w:val="00890952"/>
    <w:rsid w:val="00890E06"/>
    <w:rsid w:val="00891061"/>
    <w:rsid w:val="0089114A"/>
    <w:rsid w:val="00892C6D"/>
    <w:rsid w:val="00894FAF"/>
    <w:rsid w:val="008959A3"/>
    <w:rsid w:val="00895B3D"/>
    <w:rsid w:val="00896706"/>
    <w:rsid w:val="00896D1C"/>
    <w:rsid w:val="008974F4"/>
    <w:rsid w:val="00897CA9"/>
    <w:rsid w:val="00897F46"/>
    <w:rsid w:val="008A0F70"/>
    <w:rsid w:val="008A1072"/>
    <w:rsid w:val="008A1F98"/>
    <w:rsid w:val="008A2810"/>
    <w:rsid w:val="008A4788"/>
    <w:rsid w:val="008A4B6F"/>
    <w:rsid w:val="008A7934"/>
    <w:rsid w:val="008A7C97"/>
    <w:rsid w:val="008B0280"/>
    <w:rsid w:val="008B0D2F"/>
    <w:rsid w:val="008B0F92"/>
    <w:rsid w:val="008B33A4"/>
    <w:rsid w:val="008B45B5"/>
    <w:rsid w:val="008B5690"/>
    <w:rsid w:val="008B6FDB"/>
    <w:rsid w:val="008C0609"/>
    <w:rsid w:val="008C22AF"/>
    <w:rsid w:val="008C4CC1"/>
    <w:rsid w:val="008C500B"/>
    <w:rsid w:val="008C568E"/>
    <w:rsid w:val="008C5829"/>
    <w:rsid w:val="008C62D8"/>
    <w:rsid w:val="008C6E8B"/>
    <w:rsid w:val="008C77F4"/>
    <w:rsid w:val="008C794C"/>
    <w:rsid w:val="008C7F71"/>
    <w:rsid w:val="008D075C"/>
    <w:rsid w:val="008D0D21"/>
    <w:rsid w:val="008D1C35"/>
    <w:rsid w:val="008D1DCB"/>
    <w:rsid w:val="008D25D7"/>
    <w:rsid w:val="008D2CDE"/>
    <w:rsid w:val="008D339F"/>
    <w:rsid w:val="008D469C"/>
    <w:rsid w:val="008D5308"/>
    <w:rsid w:val="008D5E01"/>
    <w:rsid w:val="008D6465"/>
    <w:rsid w:val="008D7061"/>
    <w:rsid w:val="008D70F8"/>
    <w:rsid w:val="008D763F"/>
    <w:rsid w:val="008D7987"/>
    <w:rsid w:val="008E09BA"/>
    <w:rsid w:val="008E11D9"/>
    <w:rsid w:val="008E24D2"/>
    <w:rsid w:val="008E5D1A"/>
    <w:rsid w:val="008E6292"/>
    <w:rsid w:val="008E6DB8"/>
    <w:rsid w:val="008E7151"/>
    <w:rsid w:val="008F0ED4"/>
    <w:rsid w:val="008F1502"/>
    <w:rsid w:val="008F23EB"/>
    <w:rsid w:val="008F42A6"/>
    <w:rsid w:val="008F4443"/>
    <w:rsid w:val="008F4EB8"/>
    <w:rsid w:val="008F543C"/>
    <w:rsid w:val="008F6799"/>
    <w:rsid w:val="008F6E34"/>
    <w:rsid w:val="008F73B5"/>
    <w:rsid w:val="00900735"/>
    <w:rsid w:val="009014C5"/>
    <w:rsid w:val="00902349"/>
    <w:rsid w:val="00902BCC"/>
    <w:rsid w:val="00906599"/>
    <w:rsid w:val="00906E61"/>
    <w:rsid w:val="00910727"/>
    <w:rsid w:val="0091078B"/>
    <w:rsid w:val="00911079"/>
    <w:rsid w:val="0091279B"/>
    <w:rsid w:val="00912AEF"/>
    <w:rsid w:val="00913308"/>
    <w:rsid w:val="009148E5"/>
    <w:rsid w:val="00916B3A"/>
    <w:rsid w:val="00917E28"/>
    <w:rsid w:val="00921770"/>
    <w:rsid w:val="00921E1F"/>
    <w:rsid w:val="009227A7"/>
    <w:rsid w:val="0092284C"/>
    <w:rsid w:val="00922D17"/>
    <w:rsid w:val="00923067"/>
    <w:rsid w:val="00923F62"/>
    <w:rsid w:val="00924221"/>
    <w:rsid w:val="00924E16"/>
    <w:rsid w:val="00925063"/>
    <w:rsid w:val="009252D5"/>
    <w:rsid w:val="009256A9"/>
    <w:rsid w:val="00925AA5"/>
    <w:rsid w:val="009263EC"/>
    <w:rsid w:val="00926BA9"/>
    <w:rsid w:val="00926BC4"/>
    <w:rsid w:val="009304AD"/>
    <w:rsid w:val="00930A08"/>
    <w:rsid w:val="00931604"/>
    <w:rsid w:val="0093198C"/>
    <w:rsid w:val="00931E91"/>
    <w:rsid w:val="00932E56"/>
    <w:rsid w:val="00933006"/>
    <w:rsid w:val="00933812"/>
    <w:rsid w:val="00933EFC"/>
    <w:rsid w:val="0093540D"/>
    <w:rsid w:val="00935704"/>
    <w:rsid w:val="00936D24"/>
    <w:rsid w:val="00936F8B"/>
    <w:rsid w:val="009371CD"/>
    <w:rsid w:val="0094019D"/>
    <w:rsid w:val="009415FA"/>
    <w:rsid w:val="009416A0"/>
    <w:rsid w:val="00941BB4"/>
    <w:rsid w:val="00942C0A"/>
    <w:rsid w:val="00942C11"/>
    <w:rsid w:val="00943428"/>
    <w:rsid w:val="0094351F"/>
    <w:rsid w:val="00944AED"/>
    <w:rsid w:val="009459E9"/>
    <w:rsid w:val="00946966"/>
    <w:rsid w:val="00946B93"/>
    <w:rsid w:val="00947E5C"/>
    <w:rsid w:val="00950594"/>
    <w:rsid w:val="00951F4F"/>
    <w:rsid w:val="009547F8"/>
    <w:rsid w:val="00955020"/>
    <w:rsid w:val="00955A38"/>
    <w:rsid w:val="0095743E"/>
    <w:rsid w:val="00960100"/>
    <w:rsid w:val="0096116E"/>
    <w:rsid w:val="0096121E"/>
    <w:rsid w:val="00962ACF"/>
    <w:rsid w:val="00964195"/>
    <w:rsid w:val="0096455A"/>
    <w:rsid w:val="00964E2E"/>
    <w:rsid w:val="00965316"/>
    <w:rsid w:val="00965BDC"/>
    <w:rsid w:val="00967385"/>
    <w:rsid w:val="009678C2"/>
    <w:rsid w:val="00967D40"/>
    <w:rsid w:val="009704C2"/>
    <w:rsid w:val="009705C2"/>
    <w:rsid w:val="009705F1"/>
    <w:rsid w:val="00971801"/>
    <w:rsid w:val="00972232"/>
    <w:rsid w:val="009729D4"/>
    <w:rsid w:val="00972D64"/>
    <w:rsid w:val="009735F7"/>
    <w:rsid w:val="009737F3"/>
    <w:rsid w:val="009742B2"/>
    <w:rsid w:val="00976C03"/>
    <w:rsid w:val="00976F21"/>
    <w:rsid w:val="00980759"/>
    <w:rsid w:val="00980C99"/>
    <w:rsid w:val="00981447"/>
    <w:rsid w:val="0098146D"/>
    <w:rsid w:val="0098163E"/>
    <w:rsid w:val="009817B0"/>
    <w:rsid w:val="009821CE"/>
    <w:rsid w:val="00982C3F"/>
    <w:rsid w:val="0098396A"/>
    <w:rsid w:val="009849C5"/>
    <w:rsid w:val="00984D69"/>
    <w:rsid w:val="0098600C"/>
    <w:rsid w:val="00986424"/>
    <w:rsid w:val="00987A0D"/>
    <w:rsid w:val="00990030"/>
    <w:rsid w:val="009900EE"/>
    <w:rsid w:val="009902DC"/>
    <w:rsid w:val="00990947"/>
    <w:rsid w:val="00990B24"/>
    <w:rsid w:val="0099170E"/>
    <w:rsid w:val="009950F3"/>
    <w:rsid w:val="0099527A"/>
    <w:rsid w:val="0099640A"/>
    <w:rsid w:val="0099688B"/>
    <w:rsid w:val="00997152"/>
    <w:rsid w:val="009978ED"/>
    <w:rsid w:val="009A04E3"/>
    <w:rsid w:val="009A106C"/>
    <w:rsid w:val="009A1289"/>
    <w:rsid w:val="009A1720"/>
    <w:rsid w:val="009A277C"/>
    <w:rsid w:val="009A3612"/>
    <w:rsid w:val="009A3743"/>
    <w:rsid w:val="009A4193"/>
    <w:rsid w:val="009A5437"/>
    <w:rsid w:val="009A5718"/>
    <w:rsid w:val="009A64AF"/>
    <w:rsid w:val="009A658F"/>
    <w:rsid w:val="009A672D"/>
    <w:rsid w:val="009A6905"/>
    <w:rsid w:val="009A76F3"/>
    <w:rsid w:val="009B088F"/>
    <w:rsid w:val="009B15AD"/>
    <w:rsid w:val="009B2249"/>
    <w:rsid w:val="009B3F3E"/>
    <w:rsid w:val="009B58B5"/>
    <w:rsid w:val="009C049B"/>
    <w:rsid w:val="009C144F"/>
    <w:rsid w:val="009C2623"/>
    <w:rsid w:val="009C2A6F"/>
    <w:rsid w:val="009C4E50"/>
    <w:rsid w:val="009C4F05"/>
    <w:rsid w:val="009C5213"/>
    <w:rsid w:val="009D0850"/>
    <w:rsid w:val="009D19C0"/>
    <w:rsid w:val="009D2CFF"/>
    <w:rsid w:val="009D4597"/>
    <w:rsid w:val="009D5936"/>
    <w:rsid w:val="009D67E4"/>
    <w:rsid w:val="009D77BF"/>
    <w:rsid w:val="009D782A"/>
    <w:rsid w:val="009E0096"/>
    <w:rsid w:val="009E0CA5"/>
    <w:rsid w:val="009E171B"/>
    <w:rsid w:val="009E17EC"/>
    <w:rsid w:val="009E253B"/>
    <w:rsid w:val="009E2D00"/>
    <w:rsid w:val="009E2F28"/>
    <w:rsid w:val="009E3023"/>
    <w:rsid w:val="009E44C2"/>
    <w:rsid w:val="009E4D5B"/>
    <w:rsid w:val="009E4EA3"/>
    <w:rsid w:val="009E5506"/>
    <w:rsid w:val="009E5FA9"/>
    <w:rsid w:val="009E7FCC"/>
    <w:rsid w:val="009F0499"/>
    <w:rsid w:val="009F07E5"/>
    <w:rsid w:val="009F0B12"/>
    <w:rsid w:val="009F1972"/>
    <w:rsid w:val="009F30FB"/>
    <w:rsid w:val="009F350F"/>
    <w:rsid w:val="009F3E9B"/>
    <w:rsid w:val="009F6B60"/>
    <w:rsid w:val="009F784E"/>
    <w:rsid w:val="009F7CB1"/>
    <w:rsid w:val="009F7F25"/>
    <w:rsid w:val="00A0024B"/>
    <w:rsid w:val="00A00BC2"/>
    <w:rsid w:val="00A0154F"/>
    <w:rsid w:val="00A015E8"/>
    <w:rsid w:val="00A01820"/>
    <w:rsid w:val="00A02CCE"/>
    <w:rsid w:val="00A02D8D"/>
    <w:rsid w:val="00A02ED7"/>
    <w:rsid w:val="00A03796"/>
    <w:rsid w:val="00A03F47"/>
    <w:rsid w:val="00A03FBF"/>
    <w:rsid w:val="00A0472F"/>
    <w:rsid w:val="00A0504F"/>
    <w:rsid w:val="00A05120"/>
    <w:rsid w:val="00A0562A"/>
    <w:rsid w:val="00A06FFC"/>
    <w:rsid w:val="00A07211"/>
    <w:rsid w:val="00A07D47"/>
    <w:rsid w:val="00A07D7B"/>
    <w:rsid w:val="00A10593"/>
    <w:rsid w:val="00A107C8"/>
    <w:rsid w:val="00A10A57"/>
    <w:rsid w:val="00A10B7C"/>
    <w:rsid w:val="00A11D8A"/>
    <w:rsid w:val="00A11D8F"/>
    <w:rsid w:val="00A12A1E"/>
    <w:rsid w:val="00A12A24"/>
    <w:rsid w:val="00A12BBC"/>
    <w:rsid w:val="00A12F62"/>
    <w:rsid w:val="00A1316A"/>
    <w:rsid w:val="00A13B4D"/>
    <w:rsid w:val="00A14113"/>
    <w:rsid w:val="00A1423C"/>
    <w:rsid w:val="00A14BB1"/>
    <w:rsid w:val="00A14FE9"/>
    <w:rsid w:val="00A15CA8"/>
    <w:rsid w:val="00A1614A"/>
    <w:rsid w:val="00A16CFA"/>
    <w:rsid w:val="00A17B19"/>
    <w:rsid w:val="00A21161"/>
    <w:rsid w:val="00A215BF"/>
    <w:rsid w:val="00A26333"/>
    <w:rsid w:val="00A27752"/>
    <w:rsid w:val="00A27E39"/>
    <w:rsid w:val="00A308B9"/>
    <w:rsid w:val="00A308E0"/>
    <w:rsid w:val="00A32D69"/>
    <w:rsid w:val="00A357BF"/>
    <w:rsid w:val="00A35D99"/>
    <w:rsid w:val="00A3673E"/>
    <w:rsid w:val="00A3749B"/>
    <w:rsid w:val="00A3764C"/>
    <w:rsid w:val="00A37D87"/>
    <w:rsid w:val="00A40A54"/>
    <w:rsid w:val="00A40A88"/>
    <w:rsid w:val="00A41277"/>
    <w:rsid w:val="00A41E53"/>
    <w:rsid w:val="00A445B5"/>
    <w:rsid w:val="00A45F9D"/>
    <w:rsid w:val="00A465C0"/>
    <w:rsid w:val="00A50D88"/>
    <w:rsid w:val="00A5100A"/>
    <w:rsid w:val="00A51392"/>
    <w:rsid w:val="00A51BA9"/>
    <w:rsid w:val="00A52160"/>
    <w:rsid w:val="00A52431"/>
    <w:rsid w:val="00A52C17"/>
    <w:rsid w:val="00A53AA2"/>
    <w:rsid w:val="00A53BE6"/>
    <w:rsid w:val="00A54654"/>
    <w:rsid w:val="00A549C5"/>
    <w:rsid w:val="00A54E2F"/>
    <w:rsid w:val="00A56923"/>
    <w:rsid w:val="00A5762B"/>
    <w:rsid w:val="00A608C3"/>
    <w:rsid w:val="00A62E42"/>
    <w:rsid w:val="00A64523"/>
    <w:rsid w:val="00A64A71"/>
    <w:rsid w:val="00A64D7A"/>
    <w:rsid w:val="00A653AE"/>
    <w:rsid w:val="00A655C1"/>
    <w:rsid w:val="00A65722"/>
    <w:rsid w:val="00A65F97"/>
    <w:rsid w:val="00A66161"/>
    <w:rsid w:val="00A66702"/>
    <w:rsid w:val="00A67A89"/>
    <w:rsid w:val="00A7024C"/>
    <w:rsid w:val="00A70CFB"/>
    <w:rsid w:val="00A71E0B"/>
    <w:rsid w:val="00A7236C"/>
    <w:rsid w:val="00A72960"/>
    <w:rsid w:val="00A72D8F"/>
    <w:rsid w:val="00A74815"/>
    <w:rsid w:val="00A748BB"/>
    <w:rsid w:val="00A75D11"/>
    <w:rsid w:val="00A75D93"/>
    <w:rsid w:val="00A761CC"/>
    <w:rsid w:val="00A7760D"/>
    <w:rsid w:val="00A824BE"/>
    <w:rsid w:val="00A82806"/>
    <w:rsid w:val="00A82D7A"/>
    <w:rsid w:val="00A83451"/>
    <w:rsid w:val="00A83C0B"/>
    <w:rsid w:val="00A849BE"/>
    <w:rsid w:val="00A84E3C"/>
    <w:rsid w:val="00A8506A"/>
    <w:rsid w:val="00A85DF2"/>
    <w:rsid w:val="00A85FC0"/>
    <w:rsid w:val="00A861B7"/>
    <w:rsid w:val="00A8654A"/>
    <w:rsid w:val="00A87382"/>
    <w:rsid w:val="00A87D11"/>
    <w:rsid w:val="00A906B8"/>
    <w:rsid w:val="00A90C35"/>
    <w:rsid w:val="00A91786"/>
    <w:rsid w:val="00A91A74"/>
    <w:rsid w:val="00A91B28"/>
    <w:rsid w:val="00A9270C"/>
    <w:rsid w:val="00A93401"/>
    <w:rsid w:val="00A94459"/>
    <w:rsid w:val="00A94F75"/>
    <w:rsid w:val="00A95673"/>
    <w:rsid w:val="00A95B9F"/>
    <w:rsid w:val="00A9640D"/>
    <w:rsid w:val="00A9695B"/>
    <w:rsid w:val="00A97160"/>
    <w:rsid w:val="00A971FF"/>
    <w:rsid w:val="00A97349"/>
    <w:rsid w:val="00AA0396"/>
    <w:rsid w:val="00AA08C8"/>
    <w:rsid w:val="00AA0C26"/>
    <w:rsid w:val="00AA2823"/>
    <w:rsid w:val="00AA65ED"/>
    <w:rsid w:val="00AA6C90"/>
    <w:rsid w:val="00AA7A9A"/>
    <w:rsid w:val="00AB08AB"/>
    <w:rsid w:val="00AB0B47"/>
    <w:rsid w:val="00AB0CCA"/>
    <w:rsid w:val="00AB13DC"/>
    <w:rsid w:val="00AB20DF"/>
    <w:rsid w:val="00AB2C75"/>
    <w:rsid w:val="00AB2D45"/>
    <w:rsid w:val="00AB2ED1"/>
    <w:rsid w:val="00AB2F42"/>
    <w:rsid w:val="00AB3296"/>
    <w:rsid w:val="00AB51D5"/>
    <w:rsid w:val="00AB6F09"/>
    <w:rsid w:val="00AB71E4"/>
    <w:rsid w:val="00AC15EC"/>
    <w:rsid w:val="00AC19CC"/>
    <w:rsid w:val="00AC292D"/>
    <w:rsid w:val="00AC3196"/>
    <w:rsid w:val="00AC3AD9"/>
    <w:rsid w:val="00AC4065"/>
    <w:rsid w:val="00AC481F"/>
    <w:rsid w:val="00AC5340"/>
    <w:rsid w:val="00AC610C"/>
    <w:rsid w:val="00AC6912"/>
    <w:rsid w:val="00AC6967"/>
    <w:rsid w:val="00AC6FAF"/>
    <w:rsid w:val="00AC71D2"/>
    <w:rsid w:val="00AC75E2"/>
    <w:rsid w:val="00AD01D3"/>
    <w:rsid w:val="00AD041B"/>
    <w:rsid w:val="00AD1658"/>
    <w:rsid w:val="00AD174A"/>
    <w:rsid w:val="00AD218B"/>
    <w:rsid w:val="00AD2706"/>
    <w:rsid w:val="00AD3D52"/>
    <w:rsid w:val="00AD4824"/>
    <w:rsid w:val="00AD5613"/>
    <w:rsid w:val="00AD60CC"/>
    <w:rsid w:val="00AD6EB8"/>
    <w:rsid w:val="00AD7CEE"/>
    <w:rsid w:val="00AD7FC2"/>
    <w:rsid w:val="00AE2F90"/>
    <w:rsid w:val="00AE34F0"/>
    <w:rsid w:val="00AE3F1C"/>
    <w:rsid w:val="00AE453A"/>
    <w:rsid w:val="00AE4C97"/>
    <w:rsid w:val="00AE618D"/>
    <w:rsid w:val="00AE7FF5"/>
    <w:rsid w:val="00AF09E7"/>
    <w:rsid w:val="00AF1A25"/>
    <w:rsid w:val="00AF2FAA"/>
    <w:rsid w:val="00AF3A6F"/>
    <w:rsid w:val="00AF449B"/>
    <w:rsid w:val="00AF45BA"/>
    <w:rsid w:val="00AF4A1E"/>
    <w:rsid w:val="00AF6AE9"/>
    <w:rsid w:val="00AF6C95"/>
    <w:rsid w:val="00AF6DAD"/>
    <w:rsid w:val="00AF76D1"/>
    <w:rsid w:val="00AF7E15"/>
    <w:rsid w:val="00B00494"/>
    <w:rsid w:val="00B00BBA"/>
    <w:rsid w:val="00B01C93"/>
    <w:rsid w:val="00B03DD6"/>
    <w:rsid w:val="00B04261"/>
    <w:rsid w:val="00B0460E"/>
    <w:rsid w:val="00B0552A"/>
    <w:rsid w:val="00B06ADB"/>
    <w:rsid w:val="00B079CC"/>
    <w:rsid w:val="00B10B54"/>
    <w:rsid w:val="00B111E8"/>
    <w:rsid w:val="00B11C5D"/>
    <w:rsid w:val="00B125AA"/>
    <w:rsid w:val="00B14C4C"/>
    <w:rsid w:val="00B160F8"/>
    <w:rsid w:val="00B1639B"/>
    <w:rsid w:val="00B16F37"/>
    <w:rsid w:val="00B17817"/>
    <w:rsid w:val="00B20789"/>
    <w:rsid w:val="00B207CA"/>
    <w:rsid w:val="00B20BED"/>
    <w:rsid w:val="00B20BFD"/>
    <w:rsid w:val="00B21246"/>
    <w:rsid w:val="00B214C6"/>
    <w:rsid w:val="00B22120"/>
    <w:rsid w:val="00B22D7D"/>
    <w:rsid w:val="00B234EF"/>
    <w:rsid w:val="00B24FFE"/>
    <w:rsid w:val="00B25398"/>
    <w:rsid w:val="00B2566C"/>
    <w:rsid w:val="00B26231"/>
    <w:rsid w:val="00B26A09"/>
    <w:rsid w:val="00B26E03"/>
    <w:rsid w:val="00B27955"/>
    <w:rsid w:val="00B27B80"/>
    <w:rsid w:val="00B27F51"/>
    <w:rsid w:val="00B30242"/>
    <w:rsid w:val="00B3086F"/>
    <w:rsid w:val="00B31512"/>
    <w:rsid w:val="00B315FC"/>
    <w:rsid w:val="00B31CAD"/>
    <w:rsid w:val="00B33BE5"/>
    <w:rsid w:val="00B34C9D"/>
    <w:rsid w:val="00B352ED"/>
    <w:rsid w:val="00B3583B"/>
    <w:rsid w:val="00B36F30"/>
    <w:rsid w:val="00B37A8F"/>
    <w:rsid w:val="00B406A1"/>
    <w:rsid w:val="00B40AF7"/>
    <w:rsid w:val="00B41489"/>
    <w:rsid w:val="00B41C34"/>
    <w:rsid w:val="00B4247B"/>
    <w:rsid w:val="00B432A0"/>
    <w:rsid w:val="00B436A9"/>
    <w:rsid w:val="00B43A9A"/>
    <w:rsid w:val="00B44197"/>
    <w:rsid w:val="00B46C69"/>
    <w:rsid w:val="00B50C71"/>
    <w:rsid w:val="00B5109A"/>
    <w:rsid w:val="00B52DD6"/>
    <w:rsid w:val="00B53147"/>
    <w:rsid w:val="00B54A7A"/>
    <w:rsid w:val="00B55154"/>
    <w:rsid w:val="00B558F9"/>
    <w:rsid w:val="00B55B04"/>
    <w:rsid w:val="00B576B8"/>
    <w:rsid w:val="00B60689"/>
    <w:rsid w:val="00B60F0C"/>
    <w:rsid w:val="00B61039"/>
    <w:rsid w:val="00B62154"/>
    <w:rsid w:val="00B63B34"/>
    <w:rsid w:val="00B65347"/>
    <w:rsid w:val="00B65587"/>
    <w:rsid w:val="00B65596"/>
    <w:rsid w:val="00B65BB0"/>
    <w:rsid w:val="00B65BFD"/>
    <w:rsid w:val="00B65DE1"/>
    <w:rsid w:val="00B65F26"/>
    <w:rsid w:val="00B66EE7"/>
    <w:rsid w:val="00B700A8"/>
    <w:rsid w:val="00B72050"/>
    <w:rsid w:val="00B72AF0"/>
    <w:rsid w:val="00B731D4"/>
    <w:rsid w:val="00B737EB"/>
    <w:rsid w:val="00B73DA7"/>
    <w:rsid w:val="00B7649C"/>
    <w:rsid w:val="00B764B0"/>
    <w:rsid w:val="00B769E3"/>
    <w:rsid w:val="00B771DC"/>
    <w:rsid w:val="00B775EE"/>
    <w:rsid w:val="00B776AE"/>
    <w:rsid w:val="00B800B4"/>
    <w:rsid w:val="00B80EDC"/>
    <w:rsid w:val="00B815B1"/>
    <w:rsid w:val="00B821A5"/>
    <w:rsid w:val="00B821C1"/>
    <w:rsid w:val="00B833EC"/>
    <w:rsid w:val="00B8595F"/>
    <w:rsid w:val="00B875EC"/>
    <w:rsid w:val="00B87927"/>
    <w:rsid w:val="00B87C90"/>
    <w:rsid w:val="00B87D7F"/>
    <w:rsid w:val="00B87DF1"/>
    <w:rsid w:val="00B87E10"/>
    <w:rsid w:val="00B902C4"/>
    <w:rsid w:val="00B90F8F"/>
    <w:rsid w:val="00B91234"/>
    <w:rsid w:val="00B917BA"/>
    <w:rsid w:val="00B92540"/>
    <w:rsid w:val="00B9283C"/>
    <w:rsid w:val="00B92BC1"/>
    <w:rsid w:val="00B9417D"/>
    <w:rsid w:val="00B946B7"/>
    <w:rsid w:val="00B96704"/>
    <w:rsid w:val="00BA0F03"/>
    <w:rsid w:val="00BA1F27"/>
    <w:rsid w:val="00BA2A3B"/>
    <w:rsid w:val="00BA5890"/>
    <w:rsid w:val="00BA618D"/>
    <w:rsid w:val="00BA61AA"/>
    <w:rsid w:val="00BA6E83"/>
    <w:rsid w:val="00BB00F3"/>
    <w:rsid w:val="00BB18BB"/>
    <w:rsid w:val="00BB2C5B"/>
    <w:rsid w:val="00BB3223"/>
    <w:rsid w:val="00BB36E4"/>
    <w:rsid w:val="00BB3D41"/>
    <w:rsid w:val="00BB49F3"/>
    <w:rsid w:val="00BB4DD6"/>
    <w:rsid w:val="00BB5189"/>
    <w:rsid w:val="00BB5766"/>
    <w:rsid w:val="00BB5943"/>
    <w:rsid w:val="00BB5CFC"/>
    <w:rsid w:val="00BB6116"/>
    <w:rsid w:val="00BB69C4"/>
    <w:rsid w:val="00BB6E72"/>
    <w:rsid w:val="00BC19D4"/>
    <w:rsid w:val="00BC32C9"/>
    <w:rsid w:val="00BC34F8"/>
    <w:rsid w:val="00BC3505"/>
    <w:rsid w:val="00BC39F4"/>
    <w:rsid w:val="00BC40C1"/>
    <w:rsid w:val="00BC4123"/>
    <w:rsid w:val="00BC4124"/>
    <w:rsid w:val="00BC448A"/>
    <w:rsid w:val="00BC592E"/>
    <w:rsid w:val="00BC6813"/>
    <w:rsid w:val="00BC6E69"/>
    <w:rsid w:val="00BC79FF"/>
    <w:rsid w:val="00BD02AF"/>
    <w:rsid w:val="00BD11F8"/>
    <w:rsid w:val="00BD14D8"/>
    <w:rsid w:val="00BD1E0B"/>
    <w:rsid w:val="00BD26AA"/>
    <w:rsid w:val="00BD2B12"/>
    <w:rsid w:val="00BD32A0"/>
    <w:rsid w:val="00BD41F3"/>
    <w:rsid w:val="00BD454F"/>
    <w:rsid w:val="00BD4834"/>
    <w:rsid w:val="00BD4905"/>
    <w:rsid w:val="00BD5271"/>
    <w:rsid w:val="00BD5A81"/>
    <w:rsid w:val="00BD5B22"/>
    <w:rsid w:val="00BD6469"/>
    <w:rsid w:val="00BD730C"/>
    <w:rsid w:val="00BE014A"/>
    <w:rsid w:val="00BE0E55"/>
    <w:rsid w:val="00BE0EBD"/>
    <w:rsid w:val="00BE19B5"/>
    <w:rsid w:val="00BE1D2C"/>
    <w:rsid w:val="00BE25E0"/>
    <w:rsid w:val="00BE261D"/>
    <w:rsid w:val="00BE2F5D"/>
    <w:rsid w:val="00BE51FA"/>
    <w:rsid w:val="00BE5427"/>
    <w:rsid w:val="00BE61FC"/>
    <w:rsid w:val="00BE7EA5"/>
    <w:rsid w:val="00BF05BB"/>
    <w:rsid w:val="00BF062E"/>
    <w:rsid w:val="00BF14F6"/>
    <w:rsid w:val="00BF2C2D"/>
    <w:rsid w:val="00BF4D96"/>
    <w:rsid w:val="00BF4F36"/>
    <w:rsid w:val="00BF5CF2"/>
    <w:rsid w:val="00BF60ED"/>
    <w:rsid w:val="00BF6827"/>
    <w:rsid w:val="00BF6F65"/>
    <w:rsid w:val="00C004A3"/>
    <w:rsid w:val="00C01DCC"/>
    <w:rsid w:val="00C031D7"/>
    <w:rsid w:val="00C0349E"/>
    <w:rsid w:val="00C03A0E"/>
    <w:rsid w:val="00C04540"/>
    <w:rsid w:val="00C04B3D"/>
    <w:rsid w:val="00C05C45"/>
    <w:rsid w:val="00C06816"/>
    <w:rsid w:val="00C06930"/>
    <w:rsid w:val="00C072B6"/>
    <w:rsid w:val="00C10E48"/>
    <w:rsid w:val="00C1184B"/>
    <w:rsid w:val="00C1597D"/>
    <w:rsid w:val="00C17B16"/>
    <w:rsid w:val="00C17DB5"/>
    <w:rsid w:val="00C202B3"/>
    <w:rsid w:val="00C206A2"/>
    <w:rsid w:val="00C20A76"/>
    <w:rsid w:val="00C210F1"/>
    <w:rsid w:val="00C213BB"/>
    <w:rsid w:val="00C21EE0"/>
    <w:rsid w:val="00C23CD3"/>
    <w:rsid w:val="00C24B97"/>
    <w:rsid w:val="00C26506"/>
    <w:rsid w:val="00C2774E"/>
    <w:rsid w:val="00C27DB5"/>
    <w:rsid w:val="00C30167"/>
    <w:rsid w:val="00C30297"/>
    <w:rsid w:val="00C316FA"/>
    <w:rsid w:val="00C326ED"/>
    <w:rsid w:val="00C336D6"/>
    <w:rsid w:val="00C34AE3"/>
    <w:rsid w:val="00C34C71"/>
    <w:rsid w:val="00C35164"/>
    <w:rsid w:val="00C3776E"/>
    <w:rsid w:val="00C4018F"/>
    <w:rsid w:val="00C4174A"/>
    <w:rsid w:val="00C428D2"/>
    <w:rsid w:val="00C43E13"/>
    <w:rsid w:val="00C452ED"/>
    <w:rsid w:val="00C502A9"/>
    <w:rsid w:val="00C50B48"/>
    <w:rsid w:val="00C50FBC"/>
    <w:rsid w:val="00C51EA1"/>
    <w:rsid w:val="00C52675"/>
    <w:rsid w:val="00C5499E"/>
    <w:rsid w:val="00C555AC"/>
    <w:rsid w:val="00C55A40"/>
    <w:rsid w:val="00C563D4"/>
    <w:rsid w:val="00C57F91"/>
    <w:rsid w:val="00C62BB0"/>
    <w:rsid w:val="00C6347D"/>
    <w:rsid w:val="00C64918"/>
    <w:rsid w:val="00C6570D"/>
    <w:rsid w:val="00C65D0A"/>
    <w:rsid w:val="00C6736F"/>
    <w:rsid w:val="00C70914"/>
    <w:rsid w:val="00C70986"/>
    <w:rsid w:val="00C713ED"/>
    <w:rsid w:val="00C72318"/>
    <w:rsid w:val="00C724E6"/>
    <w:rsid w:val="00C72C1E"/>
    <w:rsid w:val="00C747A5"/>
    <w:rsid w:val="00C74A68"/>
    <w:rsid w:val="00C75814"/>
    <w:rsid w:val="00C76602"/>
    <w:rsid w:val="00C80A29"/>
    <w:rsid w:val="00C81E4A"/>
    <w:rsid w:val="00C824B0"/>
    <w:rsid w:val="00C82DF0"/>
    <w:rsid w:val="00C84F9C"/>
    <w:rsid w:val="00C85240"/>
    <w:rsid w:val="00C85314"/>
    <w:rsid w:val="00C8533A"/>
    <w:rsid w:val="00C86070"/>
    <w:rsid w:val="00C86192"/>
    <w:rsid w:val="00C8665C"/>
    <w:rsid w:val="00C87B6D"/>
    <w:rsid w:val="00C87DF2"/>
    <w:rsid w:val="00C901BF"/>
    <w:rsid w:val="00C9086A"/>
    <w:rsid w:val="00C90D4B"/>
    <w:rsid w:val="00C91F93"/>
    <w:rsid w:val="00C94BFB"/>
    <w:rsid w:val="00C94E5D"/>
    <w:rsid w:val="00C95204"/>
    <w:rsid w:val="00C95597"/>
    <w:rsid w:val="00C95E27"/>
    <w:rsid w:val="00C96075"/>
    <w:rsid w:val="00C964E0"/>
    <w:rsid w:val="00C97AFB"/>
    <w:rsid w:val="00CA0116"/>
    <w:rsid w:val="00CA0766"/>
    <w:rsid w:val="00CA391B"/>
    <w:rsid w:val="00CA3ADC"/>
    <w:rsid w:val="00CA47A7"/>
    <w:rsid w:val="00CA498E"/>
    <w:rsid w:val="00CA4BC0"/>
    <w:rsid w:val="00CA5CA8"/>
    <w:rsid w:val="00CA60D2"/>
    <w:rsid w:val="00CA6F5A"/>
    <w:rsid w:val="00CB0157"/>
    <w:rsid w:val="00CB0366"/>
    <w:rsid w:val="00CB0CA1"/>
    <w:rsid w:val="00CB0EC3"/>
    <w:rsid w:val="00CB1717"/>
    <w:rsid w:val="00CB1CA8"/>
    <w:rsid w:val="00CB203D"/>
    <w:rsid w:val="00CB28E9"/>
    <w:rsid w:val="00CB41C5"/>
    <w:rsid w:val="00CB5205"/>
    <w:rsid w:val="00CB62C5"/>
    <w:rsid w:val="00CB6566"/>
    <w:rsid w:val="00CB682C"/>
    <w:rsid w:val="00CB72A0"/>
    <w:rsid w:val="00CC11EA"/>
    <w:rsid w:val="00CC11EF"/>
    <w:rsid w:val="00CC202A"/>
    <w:rsid w:val="00CC3311"/>
    <w:rsid w:val="00CC38AC"/>
    <w:rsid w:val="00CC4689"/>
    <w:rsid w:val="00CC47BA"/>
    <w:rsid w:val="00CC559D"/>
    <w:rsid w:val="00CC5F46"/>
    <w:rsid w:val="00CC69E7"/>
    <w:rsid w:val="00CC757D"/>
    <w:rsid w:val="00CD0C13"/>
    <w:rsid w:val="00CD1507"/>
    <w:rsid w:val="00CD1531"/>
    <w:rsid w:val="00CD1899"/>
    <w:rsid w:val="00CD1E4E"/>
    <w:rsid w:val="00CD3066"/>
    <w:rsid w:val="00CD3453"/>
    <w:rsid w:val="00CD385A"/>
    <w:rsid w:val="00CD4029"/>
    <w:rsid w:val="00CD544D"/>
    <w:rsid w:val="00CD654B"/>
    <w:rsid w:val="00CD74A8"/>
    <w:rsid w:val="00CE07D2"/>
    <w:rsid w:val="00CE1454"/>
    <w:rsid w:val="00CE2112"/>
    <w:rsid w:val="00CE223E"/>
    <w:rsid w:val="00CE290C"/>
    <w:rsid w:val="00CE331C"/>
    <w:rsid w:val="00CE3E92"/>
    <w:rsid w:val="00CE438C"/>
    <w:rsid w:val="00CE47CB"/>
    <w:rsid w:val="00CE4C83"/>
    <w:rsid w:val="00CE5CEF"/>
    <w:rsid w:val="00CE6B08"/>
    <w:rsid w:val="00CF002F"/>
    <w:rsid w:val="00CF161F"/>
    <w:rsid w:val="00CF1BE1"/>
    <w:rsid w:val="00CF34EB"/>
    <w:rsid w:val="00CF392D"/>
    <w:rsid w:val="00CF3F0D"/>
    <w:rsid w:val="00CF4A29"/>
    <w:rsid w:val="00CF5CA2"/>
    <w:rsid w:val="00CF6524"/>
    <w:rsid w:val="00CF7691"/>
    <w:rsid w:val="00D00AEF"/>
    <w:rsid w:val="00D0116D"/>
    <w:rsid w:val="00D0128F"/>
    <w:rsid w:val="00D019AF"/>
    <w:rsid w:val="00D019FB"/>
    <w:rsid w:val="00D024EB"/>
    <w:rsid w:val="00D02F9F"/>
    <w:rsid w:val="00D037BD"/>
    <w:rsid w:val="00D04564"/>
    <w:rsid w:val="00D05A20"/>
    <w:rsid w:val="00D05FEB"/>
    <w:rsid w:val="00D06379"/>
    <w:rsid w:val="00D06414"/>
    <w:rsid w:val="00D065F7"/>
    <w:rsid w:val="00D06B75"/>
    <w:rsid w:val="00D07488"/>
    <w:rsid w:val="00D07982"/>
    <w:rsid w:val="00D07DF2"/>
    <w:rsid w:val="00D101F7"/>
    <w:rsid w:val="00D107E8"/>
    <w:rsid w:val="00D10DEC"/>
    <w:rsid w:val="00D122EA"/>
    <w:rsid w:val="00D1235C"/>
    <w:rsid w:val="00D135C6"/>
    <w:rsid w:val="00D13CF2"/>
    <w:rsid w:val="00D145F5"/>
    <w:rsid w:val="00D14E57"/>
    <w:rsid w:val="00D150A9"/>
    <w:rsid w:val="00D161D4"/>
    <w:rsid w:val="00D16C5E"/>
    <w:rsid w:val="00D17E8D"/>
    <w:rsid w:val="00D20056"/>
    <w:rsid w:val="00D20659"/>
    <w:rsid w:val="00D23187"/>
    <w:rsid w:val="00D23A0A"/>
    <w:rsid w:val="00D24E9F"/>
    <w:rsid w:val="00D25C11"/>
    <w:rsid w:val="00D26D8A"/>
    <w:rsid w:val="00D26F5E"/>
    <w:rsid w:val="00D27B5F"/>
    <w:rsid w:val="00D27FCB"/>
    <w:rsid w:val="00D30B61"/>
    <w:rsid w:val="00D31425"/>
    <w:rsid w:val="00D316A1"/>
    <w:rsid w:val="00D329F1"/>
    <w:rsid w:val="00D336E7"/>
    <w:rsid w:val="00D33D92"/>
    <w:rsid w:val="00D33EBD"/>
    <w:rsid w:val="00D3498C"/>
    <w:rsid w:val="00D355F0"/>
    <w:rsid w:val="00D35690"/>
    <w:rsid w:val="00D379E2"/>
    <w:rsid w:val="00D4108B"/>
    <w:rsid w:val="00D41B14"/>
    <w:rsid w:val="00D42C76"/>
    <w:rsid w:val="00D42CB0"/>
    <w:rsid w:val="00D4343D"/>
    <w:rsid w:val="00D435C7"/>
    <w:rsid w:val="00D439DF"/>
    <w:rsid w:val="00D43AC8"/>
    <w:rsid w:val="00D4651B"/>
    <w:rsid w:val="00D50879"/>
    <w:rsid w:val="00D5120C"/>
    <w:rsid w:val="00D5140F"/>
    <w:rsid w:val="00D51472"/>
    <w:rsid w:val="00D51504"/>
    <w:rsid w:val="00D51610"/>
    <w:rsid w:val="00D51C80"/>
    <w:rsid w:val="00D5204D"/>
    <w:rsid w:val="00D52545"/>
    <w:rsid w:val="00D52B96"/>
    <w:rsid w:val="00D53650"/>
    <w:rsid w:val="00D53B9C"/>
    <w:rsid w:val="00D54B14"/>
    <w:rsid w:val="00D54E8A"/>
    <w:rsid w:val="00D556A7"/>
    <w:rsid w:val="00D56113"/>
    <w:rsid w:val="00D562D5"/>
    <w:rsid w:val="00D56CE8"/>
    <w:rsid w:val="00D633BC"/>
    <w:rsid w:val="00D643F4"/>
    <w:rsid w:val="00D64775"/>
    <w:rsid w:val="00D64EB3"/>
    <w:rsid w:val="00D64F41"/>
    <w:rsid w:val="00D65075"/>
    <w:rsid w:val="00D654EB"/>
    <w:rsid w:val="00D6591D"/>
    <w:rsid w:val="00D678BC"/>
    <w:rsid w:val="00D7179C"/>
    <w:rsid w:val="00D718EF"/>
    <w:rsid w:val="00D727EF"/>
    <w:rsid w:val="00D738C8"/>
    <w:rsid w:val="00D73B89"/>
    <w:rsid w:val="00D7438E"/>
    <w:rsid w:val="00D74B05"/>
    <w:rsid w:val="00D800AC"/>
    <w:rsid w:val="00D80E55"/>
    <w:rsid w:val="00D81ACE"/>
    <w:rsid w:val="00D825A2"/>
    <w:rsid w:val="00D82750"/>
    <w:rsid w:val="00D833D9"/>
    <w:rsid w:val="00D83BD9"/>
    <w:rsid w:val="00D8459A"/>
    <w:rsid w:val="00D84600"/>
    <w:rsid w:val="00D84F15"/>
    <w:rsid w:val="00D8733E"/>
    <w:rsid w:val="00D874CB"/>
    <w:rsid w:val="00D87B24"/>
    <w:rsid w:val="00D87C42"/>
    <w:rsid w:val="00D87F4F"/>
    <w:rsid w:val="00D9051B"/>
    <w:rsid w:val="00D9143B"/>
    <w:rsid w:val="00D93033"/>
    <w:rsid w:val="00D94DCF"/>
    <w:rsid w:val="00D94EAE"/>
    <w:rsid w:val="00DA2711"/>
    <w:rsid w:val="00DA3440"/>
    <w:rsid w:val="00DA4986"/>
    <w:rsid w:val="00DA4E5C"/>
    <w:rsid w:val="00DA586F"/>
    <w:rsid w:val="00DA7D6A"/>
    <w:rsid w:val="00DB06DA"/>
    <w:rsid w:val="00DB08DA"/>
    <w:rsid w:val="00DB0B26"/>
    <w:rsid w:val="00DB130A"/>
    <w:rsid w:val="00DB2186"/>
    <w:rsid w:val="00DB27E3"/>
    <w:rsid w:val="00DB3CB8"/>
    <w:rsid w:val="00DB42C7"/>
    <w:rsid w:val="00DB5657"/>
    <w:rsid w:val="00DB5C5F"/>
    <w:rsid w:val="00DB5CBB"/>
    <w:rsid w:val="00DB5F18"/>
    <w:rsid w:val="00DB7079"/>
    <w:rsid w:val="00DB725B"/>
    <w:rsid w:val="00DB78AA"/>
    <w:rsid w:val="00DB7D40"/>
    <w:rsid w:val="00DB7F09"/>
    <w:rsid w:val="00DC00E8"/>
    <w:rsid w:val="00DC1C56"/>
    <w:rsid w:val="00DC1DDD"/>
    <w:rsid w:val="00DC2713"/>
    <w:rsid w:val="00DC29F1"/>
    <w:rsid w:val="00DC2C64"/>
    <w:rsid w:val="00DC4186"/>
    <w:rsid w:val="00DC4274"/>
    <w:rsid w:val="00DC4517"/>
    <w:rsid w:val="00DC4756"/>
    <w:rsid w:val="00DC6379"/>
    <w:rsid w:val="00DC6505"/>
    <w:rsid w:val="00DC6AAD"/>
    <w:rsid w:val="00DC7182"/>
    <w:rsid w:val="00DC71EA"/>
    <w:rsid w:val="00DC75CC"/>
    <w:rsid w:val="00DC7F99"/>
    <w:rsid w:val="00DD01D2"/>
    <w:rsid w:val="00DD1A9B"/>
    <w:rsid w:val="00DD1B1D"/>
    <w:rsid w:val="00DD2704"/>
    <w:rsid w:val="00DD30FA"/>
    <w:rsid w:val="00DD336F"/>
    <w:rsid w:val="00DD37D6"/>
    <w:rsid w:val="00DD3F3A"/>
    <w:rsid w:val="00DD7265"/>
    <w:rsid w:val="00DD7553"/>
    <w:rsid w:val="00DD76BE"/>
    <w:rsid w:val="00DD7E97"/>
    <w:rsid w:val="00DE2763"/>
    <w:rsid w:val="00DE2941"/>
    <w:rsid w:val="00DE2CA7"/>
    <w:rsid w:val="00DE2CB3"/>
    <w:rsid w:val="00DE3A53"/>
    <w:rsid w:val="00DE3C77"/>
    <w:rsid w:val="00DE4C84"/>
    <w:rsid w:val="00DE4E8D"/>
    <w:rsid w:val="00DE56BE"/>
    <w:rsid w:val="00DE5AA6"/>
    <w:rsid w:val="00DE68B6"/>
    <w:rsid w:val="00DE6D21"/>
    <w:rsid w:val="00DE6E2D"/>
    <w:rsid w:val="00DE70F1"/>
    <w:rsid w:val="00DF0D51"/>
    <w:rsid w:val="00DF2001"/>
    <w:rsid w:val="00DF39DA"/>
    <w:rsid w:val="00DF42C5"/>
    <w:rsid w:val="00DF5766"/>
    <w:rsid w:val="00DF6167"/>
    <w:rsid w:val="00DF61C0"/>
    <w:rsid w:val="00DF61F5"/>
    <w:rsid w:val="00DF6F61"/>
    <w:rsid w:val="00E00443"/>
    <w:rsid w:val="00E00A1B"/>
    <w:rsid w:val="00E01325"/>
    <w:rsid w:val="00E02CCC"/>
    <w:rsid w:val="00E02F96"/>
    <w:rsid w:val="00E033D4"/>
    <w:rsid w:val="00E03C68"/>
    <w:rsid w:val="00E0560C"/>
    <w:rsid w:val="00E061DE"/>
    <w:rsid w:val="00E062C0"/>
    <w:rsid w:val="00E06C74"/>
    <w:rsid w:val="00E101C6"/>
    <w:rsid w:val="00E10FB9"/>
    <w:rsid w:val="00E118D4"/>
    <w:rsid w:val="00E12D02"/>
    <w:rsid w:val="00E13835"/>
    <w:rsid w:val="00E1393B"/>
    <w:rsid w:val="00E1395F"/>
    <w:rsid w:val="00E14DF9"/>
    <w:rsid w:val="00E161B8"/>
    <w:rsid w:val="00E1684E"/>
    <w:rsid w:val="00E16FB7"/>
    <w:rsid w:val="00E173F7"/>
    <w:rsid w:val="00E20893"/>
    <w:rsid w:val="00E20B06"/>
    <w:rsid w:val="00E21C28"/>
    <w:rsid w:val="00E221D2"/>
    <w:rsid w:val="00E2267A"/>
    <w:rsid w:val="00E22C80"/>
    <w:rsid w:val="00E22D51"/>
    <w:rsid w:val="00E22DF6"/>
    <w:rsid w:val="00E238B0"/>
    <w:rsid w:val="00E2443E"/>
    <w:rsid w:val="00E25D6A"/>
    <w:rsid w:val="00E30322"/>
    <w:rsid w:val="00E3110A"/>
    <w:rsid w:val="00E3137B"/>
    <w:rsid w:val="00E31903"/>
    <w:rsid w:val="00E3198A"/>
    <w:rsid w:val="00E31F1C"/>
    <w:rsid w:val="00E336CF"/>
    <w:rsid w:val="00E349A7"/>
    <w:rsid w:val="00E34B52"/>
    <w:rsid w:val="00E34DF2"/>
    <w:rsid w:val="00E357EB"/>
    <w:rsid w:val="00E36E18"/>
    <w:rsid w:val="00E37839"/>
    <w:rsid w:val="00E3792A"/>
    <w:rsid w:val="00E37E47"/>
    <w:rsid w:val="00E400F3"/>
    <w:rsid w:val="00E40265"/>
    <w:rsid w:val="00E4059D"/>
    <w:rsid w:val="00E413AF"/>
    <w:rsid w:val="00E41C28"/>
    <w:rsid w:val="00E43C9F"/>
    <w:rsid w:val="00E44038"/>
    <w:rsid w:val="00E454FF"/>
    <w:rsid w:val="00E45521"/>
    <w:rsid w:val="00E461C7"/>
    <w:rsid w:val="00E473C3"/>
    <w:rsid w:val="00E50E7C"/>
    <w:rsid w:val="00E51545"/>
    <w:rsid w:val="00E51D9E"/>
    <w:rsid w:val="00E520A5"/>
    <w:rsid w:val="00E52B44"/>
    <w:rsid w:val="00E52FDD"/>
    <w:rsid w:val="00E534B9"/>
    <w:rsid w:val="00E537D1"/>
    <w:rsid w:val="00E538E9"/>
    <w:rsid w:val="00E53A17"/>
    <w:rsid w:val="00E54C64"/>
    <w:rsid w:val="00E55534"/>
    <w:rsid w:val="00E558F4"/>
    <w:rsid w:val="00E567E6"/>
    <w:rsid w:val="00E56861"/>
    <w:rsid w:val="00E56971"/>
    <w:rsid w:val="00E607D9"/>
    <w:rsid w:val="00E61484"/>
    <w:rsid w:val="00E61FA2"/>
    <w:rsid w:val="00E65238"/>
    <w:rsid w:val="00E65BD7"/>
    <w:rsid w:val="00E65F32"/>
    <w:rsid w:val="00E6663D"/>
    <w:rsid w:val="00E6689E"/>
    <w:rsid w:val="00E677D5"/>
    <w:rsid w:val="00E7017C"/>
    <w:rsid w:val="00E711D7"/>
    <w:rsid w:val="00E71D0C"/>
    <w:rsid w:val="00E72B0B"/>
    <w:rsid w:val="00E733D5"/>
    <w:rsid w:val="00E74630"/>
    <w:rsid w:val="00E76444"/>
    <w:rsid w:val="00E769CE"/>
    <w:rsid w:val="00E76D79"/>
    <w:rsid w:val="00E80053"/>
    <w:rsid w:val="00E80205"/>
    <w:rsid w:val="00E809C9"/>
    <w:rsid w:val="00E80C73"/>
    <w:rsid w:val="00E815E1"/>
    <w:rsid w:val="00E82EC5"/>
    <w:rsid w:val="00E83380"/>
    <w:rsid w:val="00E8392B"/>
    <w:rsid w:val="00E843C8"/>
    <w:rsid w:val="00E847C8"/>
    <w:rsid w:val="00E855B3"/>
    <w:rsid w:val="00E86F1D"/>
    <w:rsid w:val="00E87466"/>
    <w:rsid w:val="00E879F1"/>
    <w:rsid w:val="00E902B0"/>
    <w:rsid w:val="00E902E8"/>
    <w:rsid w:val="00E908F0"/>
    <w:rsid w:val="00E90C2C"/>
    <w:rsid w:val="00E90CEB"/>
    <w:rsid w:val="00E90E0A"/>
    <w:rsid w:val="00E9173C"/>
    <w:rsid w:val="00E9296B"/>
    <w:rsid w:val="00E9299F"/>
    <w:rsid w:val="00E92F03"/>
    <w:rsid w:val="00E93EB4"/>
    <w:rsid w:val="00E955AB"/>
    <w:rsid w:val="00E95738"/>
    <w:rsid w:val="00E95BEF"/>
    <w:rsid w:val="00E96389"/>
    <w:rsid w:val="00E97A7C"/>
    <w:rsid w:val="00E97C19"/>
    <w:rsid w:val="00EA07EA"/>
    <w:rsid w:val="00EA0BAC"/>
    <w:rsid w:val="00EA1321"/>
    <w:rsid w:val="00EA15B6"/>
    <w:rsid w:val="00EA1AE3"/>
    <w:rsid w:val="00EA23AC"/>
    <w:rsid w:val="00EA28B7"/>
    <w:rsid w:val="00EA398F"/>
    <w:rsid w:val="00EA613A"/>
    <w:rsid w:val="00EA620A"/>
    <w:rsid w:val="00EA6791"/>
    <w:rsid w:val="00EA7C3D"/>
    <w:rsid w:val="00EB028F"/>
    <w:rsid w:val="00EB0667"/>
    <w:rsid w:val="00EB20C8"/>
    <w:rsid w:val="00EB24C6"/>
    <w:rsid w:val="00EB2CE3"/>
    <w:rsid w:val="00EB2E8A"/>
    <w:rsid w:val="00EB3E91"/>
    <w:rsid w:val="00EB4A3E"/>
    <w:rsid w:val="00EB4B0B"/>
    <w:rsid w:val="00EB5A25"/>
    <w:rsid w:val="00EB6059"/>
    <w:rsid w:val="00EB63DC"/>
    <w:rsid w:val="00EB6878"/>
    <w:rsid w:val="00EB74F6"/>
    <w:rsid w:val="00EB76D8"/>
    <w:rsid w:val="00EB77CF"/>
    <w:rsid w:val="00EC12EB"/>
    <w:rsid w:val="00EC1510"/>
    <w:rsid w:val="00EC1E0E"/>
    <w:rsid w:val="00EC236D"/>
    <w:rsid w:val="00EC2643"/>
    <w:rsid w:val="00EC2D24"/>
    <w:rsid w:val="00EC4096"/>
    <w:rsid w:val="00EC4AB8"/>
    <w:rsid w:val="00EC52D8"/>
    <w:rsid w:val="00EC6313"/>
    <w:rsid w:val="00EC6411"/>
    <w:rsid w:val="00EC6B16"/>
    <w:rsid w:val="00ED04C8"/>
    <w:rsid w:val="00ED09D9"/>
    <w:rsid w:val="00ED0CC4"/>
    <w:rsid w:val="00ED0E52"/>
    <w:rsid w:val="00ED0F00"/>
    <w:rsid w:val="00ED27A1"/>
    <w:rsid w:val="00ED30B6"/>
    <w:rsid w:val="00ED3ABC"/>
    <w:rsid w:val="00ED5A20"/>
    <w:rsid w:val="00ED695A"/>
    <w:rsid w:val="00ED6E98"/>
    <w:rsid w:val="00EE0790"/>
    <w:rsid w:val="00EE1447"/>
    <w:rsid w:val="00EE1912"/>
    <w:rsid w:val="00EE19B9"/>
    <w:rsid w:val="00EE1BF1"/>
    <w:rsid w:val="00EE1FE1"/>
    <w:rsid w:val="00EE26CC"/>
    <w:rsid w:val="00EE27EB"/>
    <w:rsid w:val="00EE2BB1"/>
    <w:rsid w:val="00EE33AB"/>
    <w:rsid w:val="00EE4864"/>
    <w:rsid w:val="00EE5F5A"/>
    <w:rsid w:val="00EE746B"/>
    <w:rsid w:val="00EE7744"/>
    <w:rsid w:val="00EF03E1"/>
    <w:rsid w:val="00EF04D4"/>
    <w:rsid w:val="00EF1069"/>
    <w:rsid w:val="00EF145E"/>
    <w:rsid w:val="00EF148C"/>
    <w:rsid w:val="00EF183D"/>
    <w:rsid w:val="00EF27A8"/>
    <w:rsid w:val="00EF2BBB"/>
    <w:rsid w:val="00EF2D2B"/>
    <w:rsid w:val="00EF51DC"/>
    <w:rsid w:val="00EF5715"/>
    <w:rsid w:val="00EF5A86"/>
    <w:rsid w:val="00EF6F5C"/>
    <w:rsid w:val="00EF7C9B"/>
    <w:rsid w:val="00F00528"/>
    <w:rsid w:val="00F0082D"/>
    <w:rsid w:val="00F01559"/>
    <w:rsid w:val="00F015AB"/>
    <w:rsid w:val="00F01CFF"/>
    <w:rsid w:val="00F01EE3"/>
    <w:rsid w:val="00F02A4E"/>
    <w:rsid w:val="00F0349D"/>
    <w:rsid w:val="00F03C51"/>
    <w:rsid w:val="00F045E0"/>
    <w:rsid w:val="00F0537B"/>
    <w:rsid w:val="00F0542B"/>
    <w:rsid w:val="00F056F3"/>
    <w:rsid w:val="00F05AB5"/>
    <w:rsid w:val="00F05CDB"/>
    <w:rsid w:val="00F05ED9"/>
    <w:rsid w:val="00F07A0C"/>
    <w:rsid w:val="00F07C90"/>
    <w:rsid w:val="00F117C9"/>
    <w:rsid w:val="00F1289D"/>
    <w:rsid w:val="00F14476"/>
    <w:rsid w:val="00F146D2"/>
    <w:rsid w:val="00F15414"/>
    <w:rsid w:val="00F15A4D"/>
    <w:rsid w:val="00F16167"/>
    <w:rsid w:val="00F17923"/>
    <w:rsid w:val="00F209E5"/>
    <w:rsid w:val="00F20F8A"/>
    <w:rsid w:val="00F216D8"/>
    <w:rsid w:val="00F21F4D"/>
    <w:rsid w:val="00F2269E"/>
    <w:rsid w:val="00F22FF5"/>
    <w:rsid w:val="00F23091"/>
    <w:rsid w:val="00F264B1"/>
    <w:rsid w:val="00F268A7"/>
    <w:rsid w:val="00F27789"/>
    <w:rsid w:val="00F30377"/>
    <w:rsid w:val="00F304A4"/>
    <w:rsid w:val="00F31A5A"/>
    <w:rsid w:val="00F33DB8"/>
    <w:rsid w:val="00F35E14"/>
    <w:rsid w:val="00F35F4C"/>
    <w:rsid w:val="00F37C46"/>
    <w:rsid w:val="00F41FDE"/>
    <w:rsid w:val="00F42503"/>
    <w:rsid w:val="00F42C79"/>
    <w:rsid w:val="00F4334D"/>
    <w:rsid w:val="00F43A08"/>
    <w:rsid w:val="00F44DD6"/>
    <w:rsid w:val="00F45046"/>
    <w:rsid w:val="00F4576D"/>
    <w:rsid w:val="00F45D98"/>
    <w:rsid w:val="00F4633C"/>
    <w:rsid w:val="00F463DA"/>
    <w:rsid w:val="00F46895"/>
    <w:rsid w:val="00F47020"/>
    <w:rsid w:val="00F471C8"/>
    <w:rsid w:val="00F47370"/>
    <w:rsid w:val="00F47587"/>
    <w:rsid w:val="00F47695"/>
    <w:rsid w:val="00F502EF"/>
    <w:rsid w:val="00F514B2"/>
    <w:rsid w:val="00F51D7F"/>
    <w:rsid w:val="00F5365A"/>
    <w:rsid w:val="00F54134"/>
    <w:rsid w:val="00F55013"/>
    <w:rsid w:val="00F5569C"/>
    <w:rsid w:val="00F5581E"/>
    <w:rsid w:val="00F56A2F"/>
    <w:rsid w:val="00F57BED"/>
    <w:rsid w:val="00F57C28"/>
    <w:rsid w:val="00F60198"/>
    <w:rsid w:val="00F607CA"/>
    <w:rsid w:val="00F61E2F"/>
    <w:rsid w:val="00F62C23"/>
    <w:rsid w:val="00F64287"/>
    <w:rsid w:val="00F6617B"/>
    <w:rsid w:val="00F669CD"/>
    <w:rsid w:val="00F70E19"/>
    <w:rsid w:val="00F71475"/>
    <w:rsid w:val="00F7158C"/>
    <w:rsid w:val="00F71897"/>
    <w:rsid w:val="00F722AD"/>
    <w:rsid w:val="00F72E8F"/>
    <w:rsid w:val="00F736DB"/>
    <w:rsid w:val="00F737DB"/>
    <w:rsid w:val="00F73973"/>
    <w:rsid w:val="00F74970"/>
    <w:rsid w:val="00F751D6"/>
    <w:rsid w:val="00F7554F"/>
    <w:rsid w:val="00F75E26"/>
    <w:rsid w:val="00F7613A"/>
    <w:rsid w:val="00F76646"/>
    <w:rsid w:val="00F766CC"/>
    <w:rsid w:val="00F7787B"/>
    <w:rsid w:val="00F77E21"/>
    <w:rsid w:val="00F80141"/>
    <w:rsid w:val="00F80CAA"/>
    <w:rsid w:val="00F80E67"/>
    <w:rsid w:val="00F814A8"/>
    <w:rsid w:val="00F82746"/>
    <w:rsid w:val="00F82893"/>
    <w:rsid w:val="00F836F9"/>
    <w:rsid w:val="00F83CD1"/>
    <w:rsid w:val="00F845D7"/>
    <w:rsid w:val="00F850AF"/>
    <w:rsid w:val="00F85147"/>
    <w:rsid w:val="00F85470"/>
    <w:rsid w:val="00F85600"/>
    <w:rsid w:val="00F86043"/>
    <w:rsid w:val="00F87B58"/>
    <w:rsid w:val="00F87BE6"/>
    <w:rsid w:val="00F910C0"/>
    <w:rsid w:val="00F92279"/>
    <w:rsid w:val="00F9359F"/>
    <w:rsid w:val="00F93BF9"/>
    <w:rsid w:val="00F95FD6"/>
    <w:rsid w:val="00F96DEE"/>
    <w:rsid w:val="00F96FD7"/>
    <w:rsid w:val="00FA019D"/>
    <w:rsid w:val="00FA01C9"/>
    <w:rsid w:val="00FA349A"/>
    <w:rsid w:val="00FA3B72"/>
    <w:rsid w:val="00FA3C05"/>
    <w:rsid w:val="00FA3D10"/>
    <w:rsid w:val="00FA4025"/>
    <w:rsid w:val="00FA572D"/>
    <w:rsid w:val="00FA5861"/>
    <w:rsid w:val="00FA6286"/>
    <w:rsid w:val="00FA6811"/>
    <w:rsid w:val="00FA6B08"/>
    <w:rsid w:val="00FA7191"/>
    <w:rsid w:val="00FA72C0"/>
    <w:rsid w:val="00FA7A12"/>
    <w:rsid w:val="00FA7E67"/>
    <w:rsid w:val="00FB1106"/>
    <w:rsid w:val="00FB4D21"/>
    <w:rsid w:val="00FB518A"/>
    <w:rsid w:val="00FB5A58"/>
    <w:rsid w:val="00FB5AC0"/>
    <w:rsid w:val="00FB5C55"/>
    <w:rsid w:val="00FB5DB2"/>
    <w:rsid w:val="00FB69EB"/>
    <w:rsid w:val="00FB762B"/>
    <w:rsid w:val="00FB78B1"/>
    <w:rsid w:val="00FB78DD"/>
    <w:rsid w:val="00FC0D9B"/>
    <w:rsid w:val="00FC1396"/>
    <w:rsid w:val="00FC2001"/>
    <w:rsid w:val="00FC2CBE"/>
    <w:rsid w:val="00FC2CE2"/>
    <w:rsid w:val="00FC38E8"/>
    <w:rsid w:val="00FC43D4"/>
    <w:rsid w:val="00FC44AD"/>
    <w:rsid w:val="00FC4737"/>
    <w:rsid w:val="00FC4833"/>
    <w:rsid w:val="00FC52F1"/>
    <w:rsid w:val="00FC6ADA"/>
    <w:rsid w:val="00FC7185"/>
    <w:rsid w:val="00FC7B07"/>
    <w:rsid w:val="00FD0A2A"/>
    <w:rsid w:val="00FD0E1C"/>
    <w:rsid w:val="00FD0E2A"/>
    <w:rsid w:val="00FD1403"/>
    <w:rsid w:val="00FD1745"/>
    <w:rsid w:val="00FD1FAE"/>
    <w:rsid w:val="00FD20B4"/>
    <w:rsid w:val="00FD29F9"/>
    <w:rsid w:val="00FD401E"/>
    <w:rsid w:val="00FD4A60"/>
    <w:rsid w:val="00FD52F7"/>
    <w:rsid w:val="00FD66B1"/>
    <w:rsid w:val="00FD738F"/>
    <w:rsid w:val="00FE0511"/>
    <w:rsid w:val="00FE0901"/>
    <w:rsid w:val="00FE0DE9"/>
    <w:rsid w:val="00FE2354"/>
    <w:rsid w:val="00FE287E"/>
    <w:rsid w:val="00FE2D10"/>
    <w:rsid w:val="00FE3020"/>
    <w:rsid w:val="00FE44B5"/>
    <w:rsid w:val="00FE48E2"/>
    <w:rsid w:val="00FE5DE6"/>
    <w:rsid w:val="00FE6553"/>
    <w:rsid w:val="00FE663E"/>
    <w:rsid w:val="00FE6C44"/>
    <w:rsid w:val="00FE71F4"/>
    <w:rsid w:val="00FE7355"/>
    <w:rsid w:val="00FE762E"/>
    <w:rsid w:val="00FE7BC8"/>
    <w:rsid w:val="00FF03F1"/>
    <w:rsid w:val="00FF06EE"/>
    <w:rsid w:val="00FF1C54"/>
    <w:rsid w:val="00FF1F6F"/>
    <w:rsid w:val="00FF2E17"/>
    <w:rsid w:val="00FF3650"/>
    <w:rsid w:val="00FF46F6"/>
    <w:rsid w:val="00FF6427"/>
    <w:rsid w:val="00FF660B"/>
    <w:rsid w:val="00FF662E"/>
    <w:rsid w:val="00FF6B5A"/>
    <w:rsid w:val="00FF6DDE"/>
    <w:rsid w:val="00FF78CF"/>
    <w:rsid w:val="00FF7A82"/>
    <w:rsid w:val="36951FBC"/>
    <w:rsid w:val="4AD002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56303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uiPriority="9"/>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99E"/>
    <w:pPr>
      <w:spacing w:before="120" w:after="120" w:line="240" w:lineRule="auto"/>
    </w:pPr>
    <w:rPr>
      <w:rFonts w:ascii="Calibri" w:eastAsia="Times New Roman" w:hAnsi="Calibri" w:cs="Times New Roman"/>
      <w:kern w:val="18"/>
      <w:szCs w:val="20"/>
      <w:lang w:eastAsia="en-AU"/>
    </w:rPr>
  </w:style>
  <w:style w:type="paragraph" w:styleId="Heading1">
    <w:name w:val="heading 1"/>
    <w:basedOn w:val="Normal"/>
    <w:next w:val="Normal"/>
    <w:link w:val="Heading1Char"/>
    <w:qFormat/>
    <w:rsid w:val="00C5499E"/>
    <w:pPr>
      <w:keepNext/>
      <w:spacing w:before="600" w:after="240" w:line="460" w:lineRule="exact"/>
      <w:outlineLvl w:val="0"/>
    </w:pPr>
    <w:rPr>
      <w:rFonts w:cs="Arial"/>
      <w:b/>
      <w:color w:val="5D779D" w:themeColor="accent3"/>
      <w:kern w:val="32"/>
      <w:sz w:val="36"/>
      <w:szCs w:val="36"/>
    </w:rPr>
  </w:style>
  <w:style w:type="paragraph" w:styleId="Heading2">
    <w:name w:val="heading 2"/>
    <w:basedOn w:val="Normal"/>
    <w:next w:val="Normal"/>
    <w:link w:val="Heading2Char"/>
    <w:qFormat/>
    <w:rsid w:val="00C5499E"/>
    <w:pPr>
      <w:keepNext/>
      <w:spacing w:before="240" w:line="460" w:lineRule="exact"/>
      <w:outlineLvl w:val="1"/>
    </w:pPr>
    <w:rPr>
      <w:rFonts w:cs="Arial"/>
      <w:iCs/>
      <w:color w:val="2C384A"/>
      <w:kern w:val="32"/>
      <w:sz w:val="32"/>
      <w:szCs w:val="28"/>
    </w:rPr>
  </w:style>
  <w:style w:type="paragraph" w:styleId="Heading3">
    <w:name w:val="heading 3"/>
    <w:basedOn w:val="Normal"/>
    <w:next w:val="Normal"/>
    <w:link w:val="Heading3Char"/>
    <w:qFormat/>
    <w:rsid w:val="00C5499E"/>
    <w:pPr>
      <w:keepNext/>
      <w:spacing w:before="240" w:after="0" w:line="276" w:lineRule="auto"/>
      <w:outlineLvl w:val="2"/>
    </w:pPr>
    <w:rPr>
      <w:rFonts w:cs="Arial"/>
      <w:b/>
      <w:color w:val="5D779D" w:themeColor="accent3"/>
      <w:kern w:val="32"/>
      <w:sz w:val="28"/>
      <w:szCs w:val="26"/>
    </w:rPr>
  </w:style>
  <w:style w:type="paragraph" w:styleId="Heading4">
    <w:name w:val="heading 4"/>
    <w:basedOn w:val="Normal"/>
    <w:next w:val="Normal"/>
    <w:link w:val="Heading4Char"/>
    <w:qFormat/>
    <w:rsid w:val="00C5499E"/>
    <w:pPr>
      <w:keepNext/>
      <w:spacing w:before="180" w:after="0" w:line="276" w:lineRule="auto"/>
      <w:outlineLvl w:val="3"/>
    </w:pPr>
    <w:rPr>
      <w:rFonts w:cs="Arial"/>
      <w:color w:val="2C384A" w:themeColor="accent1"/>
      <w:kern w:val="32"/>
      <w:sz w:val="26"/>
      <w:szCs w:val="26"/>
    </w:rPr>
  </w:style>
  <w:style w:type="paragraph" w:styleId="Heading5">
    <w:name w:val="heading 5"/>
    <w:basedOn w:val="Normal"/>
    <w:next w:val="Normal"/>
    <w:link w:val="Heading5Char"/>
    <w:rsid w:val="00C5499E"/>
    <w:pPr>
      <w:keepNext/>
      <w:spacing w:before="240" w:after="0" w:line="276" w:lineRule="auto"/>
      <w:outlineLvl w:val="4"/>
    </w:pPr>
    <w:rPr>
      <w:rFonts w:asciiTheme="majorHAnsi" w:hAnsiTheme="majorHAnsi" w:cs="Arial"/>
      <w:b/>
      <w:iCs/>
      <w:color w:val="000000" w:themeColor="text1"/>
      <w:kern w:val="32"/>
      <w:sz w:val="24"/>
      <w:szCs w:val="24"/>
    </w:rPr>
  </w:style>
  <w:style w:type="paragraph" w:styleId="Heading6">
    <w:name w:val="heading 6"/>
    <w:basedOn w:val="Normal"/>
    <w:next w:val="Normal"/>
    <w:link w:val="Heading6Char"/>
    <w:rsid w:val="00C5499E"/>
    <w:pPr>
      <w:keepNext/>
      <w:spacing w:after="0" w:line="276" w:lineRule="auto"/>
      <w:outlineLvl w:val="5"/>
    </w:pPr>
    <w:rPr>
      <w:rFonts w:cs="Arial"/>
      <w:b/>
      <w:bCs/>
      <w:color w:val="000000" w:themeColor="text1"/>
      <w:kern w:val="32"/>
      <w:szCs w:val="22"/>
    </w:rPr>
  </w:style>
  <w:style w:type="paragraph" w:styleId="Heading7">
    <w:name w:val="heading 7"/>
    <w:basedOn w:val="Normal"/>
    <w:next w:val="Normal"/>
    <w:link w:val="Heading7Char"/>
    <w:uiPriority w:val="9"/>
    <w:semiHidden/>
    <w:unhideWhenUsed/>
    <w:rsid w:val="00C5499E"/>
    <w:pPr>
      <w:keepNext/>
      <w:keepLines/>
      <w:spacing w:before="40"/>
      <w:outlineLvl w:val="6"/>
    </w:pPr>
    <w:rPr>
      <w:rFonts w:asciiTheme="majorHAnsi" w:eastAsiaTheme="majorEastAsia" w:hAnsiTheme="majorHAnsi" w:cstheme="majorBidi"/>
      <w:iCs/>
      <w:color w:val="161B24" w:themeColor="accent1" w:themeShade="7F"/>
    </w:rPr>
  </w:style>
  <w:style w:type="paragraph" w:styleId="Heading8">
    <w:name w:val="heading 8"/>
    <w:basedOn w:val="Normal"/>
    <w:next w:val="Normal"/>
    <w:link w:val="Heading8Char"/>
    <w:uiPriority w:val="9"/>
    <w:unhideWhenUsed/>
    <w:rsid w:val="00C5499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5499E"/>
    <w:pPr>
      <w:keepNext/>
      <w:keepLines/>
      <w:spacing w:before="40"/>
      <w:outlineLvl w:val="8"/>
    </w:pPr>
    <w:rPr>
      <w:rFonts w:asciiTheme="majorHAnsi" w:eastAsiaTheme="majorEastAsia" w:hAnsiTheme="majorHAnsi"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499E"/>
    <w:rPr>
      <w:rFonts w:ascii="Calibri" w:eastAsia="Times New Roman" w:hAnsi="Calibri" w:cs="Arial"/>
      <w:b/>
      <w:color w:val="5D779D" w:themeColor="accent3"/>
      <w:kern w:val="32"/>
      <w:sz w:val="36"/>
      <w:szCs w:val="36"/>
      <w:lang w:eastAsia="en-AU"/>
    </w:rPr>
  </w:style>
  <w:style w:type="character" w:customStyle="1" w:styleId="Heading2Char">
    <w:name w:val="Heading 2 Char"/>
    <w:basedOn w:val="DefaultParagraphFont"/>
    <w:link w:val="Heading2"/>
    <w:rsid w:val="00C5499E"/>
    <w:rPr>
      <w:rFonts w:ascii="Calibri" w:eastAsia="Times New Roman" w:hAnsi="Calibri" w:cs="Arial"/>
      <w:iCs/>
      <w:color w:val="2C384A"/>
      <w:kern w:val="32"/>
      <w:sz w:val="32"/>
      <w:szCs w:val="28"/>
      <w:lang w:eastAsia="en-AU"/>
    </w:rPr>
  </w:style>
  <w:style w:type="character" w:customStyle="1" w:styleId="Heading3Char">
    <w:name w:val="Heading 3 Char"/>
    <w:basedOn w:val="DefaultParagraphFont"/>
    <w:link w:val="Heading3"/>
    <w:rsid w:val="00C5499E"/>
    <w:rPr>
      <w:rFonts w:ascii="Calibri" w:eastAsia="Times New Roman" w:hAnsi="Calibri" w:cs="Arial"/>
      <w:b/>
      <w:color w:val="5D779D" w:themeColor="accent3"/>
      <w:kern w:val="32"/>
      <w:sz w:val="28"/>
      <w:szCs w:val="26"/>
      <w:lang w:eastAsia="en-AU"/>
    </w:rPr>
  </w:style>
  <w:style w:type="character" w:customStyle="1" w:styleId="Heading4Char">
    <w:name w:val="Heading 4 Char"/>
    <w:basedOn w:val="DefaultParagraphFont"/>
    <w:link w:val="Heading4"/>
    <w:rsid w:val="00C5499E"/>
    <w:rPr>
      <w:rFonts w:ascii="Calibri" w:eastAsia="Times New Roman" w:hAnsi="Calibri" w:cs="Arial"/>
      <w:color w:val="2C384A" w:themeColor="accent1"/>
      <w:kern w:val="32"/>
      <w:sz w:val="26"/>
      <w:szCs w:val="26"/>
      <w:lang w:eastAsia="en-AU"/>
    </w:rPr>
  </w:style>
  <w:style w:type="character" w:customStyle="1" w:styleId="Heading5Char">
    <w:name w:val="Heading 5 Char"/>
    <w:basedOn w:val="DefaultParagraphFont"/>
    <w:link w:val="Heading5"/>
    <w:rsid w:val="00C5499E"/>
    <w:rPr>
      <w:rFonts w:asciiTheme="majorHAnsi" w:eastAsia="Times New Roman" w:hAnsiTheme="majorHAnsi" w:cs="Arial"/>
      <w:b/>
      <w:iCs/>
      <w:color w:val="000000" w:themeColor="text1"/>
      <w:kern w:val="32"/>
      <w:sz w:val="24"/>
      <w:szCs w:val="24"/>
      <w:lang w:eastAsia="en-AU"/>
    </w:rPr>
  </w:style>
  <w:style w:type="character" w:customStyle="1" w:styleId="Heading6Char">
    <w:name w:val="Heading 6 Char"/>
    <w:basedOn w:val="DefaultParagraphFont"/>
    <w:link w:val="Heading6"/>
    <w:rsid w:val="00C5499E"/>
    <w:rPr>
      <w:rFonts w:ascii="Calibri" w:eastAsia="Times New Roman" w:hAnsi="Calibri" w:cs="Arial"/>
      <w:b/>
      <w:bCs/>
      <w:color w:val="000000" w:themeColor="text1"/>
      <w:kern w:val="32"/>
      <w:lang w:eastAsia="en-AU"/>
    </w:rPr>
  </w:style>
  <w:style w:type="paragraph" w:customStyle="1" w:styleId="ChartGraphic">
    <w:name w:val="Chart Graphic"/>
    <w:basedOn w:val="Normal"/>
    <w:next w:val="Normal"/>
    <w:rsid w:val="00C5499E"/>
    <w:pPr>
      <w:keepNext/>
      <w:spacing w:before="0" w:after="0"/>
      <w:jc w:val="center"/>
    </w:pPr>
    <w:rPr>
      <w:rFonts w:ascii="Calibri Light" w:hAnsi="Calibri Light"/>
      <w:color w:val="004A7F"/>
      <w:sz w:val="20"/>
    </w:rPr>
  </w:style>
  <w:style w:type="paragraph" w:customStyle="1" w:styleId="AlphaParagraph">
    <w:name w:val="Alpha Paragraph"/>
    <w:basedOn w:val="Normal"/>
    <w:rsid w:val="0007221A"/>
    <w:pPr>
      <w:numPr>
        <w:ilvl w:val="1"/>
        <w:numId w:val="7"/>
      </w:numPr>
      <w:spacing w:before="0"/>
    </w:pPr>
  </w:style>
  <w:style w:type="character" w:customStyle="1" w:styleId="DashChar">
    <w:name w:val="Dash Char"/>
    <w:basedOn w:val="DefaultParagraphFont"/>
    <w:link w:val="Dash"/>
    <w:locked/>
    <w:rsid w:val="00C5499E"/>
    <w:rPr>
      <w:rFonts w:ascii="Calibri" w:eastAsia="Times New Roman" w:hAnsi="Calibri" w:cs="Times New Roman"/>
      <w:kern w:val="18"/>
      <w:szCs w:val="20"/>
      <w:lang w:eastAsia="en-AU"/>
    </w:rPr>
  </w:style>
  <w:style w:type="character" w:customStyle="1" w:styleId="DoubleDotChar">
    <w:name w:val="Double Dot Char"/>
    <w:basedOn w:val="DefaultParagraphFont"/>
    <w:link w:val="DoubleDot"/>
    <w:locked/>
    <w:rsid w:val="00C5499E"/>
    <w:rPr>
      <w:rFonts w:ascii="Calibri" w:eastAsia="Times New Roman" w:hAnsi="Calibri" w:cs="Times New Roman"/>
      <w:kern w:val="18"/>
      <w:szCs w:val="20"/>
      <w:lang w:eastAsia="en-AU"/>
    </w:rPr>
  </w:style>
  <w:style w:type="character" w:customStyle="1" w:styleId="BulletChar">
    <w:name w:val="Bullet Char"/>
    <w:basedOn w:val="DefaultParagraphFont"/>
    <w:link w:val="Bullet"/>
    <w:locked/>
    <w:rsid w:val="00C5499E"/>
    <w:rPr>
      <w:rFonts w:ascii="Calibri" w:eastAsia="Times New Roman" w:hAnsi="Calibri" w:cs="Times New Roman"/>
      <w:kern w:val="18"/>
      <w:szCs w:val="20"/>
      <w:lang w:eastAsia="en-AU"/>
    </w:rPr>
  </w:style>
  <w:style w:type="paragraph" w:customStyle="1" w:styleId="BoxHeadingNumbered">
    <w:name w:val="Box Heading Numbered"/>
    <w:basedOn w:val="BoxHeading"/>
    <w:next w:val="BoxText"/>
    <w:qFormat/>
    <w:rsid w:val="00C5499E"/>
    <w:pPr>
      <w:framePr w:hSpace="181" w:wrap="around" w:vAnchor="text" w:hAnchor="margin" w:y="143"/>
      <w:numPr>
        <w:ilvl w:val="6"/>
        <w:numId w:val="35"/>
      </w:numPr>
    </w:pPr>
  </w:style>
  <w:style w:type="paragraph" w:customStyle="1" w:styleId="BoxText">
    <w:name w:val="Box Text"/>
    <w:basedOn w:val="Normal"/>
    <w:link w:val="BoxTextChar"/>
    <w:rsid w:val="00C5499E"/>
    <w:pPr>
      <w:spacing w:before="60" w:after="60"/>
    </w:pPr>
  </w:style>
  <w:style w:type="paragraph" w:customStyle="1" w:styleId="Bullet">
    <w:name w:val="Bullet"/>
    <w:basedOn w:val="Normal"/>
    <w:link w:val="BulletChar"/>
    <w:qFormat/>
    <w:rsid w:val="00C5499E"/>
    <w:pPr>
      <w:numPr>
        <w:numId w:val="24"/>
      </w:numPr>
      <w:spacing w:before="0"/>
    </w:pPr>
  </w:style>
  <w:style w:type="paragraph" w:customStyle="1" w:styleId="ChartandTableFootnoteAlpha">
    <w:name w:val="Chart and Table Footnote Alpha"/>
    <w:basedOn w:val="ChartorTableNote"/>
    <w:rsid w:val="0007221A"/>
    <w:pPr>
      <w:numPr>
        <w:numId w:val="10"/>
      </w:numPr>
      <w:contextualSpacing/>
    </w:pPr>
    <w:rPr>
      <w:szCs w:val="16"/>
    </w:rPr>
  </w:style>
  <w:style w:type="paragraph" w:customStyle="1" w:styleId="ChartMainHeading">
    <w:name w:val="Chart Main Heading"/>
    <w:basedOn w:val="Normal"/>
    <w:next w:val="ChartGraphic"/>
    <w:qFormat/>
    <w:rsid w:val="00C5499E"/>
    <w:pPr>
      <w:keepNext/>
      <w:numPr>
        <w:ilvl w:val="4"/>
        <w:numId w:val="35"/>
      </w:numPr>
      <w:pBdr>
        <w:top w:val="single" w:sz="12" w:space="3" w:color="2C384A" w:themeColor="accent1"/>
      </w:pBdr>
      <w:spacing w:before="360"/>
      <w:outlineLvl w:val="3"/>
    </w:pPr>
    <w:rPr>
      <w:b/>
      <w:color w:val="2C384A" w:themeColor="accent1"/>
      <w:kern w:val="16"/>
      <w:sz w:val="24"/>
    </w:rPr>
  </w:style>
  <w:style w:type="paragraph" w:customStyle="1" w:styleId="ChartorTableNote">
    <w:name w:val="Chart or Table Note"/>
    <w:next w:val="Normal"/>
    <w:rsid w:val="001A2BA3"/>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7221A"/>
    <w:pPr>
      <w:ind w:right="284"/>
    </w:pPr>
    <w:rPr>
      <w:bCs/>
    </w:rPr>
  </w:style>
  <w:style w:type="paragraph" w:customStyle="1" w:styleId="ReportDate">
    <w:name w:val="Report Date"/>
    <w:basedOn w:val="Normal"/>
    <w:link w:val="ReportDateChar"/>
    <w:rsid w:val="00C5499E"/>
    <w:pPr>
      <w:keepNext/>
      <w:spacing w:before="240" w:after="360"/>
      <w:ind w:left="3119"/>
    </w:pPr>
    <w:rPr>
      <w:rFonts w:ascii="Calibri Light" w:hAnsi="Calibri Light"/>
      <w:color w:val="FFFFFF" w:themeColor="background1"/>
      <w:sz w:val="32"/>
    </w:rPr>
  </w:style>
  <w:style w:type="paragraph" w:customStyle="1" w:styleId="Dash">
    <w:name w:val="Dash"/>
    <w:basedOn w:val="Normal"/>
    <w:link w:val="DashChar"/>
    <w:qFormat/>
    <w:rsid w:val="00C5499E"/>
    <w:pPr>
      <w:numPr>
        <w:ilvl w:val="1"/>
        <w:numId w:val="24"/>
      </w:numPr>
      <w:spacing w:before="0"/>
    </w:pPr>
  </w:style>
  <w:style w:type="paragraph" w:customStyle="1" w:styleId="DoubleDot">
    <w:name w:val="Double Dot"/>
    <w:basedOn w:val="Normal"/>
    <w:link w:val="DoubleDotChar"/>
    <w:qFormat/>
    <w:rsid w:val="00C5499E"/>
    <w:pPr>
      <w:numPr>
        <w:ilvl w:val="2"/>
        <w:numId w:val="24"/>
      </w:numPr>
      <w:spacing w:before="0"/>
    </w:pPr>
  </w:style>
  <w:style w:type="paragraph" w:customStyle="1" w:styleId="TableMainHeading">
    <w:name w:val="Table Main Heading"/>
    <w:basedOn w:val="ChartMainHeading"/>
    <w:qFormat/>
    <w:rsid w:val="00C5499E"/>
    <w:pPr>
      <w:numPr>
        <w:ilvl w:val="5"/>
      </w:numPr>
    </w:pPr>
  </w:style>
  <w:style w:type="paragraph" w:customStyle="1" w:styleId="FooterEven">
    <w:name w:val="Footer Even"/>
    <w:basedOn w:val="Footer"/>
    <w:uiPriority w:val="99"/>
    <w:rsid w:val="0007221A"/>
    <w:pPr>
      <w:keepNext/>
      <w:tabs>
        <w:tab w:val="right" w:pos="9072"/>
      </w:tabs>
    </w:pPr>
    <w:rPr>
      <w:noProof/>
      <w:color w:val="2C384A" w:themeColor="accent1"/>
    </w:rPr>
  </w:style>
  <w:style w:type="paragraph" w:customStyle="1" w:styleId="FooterOdd">
    <w:name w:val="Footer Odd"/>
    <w:basedOn w:val="Footer"/>
    <w:uiPriority w:val="99"/>
    <w:rsid w:val="0007221A"/>
    <w:pPr>
      <w:keepNext/>
      <w:tabs>
        <w:tab w:val="right" w:pos="9072"/>
      </w:tabs>
      <w:jc w:val="right"/>
    </w:pPr>
    <w:rPr>
      <w:color w:val="2C384A" w:themeColor="accent1"/>
    </w:rPr>
  </w:style>
  <w:style w:type="character" w:styleId="Hyperlink">
    <w:name w:val="Hyperlink"/>
    <w:uiPriority w:val="99"/>
    <w:rsid w:val="00C5499E"/>
    <w:rPr>
      <w:color w:val="5D779D" w:themeColor="accent3"/>
      <w:u w:val="single"/>
    </w:rPr>
  </w:style>
  <w:style w:type="paragraph" w:customStyle="1" w:styleId="OutlineNumbered1">
    <w:name w:val="Outline Numbered 1"/>
    <w:basedOn w:val="Normal"/>
    <w:link w:val="OutlineNumbered1Char"/>
    <w:rsid w:val="00C5499E"/>
    <w:pPr>
      <w:keepNext/>
      <w:numPr>
        <w:numId w:val="34"/>
      </w:numPr>
      <w:spacing w:before="0" w:after="0"/>
      <w:ind w:left="567" w:hanging="567"/>
    </w:pPr>
    <w:rPr>
      <w:rFonts w:asciiTheme="minorHAnsi" w:hAnsiTheme="minorHAnsi"/>
      <w:kern w:val="16"/>
    </w:rPr>
  </w:style>
  <w:style w:type="paragraph" w:customStyle="1" w:styleId="OutlineNumbered2">
    <w:name w:val="Outline Numbered 2"/>
    <w:basedOn w:val="Normal"/>
    <w:link w:val="OutlineNumbered2Char"/>
    <w:rsid w:val="00C5499E"/>
    <w:pPr>
      <w:keepNext/>
      <w:numPr>
        <w:ilvl w:val="1"/>
        <w:numId w:val="34"/>
      </w:numPr>
      <w:spacing w:before="0" w:after="0"/>
      <w:jc w:val="center"/>
    </w:pPr>
    <w:rPr>
      <w:rFonts w:ascii="Calibri Light" w:hAnsi="Calibri Light"/>
      <w:color w:val="004A7F"/>
      <w:kern w:val="16"/>
      <w:sz w:val="20"/>
    </w:rPr>
  </w:style>
  <w:style w:type="paragraph" w:customStyle="1" w:styleId="OutlineNumbered3">
    <w:name w:val="Outline Numbered 3"/>
    <w:basedOn w:val="Normal"/>
    <w:link w:val="OutlineNumbered3Char"/>
    <w:rsid w:val="00C5499E"/>
    <w:pPr>
      <w:keepNext/>
      <w:numPr>
        <w:ilvl w:val="2"/>
        <w:numId w:val="34"/>
      </w:numPr>
      <w:spacing w:before="0" w:after="0"/>
      <w:jc w:val="center"/>
    </w:pPr>
    <w:rPr>
      <w:rFonts w:ascii="Calibri Light" w:hAnsi="Calibri Light"/>
      <w:color w:val="004A7F"/>
      <w:kern w:val="16"/>
      <w:sz w:val="20"/>
    </w:rPr>
  </w:style>
  <w:style w:type="paragraph" w:customStyle="1" w:styleId="SingleParagraph">
    <w:name w:val="Single Paragraph"/>
    <w:basedOn w:val="Normal"/>
    <w:link w:val="SingleParagraphChar"/>
    <w:semiHidden/>
    <w:rsid w:val="0007221A"/>
    <w:pPr>
      <w:spacing w:before="0" w:after="0"/>
    </w:pPr>
  </w:style>
  <w:style w:type="paragraph" w:customStyle="1" w:styleId="TableSecondHeading">
    <w:name w:val="Table Second Heading"/>
    <w:basedOn w:val="Normal"/>
    <w:next w:val="Normal"/>
    <w:rsid w:val="0007221A"/>
    <w:pPr>
      <w:keepNext/>
      <w:spacing w:before="0"/>
    </w:pPr>
    <w:rPr>
      <w:b/>
      <w:color w:val="5D779D" w:themeColor="accent3"/>
    </w:rPr>
  </w:style>
  <w:style w:type="paragraph" w:customStyle="1" w:styleId="TableColumnHeadingCentred">
    <w:name w:val="Table Column Heading Centred"/>
    <w:basedOn w:val="TableTextLeft"/>
    <w:rsid w:val="0007221A"/>
    <w:pPr>
      <w:jc w:val="center"/>
    </w:pPr>
    <w:rPr>
      <w:b/>
      <w:color w:val="2C384A" w:themeColor="accent1"/>
      <w:sz w:val="20"/>
    </w:rPr>
  </w:style>
  <w:style w:type="paragraph" w:customStyle="1" w:styleId="TableColumnHeadingLeft">
    <w:name w:val="Table Column Heading Left"/>
    <w:basedOn w:val="TableTextLeft"/>
    <w:rsid w:val="0007221A"/>
    <w:rPr>
      <w:b/>
      <w:color w:val="2C384A" w:themeColor="accent1"/>
      <w:sz w:val="20"/>
    </w:rPr>
  </w:style>
  <w:style w:type="paragraph" w:customStyle="1" w:styleId="TableColumnHeadingRight">
    <w:name w:val="Table Column Heading Right"/>
    <w:basedOn w:val="TableTextLeft"/>
    <w:rsid w:val="0007221A"/>
    <w:pPr>
      <w:jc w:val="right"/>
    </w:pPr>
    <w:rPr>
      <w:b/>
      <w:color w:val="2C384A" w:themeColor="accent1"/>
      <w:sz w:val="20"/>
    </w:rPr>
  </w:style>
  <w:style w:type="table" w:styleId="TableGrid">
    <w:name w:val="Table Grid"/>
    <w:basedOn w:val="TableNormal"/>
    <w:uiPriority w:val="59"/>
    <w:rsid w:val="00C549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ered">
    <w:name w:val="Table Text Centered"/>
    <w:basedOn w:val="TableTextRight"/>
    <w:rsid w:val="0007221A"/>
    <w:pPr>
      <w:jc w:val="center"/>
    </w:pPr>
  </w:style>
  <w:style w:type="paragraph" w:customStyle="1" w:styleId="TableTextLeft">
    <w:name w:val="Table Text Left"/>
    <w:basedOn w:val="TableTextRight"/>
    <w:rsid w:val="0007221A"/>
    <w:pPr>
      <w:jc w:val="left"/>
    </w:pPr>
  </w:style>
  <w:style w:type="paragraph" w:customStyle="1" w:styleId="TableTextRight">
    <w:name w:val="Table Text Right"/>
    <w:basedOn w:val="Normal"/>
    <w:rsid w:val="0007221A"/>
    <w:pPr>
      <w:spacing w:before="40" w:after="40"/>
      <w:jc w:val="right"/>
    </w:pPr>
    <w:rPr>
      <w:color w:val="000000"/>
      <w:sz w:val="18"/>
    </w:rPr>
  </w:style>
  <w:style w:type="paragraph" w:styleId="TOC1">
    <w:name w:val="toc 1"/>
    <w:basedOn w:val="Normal"/>
    <w:next w:val="Normal"/>
    <w:uiPriority w:val="39"/>
    <w:rsid w:val="00C5499E"/>
    <w:pPr>
      <w:keepNext/>
      <w:tabs>
        <w:tab w:val="right" w:leader="dot" w:pos="9072"/>
      </w:tabs>
      <w:spacing w:before="180" w:after="0"/>
      <w:ind w:right="-2"/>
    </w:pPr>
    <w:rPr>
      <w:rFonts w:ascii="Calibri Light" w:hAnsi="Calibri Light"/>
      <w:b/>
      <w:noProof/>
      <w:color w:val="2C384A" w:themeColor="accent1"/>
      <w:szCs w:val="22"/>
    </w:rPr>
  </w:style>
  <w:style w:type="paragraph" w:styleId="TOC2">
    <w:name w:val="toc 2"/>
    <w:basedOn w:val="Normal"/>
    <w:next w:val="Normal"/>
    <w:uiPriority w:val="39"/>
    <w:rsid w:val="00C5499E"/>
    <w:pPr>
      <w:keepNext/>
      <w:tabs>
        <w:tab w:val="right" w:leader="dot" w:pos="9072"/>
      </w:tabs>
      <w:spacing w:before="40" w:after="20"/>
      <w:ind w:right="-2"/>
    </w:pPr>
    <w:rPr>
      <w:rFonts w:ascii="Calibri Light" w:hAnsi="Calibri Light"/>
      <w:noProof/>
      <w:color w:val="5D779D" w:themeColor="accent3"/>
    </w:rPr>
  </w:style>
  <w:style w:type="paragraph" w:styleId="TOC3">
    <w:name w:val="toc 3"/>
    <w:basedOn w:val="Normal"/>
    <w:next w:val="Normal"/>
    <w:autoRedefine/>
    <w:uiPriority w:val="39"/>
    <w:unhideWhenUsed/>
    <w:rsid w:val="00C5499E"/>
    <w:pPr>
      <w:spacing w:after="100"/>
      <w:ind w:left="440"/>
    </w:pPr>
  </w:style>
  <w:style w:type="numbering" w:customStyle="1" w:styleId="OutlineList">
    <w:name w:val="OutlineList"/>
    <w:uiPriority w:val="99"/>
    <w:rsid w:val="0007221A"/>
    <w:pPr>
      <w:numPr>
        <w:numId w:val="4"/>
      </w:numPr>
    </w:pPr>
  </w:style>
  <w:style w:type="numbering" w:customStyle="1" w:styleId="BulletedList">
    <w:name w:val="Bulleted List"/>
    <w:uiPriority w:val="99"/>
    <w:rsid w:val="0007221A"/>
  </w:style>
  <w:style w:type="numbering" w:customStyle="1" w:styleId="BoxBulletedList">
    <w:name w:val="Box Bulleted List"/>
    <w:uiPriority w:val="99"/>
    <w:rsid w:val="00C5499E"/>
    <w:pPr>
      <w:numPr>
        <w:numId w:val="2"/>
      </w:numPr>
    </w:pPr>
  </w:style>
  <w:style w:type="numbering" w:customStyle="1" w:styleId="OneLevelList">
    <w:name w:val="OneLevelList"/>
    <w:uiPriority w:val="99"/>
    <w:rsid w:val="0007221A"/>
    <w:pPr>
      <w:numPr>
        <w:numId w:val="3"/>
      </w:numPr>
    </w:pPr>
  </w:style>
  <w:style w:type="numbering" w:customStyle="1" w:styleId="ChartandTableFootnoteAlphaList">
    <w:name w:val="ChartandTableFootnoteAlphaList"/>
    <w:uiPriority w:val="99"/>
    <w:rsid w:val="0007221A"/>
    <w:pPr>
      <w:numPr>
        <w:numId w:val="8"/>
      </w:numPr>
    </w:pPr>
  </w:style>
  <w:style w:type="paragraph" w:customStyle="1" w:styleId="Heading1Numbered">
    <w:name w:val="Heading 1 Numbered"/>
    <w:basedOn w:val="Heading1"/>
    <w:next w:val="Normal"/>
    <w:qFormat/>
    <w:rsid w:val="00C5499E"/>
    <w:pPr>
      <w:numPr>
        <w:numId w:val="35"/>
      </w:numPr>
    </w:pPr>
  </w:style>
  <w:style w:type="character" w:customStyle="1" w:styleId="SingleParagraphChar">
    <w:name w:val="Single Paragraph Char"/>
    <w:basedOn w:val="DefaultParagraphFont"/>
    <w:link w:val="SingleParagraph"/>
    <w:semiHidden/>
    <w:rsid w:val="0007221A"/>
    <w:rPr>
      <w:rFonts w:ascii="Calibri Light" w:eastAsia="Times New Roman" w:hAnsi="Calibri Light" w:cs="Times New Roman"/>
      <w:szCs w:val="20"/>
      <w:lang w:eastAsia="en-AU"/>
    </w:rPr>
  </w:style>
  <w:style w:type="paragraph" w:customStyle="1" w:styleId="Heading2Numbered">
    <w:name w:val="Heading 2 Numbered"/>
    <w:basedOn w:val="Heading2"/>
    <w:next w:val="Normal"/>
    <w:qFormat/>
    <w:rsid w:val="00C5499E"/>
    <w:pPr>
      <w:numPr>
        <w:ilvl w:val="1"/>
        <w:numId w:val="35"/>
      </w:numPr>
    </w:pPr>
  </w:style>
  <w:style w:type="paragraph" w:customStyle="1" w:styleId="Heading3Numbered">
    <w:name w:val="Heading 3 Numbered"/>
    <w:basedOn w:val="Heading3"/>
    <w:next w:val="Normal"/>
    <w:qFormat/>
    <w:rsid w:val="00C5499E"/>
    <w:pPr>
      <w:numPr>
        <w:ilvl w:val="2"/>
        <w:numId w:val="35"/>
      </w:numPr>
    </w:pPr>
  </w:style>
  <w:style w:type="paragraph" w:styleId="Title">
    <w:name w:val="Title"/>
    <w:basedOn w:val="Normal"/>
    <w:next w:val="Normal"/>
    <w:link w:val="TitleChar"/>
    <w:uiPriority w:val="10"/>
    <w:rsid w:val="00385A5C"/>
    <w:pPr>
      <w:tabs>
        <w:tab w:val="left" w:pos="6379"/>
      </w:tabs>
      <w:spacing w:before="7080" w:after="240" w:line="600" w:lineRule="exact"/>
      <w:ind w:left="3119"/>
      <w:contextualSpacing/>
    </w:pPr>
    <w:rPr>
      <w:rFonts w:asciiTheme="majorHAnsi" w:hAnsiTheme="majorHAnsi" w:cstheme="majorHAnsi"/>
      <w:b/>
      <w:color w:val="FFFFFF" w:themeColor="background1"/>
      <w:spacing w:val="5"/>
      <w:kern w:val="28"/>
      <w:sz w:val="56"/>
      <w:szCs w:val="52"/>
    </w:rPr>
  </w:style>
  <w:style w:type="character" w:customStyle="1" w:styleId="TitleChar">
    <w:name w:val="Title Char"/>
    <w:basedOn w:val="DefaultParagraphFont"/>
    <w:link w:val="Title"/>
    <w:uiPriority w:val="10"/>
    <w:rsid w:val="00385A5C"/>
    <w:rPr>
      <w:rFonts w:asciiTheme="majorHAnsi" w:eastAsia="Times New Roman" w:hAnsiTheme="majorHAnsi" w:cstheme="majorHAnsi"/>
      <w:b/>
      <w:color w:val="FFFFFF" w:themeColor="background1"/>
      <w:spacing w:val="5"/>
      <w:kern w:val="28"/>
      <w:sz w:val="56"/>
      <w:szCs w:val="52"/>
      <w:lang w:eastAsia="en-AU"/>
    </w:rPr>
  </w:style>
  <w:style w:type="paragraph" w:styleId="Subtitle">
    <w:name w:val="Subtitle"/>
    <w:aliases w:val="Theme subtitle"/>
    <w:basedOn w:val="Normal"/>
    <w:next w:val="Normal"/>
    <w:link w:val="SubtitleChar"/>
    <w:uiPriority w:val="11"/>
    <w:rsid w:val="00C5499E"/>
    <w:pPr>
      <w:numPr>
        <w:ilvl w:val="1"/>
      </w:numPr>
      <w:spacing w:before="6720"/>
      <w:ind w:left="3119"/>
    </w:pPr>
    <w:rPr>
      <w:rFonts w:ascii="Calibri Light" w:eastAsiaTheme="majorEastAsia" w:hAnsi="Calibri Light" w:cstheme="majorBidi"/>
      <w:iCs/>
      <w:color w:val="FFFFFF" w:themeColor="background1"/>
      <w:sz w:val="44"/>
      <w:szCs w:val="44"/>
    </w:rPr>
  </w:style>
  <w:style w:type="character" w:customStyle="1" w:styleId="SubtitleChar">
    <w:name w:val="Subtitle Char"/>
    <w:aliases w:val="Theme subtitle Char"/>
    <w:basedOn w:val="DefaultParagraphFont"/>
    <w:link w:val="Subtitle"/>
    <w:uiPriority w:val="11"/>
    <w:rsid w:val="00C5499E"/>
    <w:rPr>
      <w:rFonts w:ascii="Calibri Light" w:eastAsiaTheme="majorEastAsia" w:hAnsi="Calibri Light" w:cstheme="majorBidi"/>
      <w:iCs/>
      <w:color w:val="FFFFFF" w:themeColor="background1"/>
      <w:kern w:val="18"/>
      <w:sz w:val="44"/>
      <w:szCs w:val="44"/>
      <w:lang w:eastAsia="en-AU"/>
    </w:rPr>
  </w:style>
  <w:style w:type="character" w:styleId="SubtleEmphasis">
    <w:name w:val="Subtle Emphasis"/>
    <w:basedOn w:val="DefaultParagraphFont"/>
    <w:uiPriority w:val="19"/>
    <w:rsid w:val="00C5499E"/>
    <w:rPr>
      <w:i/>
      <w:iCs/>
      <w:color w:val="404040" w:themeColor="text1" w:themeTint="BF"/>
    </w:rPr>
  </w:style>
  <w:style w:type="paragraph" w:styleId="Footer">
    <w:name w:val="footer"/>
    <w:basedOn w:val="Normal"/>
    <w:link w:val="FooterChar"/>
    <w:uiPriority w:val="99"/>
    <w:rsid w:val="00C5499E"/>
    <w:pPr>
      <w:tabs>
        <w:tab w:val="right" w:pos="11340"/>
      </w:tabs>
    </w:pPr>
    <w:rPr>
      <w:sz w:val="20"/>
    </w:rPr>
  </w:style>
  <w:style w:type="character" w:customStyle="1" w:styleId="FooterChar">
    <w:name w:val="Footer Char"/>
    <w:basedOn w:val="DefaultParagraphFont"/>
    <w:link w:val="Footer"/>
    <w:uiPriority w:val="99"/>
    <w:rsid w:val="00C5499E"/>
    <w:rPr>
      <w:rFonts w:ascii="Calibri" w:eastAsia="Times New Roman" w:hAnsi="Calibri" w:cs="Times New Roman"/>
      <w:kern w:val="18"/>
      <w:sz w:val="20"/>
      <w:szCs w:val="20"/>
      <w:lang w:eastAsia="en-AU"/>
    </w:rPr>
  </w:style>
  <w:style w:type="paragraph" w:styleId="Header">
    <w:name w:val="header"/>
    <w:basedOn w:val="Normal"/>
    <w:link w:val="HeaderChar"/>
    <w:uiPriority w:val="99"/>
    <w:unhideWhenUsed/>
    <w:rsid w:val="00C5499E"/>
    <w:pPr>
      <w:tabs>
        <w:tab w:val="center" w:pos="4513"/>
        <w:tab w:val="right" w:pos="9026"/>
      </w:tabs>
      <w:spacing w:after="0"/>
      <w:jc w:val="right"/>
    </w:pPr>
    <w:rPr>
      <w:sz w:val="20"/>
    </w:rPr>
  </w:style>
  <w:style w:type="character" w:customStyle="1" w:styleId="HeaderChar">
    <w:name w:val="Header Char"/>
    <w:basedOn w:val="DefaultParagraphFont"/>
    <w:link w:val="Header"/>
    <w:uiPriority w:val="99"/>
    <w:rsid w:val="00C5499E"/>
    <w:rPr>
      <w:rFonts w:ascii="Calibri" w:eastAsia="Times New Roman" w:hAnsi="Calibri" w:cs="Times New Roman"/>
      <w:kern w:val="18"/>
      <w:sz w:val="20"/>
      <w:szCs w:val="20"/>
      <w:lang w:eastAsia="en-AU"/>
    </w:rPr>
  </w:style>
  <w:style w:type="character" w:styleId="PlaceholderText">
    <w:name w:val="Placeholder Text"/>
    <w:basedOn w:val="DefaultParagraphFont"/>
    <w:uiPriority w:val="99"/>
    <w:semiHidden/>
    <w:rsid w:val="00C5499E"/>
    <w:rPr>
      <w:color w:val="808080"/>
    </w:rPr>
  </w:style>
  <w:style w:type="paragraph" w:customStyle="1" w:styleId="AppendixHeading">
    <w:name w:val="Appendix Heading"/>
    <w:basedOn w:val="Heading1"/>
    <w:next w:val="Normal"/>
    <w:rsid w:val="0007221A"/>
  </w:style>
  <w:style w:type="paragraph" w:customStyle="1" w:styleId="HeadingBase">
    <w:name w:val="Heading Base"/>
    <w:semiHidden/>
    <w:rsid w:val="0007221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C5499E"/>
    <w:rPr>
      <w:rFonts w:ascii="Calibri Light" w:eastAsia="Times New Roman" w:hAnsi="Calibri Light" w:cs="Times New Roman"/>
      <w:color w:val="FFFFFF" w:themeColor="background1"/>
      <w:kern w:val="18"/>
      <w:sz w:val="32"/>
      <w:szCs w:val="20"/>
      <w:lang w:eastAsia="en-AU"/>
    </w:rPr>
  </w:style>
  <w:style w:type="paragraph" w:customStyle="1" w:styleId="NotesHeading">
    <w:name w:val="Notes Heading"/>
    <w:basedOn w:val="Normal"/>
    <w:uiPriority w:val="10"/>
    <w:semiHidden/>
    <w:rsid w:val="0007221A"/>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link w:val="ListParagraphChar"/>
    <w:uiPriority w:val="34"/>
    <w:qFormat/>
    <w:rsid w:val="00C5499E"/>
    <w:pPr>
      <w:ind w:left="720"/>
      <w:contextualSpacing/>
    </w:pPr>
  </w:style>
  <w:style w:type="paragraph" w:customStyle="1" w:styleId="TableTextIndented">
    <w:name w:val="Table Text Indented"/>
    <w:basedOn w:val="TableTextLeft"/>
    <w:rsid w:val="0007221A"/>
    <w:pPr>
      <w:ind w:left="284"/>
    </w:pPr>
  </w:style>
  <w:style w:type="paragraph" w:customStyle="1" w:styleId="TableHeadingContinued">
    <w:name w:val="Table Heading Continued"/>
    <w:basedOn w:val="TableMainHeading"/>
    <w:next w:val="TableGraphic"/>
    <w:rsid w:val="0007221A"/>
  </w:style>
  <w:style w:type="paragraph" w:customStyle="1" w:styleId="TableGraphic">
    <w:name w:val="Table Graphic"/>
    <w:basedOn w:val="HeadingBase"/>
    <w:next w:val="Normal"/>
    <w:rsid w:val="0007221A"/>
    <w:pPr>
      <w:spacing w:after="0"/>
    </w:pPr>
  </w:style>
  <w:style w:type="paragraph" w:customStyle="1" w:styleId="HeaderEven">
    <w:name w:val="Header Even"/>
    <w:basedOn w:val="Header"/>
    <w:uiPriority w:val="99"/>
    <w:qFormat/>
    <w:rsid w:val="0007221A"/>
    <w:pPr>
      <w:jc w:val="left"/>
    </w:pPr>
    <w:rPr>
      <w:color w:val="002C47"/>
    </w:rPr>
  </w:style>
  <w:style w:type="paragraph" w:customStyle="1" w:styleId="HeaderOdd">
    <w:name w:val="Header Odd"/>
    <w:basedOn w:val="Header"/>
    <w:uiPriority w:val="99"/>
    <w:qFormat/>
    <w:rsid w:val="0007221A"/>
    <w:rPr>
      <w:color w:val="002C47"/>
    </w:rPr>
  </w:style>
  <w:style w:type="paragraph" w:styleId="FootnoteText">
    <w:name w:val="footnote text"/>
    <w:basedOn w:val="Normal"/>
    <w:link w:val="FootnoteTextChar"/>
    <w:uiPriority w:val="99"/>
    <w:rsid w:val="00C5499E"/>
    <w:pPr>
      <w:spacing w:before="0" w:after="60"/>
      <w:ind w:left="425" w:hanging="425"/>
    </w:pPr>
    <w:rPr>
      <w:sz w:val="20"/>
    </w:rPr>
  </w:style>
  <w:style w:type="character" w:customStyle="1" w:styleId="FootnoteTextChar">
    <w:name w:val="Footnote Text Char"/>
    <w:basedOn w:val="DefaultParagraphFont"/>
    <w:link w:val="FootnoteText"/>
    <w:uiPriority w:val="99"/>
    <w:rsid w:val="00C5499E"/>
    <w:rPr>
      <w:rFonts w:ascii="Calibri" w:eastAsia="Times New Roman" w:hAnsi="Calibri" w:cs="Times New Roman"/>
      <w:kern w:val="18"/>
      <w:sz w:val="20"/>
      <w:szCs w:val="20"/>
      <w:lang w:eastAsia="en-AU"/>
    </w:rPr>
  </w:style>
  <w:style w:type="character" w:styleId="FootnoteReference">
    <w:name w:val="footnote reference"/>
    <w:aliases w:val="Style 30,Style 20,AFPC Footnote Reference,AFPC Footnote Reference1,fr,(NECG) Footnote Reference,4_G,Odwołanie przypisu,Footnote symbol,Footnote Reference Number,Appel note de bas de p,Appel note de bas de p + (Asian) Batang,Black,Nota"/>
    <w:basedOn w:val="DefaultParagraphFont"/>
    <w:uiPriority w:val="99"/>
    <w:rsid w:val="00C5499E"/>
    <w:rPr>
      <w:vertAlign w:val="superscript"/>
    </w:rPr>
  </w:style>
  <w:style w:type="paragraph" w:styleId="BalloonText">
    <w:name w:val="Balloon Text"/>
    <w:basedOn w:val="Normal"/>
    <w:link w:val="BalloonTextChar"/>
    <w:semiHidden/>
    <w:rsid w:val="00C5499E"/>
    <w:rPr>
      <w:rFonts w:ascii="Tahoma" w:hAnsi="Tahoma" w:cs="Tahoma"/>
      <w:sz w:val="16"/>
      <w:szCs w:val="16"/>
    </w:rPr>
  </w:style>
  <w:style w:type="character" w:customStyle="1" w:styleId="BalloonTextChar">
    <w:name w:val="Balloon Text Char"/>
    <w:basedOn w:val="DefaultParagraphFont"/>
    <w:link w:val="BalloonText"/>
    <w:semiHidden/>
    <w:rsid w:val="00C5499E"/>
    <w:rPr>
      <w:rFonts w:ascii="Tahoma" w:eastAsia="Times New Roman" w:hAnsi="Tahoma" w:cs="Tahoma"/>
      <w:kern w:val="18"/>
      <w:sz w:val="16"/>
      <w:szCs w:val="16"/>
      <w:lang w:eastAsia="en-AU"/>
    </w:rPr>
  </w:style>
  <w:style w:type="character" w:customStyle="1" w:styleId="BoxTextChar">
    <w:name w:val="Box Text Char"/>
    <w:basedOn w:val="DefaultParagraphFont"/>
    <w:link w:val="BoxText"/>
    <w:locked/>
    <w:rsid w:val="00C5499E"/>
    <w:rPr>
      <w:rFonts w:ascii="Calibri" w:eastAsia="Times New Roman" w:hAnsi="Calibri" w:cs="Times New Roman"/>
      <w:kern w:val="18"/>
      <w:szCs w:val="20"/>
      <w:lang w:eastAsia="en-AU"/>
    </w:rPr>
  </w:style>
  <w:style w:type="paragraph" w:customStyle="1" w:styleId="Boxbullet">
    <w:name w:val="Box bullet"/>
    <w:basedOn w:val="Bullet"/>
    <w:qFormat/>
    <w:rsid w:val="00C5499E"/>
    <w:pPr>
      <w:spacing w:after="60"/>
    </w:pPr>
    <w:rPr>
      <w:color w:val="0D0D0D" w:themeColor="text1" w:themeTint="F2"/>
    </w:rPr>
  </w:style>
  <w:style w:type="paragraph" w:customStyle="1" w:styleId="Boxdash">
    <w:name w:val="Box dash"/>
    <w:basedOn w:val="Dash"/>
    <w:rsid w:val="00C5499E"/>
    <w:pPr>
      <w:numPr>
        <w:ilvl w:val="0"/>
        <w:numId w:val="0"/>
      </w:numPr>
      <w:spacing w:after="60" w:line="276" w:lineRule="auto"/>
    </w:pPr>
    <w:rPr>
      <w:rFonts w:eastAsiaTheme="minorHAnsi"/>
      <w:color w:val="0D0D0D" w:themeColor="text1" w:themeTint="F2"/>
    </w:rPr>
  </w:style>
  <w:style w:type="paragraph" w:customStyle="1" w:styleId="Boxdoubledot">
    <w:name w:val="Box double dot"/>
    <w:basedOn w:val="DoubleDot"/>
    <w:rsid w:val="00C5499E"/>
    <w:pPr>
      <w:numPr>
        <w:ilvl w:val="0"/>
        <w:numId w:val="0"/>
      </w:numPr>
      <w:spacing w:after="60" w:line="276" w:lineRule="auto"/>
    </w:pPr>
    <w:rPr>
      <w:rFonts w:eastAsiaTheme="minorHAnsi"/>
      <w:color w:val="0D0D0D" w:themeColor="text1" w:themeTint="F2"/>
    </w:rPr>
  </w:style>
  <w:style w:type="paragraph" w:customStyle="1" w:styleId="Instructions">
    <w:name w:val="Instructions"/>
    <w:basedOn w:val="Normal"/>
    <w:uiPriority w:val="1"/>
    <w:semiHidden/>
    <w:qFormat/>
    <w:rsid w:val="0007221A"/>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07221A"/>
    <w:rPr>
      <w:sz w:val="16"/>
      <w:szCs w:val="16"/>
    </w:rPr>
  </w:style>
  <w:style w:type="paragraph" w:styleId="CommentText">
    <w:name w:val="annotation text"/>
    <w:basedOn w:val="Normal"/>
    <w:link w:val="CommentTextChar"/>
    <w:uiPriority w:val="99"/>
    <w:unhideWhenUsed/>
    <w:rsid w:val="0007221A"/>
    <w:rPr>
      <w:sz w:val="20"/>
    </w:rPr>
  </w:style>
  <w:style w:type="character" w:customStyle="1" w:styleId="CommentTextChar">
    <w:name w:val="Comment Text Char"/>
    <w:basedOn w:val="DefaultParagraphFont"/>
    <w:link w:val="CommentText"/>
    <w:uiPriority w:val="99"/>
    <w:rsid w:val="0007221A"/>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C5499E"/>
    <w:pPr>
      <w:spacing w:before="60" w:after="60" w:line="240" w:lineRule="auto"/>
      <w:jc w:val="center"/>
    </w:pPr>
    <w:rPr>
      <w:rFonts w:ascii="Calibri" w:eastAsia="Times New Roman" w:hAnsi="Calibri" w:cs="Calibri"/>
      <w:b/>
      <w:noProof/>
      <w:color w:val="FF0000"/>
      <w:sz w:val="24"/>
      <w:szCs w:val="20"/>
      <w:lang w:eastAsia="en-AU"/>
    </w:rPr>
  </w:style>
  <w:style w:type="character" w:customStyle="1" w:styleId="SecurityClassificationHeaderChar">
    <w:name w:val="Security Classification Header Char"/>
    <w:basedOn w:val="DefaultParagraphFont"/>
    <w:link w:val="SecurityClassificationHeader"/>
    <w:rsid w:val="00C5499E"/>
    <w:rPr>
      <w:rFonts w:ascii="Calibri" w:eastAsia="Times New Roman" w:hAnsi="Calibri" w:cs="Calibri"/>
      <w:b/>
      <w:noProof/>
      <w:color w:val="FF0000"/>
      <w:sz w:val="24"/>
      <w:szCs w:val="20"/>
      <w:lang w:eastAsia="en-AU"/>
    </w:rPr>
  </w:style>
  <w:style w:type="paragraph" w:customStyle="1" w:styleId="SecurityClassificationFooter">
    <w:name w:val="Security Classification Footer"/>
    <w:link w:val="SecurityClassificationFooterChar"/>
    <w:rsid w:val="00C5499E"/>
    <w:pPr>
      <w:spacing w:before="60" w:after="60" w:line="240" w:lineRule="auto"/>
      <w:jc w:val="center"/>
    </w:pPr>
    <w:rPr>
      <w:rFonts w:ascii="Calibri" w:eastAsia="Times New Roman" w:hAnsi="Calibri" w:cs="Calibri"/>
      <w:b/>
      <w:noProof/>
      <w:color w:val="FF0000"/>
      <w:sz w:val="24"/>
      <w:szCs w:val="24"/>
      <w:lang w:eastAsia="en-AU"/>
    </w:rPr>
  </w:style>
  <w:style w:type="character" w:customStyle="1" w:styleId="SecurityClassificationFooterChar">
    <w:name w:val="Security Classification Footer Char"/>
    <w:basedOn w:val="DefaultParagraphFont"/>
    <w:link w:val="SecurityClassificationFooter"/>
    <w:rsid w:val="00C5499E"/>
    <w:rPr>
      <w:rFonts w:ascii="Calibri" w:eastAsia="Times New Roman" w:hAnsi="Calibri" w:cs="Calibri"/>
      <w:b/>
      <w:noProof/>
      <w:color w:val="FF0000"/>
      <w:sz w:val="24"/>
      <w:szCs w:val="24"/>
      <w:lang w:eastAsia="en-AU"/>
    </w:rPr>
  </w:style>
  <w:style w:type="paragraph" w:customStyle="1" w:styleId="DLMSecurityHeader">
    <w:name w:val="DLM Security Header"/>
    <w:link w:val="DLMSecurityHeaderChar"/>
    <w:rsid w:val="00C5499E"/>
    <w:pPr>
      <w:spacing w:before="60" w:after="240" w:line="240" w:lineRule="auto"/>
      <w:jc w:val="center"/>
    </w:pPr>
    <w:rPr>
      <w:rFonts w:ascii="Calibri" w:eastAsia="Times New Roman" w:hAnsi="Calibri" w:cs="Calibri"/>
      <w:b/>
      <w:noProof/>
      <w:color w:val="FF0000"/>
      <w:sz w:val="24"/>
      <w:szCs w:val="20"/>
      <w:lang w:eastAsia="en-AU"/>
    </w:rPr>
  </w:style>
  <w:style w:type="character" w:customStyle="1" w:styleId="DLMSecurityHeaderChar">
    <w:name w:val="DLM Security Header Char"/>
    <w:basedOn w:val="DefaultParagraphFont"/>
    <w:link w:val="DLMSecurityHeader"/>
    <w:rsid w:val="00C5499E"/>
    <w:rPr>
      <w:rFonts w:ascii="Calibri" w:eastAsia="Times New Roman" w:hAnsi="Calibri" w:cs="Calibri"/>
      <w:b/>
      <w:noProof/>
      <w:color w:val="FF0000"/>
      <w:sz w:val="24"/>
      <w:szCs w:val="20"/>
      <w:lang w:eastAsia="en-AU"/>
    </w:rPr>
  </w:style>
  <w:style w:type="paragraph" w:customStyle="1" w:styleId="DLMSecurityFooter">
    <w:name w:val="DLM Security Footer"/>
    <w:link w:val="DLMSecurityFooterChar"/>
    <w:rsid w:val="00C5499E"/>
    <w:pPr>
      <w:spacing w:before="240" w:after="60" w:line="240" w:lineRule="auto"/>
      <w:jc w:val="center"/>
    </w:pPr>
    <w:rPr>
      <w:rFonts w:ascii="Calibri" w:eastAsia="Times New Roman" w:hAnsi="Calibri" w:cs="Calibri"/>
      <w:b/>
      <w:noProof/>
      <w:color w:val="FF0000"/>
      <w:sz w:val="24"/>
      <w:szCs w:val="24"/>
      <w:lang w:eastAsia="en-AU"/>
    </w:rPr>
  </w:style>
  <w:style w:type="character" w:customStyle="1" w:styleId="DLMSecurityFooterChar">
    <w:name w:val="DLM Security Footer Char"/>
    <w:basedOn w:val="DefaultParagraphFont"/>
    <w:link w:val="DLMSecurityFooter"/>
    <w:rsid w:val="00C5499E"/>
    <w:rPr>
      <w:rFonts w:ascii="Calibri" w:eastAsia="Times New Roman" w:hAnsi="Calibri" w:cs="Calibri"/>
      <w:b/>
      <w:noProof/>
      <w:color w:val="FF0000"/>
      <w:sz w:val="24"/>
      <w:szCs w:val="24"/>
      <w:lang w:eastAsia="en-AU"/>
    </w:rPr>
  </w:style>
  <w:style w:type="character" w:styleId="FollowedHyperlink">
    <w:name w:val="FollowedHyperlink"/>
    <w:basedOn w:val="DefaultParagraphFont"/>
    <w:semiHidden/>
    <w:unhideWhenUsed/>
    <w:rsid w:val="00C5499E"/>
    <w:rPr>
      <w:color w:val="844D9E" w:themeColor="followedHyperlink"/>
      <w:u w:val="single"/>
    </w:rPr>
  </w:style>
  <w:style w:type="paragraph" w:styleId="Quote">
    <w:name w:val="Quote"/>
    <w:basedOn w:val="Normal"/>
    <w:next w:val="Normal"/>
    <w:link w:val="QuoteChar"/>
    <w:uiPriority w:val="29"/>
    <w:rsid w:val="0007221A"/>
    <w:pPr>
      <w:keepLines/>
      <w:spacing w:before="240" w:after="240"/>
      <w:ind w:left="709" w:right="709"/>
      <w:jc w:val="center"/>
    </w:pPr>
    <w:rPr>
      <w:rFonts w:asciiTheme="minorHAnsi" w:hAnsiTheme="minorHAnsi"/>
      <w:i/>
      <w:iCs/>
      <w:color w:val="2C384A" w:themeColor="accent1"/>
    </w:rPr>
  </w:style>
  <w:style w:type="character" w:customStyle="1" w:styleId="QuoteChar">
    <w:name w:val="Quote Char"/>
    <w:basedOn w:val="DefaultParagraphFont"/>
    <w:link w:val="Quote"/>
    <w:uiPriority w:val="29"/>
    <w:rsid w:val="0007221A"/>
    <w:rPr>
      <w:rFonts w:eastAsia="Times New Roman" w:cs="Times New Roman"/>
      <w:i/>
      <w:iCs/>
      <w:color w:val="2C384A" w:themeColor="accent1"/>
      <w:szCs w:val="20"/>
      <w:lang w:eastAsia="en-AU"/>
    </w:rPr>
  </w:style>
  <w:style w:type="character" w:styleId="UnresolvedMention">
    <w:name w:val="Unresolved Mention"/>
    <w:basedOn w:val="DefaultParagraphFont"/>
    <w:uiPriority w:val="99"/>
    <w:unhideWhenUsed/>
    <w:rsid w:val="00C5499E"/>
    <w:rPr>
      <w:color w:val="605E5C"/>
      <w:shd w:val="clear" w:color="auto" w:fill="E1DFDD"/>
    </w:rPr>
  </w:style>
  <w:style w:type="character" w:customStyle="1" w:styleId="Heading7Char">
    <w:name w:val="Heading 7 Char"/>
    <w:basedOn w:val="DefaultParagraphFont"/>
    <w:link w:val="Heading7"/>
    <w:uiPriority w:val="9"/>
    <w:semiHidden/>
    <w:rsid w:val="00C5499E"/>
    <w:rPr>
      <w:rFonts w:asciiTheme="majorHAnsi" w:eastAsiaTheme="majorEastAsia" w:hAnsiTheme="majorHAnsi" w:cstheme="majorBidi"/>
      <w:iCs/>
      <w:color w:val="161B24" w:themeColor="accent1" w:themeShade="7F"/>
      <w:kern w:val="18"/>
      <w:szCs w:val="20"/>
      <w:lang w:eastAsia="en-AU"/>
    </w:rPr>
  </w:style>
  <w:style w:type="paragraph" w:customStyle="1" w:styleId="Heading4Numbered">
    <w:name w:val="Heading 4 Numbered"/>
    <w:basedOn w:val="Heading4"/>
    <w:next w:val="Normal"/>
    <w:qFormat/>
    <w:rsid w:val="00C5499E"/>
    <w:pPr>
      <w:numPr>
        <w:ilvl w:val="3"/>
        <w:numId w:val="35"/>
      </w:numPr>
    </w:pPr>
  </w:style>
  <w:style w:type="paragraph" w:customStyle="1" w:styleId="Heading5Numbered">
    <w:name w:val="Heading 5 Numbered"/>
    <w:basedOn w:val="Heading5"/>
    <w:next w:val="Normal"/>
    <w:unhideWhenUsed/>
    <w:rsid w:val="0007221A"/>
    <w:pPr>
      <w:numPr>
        <w:ilvl w:val="4"/>
        <w:numId w:val="15"/>
      </w:numPr>
    </w:pPr>
  </w:style>
  <w:style w:type="paragraph" w:customStyle="1" w:styleId="Heading6Numbered">
    <w:name w:val="Heading 6 Numbered"/>
    <w:basedOn w:val="Heading6"/>
    <w:next w:val="Normal"/>
    <w:semiHidden/>
    <w:rsid w:val="0007221A"/>
  </w:style>
  <w:style w:type="paragraph" w:customStyle="1" w:styleId="Heading7Numbered">
    <w:name w:val="Heading 7 Numbered"/>
    <w:basedOn w:val="Heading7"/>
    <w:next w:val="Normal"/>
    <w:semiHidden/>
    <w:rsid w:val="0007221A"/>
  </w:style>
  <w:style w:type="paragraph" w:customStyle="1" w:styleId="TableTextBullet">
    <w:name w:val="Table Text Bullet"/>
    <w:basedOn w:val="TableTextLeft"/>
    <w:qFormat/>
    <w:rsid w:val="0007221A"/>
    <w:pPr>
      <w:numPr>
        <w:numId w:val="9"/>
      </w:numPr>
    </w:pPr>
  </w:style>
  <w:style w:type="paragraph" w:customStyle="1" w:styleId="TableTextDash">
    <w:name w:val="Table Text Dash"/>
    <w:basedOn w:val="TableTextLeft"/>
    <w:qFormat/>
    <w:rsid w:val="0007221A"/>
    <w:pPr>
      <w:numPr>
        <w:ilvl w:val="1"/>
        <w:numId w:val="9"/>
      </w:numPr>
    </w:pPr>
  </w:style>
  <w:style w:type="paragraph" w:customStyle="1" w:styleId="ChartTableFiguresectionline">
    <w:name w:val="Chart Table Figure section line"/>
    <w:basedOn w:val="Normal"/>
    <w:qFormat/>
    <w:rsid w:val="00C5499E"/>
    <w:pPr>
      <w:widowControl w:val="0"/>
      <w:pBdr>
        <w:bottom w:val="single" w:sz="12" w:space="0" w:color="2C384A" w:themeColor="accent1"/>
      </w:pBdr>
      <w:spacing w:before="60" w:after="360"/>
      <w:jc w:val="center"/>
    </w:pPr>
    <w:rPr>
      <w:rFonts w:ascii="Calibri Light" w:hAnsi="Calibri Light"/>
      <w:color w:val="FFFFFF" w:themeColor="background1"/>
      <w:kern w:val="16"/>
      <w:sz w:val="2"/>
    </w:rPr>
  </w:style>
  <w:style w:type="paragraph" w:styleId="CommentSubject">
    <w:name w:val="annotation subject"/>
    <w:basedOn w:val="CommentText"/>
    <w:next w:val="CommentText"/>
    <w:link w:val="CommentSubjectChar"/>
    <w:uiPriority w:val="99"/>
    <w:semiHidden/>
    <w:unhideWhenUsed/>
    <w:rsid w:val="0007221A"/>
    <w:rPr>
      <w:rFonts w:ascii="Calibri Light" w:hAnsi="Calibri Light"/>
      <w:b/>
      <w:bCs/>
    </w:rPr>
  </w:style>
  <w:style w:type="character" w:customStyle="1" w:styleId="CommentSubjectChar">
    <w:name w:val="Comment Subject Char"/>
    <w:basedOn w:val="CommentTextChar"/>
    <w:link w:val="CommentSubject"/>
    <w:uiPriority w:val="99"/>
    <w:semiHidden/>
    <w:rsid w:val="0007221A"/>
    <w:rPr>
      <w:rFonts w:ascii="Calibri Light" w:eastAsia="Times New Roman" w:hAnsi="Calibri Light" w:cs="Times New Roman"/>
      <w:b/>
      <w:bCs/>
      <w:sz w:val="20"/>
      <w:szCs w:val="20"/>
      <w:lang w:eastAsia="en-AU"/>
    </w:rPr>
  </w:style>
  <w:style w:type="character" w:styleId="Strong">
    <w:name w:val="Strong"/>
    <w:basedOn w:val="DefaultParagraphFont"/>
    <w:qFormat/>
    <w:rsid w:val="0007221A"/>
    <w:rPr>
      <w:b/>
      <w:bCs/>
    </w:rPr>
  </w:style>
  <w:style w:type="paragraph" w:customStyle="1" w:styleId="FigureMainHeading">
    <w:name w:val="Figure Main Heading"/>
    <w:basedOn w:val="ChartMainHeading"/>
    <w:next w:val="ChartGraphic"/>
    <w:qFormat/>
    <w:rsid w:val="00C5499E"/>
    <w:pPr>
      <w:numPr>
        <w:ilvl w:val="7"/>
      </w:numPr>
    </w:pPr>
  </w:style>
  <w:style w:type="paragraph" w:customStyle="1" w:styleId="FigureSecondHeading">
    <w:name w:val="Figure Second Heading"/>
    <w:basedOn w:val="ChartGraphic"/>
    <w:qFormat/>
    <w:rsid w:val="00C5499E"/>
    <w:pPr>
      <w:spacing w:after="60"/>
      <w:jc w:val="left"/>
    </w:pPr>
    <w:rPr>
      <w:rFonts w:asciiTheme="minorHAnsi" w:hAnsiTheme="minorHAnsi"/>
      <w:color w:val="5D779D" w:themeColor="accent3"/>
      <w:sz w:val="24"/>
    </w:rPr>
  </w:style>
  <w:style w:type="paragraph" w:customStyle="1" w:styleId="BoxHeadingPolicy">
    <w:name w:val="Box Heading Policy"/>
    <w:basedOn w:val="BoxHeading"/>
    <w:qFormat/>
    <w:rsid w:val="0007221A"/>
    <w:pPr>
      <w:numPr>
        <w:numId w:val="11"/>
      </w:numPr>
      <w:ind w:left="2268" w:hanging="2268"/>
    </w:pPr>
    <w:rPr>
      <w:bCs/>
    </w:rPr>
  </w:style>
  <w:style w:type="paragraph" w:customStyle="1" w:styleId="BoxHeading">
    <w:name w:val="Box Heading"/>
    <w:basedOn w:val="Normal"/>
    <w:next w:val="Normal"/>
    <w:qFormat/>
    <w:rsid w:val="00C5499E"/>
    <w:pPr>
      <w:keepNext/>
      <w:spacing w:before="0"/>
    </w:pPr>
    <w:rPr>
      <w:b/>
      <w:color w:val="2C384A" w:themeColor="accent1"/>
      <w:sz w:val="26"/>
      <w:szCs w:val="26"/>
    </w:rPr>
  </w:style>
  <w:style w:type="paragraph" w:customStyle="1" w:styleId="BoxSubheading">
    <w:name w:val="Box Subheading"/>
    <w:basedOn w:val="BoxHeading"/>
    <w:qFormat/>
    <w:rsid w:val="0007221A"/>
    <w:rPr>
      <w:rFonts w:asciiTheme="minorHAnsi" w:hAnsiTheme="minorHAnsi"/>
      <w:b w:val="0"/>
      <w:sz w:val="22"/>
    </w:rPr>
  </w:style>
  <w:style w:type="paragraph" w:styleId="BodyText">
    <w:name w:val="Body Text"/>
    <w:basedOn w:val="Normal"/>
    <w:link w:val="BodyTextChar"/>
    <w:qFormat/>
    <w:rsid w:val="00621F33"/>
    <w:pPr>
      <w:jc w:val="both"/>
    </w:pPr>
  </w:style>
  <w:style w:type="character" w:customStyle="1" w:styleId="BodyTextChar">
    <w:name w:val="Body Text Char"/>
    <w:basedOn w:val="DefaultParagraphFont"/>
    <w:link w:val="BodyText"/>
    <w:rsid w:val="00621F33"/>
    <w:rPr>
      <w:rFonts w:ascii="Calibri" w:eastAsia="Times New Roman" w:hAnsi="Calibri" w:cs="Times New Roman"/>
      <w:szCs w:val="20"/>
      <w:lang w:eastAsia="en-AU"/>
    </w:rPr>
  </w:style>
  <w:style w:type="paragraph" w:styleId="EndnoteText">
    <w:name w:val="endnote text"/>
    <w:basedOn w:val="Normal"/>
    <w:link w:val="EndnoteTextChar"/>
    <w:rsid w:val="0007221A"/>
    <w:pPr>
      <w:spacing w:before="60" w:after="60"/>
      <w:ind w:left="397" w:hanging="397"/>
    </w:pPr>
    <w:rPr>
      <w:sz w:val="20"/>
    </w:rPr>
  </w:style>
  <w:style w:type="character" w:customStyle="1" w:styleId="EndnoteTextChar">
    <w:name w:val="Endnote Text Char"/>
    <w:basedOn w:val="DefaultParagraphFont"/>
    <w:link w:val="EndnoteText"/>
    <w:rsid w:val="0007221A"/>
    <w:rPr>
      <w:rFonts w:ascii="Calibri Light" w:eastAsia="Times New Roman" w:hAnsi="Calibri Light" w:cs="Times New Roman"/>
      <w:kern w:val="18"/>
      <w:sz w:val="20"/>
      <w:szCs w:val="20"/>
      <w:lang w:eastAsia="en-AU"/>
    </w:rPr>
  </w:style>
  <w:style w:type="paragraph" w:customStyle="1" w:styleId="BoxHeadingBox11">
    <w:name w:val="Box Heading Box 1.1"/>
    <w:basedOn w:val="BoxHeading"/>
    <w:next w:val="Normal"/>
    <w:rsid w:val="00122859"/>
    <w:pPr>
      <w:ind w:left="1134" w:hanging="1134"/>
    </w:pPr>
  </w:style>
  <w:style w:type="table" w:styleId="PlainTable2">
    <w:name w:val="Plain Table 2"/>
    <w:basedOn w:val="TableNormal"/>
    <w:uiPriority w:val="42"/>
    <w:rsid w:val="00B308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C5499E"/>
    <w:pPr>
      <w:spacing w:after="0" w:line="240" w:lineRule="auto"/>
    </w:pPr>
    <w:rPr>
      <w:rFonts w:ascii="Calibri Light" w:hAnsi="Calibri Light" w:cs="Times New Roman"/>
      <w:color w:val="0D0D0D" w:themeColor="text1" w:themeTint="F2"/>
      <w:szCs w:val="20"/>
    </w:rPr>
  </w:style>
  <w:style w:type="character" w:styleId="Emphasis">
    <w:name w:val="Emphasis"/>
    <w:basedOn w:val="DefaultParagraphFont"/>
    <w:uiPriority w:val="20"/>
    <w:qFormat/>
    <w:rsid w:val="0059635A"/>
    <w:rPr>
      <w:i/>
      <w:iCs/>
    </w:rPr>
  </w:style>
  <w:style w:type="character" w:styleId="Mention">
    <w:name w:val="Mention"/>
    <w:basedOn w:val="DefaultParagraphFont"/>
    <w:uiPriority w:val="99"/>
    <w:unhideWhenUsed/>
    <w:rsid w:val="00076DAB"/>
    <w:rPr>
      <w:color w:val="2B579A"/>
      <w:shd w:val="clear" w:color="auto" w:fill="E1DFDD"/>
    </w:rPr>
  </w:style>
  <w:style w:type="paragraph" w:styleId="NormalWeb">
    <w:name w:val="Normal (Web)"/>
    <w:basedOn w:val="Normal"/>
    <w:rsid w:val="00C5499E"/>
    <w:pPr>
      <w:spacing w:before="100" w:beforeAutospacing="1" w:after="100" w:afterAutospacing="1"/>
    </w:pPr>
  </w:style>
  <w:style w:type="paragraph" w:customStyle="1" w:styleId="BoxHeadingSummary">
    <w:name w:val="Box Heading Summary"/>
    <w:basedOn w:val="BoxHeading"/>
    <w:qFormat/>
    <w:rsid w:val="0007221A"/>
    <w:pPr>
      <w:spacing w:before="60" w:after="180"/>
    </w:pPr>
    <w:rPr>
      <w:b w:val="0"/>
      <w:sz w:val="32"/>
    </w:rPr>
  </w:style>
  <w:style w:type="paragraph" w:customStyle="1" w:styleId="BoxTextSummary">
    <w:name w:val="Box Text Summary"/>
    <w:basedOn w:val="BoxText"/>
    <w:qFormat/>
    <w:rsid w:val="0007221A"/>
    <w:rPr>
      <w:sz w:val="24"/>
      <w:lang w:eastAsia="en-US"/>
    </w:rPr>
  </w:style>
  <w:style w:type="paragraph" w:customStyle="1" w:styleId="Heading1Appendix">
    <w:name w:val="Heading 1 Appendix"/>
    <w:basedOn w:val="Heading1"/>
    <w:next w:val="Normal"/>
    <w:rsid w:val="0007221A"/>
    <w:pPr>
      <w:numPr>
        <w:numId w:val="16"/>
      </w:numPr>
      <w:spacing w:line="520" w:lineRule="exact"/>
    </w:pPr>
  </w:style>
  <w:style w:type="paragraph" w:customStyle="1" w:styleId="Heading3Appendix">
    <w:name w:val="Heading 3 Appendix"/>
    <w:basedOn w:val="Heading3"/>
    <w:qFormat/>
    <w:rsid w:val="0007221A"/>
    <w:pPr>
      <w:numPr>
        <w:ilvl w:val="2"/>
        <w:numId w:val="16"/>
      </w:numPr>
      <w:spacing w:after="240" w:line="240" w:lineRule="auto"/>
    </w:pPr>
    <w:rPr>
      <w:bCs/>
    </w:rPr>
  </w:style>
  <w:style w:type="paragraph" w:customStyle="1" w:styleId="Heading4Appendix">
    <w:name w:val="Heading 4 Appendix"/>
    <w:basedOn w:val="Heading4"/>
    <w:qFormat/>
    <w:rsid w:val="0007221A"/>
    <w:pPr>
      <w:numPr>
        <w:ilvl w:val="3"/>
        <w:numId w:val="16"/>
      </w:numPr>
      <w:spacing w:line="240" w:lineRule="auto"/>
    </w:pPr>
    <w:rPr>
      <w:bCs/>
      <w:sz w:val="28"/>
    </w:rPr>
  </w:style>
  <w:style w:type="paragraph" w:customStyle="1" w:styleId="TableMainHeadingAppendix">
    <w:name w:val="Table Main Heading Appendix"/>
    <w:basedOn w:val="TableMainHeading"/>
    <w:qFormat/>
    <w:rsid w:val="0007221A"/>
    <w:pPr>
      <w:numPr>
        <w:ilvl w:val="7"/>
        <w:numId w:val="16"/>
      </w:numPr>
    </w:pPr>
  </w:style>
  <w:style w:type="paragraph" w:customStyle="1" w:styleId="BoxHeadingBoxA1Appendix">
    <w:name w:val="Box Heading Box A.1 Appendix"/>
    <w:basedOn w:val="Normal"/>
    <w:qFormat/>
    <w:rsid w:val="0007221A"/>
    <w:pPr>
      <w:keepNext/>
      <w:numPr>
        <w:ilvl w:val="4"/>
        <w:numId w:val="16"/>
      </w:numPr>
      <w:spacing w:before="240"/>
    </w:pPr>
    <w:rPr>
      <w:b/>
      <w:bCs/>
      <w:color w:val="2C384A" w:themeColor="accent1"/>
      <w:sz w:val="26"/>
      <w:szCs w:val="26"/>
      <w:lang w:eastAsia="en-US"/>
    </w:rPr>
  </w:style>
  <w:style w:type="paragraph" w:customStyle="1" w:styleId="ChartMainHeadingAppendix">
    <w:name w:val="Chart Main Heading Appendix"/>
    <w:basedOn w:val="ChartMainHeading"/>
    <w:qFormat/>
    <w:rsid w:val="00DC71EA"/>
    <w:pPr>
      <w:numPr>
        <w:ilvl w:val="5"/>
        <w:numId w:val="16"/>
      </w:numPr>
    </w:pPr>
  </w:style>
  <w:style w:type="paragraph" w:customStyle="1" w:styleId="FigureMainHeadingAppendix">
    <w:name w:val="Figure Main Heading Appendix"/>
    <w:basedOn w:val="FigureMainHeading"/>
    <w:qFormat/>
    <w:rsid w:val="0007221A"/>
    <w:pPr>
      <w:numPr>
        <w:ilvl w:val="6"/>
        <w:numId w:val="16"/>
      </w:numPr>
    </w:pPr>
  </w:style>
  <w:style w:type="paragraph" w:customStyle="1" w:styleId="Heading2Appendix">
    <w:name w:val="Heading 2 Appendix"/>
    <w:basedOn w:val="Heading2"/>
    <w:qFormat/>
    <w:rsid w:val="0007221A"/>
    <w:pPr>
      <w:numPr>
        <w:ilvl w:val="1"/>
        <w:numId w:val="16"/>
      </w:numPr>
    </w:pPr>
  </w:style>
  <w:style w:type="paragraph" w:customStyle="1" w:styleId="FigureGraphic">
    <w:name w:val="Figure Graphic"/>
    <w:basedOn w:val="ChartGraphic"/>
    <w:qFormat/>
    <w:rsid w:val="0007221A"/>
  </w:style>
  <w:style w:type="character" w:styleId="EndnoteReference">
    <w:name w:val="endnote reference"/>
    <w:basedOn w:val="DefaultParagraphFont"/>
    <w:rsid w:val="0007221A"/>
    <w:rPr>
      <w:vertAlign w:val="superscript"/>
    </w:rPr>
  </w:style>
  <w:style w:type="character" w:customStyle="1" w:styleId="Heading8Char">
    <w:name w:val="Heading 8 Char"/>
    <w:basedOn w:val="DefaultParagraphFont"/>
    <w:link w:val="Heading8"/>
    <w:uiPriority w:val="9"/>
    <w:rsid w:val="00C5499E"/>
    <w:rPr>
      <w:rFonts w:asciiTheme="majorHAnsi" w:eastAsiaTheme="majorEastAsia" w:hAnsiTheme="majorHAnsi" w:cstheme="majorBidi"/>
      <w:color w:val="272727" w:themeColor="text1" w:themeTint="D8"/>
      <w:kern w:val="18"/>
      <w:sz w:val="21"/>
      <w:szCs w:val="21"/>
      <w:lang w:eastAsia="en-AU"/>
    </w:rPr>
  </w:style>
  <w:style w:type="character" w:customStyle="1" w:styleId="Heading9Char">
    <w:name w:val="Heading 9 Char"/>
    <w:basedOn w:val="DefaultParagraphFont"/>
    <w:link w:val="Heading9"/>
    <w:uiPriority w:val="9"/>
    <w:rsid w:val="00C5499E"/>
    <w:rPr>
      <w:rFonts w:asciiTheme="majorHAnsi" w:eastAsiaTheme="majorEastAsia" w:hAnsiTheme="majorHAnsi" w:cstheme="majorBidi"/>
      <w:iCs/>
      <w:color w:val="272727" w:themeColor="text1" w:themeTint="D8"/>
      <w:kern w:val="18"/>
      <w:sz w:val="21"/>
      <w:szCs w:val="21"/>
      <w:lang w:eastAsia="en-AU"/>
    </w:rPr>
  </w:style>
  <w:style w:type="paragraph" w:customStyle="1" w:styleId="Reporttitle">
    <w:name w:val="Report title"/>
    <w:basedOn w:val="Normal"/>
    <w:qFormat/>
    <w:rsid w:val="00C5499E"/>
    <w:pPr>
      <w:spacing w:before="960" w:after="240"/>
      <w:outlineLvl w:val="0"/>
    </w:pPr>
    <w:rPr>
      <w:b/>
      <w:color w:val="2C384A" w:themeColor="accent1"/>
      <w:spacing w:val="-14"/>
      <w:sz w:val="44"/>
      <w:szCs w:val="68"/>
    </w:rPr>
  </w:style>
  <w:style w:type="table" w:customStyle="1" w:styleId="TableGrid1">
    <w:name w:val="Table Grid1"/>
    <w:basedOn w:val="TableNormal"/>
    <w:next w:val="TableGrid"/>
    <w:uiPriority w:val="59"/>
    <w:rsid w:val="00C5499E"/>
    <w:pPr>
      <w:spacing w:after="0" w:line="240" w:lineRule="auto"/>
    </w:pPr>
    <w:rPr>
      <w:rFonts w:ascii="Calibri" w:hAnsi="Calibri" w:cs="Times New Roman"/>
      <w:sz w:val="20"/>
      <w:szCs w:val="20"/>
    </w:rPr>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paragraph" w:customStyle="1" w:styleId="Introtext">
    <w:name w:val="Intro text"/>
    <w:basedOn w:val="Normal"/>
    <w:qFormat/>
    <w:rsid w:val="00C5499E"/>
    <w:pPr>
      <w:numPr>
        <w:ilvl w:val="1"/>
      </w:numPr>
      <w:spacing w:after="240"/>
    </w:pPr>
    <w:rPr>
      <w:rFonts w:eastAsiaTheme="minorEastAsia" w:cstheme="minorBidi"/>
      <w:color w:val="10263B"/>
      <w:sz w:val="26"/>
      <w:szCs w:val="26"/>
      <w:lang w:eastAsia="zh-CN"/>
    </w:rPr>
  </w:style>
  <w:style w:type="paragraph" w:styleId="NoSpacing">
    <w:name w:val="No Spacing"/>
    <w:link w:val="NoSpacingChar"/>
    <w:uiPriority w:val="1"/>
    <w:qFormat/>
    <w:rsid w:val="00C5499E"/>
    <w:pPr>
      <w:spacing w:after="0" w:line="240" w:lineRule="auto"/>
    </w:pPr>
    <w:rPr>
      <w:rFonts w:eastAsiaTheme="minorEastAsia"/>
      <w:lang w:val="en-US"/>
    </w:rPr>
  </w:style>
  <w:style w:type="paragraph" w:customStyle="1" w:styleId="Default">
    <w:name w:val="Default"/>
    <w:rsid w:val="00C5499E"/>
    <w:pPr>
      <w:autoSpaceDE w:val="0"/>
      <w:autoSpaceDN w:val="0"/>
      <w:adjustRightInd w:val="0"/>
      <w:spacing w:after="0" w:line="240" w:lineRule="auto"/>
    </w:pPr>
    <w:rPr>
      <w:rFonts w:ascii="Verdana" w:eastAsia="Times New Roman" w:hAnsi="Verdana" w:cs="Verdana"/>
      <w:color w:val="000000"/>
      <w:sz w:val="24"/>
      <w:szCs w:val="24"/>
      <w:lang w:eastAsia="en-AU"/>
    </w:rPr>
  </w:style>
  <w:style w:type="table" w:customStyle="1" w:styleId="GridTable5Dark-Accent61">
    <w:name w:val="Grid Table 5 Dark - Accent 61"/>
    <w:basedOn w:val="TableNormal"/>
    <w:uiPriority w:val="50"/>
    <w:rsid w:val="00C5499E"/>
    <w:pPr>
      <w:spacing w:before="100" w:after="0" w:line="240" w:lineRule="auto"/>
    </w:pPr>
    <w:rPr>
      <w:rFonts w:eastAsiaTheme="minorEastAsia"/>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customStyle="1" w:styleId="KeyContactsName">
    <w:name w:val="KeyContacts Name"/>
    <w:basedOn w:val="Normal"/>
    <w:next w:val="Normal"/>
    <w:semiHidden/>
    <w:rsid w:val="00C5499E"/>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240" w:after="0" w:afterAutospacing="1" w:line="264" w:lineRule="auto"/>
    </w:pPr>
    <w:rPr>
      <w:rFonts w:ascii="Univers 45 Light" w:hAnsi="Univers 45 Light"/>
      <w:b/>
      <w:color w:val="0C2D83"/>
      <w:sz w:val="18"/>
      <w:szCs w:val="24"/>
      <w:lang w:val="en-GB"/>
    </w:rPr>
  </w:style>
  <w:style w:type="character" w:customStyle="1" w:styleId="ListParagraphChar">
    <w:name w:val="List Paragraph Char"/>
    <w:basedOn w:val="DefaultParagraphFont"/>
    <w:link w:val="ListParagraph"/>
    <w:uiPriority w:val="34"/>
    <w:rsid w:val="00C5499E"/>
    <w:rPr>
      <w:rFonts w:ascii="Calibri" w:eastAsia="Times New Roman" w:hAnsi="Calibri" w:cs="Times New Roman"/>
      <w:kern w:val="18"/>
      <w:szCs w:val="20"/>
      <w:lang w:eastAsia="en-AU"/>
    </w:rPr>
  </w:style>
  <w:style w:type="table" w:customStyle="1" w:styleId="ListTable4-Accent61">
    <w:name w:val="List Table 4 - Accent 61"/>
    <w:basedOn w:val="TableNormal"/>
    <w:uiPriority w:val="49"/>
    <w:rsid w:val="00C5499E"/>
    <w:pPr>
      <w:spacing w:before="100" w:after="0" w:line="240" w:lineRule="auto"/>
    </w:pPr>
    <w:rPr>
      <w:rFonts w:eastAsiaTheme="minorEastAsia"/>
      <w:sz w:val="20"/>
      <w:szCs w:val="20"/>
      <w:lang w:eastAsia="en-AU"/>
    </w:rPr>
    <w:tblPr>
      <w:tblStyleRowBandSize w:val="1"/>
      <w:tblStyleColBandSize w:val="1"/>
      <w:tblBorders>
        <w:top w:val="single" w:sz="4" w:space="0" w:color="F6CEB3" w:themeColor="accent6" w:themeTint="99"/>
        <w:left w:val="single" w:sz="4" w:space="0" w:color="F6CEB3" w:themeColor="accent6" w:themeTint="99"/>
        <w:bottom w:val="single" w:sz="4" w:space="0" w:color="F6CEB3" w:themeColor="accent6" w:themeTint="99"/>
        <w:right w:val="single" w:sz="4" w:space="0" w:color="F6CEB3" w:themeColor="accent6" w:themeTint="99"/>
        <w:insideH w:val="single" w:sz="4" w:space="0" w:color="F6CEB3" w:themeColor="accent6" w:themeTint="99"/>
      </w:tblBorders>
    </w:tblPr>
    <w:tblStylePr w:type="firstRow">
      <w:rPr>
        <w:b/>
        <w:bCs/>
        <w:color w:val="FFFFFF" w:themeColor="background1"/>
      </w:rPr>
      <w:tblPr/>
      <w:tcPr>
        <w:tcBorders>
          <w:top w:val="single" w:sz="4" w:space="0" w:color="F0AE81" w:themeColor="accent6"/>
          <w:left w:val="single" w:sz="4" w:space="0" w:color="F0AE81" w:themeColor="accent6"/>
          <w:bottom w:val="single" w:sz="4" w:space="0" w:color="F0AE81" w:themeColor="accent6"/>
          <w:right w:val="single" w:sz="4" w:space="0" w:color="F0AE81" w:themeColor="accent6"/>
          <w:insideH w:val="nil"/>
        </w:tcBorders>
        <w:shd w:val="clear" w:color="auto" w:fill="F0AE81" w:themeFill="accent6"/>
      </w:tcPr>
    </w:tblStylePr>
    <w:tblStylePr w:type="lastRow">
      <w:rPr>
        <w:b/>
        <w:bCs/>
      </w:rPr>
      <w:tblPr/>
      <w:tcPr>
        <w:tcBorders>
          <w:top w:val="double" w:sz="4" w:space="0" w:color="F6CEB3" w:themeColor="accent6" w:themeTint="99"/>
        </w:tcBorders>
      </w:tcPr>
    </w:tblStylePr>
    <w:tblStylePr w:type="firstCol">
      <w:rPr>
        <w:b/>
        <w:bCs/>
      </w:rPr>
    </w:tblStylePr>
    <w:tblStylePr w:type="lastCol">
      <w:rPr>
        <w:b/>
        <w:bCs/>
      </w:rPr>
    </w:tblStylePr>
    <w:tblStylePr w:type="band1Vert">
      <w:tblPr/>
      <w:tcPr>
        <w:shd w:val="clear" w:color="auto" w:fill="FCEEE5" w:themeFill="accent6" w:themeFillTint="33"/>
      </w:tcPr>
    </w:tblStylePr>
    <w:tblStylePr w:type="band1Horz">
      <w:tblPr/>
      <w:tcPr>
        <w:shd w:val="clear" w:color="auto" w:fill="FCEEE5" w:themeFill="accent6" w:themeFillTint="33"/>
      </w:tcPr>
    </w:tblStylePr>
  </w:style>
  <w:style w:type="character" w:customStyle="1" w:styleId="NoSpacingChar">
    <w:name w:val="No Spacing Char"/>
    <w:basedOn w:val="DefaultParagraphFont"/>
    <w:link w:val="NoSpacing"/>
    <w:uiPriority w:val="1"/>
    <w:rsid w:val="00C5499E"/>
    <w:rPr>
      <w:rFonts w:eastAsiaTheme="minorEastAsia"/>
      <w:lang w:val="en-US"/>
    </w:rPr>
  </w:style>
  <w:style w:type="character" w:styleId="PageNumber">
    <w:name w:val="page number"/>
    <w:basedOn w:val="DefaultParagraphFont"/>
    <w:rsid w:val="00C5499E"/>
  </w:style>
  <w:style w:type="numbering" w:customStyle="1" w:styleId="StyleBulletedSymbolsymbol11ptLeft4cmHanging05">
    <w:name w:val="Style Bulleted Symbol (symbol) 11 pt Left:  4 cm Hanging:  0.5 ..."/>
    <w:basedOn w:val="NoList"/>
    <w:rsid w:val="00C5499E"/>
    <w:pPr>
      <w:numPr>
        <w:numId w:val="17"/>
      </w:numPr>
    </w:pPr>
  </w:style>
  <w:style w:type="numbering" w:customStyle="1" w:styleId="StyleBulletedSymbolsymbol11ptLeft4cmHanging051">
    <w:name w:val="Style Bulleted Symbol (symbol) 11 pt Left:  4 cm Hanging:  0.5 ...1"/>
    <w:basedOn w:val="NoList"/>
    <w:rsid w:val="00C5499E"/>
    <w:pPr>
      <w:numPr>
        <w:numId w:val="18"/>
      </w:numPr>
    </w:pPr>
  </w:style>
  <w:style w:type="paragraph" w:customStyle="1" w:styleId="Tableheading">
    <w:name w:val="Table heading"/>
    <w:basedOn w:val="Normal"/>
    <w:rsid w:val="00C5499E"/>
    <w:pPr>
      <w:keepLines/>
      <w:jc w:val="center"/>
    </w:pPr>
    <w:rPr>
      <w:b/>
    </w:rPr>
  </w:style>
  <w:style w:type="paragraph" w:customStyle="1" w:styleId="TableText">
    <w:name w:val="Table Text"/>
    <w:basedOn w:val="Normal"/>
    <w:rsid w:val="00C5499E"/>
    <w:pPr>
      <w:spacing w:before="100" w:line="264" w:lineRule="auto"/>
    </w:pPr>
    <w:rPr>
      <w:rFonts w:eastAsia="Batang" w:cstheme="minorBidi"/>
      <w:sz w:val="24"/>
    </w:rPr>
  </w:style>
  <w:style w:type="paragraph" w:customStyle="1" w:styleId="Tabletext0">
    <w:name w:val="Table text"/>
    <w:basedOn w:val="Normal"/>
    <w:link w:val="TabletextChar"/>
    <w:rsid w:val="00C5499E"/>
    <w:pPr>
      <w:spacing w:before="80" w:after="80"/>
    </w:pPr>
    <w:rPr>
      <w:rFonts w:ascii="Univers 45 Light" w:hAnsi="Univers 45 Light"/>
      <w:sz w:val="19"/>
    </w:rPr>
  </w:style>
  <w:style w:type="character" w:customStyle="1" w:styleId="TabletextChar">
    <w:name w:val="Table text Char"/>
    <w:basedOn w:val="DefaultParagraphFont"/>
    <w:link w:val="Tabletext0"/>
    <w:rsid w:val="00C5499E"/>
    <w:rPr>
      <w:rFonts w:ascii="Univers 45 Light" w:eastAsia="Times New Roman" w:hAnsi="Univers 45 Light" w:cs="Times New Roman"/>
      <w:kern w:val="18"/>
      <w:sz w:val="19"/>
      <w:szCs w:val="20"/>
      <w:lang w:eastAsia="en-AU"/>
    </w:rPr>
  </w:style>
  <w:style w:type="paragraph" w:customStyle="1" w:styleId="Chart">
    <w:name w:val="Chart"/>
    <w:basedOn w:val="Normal"/>
    <w:qFormat/>
    <w:rsid w:val="00C5499E"/>
    <w:pPr>
      <w:keepNext/>
      <w:jc w:val="center"/>
    </w:pPr>
    <w:rPr>
      <w:noProof/>
      <w:sz w:val="20"/>
    </w:rPr>
  </w:style>
  <w:style w:type="paragraph" w:customStyle="1" w:styleId="Charttitle">
    <w:name w:val="Chart title"/>
    <w:basedOn w:val="Normal"/>
    <w:qFormat/>
    <w:rsid w:val="00C5499E"/>
    <w:pPr>
      <w:keepNext/>
      <w:spacing w:before="240"/>
      <w:jc w:val="center"/>
    </w:pPr>
    <w:rPr>
      <w:rFonts w:eastAsiaTheme="minorHAnsi"/>
      <w:b/>
      <w:lang w:eastAsia="en-US"/>
    </w:rPr>
  </w:style>
  <w:style w:type="paragraph" w:customStyle="1" w:styleId="Chartsource">
    <w:name w:val="Chart source"/>
    <w:basedOn w:val="Normal"/>
    <w:qFormat/>
    <w:rsid w:val="00C5499E"/>
    <w:pPr>
      <w:keepNext/>
      <w:spacing w:before="0" w:after="0"/>
    </w:pPr>
    <w:rPr>
      <w:sz w:val="16"/>
    </w:rPr>
  </w:style>
  <w:style w:type="character" w:styleId="SubtleReference">
    <w:name w:val="Subtle Reference"/>
    <w:basedOn w:val="DefaultParagraphFont"/>
    <w:uiPriority w:val="31"/>
    <w:rsid w:val="00C5499E"/>
    <w:rPr>
      <w:smallCaps/>
      <w:color w:val="5A5A5A" w:themeColor="text1" w:themeTint="A5"/>
    </w:rPr>
  </w:style>
  <w:style w:type="paragraph" w:customStyle="1" w:styleId="Editorname">
    <w:name w:val="Editor name"/>
    <w:qFormat/>
    <w:rsid w:val="00C5499E"/>
    <w:pPr>
      <w:spacing w:after="0" w:line="240" w:lineRule="auto"/>
    </w:pPr>
    <w:rPr>
      <w:rFonts w:ascii="Calibri Light" w:eastAsiaTheme="majorEastAsia" w:hAnsi="Calibri Light" w:cstheme="majorBidi"/>
      <w:iCs/>
      <w:color w:val="2C384A" w:themeColor="accent1"/>
      <w:sz w:val="28"/>
      <w:szCs w:val="44"/>
      <w:lang w:eastAsia="en-AU"/>
    </w:rPr>
  </w:style>
  <w:style w:type="paragraph" w:customStyle="1" w:styleId="Authornameunderlined">
    <w:name w:val="Author name (underlined)"/>
    <w:basedOn w:val="Normal"/>
    <w:qFormat/>
    <w:rsid w:val="00024E8C"/>
    <w:pPr>
      <w:pBdr>
        <w:bottom w:val="single" w:sz="4" w:space="7" w:color="D9D9D9" w:themeColor="background1" w:themeShade="D9"/>
      </w:pBdr>
      <w:spacing w:before="0" w:after="240"/>
    </w:pPr>
    <w:rPr>
      <w:rFonts w:asciiTheme="majorHAnsi" w:hAnsiTheme="majorHAnsi" w:cstheme="majorHAnsi"/>
    </w:rPr>
  </w:style>
  <w:style w:type="paragraph" w:styleId="TOCHeading">
    <w:name w:val="TOC Heading"/>
    <w:basedOn w:val="Heading1"/>
    <w:next w:val="Normal"/>
    <w:uiPriority w:val="39"/>
    <w:unhideWhenUsed/>
    <w:qFormat/>
    <w:rsid w:val="00F117C9"/>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paragraph" w:customStyle="1" w:styleId="ChartTableFigureNoteorSource">
    <w:name w:val="Chart Table Figure Note or Source"/>
    <w:next w:val="Normal"/>
    <w:rsid w:val="00C5499E"/>
    <w:pPr>
      <w:spacing w:before="60" w:after="0" w:line="240" w:lineRule="auto"/>
      <w:ind w:left="709" w:hanging="709"/>
    </w:pPr>
    <w:rPr>
      <w:rFonts w:ascii="Calibri" w:eastAsia="Times New Roman" w:hAnsi="Calibri" w:cs="Times New Roman"/>
      <w:color w:val="000000"/>
      <w:sz w:val="18"/>
      <w:szCs w:val="20"/>
      <w:lang w:eastAsia="en-AU"/>
    </w:rPr>
  </w:style>
  <w:style w:type="character" w:customStyle="1" w:styleId="OutlineNumbered1Char">
    <w:name w:val="Outline Numbered 1 Char"/>
    <w:basedOn w:val="DefaultParagraphFont"/>
    <w:link w:val="OutlineNumbered1"/>
    <w:rsid w:val="00C5499E"/>
    <w:rPr>
      <w:rFonts w:eastAsia="Times New Roman" w:cs="Times New Roman"/>
      <w:kern w:val="16"/>
      <w:szCs w:val="20"/>
      <w:lang w:eastAsia="en-AU"/>
    </w:rPr>
  </w:style>
  <w:style w:type="character" w:customStyle="1" w:styleId="OutlineNumbered2Char">
    <w:name w:val="Outline Numbered 2 Char"/>
    <w:basedOn w:val="DefaultParagraphFont"/>
    <w:link w:val="OutlineNumbered2"/>
    <w:rsid w:val="00C5499E"/>
    <w:rPr>
      <w:rFonts w:ascii="Calibri Light" w:eastAsia="Times New Roman" w:hAnsi="Calibri Light" w:cs="Times New Roman"/>
      <w:color w:val="004A7F"/>
      <w:kern w:val="16"/>
      <w:sz w:val="20"/>
      <w:szCs w:val="20"/>
      <w:lang w:eastAsia="en-AU"/>
    </w:rPr>
  </w:style>
  <w:style w:type="character" w:customStyle="1" w:styleId="OutlineNumbered3Char">
    <w:name w:val="Outline Numbered 3 Char"/>
    <w:basedOn w:val="DefaultParagraphFont"/>
    <w:link w:val="OutlineNumbered3"/>
    <w:rsid w:val="00C5499E"/>
    <w:rPr>
      <w:rFonts w:ascii="Calibri Light" w:eastAsia="Times New Roman" w:hAnsi="Calibri Light" w:cs="Times New Roman"/>
      <w:color w:val="004A7F"/>
      <w:kern w:val="16"/>
      <w:sz w:val="20"/>
      <w:szCs w:val="20"/>
      <w:lang w:eastAsia="en-AU"/>
    </w:rPr>
  </w:style>
  <w:style w:type="paragraph" w:styleId="Index3">
    <w:name w:val="index 3"/>
    <w:basedOn w:val="Normal"/>
    <w:next w:val="Normal"/>
    <w:autoRedefine/>
    <w:uiPriority w:val="99"/>
    <w:unhideWhenUsed/>
    <w:rsid w:val="00C5499E"/>
    <w:pPr>
      <w:spacing w:before="0" w:after="0"/>
      <w:ind w:left="66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322468643">
      <w:bodyDiv w:val="1"/>
      <w:marLeft w:val="0"/>
      <w:marRight w:val="0"/>
      <w:marTop w:val="0"/>
      <w:marBottom w:val="0"/>
      <w:divBdr>
        <w:top w:val="none" w:sz="0" w:space="0" w:color="auto"/>
        <w:left w:val="none" w:sz="0" w:space="0" w:color="auto"/>
        <w:bottom w:val="none" w:sz="0" w:space="0" w:color="auto"/>
        <w:right w:val="none" w:sz="0" w:space="0" w:color="auto"/>
      </w:divBdr>
    </w:div>
    <w:div w:id="180160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www.abs.gov.au/statistics/microdata-tablebuilder/available-microdata-tablebuilder/longitudinal-labour-force-australia" TargetMode="Externa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hyperlink" Target="https://www.rba.gov.au/publications/confs/2011/pdf/borland.pdf" TargetMode="External"/><Relationship Id="rId55" Type="http://schemas.openxmlformats.org/officeDocument/2006/relationships/hyperlink" Target="https://doi.org/10.1093/qje/qjaa021" TargetMode="External"/><Relationship Id="rId63" Type="http://schemas.openxmlformats.org/officeDocument/2006/relationships/hyperlink" Target="https://www.pc.gov.au/inquiries/completed/labour-mobility/report/labour-mobility.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ecb.europa.eu/pub/economic-bulletin/articles/2019/html/ecb.ebart201904_01~9070de27a0.en.html" TargetMode="Externa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hyperlink" Target="https://www.abs.gov.au/statistics/microdata-tablebuilder/available-microdata-tablebuilder/longitudinal-labour-force-australia" TargetMode="External"/><Relationship Id="rId37" Type="http://schemas.openxmlformats.org/officeDocument/2006/relationships/hyperlink" Target="https://www.abs.gov.au/statistics/microdata-tablebuilder/available-microdata-tablebuilder/longitudinal-labour-force-australia" TargetMode="External"/><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hyperlink" Target="https://www.rba.gov.au/publications/bulletin/2012/dec/pdf/bu-1212-1.pdf" TargetMode="External"/><Relationship Id="rId58" Type="http://schemas.openxmlformats.org/officeDocument/2006/relationships/hyperlink" Target="https://doi.org/10.1007/s13384-015-0172-5"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jobsandskills.gov.au/australian-skills-classification"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ecb.europa.eu/pub/economic-bulletin/articles/2019/html/ecb.ebart201904_01~9070de27a0.en.html" TargetMode="External"/><Relationship Id="rId35" Type="http://schemas.openxmlformats.org/officeDocument/2006/relationships/hyperlink" Target="https://www.jobsandskills.gov.au/work/internet-vacancy-index" TargetMode="External"/><Relationship Id="rId43" Type="http://schemas.openxmlformats.org/officeDocument/2006/relationships/hyperlink" Target="https://www.abs.gov.au/statistics/microdata-tablebuilder/available-microdata-tablebuilder/longitudinal-labour-force-australia" TargetMode="External"/><Relationship Id="rId48" Type="http://schemas.openxmlformats.org/officeDocument/2006/relationships/hyperlink" Target="https://www.abs.gov.au/statistics/classifications/anzsco-australian-and-new-zealand-standard-classification-occupations/2022/conceptual-basis-anzsco" TargetMode="External"/><Relationship Id="rId56" Type="http://schemas.openxmlformats.org/officeDocument/2006/relationships/hyperlink" Target="https://treasury.gov.au/sites/default/files/2019-11/p2019-37418-jobswitching-v2.pdf" TargetMode="External"/><Relationship Id="rId64" Type="http://schemas.openxmlformats.org/officeDocument/2006/relationships/hyperlink" Target="https://www.ncver.edu.au/__data/assets/file/0019/7282/what-is-skill-shortage-4022.pdf" TargetMode="External"/><Relationship Id="rId8" Type="http://schemas.openxmlformats.org/officeDocument/2006/relationships/header" Target="header1.xml"/><Relationship Id="rId51" Type="http://schemas.openxmlformats.org/officeDocument/2006/relationships/hyperlink" Target="https://www.ecb.europa.eu/pub/economic-bulletin/articles/2019/html/ecb.ebart201904_01~9070de27a0.en.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austreasury.sharepoint.com/sites/t-tf-jsewp/Shared%20Documents/General/White%20Paper/14_Supplementary%20papers/Beveridge%20curve%20-%20MAPD/Longitudinal%20Labour%20Force" TargetMode="External"/><Relationship Id="rId38" Type="http://schemas.openxmlformats.org/officeDocument/2006/relationships/hyperlink" Target="https://www.abs.gov.au/statistics/labour/employment-and-unemployment/labour-force-australia/latest-release" TargetMode="External"/><Relationship Id="rId46" Type="http://schemas.openxmlformats.org/officeDocument/2006/relationships/header" Target="header4.xml"/><Relationship Id="rId59" Type="http://schemas.openxmlformats.org/officeDocument/2006/relationships/hyperlink" Target="https://www.rba.gov.au/speeches/2020/sp-so-2020-03-16.html" TargetMode="Externa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3.xml"/><Relationship Id="rId54" Type="http://schemas.openxmlformats.org/officeDocument/2006/relationships/hyperlink" Target="https://doi.org/10.1093/qje/qjx022" TargetMode="External"/><Relationship Id="rId62" Type="http://schemas.openxmlformats.org/officeDocument/2006/relationships/hyperlink" Target="https://grattan.edu.au/wp-content/uploads/2019/08/919-Risks-and-rewar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b.europa.eu/pub/economic-bulletin/articles/2019/html/ecb.ebart201904_01~9070de27a0.en.html"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abs.gov.au/statistics/labour/jobs/job-vacancies-australia/latest-release" TargetMode="External"/><Relationship Id="rId49" Type="http://schemas.openxmlformats.org/officeDocument/2006/relationships/hyperlink" Target="https://www.federalreserve.gov/econres/feds/dynamic-beveridge-curve-accounting.htm" TargetMode="External"/><Relationship Id="rId57" Type="http://schemas.openxmlformats.org/officeDocument/2006/relationships/hyperlink" Target="https://www.federalreserve.gov/econres/notes/feds-notes/what-does-the-beveridge-curve-tell-us-about-the-likelihood-of-a-soft-landing-20220729.html" TargetMode="External"/><Relationship Id="rId10" Type="http://schemas.openxmlformats.org/officeDocument/2006/relationships/footer" Target="footer1.xml"/><Relationship Id="rId31" Type="http://schemas.openxmlformats.org/officeDocument/2006/relationships/hyperlink" Target="https://www.ecb.europa.eu/pub/economic-bulletin/articles/2019/html/ecb.ebart201904_01~9070de27a0.en.html" TargetMode="External"/><Relationship Id="rId44" Type="http://schemas.openxmlformats.org/officeDocument/2006/relationships/hyperlink" Target="https://www.jobsandskills.gov.au/work/internet-vacancy-index/methodology" TargetMode="External"/><Relationship Id="rId52" Type="http://schemas.openxmlformats.org/officeDocument/2006/relationships/hyperlink" Target="https://doi.org/10.1162/rest_a_01057" TargetMode="External"/><Relationship Id="rId60" Type="http://schemas.openxmlformats.org/officeDocument/2006/relationships/hyperlink" Target="https://www.jobsandskills.gov.au/sites/default/files/2022-02/State%20of%20Australia%27s%20Skills%20Overview.pdf" TargetMode="External"/><Relationship Id="rId65" Type="http://schemas.openxmlformats.org/officeDocument/2006/relationships/hyperlink" Target="http://www.ahuri.edu.au/research/final-reports/28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abs.gov.au/statistics/microdata-tablebuilder/available-microdata-tablebuilder/longitudinal-labour-force-australi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classifications/anzsco-australian-and-new-zealand-standard-classification-occupations/2022/conceptual-basis-anzsco" TargetMode="External"/><Relationship Id="rId13" Type="http://schemas.openxmlformats.org/officeDocument/2006/relationships/hyperlink" Target="https://static1.squarespace.com/static/60832ecef615231cedd30911/t/60871f691664f41cb424b379/1619468137800/DemingNoray_STEM.pdf" TargetMode="External"/><Relationship Id="rId18" Type="http://schemas.openxmlformats.org/officeDocument/2006/relationships/hyperlink" Target="https://academic.oup.com/qje/article/132/4/1593/3861633" TargetMode="External"/><Relationship Id="rId26" Type="http://schemas.openxmlformats.org/officeDocument/2006/relationships/hyperlink" Target="https://www.aeaweb.org/articles?id=10.1257/jel.39.2.390" TargetMode="External"/><Relationship Id="rId3" Type="http://schemas.openxmlformats.org/officeDocument/2006/relationships/hyperlink" Target="https://www.nationalskillscommission.gov.au/reports/state-australias-skills-2021-now-and-future/chapter-5-labour-market-matching-skills-perspective/economists-view-beveridge-curve" TargetMode="External"/><Relationship Id="rId21" Type="http://schemas.openxmlformats.org/officeDocument/2006/relationships/hyperlink" Target="https://www.ahuri.edu.au/sites/default/files/migration/documents/AHURI-Final-Report-280-Housing-tenure%2C-mobility-and-labour-market-behaviour.pdf" TargetMode="External"/><Relationship Id="rId7" Type="http://schemas.openxmlformats.org/officeDocument/2006/relationships/hyperlink" Target="https://treasury.gov.au/sites/default/files/2019-11/p2019-37418-jobswitching-v2.pdf" TargetMode="External"/><Relationship Id="rId12" Type="http://schemas.openxmlformats.org/officeDocument/2006/relationships/hyperlink" Target="https://grattan.edu.au/wp-content/uploads/2019/08/919-Risks-and-rewards.pdf" TargetMode="External"/><Relationship Id="rId17" Type="http://schemas.openxmlformats.org/officeDocument/2006/relationships/hyperlink" Target="https://www.nationalskillscommission.gov.au/sites/default/files/2022-03/2021%20State%20of%20Australia%27s%20Skills_0.pdf" TargetMode="External"/><Relationship Id="rId25" Type="http://schemas.openxmlformats.org/officeDocument/2006/relationships/hyperlink" Target="https://www.ecb.europa.eu/pub/economic-bulletin/articles/2019/html/ecb.ebart201904_01~9070de27a0.en.html" TargetMode="External"/><Relationship Id="rId2" Type="http://schemas.openxmlformats.org/officeDocument/2006/relationships/hyperlink" Target="https://www.federalreserve.gov/econres/notes/feds-notes/what-does-the-beveridge-curve-tell-us-about-the-likelihood-of-a-soft-landing-20220729.html" TargetMode="External"/><Relationship Id="rId16" Type="http://schemas.openxmlformats.org/officeDocument/2006/relationships/hyperlink" Target="https://budget.gov.au/content/womens-statement/download/womens_budget_statement_2023-24.pdf" TargetMode="External"/><Relationship Id="rId20" Type="http://schemas.openxmlformats.org/officeDocument/2006/relationships/hyperlink" Target="https://www.abs.gov.au/statistics/people/population/administrative-data-snapshot-population-and-housing-experimental-population-data/30-june-2021" TargetMode="External"/><Relationship Id="rId29" Type="http://schemas.openxmlformats.org/officeDocument/2006/relationships/hyperlink" Target="https://www.abs.gov.au/statistics/labour/jobs/job-vacancies-australia/latest-release" TargetMode="External"/><Relationship Id="rId1" Type="http://schemas.openxmlformats.org/officeDocument/2006/relationships/hyperlink" Target="https://www.ncver.edu.au/__data/assets/file/0019/7282/what-is-skill-shortage-4022.pdf" TargetMode="External"/><Relationship Id="rId6" Type="http://schemas.openxmlformats.org/officeDocument/2006/relationships/hyperlink" Target="https://www.rba.gov.au/publications/confs/2011/pdf/borland.pdf" TargetMode="External"/><Relationship Id="rId11" Type="http://schemas.openxmlformats.org/officeDocument/2006/relationships/hyperlink" Target="https://www.rba.gov.au/speeches/2020/sp-so-2020-03-16.html" TargetMode="External"/><Relationship Id="rId24" Type="http://schemas.openxmlformats.org/officeDocument/2006/relationships/hyperlink" Target="https://www.rba.gov.au/publications/bulletin/2012/dec/pdf/bu-1212-1.pdf" TargetMode="External"/><Relationship Id="rId5" Type="http://schemas.openxmlformats.org/officeDocument/2006/relationships/hyperlink" Target="https://www.ecb.europa.eu/pub/economic-bulletin/articles/2019/html/ecb.ebart201904_01~9070de27a0.en.html" TargetMode="External"/><Relationship Id="rId15" Type="http://schemas.openxmlformats.org/officeDocument/2006/relationships/hyperlink" Target="https://direct.mit.edu/rest/article-abstract/105/2/467/100981/Macroeconomic-Conditions-When-Young-Shape-Job?redirectedFrom=fulltext" TargetMode="External"/><Relationship Id="rId23" Type="http://schemas.openxmlformats.org/officeDocument/2006/relationships/hyperlink" Target="https://www.pc.gov.au/inquiries/completed/labour-mobility/report/labour-mobility.pdf" TargetMode="External"/><Relationship Id="rId28" Type="http://schemas.openxmlformats.org/officeDocument/2006/relationships/hyperlink" Target="https://www.ecb.europa.eu/pub/economic-bulletin/articles/2019/html/ecb.ebart201904_01~9070de27a0.en.html" TargetMode="External"/><Relationship Id="rId10" Type="http://schemas.openxmlformats.org/officeDocument/2006/relationships/hyperlink" Target="https://www.ncver.edu.au/__data/assets/file/0019/7282/what-is-skill-shortage-4022.pdf" TargetMode="External"/><Relationship Id="rId19" Type="http://schemas.openxmlformats.org/officeDocument/2006/relationships/hyperlink" Target="https://www.jobsandskills.gov.au/australian-skills-classification" TargetMode="External"/><Relationship Id="rId31" Type="http://schemas.openxmlformats.org/officeDocument/2006/relationships/hyperlink" Target="https://www.abs.gov.au/statistics/labour/employment-and-unemployment/labour-force-australia/latest-release" TargetMode="External"/><Relationship Id="rId4" Type="http://schemas.openxmlformats.org/officeDocument/2006/relationships/hyperlink" Target="https://www.federalreserve.gov/econres/feds/files/2020027pap.pdf" TargetMode="External"/><Relationship Id="rId9" Type="http://schemas.openxmlformats.org/officeDocument/2006/relationships/hyperlink" Target="https://www.jobsandskills.gov.au/australian-skills-classification" TargetMode="External"/><Relationship Id="rId14" Type="http://schemas.openxmlformats.org/officeDocument/2006/relationships/hyperlink" Target="https://link.springer.com/article/10.1007/s13384-015-0172-5" TargetMode="External"/><Relationship Id="rId22" Type="http://schemas.openxmlformats.org/officeDocument/2006/relationships/hyperlink" Target="https://www.pc.gov.au/inquiries/completed/labour-mobility/report/labour-mobility.pdf" TargetMode="External"/><Relationship Id="rId27" Type="http://schemas.openxmlformats.org/officeDocument/2006/relationships/hyperlink" Target="https://www.federalreserve.gov/econres/notes/feds-notes/what-does-the-beveridge-curve-tell-us-about-the-likelihood-of-a-soft-landing-20220729.html" TargetMode="External"/><Relationship Id="rId30" Type="http://schemas.openxmlformats.org/officeDocument/2006/relationships/hyperlink" Target="https://www.abs.gov.au/statistics/labour/employment-and-unemployment/labour-force-australia/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6518</Words>
  <Characters>37299</Characters>
  <Application>Microsoft Office Word</Application>
  <DocSecurity>0</DocSecurity>
  <Lines>605</Lines>
  <Paragraphs>197</Paragraphs>
  <ScaleCrop>false</ScaleCrop>
  <HeadingPairs>
    <vt:vector size="2" baseType="variant">
      <vt:variant>
        <vt:lpstr>Title</vt:lpstr>
      </vt:variant>
      <vt:variant>
        <vt:i4>1</vt:i4>
      </vt:variant>
    </vt:vector>
  </HeadingPairs>
  <TitlesOfParts>
    <vt:vector size="1" baseType="lpstr">
      <vt:lpstr>Treasury Round Up March 2024</vt:lpstr>
    </vt:vector>
  </TitlesOfParts>
  <Company/>
  <LinksUpToDate>false</LinksUpToDate>
  <CharactersWithSpaces>43731</CharactersWithSpaces>
  <SharedDoc>false</SharedDoc>
  <HLinks>
    <vt:vector size="378" baseType="variant">
      <vt:variant>
        <vt:i4>7798843</vt:i4>
      </vt:variant>
      <vt:variant>
        <vt:i4>93</vt:i4>
      </vt:variant>
      <vt:variant>
        <vt:i4>0</vt:i4>
      </vt:variant>
      <vt:variant>
        <vt:i4>5</vt:i4>
      </vt:variant>
      <vt:variant>
        <vt:lpwstr>http://www.ahuri.edu.au/research/final-reports/280</vt:lpwstr>
      </vt:variant>
      <vt:variant>
        <vt:lpwstr/>
      </vt:variant>
      <vt:variant>
        <vt:i4>7733294</vt:i4>
      </vt:variant>
      <vt:variant>
        <vt:i4>90</vt:i4>
      </vt:variant>
      <vt:variant>
        <vt:i4>0</vt:i4>
      </vt:variant>
      <vt:variant>
        <vt:i4>5</vt:i4>
      </vt:variant>
      <vt:variant>
        <vt:lpwstr>https://www.ncver.edu.au/__data/assets/file/0019/7282/what-is-skill-shortage-4022.pdf</vt:lpwstr>
      </vt:variant>
      <vt:variant>
        <vt:lpwstr/>
      </vt:variant>
      <vt:variant>
        <vt:i4>720909</vt:i4>
      </vt:variant>
      <vt:variant>
        <vt:i4>87</vt:i4>
      </vt:variant>
      <vt:variant>
        <vt:i4>0</vt:i4>
      </vt:variant>
      <vt:variant>
        <vt:i4>5</vt:i4>
      </vt:variant>
      <vt:variant>
        <vt:lpwstr>https://www.pc.gov.au/inquiries/completed/labour-mobility/report/labour-mobility.pdf</vt:lpwstr>
      </vt:variant>
      <vt:variant>
        <vt:lpwstr/>
      </vt:variant>
      <vt:variant>
        <vt:i4>8323186</vt:i4>
      </vt:variant>
      <vt:variant>
        <vt:i4>84</vt:i4>
      </vt:variant>
      <vt:variant>
        <vt:i4>0</vt:i4>
      </vt:variant>
      <vt:variant>
        <vt:i4>5</vt:i4>
      </vt:variant>
      <vt:variant>
        <vt:lpwstr>https://grattan.edu.au/wp-content/uploads/2019/08/919-Risks-and-rewards.pdf</vt:lpwstr>
      </vt:variant>
      <vt:variant>
        <vt:lpwstr/>
      </vt:variant>
      <vt:variant>
        <vt:i4>852045</vt:i4>
      </vt:variant>
      <vt:variant>
        <vt:i4>81</vt:i4>
      </vt:variant>
      <vt:variant>
        <vt:i4>0</vt:i4>
      </vt:variant>
      <vt:variant>
        <vt:i4>5</vt:i4>
      </vt:variant>
      <vt:variant>
        <vt:lpwstr>https://www.jobsandskills.gov.au/australian-skills-classification</vt:lpwstr>
      </vt:variant>
      <vt:variant>
        <vt:lpwstr/>
      </vt:variant>
      <vt:variant>
        <vt:i4>6488170</vt:i4>
      </vt:variant>
      <vt:variant>
        <vt:i4>78</vt:i4>
      </vt:variant>
      <vt:variant>
        <vt:i4>0</vt:i4>
      </vt:variant>
      <vt:variant>
        <vt:i4>5</vt:i4>
      </vt:variant>
      <vt:variant>
        <vt:lpwstr>https://www.jobsandskills.gov.au/sites/default/files/2022-02/State of Australia%27s Skills Overview.pdf</vt:lpwstr>
      </vt:variant>
      <vt:variant>
        <vt:lpwstr/>
      </vt:variant>
      <vt:variant>
        <vt:i4>2555949</vt:i4>
      </vt:variant>
      <vt:variant>
        <vt:i4>75</vt:i4>
      </vt:variant>
      <vt:variant>
        <vt:i4>0</vt:i4>
      </vt:variant>
      <vt:variant>
        <vt:i4>5</vt:i4>
      </vt:variant>
      <vt:variant>
        <vt:lpwstr>https://www.rba.gov.au/speeches/2020/sp-so-2020-03-16.html</vt:lpwstr>
      </vt:variant>
      <vt:variant>
        <vt:lpwstr/>
      </vt:variant>
      <vt:variant>
        <vt:i4>655383</vt:i4>
      </vt:variant>
      <vt:variant>
        <vt:i4>72</vt:i4>
      </vt:variant>
      <vt:variant>
        <vt:i4>0</vt:i4>
      </vt:variant>
      <vt:variant>
        <vt:i4>5</vt:i4>
      </vt:variant>
      <vt:variant>
        <vt:lpwstr>https://doi.org/10.1007/s13384-015-0172-5</vt:lpwstr>
      </vt:variant>
      <vt:variant>
        <vt:lpwstr/>
      </vt:variant>
      <vt:variant>
        <vt:i4>3276896</vt:i4>
      </vt:variant>
      <vt:variant>
        <vt:i4>69</vt:i4>
      </vt:variant>
      <vt:variant>
        <vt:i4>0</vt:i4>
      </vt:variant>
      <vt:variant>
        <vt:i4>5</vt:i4>
      </vt:variant>
      <vt:variant>
        <vt:lpwstr>https://www.federalreserve.gov/econres/notes/feds-notes/what-does-the-beveridge-curve-tell-us-about-the-likelihood-of-a-soft-landing-20220729.html</vt:lpwstr>
      </vt:variant>
      <vt:variant>
        <vt:lpwstr/>
      </vt:variant>
      <vt:variant>
        <vt:i4>2097279</vt:i4>
      </vt:variant>
      <vt:variant>
        <vt:i4>66</vt:i4>
      </vt:variant>
      <vt:variant>
        <vt:i4>0</vt:i4>
      </vt:variant>
      <vt:variant>
        <vt:i4>5</vt:i4>
      </vt:variant>
      <vt:variant>
        <vt:lpwstr>https://treasury.gov.au/sites/default/files/2019-11/p2019-37418-jobswitching-v2.pdf</vt:lpwstr>
      </vt:variant>
      <vt:variant>
        <vt:lpwstr/>
      </vt:variant>
      <vt:variant>
        <vt:i4>6684781</vt:i4>
      </vt:variant>
      <vt:variant>
        <vt:i4>63</vt:i4>
      </vt:variant>
      <vt:variant>
        <vt:i4>0</vt:i4>
      </vt:variant>
      <vt:variant>
        <vt:i4>5</vt:i4>
      </vt:variant>
      <vt:variant>
        <vt:lpwstr>https://doi.org/10.1093/qje/qjaa021</vt:lpwstr>
      </vt:variant>
      <vt:variant>
        <vt:lpwstr/>
      </vt:variant>
      <vt:variant>
        <vt:i4>3604598</vt:i4>
      </vt:variant>
      <vt:variant>
        <vt:i4>60</vt:i4>
      </vt:variant>
      <vt:variant>
        <vt:i4>0</vt:i4>
      </vt:variant>
      <vt:variant>
        <vt:i4>5</vt:i4>
      </vt:variant>
      <vt:variant>
        <vt:lpwstr>https://doi.org/10.1093/qje/qjx022</vt:lpwstr>
      </vt:variant>
      <vt:variant>
        <vt:lpwstr/>
      </vt:variant>
      <vt:variant>
        <vt:i4>4063278</vt:i4>
      </vt:variant>
      <vt:variant>
        <vt:i4>57</vt:i4>
      </vt:variant>
      <vt:variant>
        <vt:i4>0</vt:i4>
      </vt:variant>
      <vt:variant>
        <vt:i4>5</vt:i4>
      </vt:variant>
      <vt:variant>
        <vt:lpwstr>https://www.rba.gov.au/publications/bulletin/2012/dec/pdf/bu-1212-1.pdf</vt:lpwstr>
      </vt:variant>
      <vt:variant>
        <vt:lpwstr/>
      </vt:variant>
      <vt:variant>
        <vt:i4>5374044</vt:i4>
      </vt:variant>
      <vt:variant>
        <vt:i4>54</vt:i4>
      </vt:variant>
      <vt:variant>
        <vt:i4>0</vt:i4>
      </vt:variant>
      <vt:variant>
        <vt:i4>5</vt:i4>
      </vt:variant>
      <vt:variant>
        <vt:lpwstr>https://doi.org/10.1162/rest_a_01057</vt:lpwstr>
      </vt:variant>
      <vt:variant>
        <vt:lpwstr/>
      </vt:variant>
      <vt:variant>
        <vt:i4>4522024</vt:i4>
      </vt:variant>
      <vt:variant>
        <vt:i4>51</vt:i4>
      </vt:variant>
      <vt:variant>
        <vt:i4>0</vt:i4>
      </vt:variant>
      <vt:variant>
        <vt:i4>5</vt:i4>
      </vt:variant>
      <vt:variant>
        <vt:lpwstr>https://www.ecb.europa.eu/pub/economic-bulletin/articles/2019/html/ecb.ebart201904_01~9070de27a0.en.html</vt:lpwstr>
      </vt:variant>
      <vt:variant>
        <vt:lpwstr/>
      </vt:variant>
      <vt:variant>
        <vt:i4>3145760</vt:i4>
      </vt:variant>
      <vt:variant>
        <vt:i4>48</vt:i4>
      </vt:variant>
      <vt:variant>
        <vt:i4>0</vt:i4>
      </vt:variant>
      <vt:variant>
        <vt:i4>5</vt:i4>
      </vt:variant>
      <vt:variant>
        <vt:lpwstr>https://www.rba.gov.au/publications/confs/2011/pdf/borland.pdf</vt:lpwstr>
      </vt:variant>
      <vt:variant>
        <vt:lpwstr/>
      </vt:variant>
      <vt:variant>
        <vt:i4>3145781</vt:i4>
      </vt:variant>
      <vt:variant>
        <vt:i4>45</vt:i4>
      </vt:variant>
      <vt:variant>
        <vt:i4>0</vt:i4>
      </vt:variant>
      <vt:variant>
        <vt:i4>5</vt:i4>
      </vt:variant>
      <vt:variant>
        <vt:lpwstr>https://www.federalreserve.gov/econres/feds/dynamic-beveridge-curve-accounting.htm</vt:lpwstr>
      </vt:variant>
      <vt:variant>
        <vt:lpwstr/>
      </vt:variant>
      <vt:variant>
        <vt:i4>2359417</vt:i4>
      </vt:variant>
      <vt:variant>
        <vt:i4>42</vt:i4>
      </vt:variant>
      <vt:variant>
        <vt:i4>0</vt:i4>
      </vt:variant>
      <vt:variant>
        <vt:i4>5</vt:i4>
      </vt:variant>
      <vt:variant>
        <vt:lpwstr>https://www.abs.gov.au/statistics/classifications/anzsco-australian-and-new-zealand-standard-classification-occupations/2022/conceptual-basis-anzsco</vt:lpwstr>
      </vt:variant>
      <vt:variant>
        <vt:lpwstr>underlying-concepts</vt:lpwstr>
      </vt:variant>
      <vt:variant>
        <vt:i4>1376333</vt:i4>
      </vt:variant>
      <vt:variant>
        <vt:i4>39</vt:i4>
      </vt:variant>
      <vt:variant>
        <vt:i4>0</vt:i4>
      </vt:variant>
      <vt:variant>
        <vt:i4>5</vt:i4>
      </vt:variant>
      <vt:variant>
        <vt:lpwstr>https://www.jobsandskills.gov.au/work/internet-vacancy-index/methodology</vt:lpwstr>
      </vt:variant>
      <vt:variant>
        <vt:lpwstr/>
      </vt:variant>
      <vt:variant>
        <vt:i4>720918</vt:i4>
      </vt:variant>
      <vt:variant>
        <vt:i4>36</vt:i4>
      </vt:variant>
      <vt:variant>
        <vt:i4>0</vt:i4>
      </vt:variant>
      <vt:variant>
        <vt:i4>5</vt:i4>
      </vt:variant>
      <vt:variant>
        <vt:lpwstr>https://www.abs.gov.au/statistics/microdata-tablebuilder/available-microdata-tablebuilder/longitudinal-labour-force-australia</vt:lpwstr>
      </vt:variant>
      <vt:variant>
        <vt:lpwstr/>
      </vt:variant>
      <vt:variant>
        <vt:i4>720918</vt:i4>
      </vt:variant>
      <vt:variant>
        <vt:i4>33</vt:i4>
      </vt:variant>
      <vt:variant>
        <vt:i4>0</vt:i4>
      </vt:variant>
      <vt:variant>
        <vt:i4>5</vt:i4>
      </vt:variant>
      <vt:variant>
        <vt:lpwstr>https://www.abs.gov.au/statistics/microdata-tablebuilder/available-microdata-tablebuilder/longitudinal-labour-force-australia</vt:lpwstr>
      </vt:variant>
      <vt:variant>
        <vt:lpwstr/>
      </vt:variant>
      <vt:variant>
        <vt:i4>2359338</vt:i4>
      </vt:variant>
      <vt:variant>
        <vt:i4>30</vt:i4>
      </vt:variant>
      <vt:variant>
        <vt:i4>0</vt:i4>
      </vt:variant>
      <vt:variant>
        <vt:i4>5</vt:i4>
      </vt:variant>
      <vt:variant>
        <vt:lpwstr>https://www.abs.gov.au/statistics/labour/employment-and-unemployment/labour-force-australia/latest-release</vt:lpwstr>
      </vt:variant>
      <vt:variant>
        <vt:lpwstr/>
      </vt:variant>
      <vt:variant>
        <vt:i4>720918</vt:i4>
      </vt:variant>
      <vt:variant>
        <vt:i4>27</vt:i4>
      </vt:variant>
      <vt:variant>
        <vt:i4>0</vt:i4>
      </vt:variant>
      <vt:variant>
        <vt:i4>5</vt:i4>
      </vt:variant>
      <vt:variant>
        <vt:lpwstr>https://www.abs.gov.au/statistics/microdata-tablebuilder/available-microdata-tablebuilder/longitudinal-labour-force-australia</vt:lpwstr>
      </vt:variant>
      <vt:variant>
        <vt:lpwstr/>
      </vt:variant>
      <vt:variant>
        <vt:i4>851997</vt:i4>
      </vt:variant>
      <vt:variant>
        <vt:i4>24</vt:i4>
      </vt:variant>
      <vt:variant>
        <vt:i4>0</vt:i4>
      </vt:variant>
      <vt:variant>
        <vt:i4>5</vt:i4>
      </vt:variant>
      <vt:variant>
        <vt:lpwstr>https://www.abs.gov.au/statistics/labour/jobs/job-vacancies-australia/latest-release</vt:lpwstr>
      </vt:variant>
      <vt:variant>
        <vt:lpwstr/>
      </vt:variant>
      <vt:variant>
        <vt:i4>1703936</vt:i4>
      </vt:variant>
      <vt:variant>
        <vt:i4>21</vt:i4>
      </vt:variant>
      <vt:variant>
        <vt:i4>0</vt:i4>
      </vt:variant>
      <vt:variant>
        <vt:i4>5</vt:i4>
      </vt:variant>
      <vt:variant>
        <vt:lpwstr>https://www.jobsandskills.gov.au/work/internet-vacancy-index</vt:lpwstr>
      </vt:variant>
      <vt:variant>
        <vt:lpwstr/>
      </vt:variant>
      <vt:variant>
        <vt:i4>720918</vt:i4>
      </vt:variant>
      <vt:variant>
        <vt:i4>18</vt:i4>
      </vt:variant>
      <vt:variant>
        <vt:i4>0</vt:i4>
      </vt:variant>
      <vt:variant>
        <vt:i4>5</vt:i4>
      </vt:variant>
      <vt:variant>
        <vt:lpwstr>https://www.abs.gov.au/statistics/microdata-tablebuilder/available-microdata-tablebuilder/longitudinal-labour-force-australia</vt:lpwstr>
      </vt:variant>
      <vt:variant>
        <vt:lpwstr/>
      </vt:variant>
      <vt:variant>
        <vt:i4>3997699</vt:i4>
      </vt:variant>
      <vt:variant>
        <vt:i4>15</vt:i4>
      </vt:variant>
      <vt:variant>
        <vt:i4>0</vt:i4>
      </vt:variant>
      <vt:variant>
        <vt:i4>5</vt:i4>
      </vt:variant>
      <vt:variant>
        <vt:lpwstr>https://austreasury.sharepoint.com/sites/t-tf-jsewp/Shared Documents/General/White Paper/14_Supplementary papers/Beveridge curve - MAPD/Longitudinal Labour Force</vt:lpwstr>
      </vt:variant>
      <vt:variant>
        <vt:lpwstr/>
      </vt:variant>
      <vt:variant>
        <vt:i4>720918</vt:i4>
      </vt:variant>
      <vt:variant>
        <vt:i4>12</vt:i4>
      </vt:variant>
      <vt:variant>
        <vt:i4>0</vt:i4>
      </vt:variant>
      <vt:variant>
        <vt:i4>5</vt:i4>
      </vt:variant>
      <vt:variant>
        <vt:lpwstr>https://www.abs.gov.au/statistics/microdata-tablebuilder/available-microdata-tablebuilder/longitudinal-labour-force-australia</vt:lpwstr>
      </vt:variant>
      <vt:variant>
        <vt:lpwstr/>
      </vt:variant>
      <vt:variant>
        <vt:i4>4522024</vt:i4>
      </vt:variant>
      <vt:variant>
        <vt:i4>9</vt:i4>
      </vt:variant>
      <vt:variant>
        <vt:i4>0</vt:i4>
      </vt:variant>
      <vt:variant>
        <vt:i4>5</vt:i4>
      </vt:variant>
      <vt:variant>
        <vt:lpwstr>https://www.ecb.europa.eu/pub/economic-bulletin/articles/2019/html/ecb.ebart201904_01~9070de27a0.en.html</vt:lpwstr>
      </vt:variant>
      <vt:variant>
        <vt:lpwstr/>
      </vt:variant>
      <vt:variant>
        <vt:i4>4522024</vt:i4>
      </vt:variant>
      <vt:variant>
        <vt:i4>6</vt:i4>
      </vt:variant>
      <vt:variant>
        <vt:i4>0</vt:i4>
      </vt:variant>
      <vt:variant>
        <vt:i4>5</vt:i4>
      </vt:variant>
      <vt:variant>
        <vt:lpwstr>https://www.ecb.europa.eu/pub/economic-bulletin/articles/2019/html/ecb.ebart201904_01~9070de27a0.en.html</vt:lpwstr>
      </vt:variant>
      <vt:variant>
        <vt:lpwstr/>
      </vt:variant>
      <vt:variant>
        <vt:i4>4522024</vt:i4>
      </vt:variant>
      <vt:variant>
        <vt:i4>3</vt:i4>
      </vt:variant>
      <vt:variant>
        <vt:i4>0</vt:i4>
      </vt:variant>
      <vt:variant>
        <vt:i4>5</vt:i4>
      </vt:variant>
      <vt:variant>
        <vt:lpwstr>https://www.ecb.europa.eu/pub/economic-bulletin/articles/2019/html/ecb.ebart201904_01~9070de27a0.en.html</vt:lpwstr>
      </vt:variant>
      <vt:variant>
        <vt:lpwstr/>
      </vt:variant>
      <vt:variant>
        <vt:i4>4522024</vt:i4>
      </vt:variant>
      <vt:variant>
        <vt:i4>0</vt:i4>
      </vt:variant>
      <vt:variant>
        <vt:i4>0</vt:i4>
      </vt:variant>
      <vt:variant>
        <vt:i4>5</vt:i4>
      </vt:variant>
      <vt:variant>
        <vt:lpwstr>https://www.ecb.europa.eu/pub/economic-bulletin/articles/2019/html/ecb.ebart201904_01~9070de27a0.en.html</vt:lpwstr>
      </vt:variant>
      <vt:variant>
        <vt:lpwstr/>
      </vt:variant>
      <vt:variant>
        <vt:i4>4784157</vt:i4>
      </vt:variant>
      <vt:variant>
        <vt:i4>90</vt:i4>
      </vt:variant>
      <vt:variant>
        <vt:i4>0</vt:i4>
      </vt:variant>
      <vt:variant>
        <vt:i4>5</vt:i4>
      </vt:variant>
      <vt:variant>
        <vt:lpwstr>https://www.abs.gov.au/statistics/labour/employment-and-unemployment/labour-force-australia/latest-release</vt:lpwstr>
      </vt:variant>
      <vt:variant>
        <vt:lpwstr>data-downloads</vt:lpwstr>
      </vt:variant>
      <vt:variant>
        <vt:i4>4784157</vt:i4>
      </vt:variant>
      <vt:variant>
        <vt:i4>87</vt:i4>
      </vt:variant>
      <vt:variant>
        <vt:i4>0</vt:i4>
      </vt:variant>
      <vt:variant>
        <vt:i4>5</vt:i4>
      </vt:variant>
      <vt:variant>
        <vt:lpwstr>https://www.abs.gov.au/statistics/labour/employment-and-unemployment/labour-force-australia/latest-release</vt:lpwstr>
      </vt:variant>
      <vt:variant>
        <vt:lpwstr>data-downloads</vt:lpwstr>
      </vt:variant>
      <vt:variant>
        <vt:i4>851997</vt:i4>
      </vt:variant>
      <vt:variant>
        <vt:i4>84</vt:i4>
      </vt:variant>
      <vt:variant>
        <vt:i4>0</vt:i4>
      </vt:variant>
      <vt:variant>
        <vt:i4>5</vt:i4>
      </vt:variant>
      <vt:variant>
        <vt:lpwstr>https://www.abs.gov.au/statistics/labour/jobs/job-vacancies-australia/latest-release</vt:lpwstr>
      </vt:variant>
      <vt:variant>
        <vt:lpwstr/>
      </vt:variant>
      <vt:variant>
        <vt:i4>4522024</vt:i4>
      </vt:variant>
      <vt:variant>
        <vt:i4>81</vt:i4>
      </vt:variant>
      <vt:variant>
        <vt:i4>0</vt:i4>
      </vt:variant>
      <vt:variant>
        <vt:i4>5</vt:i4>
      </vt:variant>
      <vt:variant>
        <vt:lpwstr>https://www.ecb.europa.eu/pub/economic-bulletin/articles/2019/html/ecb.ebart201904_01~9070de27a0.en.html</vt:lpwstr>
      </vt:variant>
      <vt:variant>
        <vt:lpwstr/>
      </vt:variant>
      <vt:variant>
        <vt:i4>3276896</vt:i4>
      </vt:variant>
      <vt:variant>
        <vt:i4>78</vt:i4>
      </vt:variant>
      <vt:variant>
        <vt:i4>0</vt:i4>
      </vt:variant>
      <vt:variant>
        <vt:i4>5</vt:i4>
      </vt:variant>
      <vt:variant>
        <vt:lpwstr>https://www.federalreserve.gov/econres/notes/feds-notes/what-does-the-beveridge-curve-tell-us-about-the-likelihood-of-a-soft-landing-20220729.html</vt:lpwstr>
      </vt:variant>
      <vt:variant>
        <vt:lpwstr/>
      </vt:variant>
      <vt:variant>
        <vt:i4>7209070</vt:i4>
      </vt:variant>
      <vt:variant>
        <vt:i4>75</vt:i4>
      </vt:variant>
      <vt:variant>
        <vt:i4>0</vt:i4>
      </vt:variant>
      <vt:variant>
        <vt:i4>5</vt:i4>
      </vt:variant>
      <vt:variant>
        <vt:lpwstr>https://www.aeaweb.org/articles?id=10.1257/jel.39.2.390</vt:lpwstr>
      </vt:variant>
      <vt:variant>
        <vt:lpwstr/>
      </vt:variant>
      <vt:variant>
        <vt:i4>4522024</vt:i4>
      </vt:variant>
      <vt:variant>
        <vt:i4>72</vt:i4>
      </vt:variant>
      <vt:variant>
        <vt:i4>0</vt:i4>
      </vt:variant>
      <vt:variant>
        <vt:i4>5</vt:i4>
      </vt:variant>
      <vt:variant>
        <vt:lpwstr>https://www.ecb.europa.eu/pub/economic-bulletin/articles/2019/html/ecb.ebart201904_01~9070de27a0.en.html</vt:lpwstr>
      </vt:variant>
      <vt:variant>
        <vt:lpwstr/>
      </vt:variant>
      <vt:variant>
        <vt:i4>4063278</vt:i4>
      </vt:variant>
      <vt:variant>
        <vt:i4>69</vt:i4>
      </vt:variant>
      <vt:variant>
        <vt:i4>0</vt:i4>
      </vt:variant>
      <vt:variant>
        <vt:i4>5</vt:i4>
      </vt:variant>
      <vt:variant>
        <vt:lpwstr>https://www.rba.gov.au/publications/bulletin/2012/dec/pdf/bu-1212-1.pdf</vt:lpwstr>
      </vt:variant>
      <vt:variant>
        <vt:lpwstr/>
      </vt:variant>
      <vt:variant>
        <vt:i4>720909</vt:i4>
      </vt:variant>
      <vt:variant>
        <vt:i4>66</vt:i4>
      </vt:variant>
      <vt:variant>
        <vt:i4>0</vt:i4>
      </vt:variant>
      <vt:variant>
        <vt:i4>5</vt:i4>
      </vt:variant>
      <vt:variant>
        <vt:lpwstr>https://www.pc.gov.au/inquiries/completed/labour-mobility/report/labour-mobility.pdf</vt:lpwstr>
      </vt:variant>
      <vt:variant>
        <vt:lpwstr/>
      </vt:variant>
      <vt:variant>
        <vt:i4>720909</vt:i4>
      </vt:variant>
      <vt:variant>
        <vt:i4>63</vt:i4>
      </vt:variant>
      <vt:variant>
        <vt:i4>0</vt:i4>
      </vt:variant>
      <vt:variant>
        <vt:i4>5</vt:i4>
      </vt:variant>
      <vt:variant>
        <vt:lpwstr>https://www.pc.gov.au/inquiries/completed/labour-mobility/report/labour-mobility.pdf</vt:lpwstr>
      </vt:variant>
      <vt:variant>
        <vt:lpwstr/>
      </vt:variant>
      <vt:variant>
        <vt:i4>8257660</vt:i4>
      </vt:variant>
      <vt:variant>
        <vt:i4>60</vt:i4>
      </vt:variant>
      <vt:variant>
        <vt:i4>0</vt:i4>
      </vt:variant>
      <vt:variant>
        <vt:i4>5</vt:i4>
      </vt:variant>
      <vt:variant>
        <vt:lpwstr>https://www.ahuri.edu.au/sites/default/files/migration/documents/AHURI-Final-Report-280-Housing-tenure%2C-mobility-and-labour-market-behaviour.pdf</vt:lpwstr>
      </vt:variant>
      <vt:variant>
        <vt:lpwstr/>
      </vt:variant>
      <vt:variant>
        <vt:i4>5701717</vt:i4>
      </vt:variant>
      <vt:variant>
        <vt:i4>57</vt:i4>
      </vt:variant>
      <vt:variant>
        <vt:i4>0</vt:i4>
      </vt:variant>
      <vt:variant>
        <vt:i4>5</vt:i4>
      </vt:variant>
      <vt:variant>
        <vt:lpwstr>https://www.abs.gov.au/statistics/people/population/administrative-data-snapshot-population-and-housing-experimental-population-data/30-june-2021</vt:lpwstr>
      </vt:variant>
      <vt:variant>
        <vt:lpwstr>movement-within-australia</vt:lpwstr>
      </vt:variant>
      <vt:variant>
        <vt:i4>8126521</vt:i4>
      </vt:variant>
      <vt:variant>
        <vt:i4>54</vt:i4>
      </vt:variant>
      <vt:variant>
        <vt:i4>0</vt:i4>
      </vt:variant>
      <vt:variant>
        <vt:i4>5</vt:i4>
      </vt:variant>
      <vt:variant>
        <vt:lpwstr>https://www.jobsandskills.gov.au/australian-skills-classification</vt:lpwstr>
      </vt:variant>
      <vt:variant>
        <vt:lpwstr>similarity</vt:lpwstr>
      </vt:variant>
      <vt:variant>
        <vt:i4>2359394</vt:i4>
      </vt:variant>
      <vt:variant>
        <vt:i4>51</vt:i4>
      </vt:variant>
      <vt:variant>
        <vt:i4>0</vt:i4>
      </vt:variant>
      <vt:variant>
        <vt:i4>5</vt:i4>
      </vt:variant>
      <vt:variant>
        <vt:lpwstr>https://academic.oup.com/qje/article/132/4/1593/3861633</vt:lpwstr>
      </vt:variant>
      <vt:variant>
        <vt:lpwstr/>
      </vt:variant>
      <vt:variant>
        <vt:i4>1376378</vt:i4>
      </vt:variant>
      <vt:variant>
        <vt:i4>48</vt:i4>
      </vt:variant>
      <vt:variant>
        <vt:i4>0</vt:i4>
      </vt:variant>
      <vt:variant>
        <vt:i4>5</vt:i4>
      </vt:variant>
      <vt:variant>
        <vt:lpwstr>https://www.nationalskillscommission.gov.au/sites/default/files/2022-03/2021 State of Australia%27s Skills_0.pdf</vt:lpwstr>
      </vt:variant>
      <vt:variant>
        <vt:lpwstr/>
      </vt:variant>
      <vt:variant>
        <vt:i4>4063256</vt:i4>
      </vt:variant>
      <vt:variant>
        <vt:i4>45</vt:i4>
      </vt:variant>
      <vt:variant>
        <vt:i4>0</vt:i4>
      </vt:variant>
      <vt:variant>
        <vt:i4>5</vt:i4>
      </vt:variant>
      <vt:variant>
        <vt:lpwstr>https://budget.gov.au/content/womens-statement/download/womens_budget_statement_2023-24.pdf</vt:lpwstr>
      </vt:variant>
      <vt:variant>
        <vt:lpwstr/>
      </vt:variant>
      <vt:variant>
        <vt:i4>7536700</vt:i4>
      </vt:variant>
      <vt:variant>
        <vt:i4>42</vt:i4>
      </vt:variant>
      <vt:variant>
        <vt:i4>0</vt:i4>
      </vt:variant>
      <vt:variant>
        <vt:i4>5</vt:i4>
      </vt:variant>
      <vt:variant>
        <vt:lpwstr>https://direct.mit.edu/rest/article-abstract/105/2/467/100981/Macroeconomic-Conditions-When-Young-Shape-Job?redirectedFrom=fulltext</vt:lpwstr>
      </vt:variant>
      <vt:variant>
        <vt:lpwstr/>
      </vt:variant>
      <vt:variant>
        <vt:i4>2621487</vt:i4>
      </vt:variant>
      <vt:variant>
        <vt:i4>39</vt:i4>
      </vt:variant>
      <vt:variant>
        <vt:i4>0</vt:i4>
      </vt:variant>
      <vt:variant>
        <vt:i4>5</vt:i4>
      </vt:variant>
      <vt:variant>
        <vt:lpwstr>https://link.springer.com/article/10.1007/s13384-015-0172-5</vt:lpwstr>
      </vt:variant>
      <vt:variant>
        <vt:lpwstr/>
      </vt:variant>
      <vt:variant>
        <vt:i4>5373992</vt:i4>
      </vt:variant>
      <vt:variant>
        <vt:i4>36</vt:i4>
      </vt:variant>
      <vt:variant>
        <vt:i4>0</vt:i4>
      </vt:variant>
      <vt:variant>
        <vt:i4>5</vt:i4>
      </vt:variant>
      <vt:variant>
        <vt:lpwstr>https://static1.squarespace.com/static/60832ecef615231cedd30911/t/60871f691664f41cb424b379/1619468137800/DemingNoray_STEM.pdf</vt:lpwstr>
      </vt:variant>
      <vt:variant>
        <vt:lpwstr/>
      </vt:variant>
      <vt:variant>
        <vt:i4>8323186</vt:i4>
      </vt:variant>
      <vt:variant>
        <vt:i4>33</vt:i4>
      </vt:variant>
      <vt:variant>
        <vt:i4>0</vt:i4>
      </vt:variant>
      <vt:variant>
        <vt:i4>5</vt:i4>
      </vt:variant>
      <vt:variant>
        <vt:lpwstr>https://grattan.edu.au/wp-content/uploads/2019/08/919-Risks-and-rewards.pdf</vt:lpwstr>
      </vt:variant>
      <vt:variant>
        <vt:lpwstr/>
      </vt:variant>
      <vt:variant>
        <vt:i4>2555949</vt:i4>
      </vt:variant>
      <vt:variant>
        <vt:i4>30</vt:i4>
      </vt:variant>
      <vt:variant>
        <vt:i4>0</vt:i4>
      </vt:variant>
      <vt:variant>
        <vt:i4>5</vt:i4>
      </vt:variant>
      <vt:variant>
        <vt:lpwstr>https://www.rba.gov.au/speeches/2020/sp-so-2020-03-16.html</vt:lpwstr>
      </vt:variant>
      <vt:variant>
        <vt:lpwstr/>
      </vt:variant>
      <vt:variant>
        <vt:i4>7733294</vt:i4>
      </vt:variant>
      <vt:variant>
        <vt:i4>27</vt:i4>
      </vt:variant>
      <vt:variant>
        <vt:i4>0</vt:i4>
      </vt:variant>
      <vt:variant>
        <vt:i4>5</vt:i4>
      </vt:variant>
      <vt:variant>
        <vt:lpwstr>https://www.ncver.edu.au/__data/assets/file/0019/7282/what-is-skill-shortage-4022.pdf</vt:lpwstr>
      </vt:variant>
      <vt:variant>
        <vt:lpwstr/>
      </vt:variant>
      <vt:variant>
        <vt:i4>852045</vt:i4>
      </vt:variant>
      <vt:variant>
        <vt:i4>24</vt:i4>
      </vt:variant>
      <vt:variant>
        <vt:i4>0</vt:i4>
      </vt:variant>
      <vt:variant>
        <vt:i4>5</vt:i4>
      </vt:variant>
      <vt:variant>
        <vt:lpwstr>https://www.jobsandskills.gov.au/australian-skills-classification</vt:lpwstr>
      </vt:variant>
      <vt:variant>
        <vt:lpwstr/>
      </vt:variant>
      <vt:variant>
        <vt:i4>2359417</vt:i4>
      </vt:variant>
      <vt:variant>
        <vt:i4>21</vt:i4>
      </vt:variant>
      <vt:variant>
        <vt:i4>0</vt:i4>
      </vt:variant>
      <vt:variant>
        <vt:i4>5</vt:i4>
      </vt:variant>
      <vt:variant>
        <vt:lpwstr>https://www.abs.gov.au/statistics/classifications/anzsco-australian-and-new-zealand-standard-classification-occupations/2022/conceptual-basis-anzsco</vt:lpwstr>
      </vt:variant>
      <vt:variant>
        <vt:lpwstr>underlying-concepts</vt:lpwstr>
      </vt:variant>
      <vt:variant>
        <vt:i4>2097279</vt:i4>
      </vt:variant>
      <vt:variant>
        <vt:i4>18</vt:i4>
      </vt:variant>
      <vt:variant>
        <vt:i4>0</vt:i4>
      </vt:variant>
      <vt:variant>
        <vt:i4>5</vt:i4>
      </vt:variant>
      <vt:variant>
        <vt:lpwstr>https://treasury.gov.au/sites/default/files/2019-11/p2019-37418-jobswitching-v2.pdf</vt:lpwstr>
      </vt:variant>
      <vt:variant>
        <vt:lpwstr/>
      </vt:variant>
      <vt:variant>
        <vt:i4>3145760</vt:i4>
      </vt:variant>
      <vt:variant>
        <vt:i4>15</vt:i4>
      </vt:variant>
      <vt:variant>
        <vt:i4>0</vt:i4>
      </vt:variant>
      <vt:variant>
        <vt:i4>5</vt:i4>
      </vt:variant>
      <vt:variant>
        <vt:lpwstr>https://www.rba.gov.au/publications/confs/2011/pdf/borland.pdf</vt:lpwstr>
      </vt:variant>
      <vt:variant>
        <vt:lpwstr/>
      </vt:variant>
      <vt:variant>
        <vt:i4>4522024</vt:i4>
      </vt:variant>
      <vt:variant>
        <vt:i4>12</vt:i4>
      </vt:variant>
      <vt:variant>
        <vt:i4>0</vt:i4>
      </vt:variant>
      <vt:variant>
        <vt:i4>5</vt:i4>
      </vt:variant>
      <vt:variant>
        <vt:lpwstr>https://www.ecb.europa.eu/pub/economic-bulletin/articles/2019/html/ecb.ebart201904_01~9070de27a0.en.html</vt:lpwstr>
      </vt:variant>
      <vt:variant>
        <vt:lpwstr/>
      </vt:variant>
      <vt:variant>
        <vt:i4>983104</vt:i4>
      </vt:variant>
      <vt:variant>
        <vt:i4>9</vt:i4>
      </vt:variant>
      <vt:variant>
        <vt:i4>0</vt:i4>
      </vt:variant>
      <vt:variant>
        <vt:i4>5</vt:i4>
      </vt:variant>
      <vt:variant>
        <vt:lpwstr>https://www.federalreserve.gov/econres/feds/files/2020027pap.pdf</vt:lpwstr>
      </vt:variant>
      <vt:variant>
        <vt:lpwstr/>
      </vt:variant>
      <vt:variant>
        <vt:i4>3211317</vt:i4>
      </vt:variant>
      <vt:variant>
        <vt:i4>6</vt:i4>
      </vt:variant>
      <vt:variant>
        <vt:i4>0</vt:i4>
      </vt:variant>
      <vt:variant>
        <vt:i4>5</vt:i4>
      </vt:variant>
      <vt:variant>
        <vt:lpwstr>https://www.nationalskillscommission.gov.au/reports/state-australias-skills-2021-now-and-future/chapter-5-labour-market-matching-skills-perspective/economists-view-beveridge-curve</vt:lpwstr>
      </vt:variant>
      <vt:variant>
        <vt:lpwstr/>
      </vt:variant>
      <vt:variant>
        <vt:i4>3276896</vt:i4>
      </vt:variant>
      <vt:variant>
        <vt:i4>3</vt:i4>
      </vt:variant>
      <vt:variant>
        <vt:i4>0</vt:i4>
      </vt:variant>
      <vt:variant>
        <vt:i4>5</vt:i4>
      </vt:variant>
      <vt:variant>
        <vt:lpwstr>https://www.federalreserve.gov/econres/notes/feds-notes/what-does-the-beveridge-curve-tell-us-about-the-likelihood-of-a-soft-landing-20220729.html</vt:lpwstr>
      </vt:variant>
      <vt:variant>
        <vt:lpwstr/>
      </vt:variant>
      <vt:variant>
        <vt:i4>7733294</vt:i4>
      </vt:variant>
      <vt:variant>
        <vt:i4>0</vt:i4>
      </vt:variant>
      <vt:variant>
        <vt:i4>0</vt:i4>
      </vt:variant>
      <vt:variant>
        <vt:i4>5</vt:i4>
      </vt:variant>
      <vt:variant>
        <vt:lpwstr>https://www.ncver.edu.au/__data/assets/file/0019/7282/what-is-skill-shortage-4022.pdf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Round Up March 2024</dc:title>
  <dc:subject>Labour market matching in Australia</dc:subject>
  <dc:creator/>
  <cp:keywords/>
  <cp:lastModifiedBy/>
  <cp:revision>1</cp:revision>
  <dcterms:created xsi:type="dcterms:W3CDTF">2024-03-27T05:31:00Z</dcterms:created>
  <dcterms:modified xsi:type="dcterms:W3CDTF">2024-03-27T23:50:00Z</dcterms:modified>
  <cp:contentStatus/>
</cp:coreProperties>
</file>